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B2" w:rsidRDefault="00032EB2" w:rsidP="00032EB2">
      <w:pPr>
        <w:pStyle w:val="NormalWeb"/>
        <w:spacing w:after="150" w:afterAutospacing="0"/>
        <w:jc w:val="center"/>
      </w:pPr>
      <w:r>
        <w:rPr>
          <w:rFonts w:ascii="Verdana" w:hAnsi="Verdana"/>
          <w:b/>
          <w:bCs/>
          <w:color w:val="000000"/>
          <w:sz w:val="27"/>
          <w:szCs w:val="27"/>
        </w:rPr>
        <w:t>Desde ya se puede realizar el reporte de Información Tributaria al Distrito</w:t>
      </w:r>
    </w:p>
    <w:p w:rsidR="00032EB2" w:rsidRDefault="00032EB2" w:rsidP="00032EB2">
      <w:pPr>
        <w:pStyle w:val="NormalWeb"/>
      </w:pPr>
      <w:r>
        <w:rPr>
          <w:rStyle w:val="Textoennegrita"/>
          <w:rFonts w:ascii="Verdana" w:hAnsi="Verdana"/>
          <w:color w:val="000000"/>
          <w:sz w:val="27"/>
          <w:szCs w:val="27"/>
        </w:rPr>
        <w:t>Bogotá, 24 de mayo de 2014.</w:t>
      </w:r>
      <w:r>
        <w:rPr>
          <w:rFonts w:ascii="Verdana" w:hAnsi="Verdana"/>
          <w:color w:val="000000"/>
          <w:sz w:val="27"/>
          <w:szCs w:val="27"/>
        </w:rPr>
        <w:t>   Desde ya y hasta el 8 de julio de este año, los obligados deberán reportar toda la información relacionada con valores de compra, compradores y total de ingresos a la Administración Distrital, proceso más conocido como Reporte de Información en Medios Magnéticos.</w:t>
      </w:r>
    </w:p>
    <w:p w:rsidR="00032EB2" w:rsidRDefault="00032EB2" w:rsidP="00032EB2">
      <w:pPr>
        <w:pStyle w:val="NormalWeb"/>
      </w:pPr>
      <w:r>
        <w:rPr>
          <w:rFonts w:ascii="Verdana" w:hAnsi="Verdana"/>
          <w:color w:val="000000"/>
          <w:sz w:val="27"/>
          <w:szCs w:val="27"/>
        </w:rPr>
        <w:t>Así lo informa la Secretaría Distrital de Hacienda, que precisó que el reporte es una obligación que tienen las  personas naturales comerciantes, personas jurídicas, agentes de retención de industria y comercio, entidades públicas del orden nacional y distrital, entre otras, definidos en la Resolución No. DDI-025514 de 2014.</w:t>
      </w:r>
    </w:p>
    <w:p w:rsidR="00032EB2" w:rsidRDefault="00032EB2" w:rsidP="00032EB2">
      <w:pPr>
        <w:pStyle w:val="NormalWeb"/>
      </w:pPr>
      <w:r>
        <w:rPr>
          <w:rFonts w:ascii="Verdana" w:hAnsi="Verdana"/>
          <w:color w:val="000000"/>
          <w:sz w:val="27"/>
          <w:szCs w:val="27"/>
        </w:rPr>
        <w:t>La  información requerida por la Administración Distrital será utilizada para procesos de control y mejoramiento de información del impuesto de industria y comercio (ICA).</w:t>
      </w:r>
    </w:p>
    <w:p w:rsidR="00032EB2" w:rsidRDefault="00032EB2" w:rsidP="00032EB2">
      <w:pPr>
        <w:pStyle w:val="NormalWeb"/>
      </w:pPr>
      <w:r>
        <w:rPr>
          <w:rFonts w:ascii="Verdana" w:hAnsi="Verdana"/>
          <w:color w:val="000000"/>
          <w:sz w:val="27"/>
          <w:szCs w:val="27"/>
        </w:rPr>
        <w:t>Los obligados pueden realizar su reporte de información correspondiente a 2013 desde ya, y antes de las siguientes fechas de acuerdo con el último dígito del NIT o de la cédula de ciudadanía así:</w:t>
      </w:r>
    </w:p>
    <w:tbl>
      <w:tblPr>
        <w:tblW w:w="57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2466"/>
      </w:tblGrid>
      <w:tr w:rsidR="00032EB2" w:rsidTr="00032EB2">
        <w:trPr>
          <w:trHeight w:val="177"/>
          <w:jc w:val="center"/>
        </w:trPr>
        <w:tc>
          <w:tcPr>
            <w:tcW w:w="573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2" w:rsidRDefault="00032EB2">
            <w:pPr>
              <w:pStyle w:val="NormalWeb"/>
              <w:spacing w:after="150" w:afterAutospacing="0" w:line="177" w:lineRule="atLeast"/>
              <w:jc w:val="center"/>
            </w:pPr>
            <w:r>
              <w:rPr>
                <w:rFonts w:ascii="Verdana" w:hAnsi="Verdana"/>
                <w:b/>
                <w:bCs/>
                <w:sz w:val="27"/>
                <w:szCs w:val="27"/>
              </w:rPr>
              <w:t>FECHAS LIMITE REPORTE DE INFORMACIÓN 2013</w:t>
            </w:r>
          </w:p>
        </w:tc>
      </w:tr>
      <w:tr w:rsidR="00032EB2" w:rsidTr="00032EB2">
        <w:trPr>
          <w:trHeight w:val="560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2" w:rsidRDefault="00032EB2">
            <w:pPr>
              <w:pStyle w:val="NormalWeb"/>
              <w:spacing w:after="150" w:afterAutospacing="0" w:line="255" w:lineRule="atLeast"/>
              <w:jc w:val="center"/>
            </w:pPr>
            <w:r>
              <w:rPr>
                <w:rFonts w:ascii="Verdana" w:hAnsi="Verdana"/>
                <w:b/>
                <w:bCs/>
                <w:sz w:val="27"/>
                <w:szCs w:val="27"/>
                <w:lang w:val="es-ES_tradnl"/>
              </w:rPr>
              <w:t>Último dígito de identificación</w:t>
            </w:r>
          </w:p>
          <w:p w:rsidR="00032EB2" w:rsidRDefault="00032EB2">
            <w:pPr>
              <w:pStyle w:val="NormalWeb"/>
              <w:spacing w:after="150" w:afterAutospacing="0" w:line="255" w:lineRule="atLeast"/>
              <w:jc w:val="center"/>
            </w:pPr>
            <w:r>
              <w:rPr>
                <w:rFonts w:ascii="Verdana" w:hAnsi="Verdana"/>
                <w:b/>
                <w:bCs/>
                <w:sz w:val="27"/>
                <w:szCs w:val="27"/>
                <w:lang w:val="es-ES_tradnl"/>
              </w:rPr>
              <w:t>(NIT o C.C.)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EB2" w:rsidRDefault="00032EB2">
            <w:pPr>
              <w:pStyle w:val="NormalWeb"/>
              <w:spacing w:after="150" w:afterAutospacing="0"/>
              <w:jc w:val="center"/>
            </w:pPr>
            <w:r>
              <w:rPr>
                <w:rFonts w:ascii="Verdana" w:hAnsi="Verdana"/>
                <w:b/>
                <w:bCs/>
                <w:sz w:val="27"/>
                <w:szCs w:val="27"/>
                <w:lang w:val="es-ES_tradnl"/>
              </w:rPr>
              <w:t>Fecha límite</w:t>
            </w:r>
          </w:p>
        </w:tc>
      </w:tr>
      <w:tr w:rsidR="00032EB2" w:rsidTr="00032EB2">
        <w:trPr>
          <w:trHeight w:val="55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Junio 24 de 2014</w:t>
            </w:r>
          </w:p>
        </w:tc>
      </w:tr>
      <w:tr w:rsidR="00032EB2" w:rsidTr="00032EB2">
        <w:trPr>
          <w:trHeight w:val="55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Junio 25 de 2014</w:t>
            </w:r>
          </w:p>
        </w:tc>
      </w:tr>
      <w:tr w:rsidR="00032EB2" w:rsidTr="00032EB2">
        <w:trPr>
          <w:trHeight w:val="363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Junio 26 de 2014</w:t>
            </w:r>
          </w:p>
        </w:tc>
      </w:tr>
      <w:tr w:rsidR="00032EB2" w:rsidTr="00032EB2">
        <w:trPr>
          <w:trHeight w:val="55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lastRenderedPageBreak/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Junio 27 de 2014</w:t>
            </w:r>
          </w:p>
        </w:tc>
      </w:tr>
      <w:tr w:rsidR="00032EB2" w:rsidTr="00032EB2">
        <w:trPr>
          <w:trHeight w:val="363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Julio 01 de 2014</w:t>
            </w:r>
          </w:p>
        </w:tc>
      </w:tr>
      <w:tr w:rsidR="00032EB2" w:rsidTr="00032EB2">
        <w:trPr>
          <w:trHeight w:val="55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Julio 02 de 2014</w:t>
            </w:r>
          </w:p>
        </w:tc>
      </w:tr>
      <w:tr w:rsidR="00032EB2" w:rsidTr="00032EB2">
        <w:trPr>
          <w:trHeight w:val="55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Julio 03 de 2014</w:t>
            </w:r>
          </w:p>
        </w:tc>
      </w:tr>
      <w:tr w:rsidR="00032EB2" w:rsidTr="00032EB2">
        <w:trPr>
          <w:trHeight w:val="55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Julio 04 de 2014</w:t>
            </w:r>
          </w:p>
        </w:tc>
      </w:tr>
      <w:tr w:rsidR="00032EB2" w:rsidTr="00032EB2">
        <w:trPr>
          <w:trHeight w:val="363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Julio 07 de 2014</w:t>
            </w:r>
          </w:p>
        </w:tc>
      </w:tr>
      <w:tr w:rsidR="00032EB2" w:rsidTr="00032EB2">
        <w:trPr>
          <w:trHeight w:val="55"/>
          <w:jc w:val="center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EB2" w:rsidRDefault="00032EB2">
            <w:pPr>
              <w:pStyle w:val="NormalWeb"/>
              <w:spacing w:after="150" w:afterAutospacing="0" w:line="55" w:lineRule="atLeast"/>
              <w:jc w:val="center"/>
            </w:pPr>
            <w:r>
              <w:rPr>
                <w:rFonts w:ascii="Verdana" w:hAnsi="Verdana"/>
                <w:sz w:val="27"/>
                <w:szCs w:val="27"/>
                <w:lang w:val="es-ES_tradnl"/>
              </w:rPr>
              <w:t>Julio 08 de 2014</w:t>
            </w:r>
          </w:p>
        </w:tc>
      </w:tr>
    </w:tbl>
    <w:p w:rsidR="00032EB2" w:rsidRDefault="00032EB2" w:rsidP="00032EB2">
      <w:pPr>
        <w:pStyle w:val="NormalWeb"/>
      </w:pPr>
      <w:r>
        <w:rPr>
          <w:rFonts w:ascii="Verdana" w:hAnsi="Verdana"/>
          <w:color w:val="000000"/>
          <w:sz w:val="27"/>
          <w:szCs w:val="27"/>
        </w:rPr>
        <w:t>Para cumplir con esta obligación la Secretaría de Hacienda ha dispuesto a través de la página web</w:t>
      </w:r>
      <w:hyperlink r:id="rId5" w:tgtFrame="_blank" w:history="1">
        <w:r>
          <w:rPr>
            <w:rStyle w:val="Hipervnculo"/>
            <w:rFonts w:ascii="Verdana" w:hAnsi="Verdana"/>
            <w:sz w:val="27"/>
            <w:szCs w:val="27"/>
          </w:rPr>
          <w:t>www.haciendabogota.gov.co</w:t>
        </w:r>
      </w:hyperlink>
      <w:r>
        <w:rPr>
          <w:rFonts w:ascii="Verdana" w:hAnsi="Verdana"/>
          <w:color w:val="000000"/>
          <w:sz w:val="27"/>
          <w:szCs w:val="27"/>
        </w:rPr>
        <w:t>, un validador que permite cargar directamente los archivos requeridos por la Resolución, obtener un comprobante de esta operación y encontrar toda la información necesaria para realizar oportunamente el reporte.</w:t>
      </w:r>
    </w:p>
    <w:p w:rsidR="00032EB2" w:rsidRDefault="00032EB2" w:rsidP="00032EB2">
      <w:pPr>
        <w:pStyle w:val="NormalWeb"/>
      </w:pPr>
      <w:r>
        <w:rPr>
          <w:rFonts w:ascii="Verdana" w:hAnsi="Verdana"/>
          <w:color w:val="000000"/>
          <w:sz w:val="27"/>
          <w:szCs w:val="27"/>
        </w:rPr>
        <w:t>La Resolución DDI-025514 de 2014, su anexo técnico, el procedimiento de reporte, las preguntas frecuentes y demás información asociada, que permitirá realizar esta operación de manera exitosa, ya está publicada en </w:t>
      </w:r>
      <w:hyperlink r:id="rId6" w:tgtFrame="_blank" w:history="1">
        <w:r>
          <w:rPr>
            <w:rStyle w:val="Hipervnculo"/>
            <w:rFonts w:ascii="Verdana" w:hAnsi="Verdana"/>
            <w:sz w:val="27"/>
            <w:szCs w:val="27"/>
          </w:rPr>
          <w:t>www.haciendabogota.gov.co</w:t>
        </w:r>
      </w:hyperlink>
      <w:r>
        <w:rPr>
          <w:rFonts w:ascii="Verdana" w:hAnsi="Verdana"/>
          <w:color w:val="000000"/>
          <w:sz w:val="27"/>
          <w:szCs w:val="27"/>
        </w:rPr>
        <w:t>, opción impuestos en línea, medios magnéticos.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Style w:val="Textoennegrita"/>
          <w:rFonts w:ascii="Verdana" w:hAnsi="Verdana"/>
          <w:color w:val="000000"/>
          <w:sz w:val="27"/>
          <w:szCs w:val="27"/>
        </w:rPr>
        <w:t>Capacitación a contribuyentes</w:t>
      </w:r>
      <w:r>
        <w:rPr>
          <w:rFonts w:ascii="Verdana" w:hAnsi="Verdana"/>
          <w:color w:val="000000"/>
          <w:sz w:val="27"/>
          <w:szCs w:val="27"/>
        </w:rPr>
        <w:br/>
        <w:t>Con el fin de dar mayor orientación a los obligados y resolver las diferentes inquietudes sobre el reporte de información en medios magnéticos, la Secretaría Distrital  de Hacienda, a través de su Dirección de Impuestos, iniciará un proceso de capacitación. Los interesados deben inscribirse a través del correo electrónico </w:t>
      </w:r>
      <w:hyperlink r:id="rId7" w:tgtFrame="_blank" w:history="1">
        <w:r>
          <w:rPr>
            <w:rStyle w:val="Hipervnculo"/>
            <w:rFonts w:ascii="Verdana" w:hAnsi="Verdana"/>
            <w:sz w:val="27"/>
            <w:szCs w:val="27"/>
          </w:rPr>
          <w:t>mcastro@shd.gov.co</w:t>
        </w:r>
      </w:hyperlink>
      <w:r>
        <w:rPr>
          <w:rFonts w:ascii="Verdana" w:hAnsi="Verdana"/>
          <w:color w:val="000000"/>
          <w:sz w:val="27"/>
          <w:szCs w:val="27"/>
        </w:rPr>
        <w:t> indicando los siguientes datos: nombre empresa, NIT de la empresa, nombre de la persona de contacto, dirección y teléfono.</w:t>
      </w:r>
    </w:p>
    <w:p w:rsidR="00032EB2" w:rsidRDefault="00032EB2" w:rsidP="00032EB2"/>
    <w:p w:rsidR="00032EB2" w:rsidRDefault="00032EB2" w:rsidP="00032EB2"/>
    <w:p w:rsidR="00032EB2" w:rsidRDefault="00032EB2" w:rsidP="00032EB2">
      <w:pPr>
        <w:spacing w:after="240"/>
      </w:pPr>
      <w:r>
        <w:rPr>
          <w:b/>
          <w:bCs/>
        </w:rPr>
        <w:t>--</w:t>
      </w:r>
    </w:p>
    <w:p w:rsidR="00032EB2" w:rsidRDefault="00032EB2" w:rsidP="00032EB2">
      <w:r>
        <w:rPr>
          <w:b/>
          <w:bCs/>
        </w:rPr>
        <w:lastRenderedPageBreak/>
        <w:t>OFICINA ASESORA DE PRENSA</w:t>
      </w:r>
    </w:p>
    <w:p w:rsidR="00032EB2" w:rsidRDefault="00032EB2" w:rsidP="00032EB2">
      <w:r>
        <w:t>Alcaldía Mayor de Bogotá</w:t>
      </w:r>
      <w:r>
        <w:br/>
        <w:t>Rodrigo Silva Vargas</w:t>
      </w:r>
      <w:r>
        <w:br/>
        <w:t>Jefe de Prensa</w:t>
      </w:r>
      <w:r>
        <w:br/>
      </w:r>
      <w:r>
        <w:br/>
      </w:r>
      <w:proofErr w:type="spellStart"/>
      <w:r>
        <w:t>Pbx</w:t>
      </w:r>
      <w:proofErr w:type="spellEnd"/>
      <w:r>
        <w:t>: (57) 3813000 Ext.1247 </w:t>
      </w:r>
      <w:r>
        <w:br/>
        <w:t>Bogotá D.C., Colombia</w:t>
      </w:r>
      <w:r>
        <w:br/>
        <w:t>Bogotá Humana</w:t>
      </w:r>
    </w:p>
    <w:p w:rsidR="00032EB2" w:rsidRDefault="00032EB2" w:rsidP="00032EB2">
      <w:r>
        <w:t> </w:t>
      </w:r>
    </w:p>
    <w:p w:rsidR="004B73E4" w:rsidRDefault="00E45243"/>
    <w:p w:rsidR="00E45243" w:rsidRPr="00125E0C" w:rsidRDefault="00E45243" w:rsidP="00E45243">
      <w:pPr>
        <w:rPr>
          <w:rFonts w:eastAsia="Times New Roman"/>
        </w:rPr>
      </w:pPr>
      <w:r w:rsidRPr="00125E0C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val="es-ES"/>
        </w:rPr>
        <w:t>Este documento fue tomado directamente de la página oficial de la entidad que lo emitió.</w:t>
      </w:r>
    </w:p>
    <w:p w:rsidR="00E45243" w:rsidRDefault="00E45243">
      <w:bookmarkStart w:id="0" w:name="_GoBack"/>
      <w:bookmarkEnd w:id="0"/>
    </w:p>
    <w:sectPr w:rsidR="00E4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2"/>
    <w:rsid w:val="00032EB2"/>
    <w:rsid w:val="00791505"/>
    <w:rsid w:val="00917C47"/>
    <w:rsid w:val="00E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B2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2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2EB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32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B2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2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2EB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32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astro@shd.gov.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ciendabogota.gov.co/" TargetMode="External"/><Relationship Id="rId5" Type="http://schemas.openxmlformats.org/officeDocument/2006/relationships/hyperlink" Target="http://www.haciendabogota.gov.c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Ciceri Vega</dc:creator>
  <cp:lastModifiedBy>Gina Ciceri Vega</cp:lastModifiedBy>
  <cp:revision>2</cp:revision>
  <dcterms:created xsi:type="dcterms:W3CDTF">2014-05-26T13:43:00Z</dcterms:created>
  <dcterms:modified xsi:type="dcterms:W3CDTF">2014-05-26T13:43:00Z</dcterms:modified>
</cp:coreProperties>
</file>