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78" w:rsidRDefault="00E62978" w:rsidP="00E62978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864-12</w:t>
      </w:r>
    </w:p>
    <w:p w:rsidR="00E62978" w:rsidRDefault="00E62978" w:rsidP="00E62978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E62978" w:rsidRDefault="00E62978" w:rsidP="00E62978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Procuraduría General de la Nación realizará acompañamiento preventivo a proceso adelantado por el Gobierno Nacional sobre situación contractual con Cerro Matoso</w:t>
      </w:r>
    </w:p>
    <w:p w:rsidR="00E62978" w:rsidRDefault="00E62978" w:rsidP="00E62978">
      <w:r>
        <w:rPr>
          <w:rFonts w:ascii="Arial" w:hAnsi="Arial" w:cs="Arial"/>
          <w:sz w:val="20"/>
          <w:szCs w:val="20"/>
        </w:rPr>
        <w:t> </w:t>
      </w:r>
    </w:p>
    <w:p w:rsidR="00E62978" w:rsidRDefault="00E62978" w:rsidP="00E62978">
      <w:r>
        <w:rPr>
          <w:rFonts w:ascii="Arial" w:hAnsi="Arial" w:cs="Arial"/>
          <w:sz w:val="22"/>
          <w:szCs w:val="22"/>
        </w:rPr>
        <w:t> </w:t>
      </w:r>
    </w:p>
    <w:p w:rsidR="00E62978" w:rsidRDefault="00E62978" w:rsidP="00E62978">
      <w:pPr>
        <w:jc w:val="both"/>
      </w:pPr>
      <w:r>
        <w:rPr>
          <w:rFonts w:ascii="Arial" w:hAnsi="Arial" w:cs="Arial"/>
          <w:b/>
          <w:bCs/>
        </w:rPr>
        <w:t>Bogotá, 22 de agosto de 2012</w:t>
      </w:r>
      <w:r>
        <w:rPr>
          <w:rFonts w:ascii="Arial" w:hAnsi="Arial" w:cs="Arial"/>
        </w:rPr>
        <w:t>. Durante la reunión de hoy entre el procurador general de la Nación, Alejandro Ordóñez Maldonado, y el ministro de Minas y Energía, Mauricio Cárdenas Santamaría, se analizó la estrategia adoptada por el Ministerio y por la Agencia Nacional de Minería para abordar la decisión de prorrogar o no los contratos de explotación minera con Cerro Matoso y sobre su posible inclusión al Contrato 051 de 1996.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 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 xml:space="preserve">Por parte del Ministerio de Minas y Energía se expusieron varios escenarios, para los cuales se ha solicitado el acompañamiento preventivo de la Procuraduría General de la Nación: 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 </w:t>
      </w:r>
    </w:p>
    <w:p w:rsidR="00E62978" w:rsidRDefault="00E62978" w:rsidP="00E62978">
      <w:pPr>
        <w:ind w:left="360" w:hanging="360"/>
        <w:jc w:val="both"/>
      </w:pPr>
      <w:r>
        <w:rPr>
          <w:rFonts w:ascii="Symbol" w:hAnsi="Symbol"/>
          <w:sz w:val="16"/>
          <w:szCs w:val="16"/>
        </w:rPr>
        <w:t>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</w:rPr>
        <w:t>La interpretación jurídica sobre el Contrato 051 de 1996, que teóricamente le permitiría a la empresa extender su operación hasta el 2029.</w:t>
      </w:r>
    </w:p>
    <w:p w:rsidR="00E62978" w:rsidRDefault="00E62978" w:rsidP="00E62978">
      <w:pPr>
        <w:ind w:left="360" w:hanging="360"/>
        <w:jc w:val="both"/>
      </w:pPr>
      <w:r>
        <w:rPr>
          <w:rFonts w:ascii="Symbol" w:hAnsi="Symbol"/>
          <w:sz w:val="16"/>
          <w:szCs w:val="16"/>
        </w:rPr>
        <w:t>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</w:rPr>
        <w:t>La conveniencia de prorrogar los contratos según lo dispuesto en la Ley 865 de 2001.</w:t>
      </w:r>
    </w:p>
    <w:p w:rsidR="00E62978" w:rsidRDefault="00E62978" w:rsidP="00E62978">
      <w:pPr>
        <w:ind w:left="360" w:hanging="360"/>
        <w:jc w:val="both"/>
      </w:pPr>
      <w:r>
        <w:rPr>
          <w:rFonts w:ascii="Symbol" w:hAnsi="Symbol"/>
          <w:sz w:val="16"/>
          <w:szCs w:val="16"/>
        </w:rPr>
        <w:t>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</w:rPr>
        <w:t>Los términos de negociación entre la Nación y Cerro Matoso para que mejoren las condiciones para la Nación.</w:t>
      </w:r>
    </w:p>
    <w:p w:rsidR="00E62978" w:rsidRDefault="00E62978" w:rsidP="00E62978">
      <w:pPr>
        <w:ind w:left="360" w:hanging="360"/>
        <w:jc w:val="both"/>
      </w:pPr>
      <w:r>
        <w:rPr>
          <w:rFonts w:ascii="Symbol" w:hAnsi="Symbol"/>
          <w:sz w:val="16"/>
          <w:szCs w:val="16"/>
        </w:rPr>
        <w:t>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</w:rPr>
        <w:t xml:space="preserve">La verificación de que se han cumplido con todos los compromisos y obligaciones contractuales de la empresa. 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 </w:t>
      </w:r>
    </w:p>
    <w:p w:rsidR="00E62978" w:rsidRDefault="00E62978" w:rsidP="00E62978">
      <w:pPr>
        <w:pStyle w:val="NormalWeb"/>
        <w:spacing w:after="0"/>
        <w:jc w:val="both"/>
      </w:pPr>
      <w:r>
        <w:rPr>
          <w:rFonts w:ascii="Arial" w:hAnsi="Arial" w:cs="Arial"/>
          <w:b/>
          <w:bCs/>
          <w:i/>
          <w:iCs/>
        </w:rPr>
        <w:t>Gestión preventiva de la Procuraduría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 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El jefe del Ministerio Público manifestó durante la reunión el interés que le asiste a este Organismo de Control para que se garantice la transparencia en el proceso y se protejan los intereses de la sociedad colombiana. En este sentido dio instrucciones para que la Procuraduría adelante el acompañamiento preventivo solicitado por el Ministerio de Minas y Energía.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 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La procuradora delegada para la Vigilancia Preventiva de la Función Pública, Tatiana Londoño Camargo, señaló que el Ministerio Público formulará las respectivas recomendaciones y sugerencias a la luz del ordenamiento jurídico, precisando que no corresponde a este Organismo de Control conceptuar sobre el caso ni definir cuál es la decisión que se debe adoptar, pues de lo contrario se estaría incurriendo en una coadministración.</w:t>
      </w:r>
    </w:p>
    <w:p w:rsidR="00E62978" w:rsidRDefault="00E62978" w:rsidP="00E62978">
      <w:pPr>
        <w:jc w:val="both"/>
      </w:pPr>
      <w:r>
        <w:rPr>
          <w:rFonts w:ascii="Arial" w:hAnsi="Arial" w:cs="Arial"/>
        </w:rPr>
        <w:t> </w:t>
      </w:r>
    </w:p>
    <w:p w:rsidR="00ED1EF6" w:rsidRPr="00862AF2" w:rsidRDefault="00E62978" w:rsidP="00E62978">
      <w:r>
        <w:rPr>
          <w:rFonts w:ascii="Arial" w:hAnsi="Arial" w:cs="Arial"/>
        </w:rPr>
        <w:t>La funcionaria señaló que el despacho a su cargo analizará la documentación jurídica y técnica que remita el Ejecutivo, y presentará recomendaciones, estrictamente desde la órbita preventiva, para que en el proceso se garantice la moralidad pública y la protección de los intereses de los colombianos</w:t>
      </w:r>
    </w:p>
    <w:sectPr w:rsidR="00ED1EF6" w:rsidRPr="00862AF2" w:rsidSect="00972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73DE8"/>
    <w:multiLevelType w:val="multilevel"/>
    <w:tmpl w:val="4CD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3E79"/>
    <w:rsid w:val="00335A54"/>
    <w:rsid w:val="00862AF2"/>
    <w:rsid w:val="009255EF"/>
    <w:rsid w:val="00972BB2"/>
    <w:rsid w:val="009C3E79"/>
    <w:rsid w:val="00E62978"/>
    <w:rsid w:val="00ED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F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255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1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E79"/>
    <w:pPr>
      <w:spacing w:before="100" w:beforeAutospacing="1" w:after="100" w:afterAutospacing="1"/>
    </w:pPr>
    <w:rPr>
      <w:rFonts w:eastAsia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9255E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1E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ED1EF6"/>
    <w:rPr>
      <w:b/>
      <w:bCs/>
    </w:rPr>
  </w:style>
  <w:style w:type="paragraph" w:styleId="Sinespaciado">
    <w:name w:val="No Spacing"/>
    <w:uiPriority w:val="1"/>
    <w:qFormat/>
    <w:rsid w:val="00335A5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629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1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Poveda</dc:creator>
  <cp:keywords/>
  <dc:description/>
  <cp:lastModifiedBy>Eliana Poveda</cp:lastModifiedBy>
  <cp:revision>1</cp:revision>
  <dcterms:created xsi:type="dcterms:W3CDTF">2012-08-23T13:53:00Z</dcterms:created>
  <dcterms:modified xsi:type="dcterms:W3CDTF">2012-08-23T19:20:00Z</dcterms:modified>
</cp:coreProperties>
</file>