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B4C" w:rsidRDefault="00BF7012" w:rsidP="00BF7012">
      <w:pPr>
        <w:pStyle w:val="Normal9pt"/>
        <w:numPr>
          <w:ilvl w:val="0"/>
          <w:numId w:val="0"/>
        </w:numPr>
        <w:rPr>
          <w:i/>
        </w:rPr>
      </w:pPr>
      <w:r w:rsidRPr="00406AF5">
        <w:rPr>
          <w:b/>
        </w:rPr>
        <w:t>2.2.3.1.</w:t>
      </w:r>
      <w:r>
        <w:t xml:space="preserve"> </w:t>
      </w:r>
      <w:r w:rsidR="00394B4C">
        <w:t xml:space="preserve">Los activos líquidos de alta calidad definidos en el </w:t>
      </w:r>
      <w:proofErr w:type="spellStart"/>
      <w:r w:rsidR="003F25BE">
        <w:t>sub</w:t>
      </w:r>
      <w:r w:rsidR="00394B4C">
        <w:t>numeral</w:t>
      </w:r>
      <w:proofErr w:type="spellEnd"/>
      <w:r w:rsidR="00394B4C">
        <w:t xml:space="preserve"> 2.</w:t>
      </w:r>
      <w:r w:rsidR="006B57C1">
        <w:t>2</w:t>
      </w:r>
      <w:r w:rsidR="00394B4C">
        <w:t>.2.</w:t>
      </w:r>
    </w:p>
    <w:p w:rsidR="00394B4C" w:rsidRDefault="00394B4C" w:rsidP="00394B4C">
      <w:pPr>
        <w:pStyle w:val="Normal9pt"/>
        <w:numPr>
          <w:ilvl w:val="0"/>
          <w:numId w:val="0"/>
        </w:numPr>
        <w:ind w:left="720"/>
        <w:rPr>
          <w:i/>
        </w:rPr>
      </w:pPr>
    </w:p>
    <w:p w:rsidR="00394B4C" w:rsidRDefault="00406AF5" w:rsidP="00406AF5">
      <w:pPr>
        <w:pStyle w:val="Normal9pt"/>
        <w:numPr>
          <w:ilvl w:val="0"/>
          <w:numId w:val="0"/>
        </w:numPr>
        <w:ind w:left="709" w:hanging="709"/>
        <w:rPr>
          <w:i/>
        </w:rPr>
      </w:pPr>
      <w:r>
        <w:rPr>
          <w:b/>
        </w:rPr>
        <w:t xml:space="preserve">2.2.3.2. </w:t>
      </w:r>
      <w:r w:rsidR="00394B4C">
        <w:t>Los vencimientos de títulos de renta fija, pagos de cupones y pag</w:t>
      </w:r>
      <w:r>
        <w:t xml:space="preserve">os programados de dividendos en </w:t>
      </w:r>
      <w:r w:rsidR="00394B4C">
        <w:t>efectivo</w:t>
      </w:r>
      <w:r w:rsidR="00AA3A3B">
        <w:t xml:space="preserve"> </w:t>
      </w:r>
      <w:r w:rsidR="00394B4C">
        <w:t>que serán liquidados</w:t>
      </w:r>
      <w:r w:rsidR="00AA3A3B">
        <w:t xml:space="preserve"> </w:t>
      </w:r>
      <w:r w:rsidR="00394B4C">
        <w:t>entre el segundo día hábil a partir de la fecha de corte y el 30 día calendario a partir de la fecha de corte, que no hayan sido incluidos en los ALAC.</w:t>
      </w:r>
    </w:p>
    <w:p w:rsidR="00394B4C" w:rsidRDefault="00394B4C" w:rsidP="00394B4C">
      <w:pPr>
        <w:pStyle w:val="Prrafodelista"/>
        <w:rPr>
          <w:i/>
          <w:lang w:val="es-MX"/>
        </w:rPr>
      </w:pPr>
    </w:p>
    <w:p w:rsidR="00394B4C" w:rsidRDefault="00394B4C" w:rsidP="00394B4C">
      <w:pPr>
        <w:pStyle w:val="Prrafodelista"/>
        <w:ind w:left="0"/>
        <w:rPr>
          <w:i/>
          <w:sz w:val="18"/>
          <w:lang w:val="es-MX"/>
        </w:rPr>
      </w:pPr>
      <w:r w:rsidRPr="00793468">
        <w:rPr>
          <w:sz w:val="18"/>
          <w:lang w:val="es-MX"/>
        </w:rPr>
        <w:t xml:space="preserve">En todo caso los flujos o valores que hacen parte de los </w:t>
      </w:r>
      <w:r>
        <w:rPr>
          <w:sz w:val="18"/>
          <w:lang w:val="es-MX"/>
        </w:rPr>
        <w:t xml:space="preserve">ALAC </w:t>
      </w:r>
      <w:r w:rsidRPr="00793468">
        <w:rPr>
          <w:sz w:val="18"/>
          <w:lang w:val="es-MX"/>
        </w:rPr>
        <w:t xml:space="preserve">no podrán incluirse en el cálculo de los demás elementos que componen el conjunto de </w:t>
      </w:r>
      <w:r>
        <w:rPr>
          <w:sz w:val="18"/>
          <w:lang w:val="es-MX"/>
        </w:rPr>
        <w:t>liquidez a 30 días</w:t>
      </w:r>
      <w:r w:rsidRPr="00793468">
        <w:rPr>
          <w:sz w:val="18"/>
          <w:lang w:val="es-MX"/>
        </w:rPr>
        <w:t>.</w:t>
      </w:r>
    </w:p>
    <w:p w:rsidR="00394B4C" w:rsidRPr="00793468" w:rsidRDefault="00394B4C" w:rsidP="00394B4C">
      <w:pPr>
        <w:pStyle w:val="Prrafodelista"/>
        <w:ind w:left="0"/>
        <w:rPr>
          <w:i/>
          <w:sz w:val="18"/>
          <w:lang w:val="es-MX"/>
        </w:rPr>
      </w:pPr>
    </w:p>
    <w:p w:rsidR="00394B4C" w:rsidRDefault="00394B4C" w:rsidP="00C918A5">
      <w:pPr>
        <w:pStyle w:val="Normal9pt"/>
        <w:numPr>
          <w:ilvl w:val="2"/>
          <w:numId w:val="38"/>
        </w:numPr>
        <w:rPr>
          <w:b/>
          <w:i/>
        </w:rPr>
      </w:pPr>
      <w:proofErr w:type="spellStart"/>
      <w:r w:rsidRPr="0084697D">
        <w:rPr>
          <w:b/>
        </w:rPr>
        <w:t>Haircuts</w:t>
      </w:r>
      <w:proofErr w:type="spellEnd"/>
    </w:p>
    <w:p w:rsidR="00394B4C" w:rsidRDefault="00394B4C" w:rsidP="00394B4C">
      <w:pPr>
        <w:pStyle w:val="Normal9pt"/>
        <w:numPr>
          <w:ilvl w:val="0"/>
          <w:numId w:val="0"/>
        </w:numPr>
        <w:rPr>
          <w:b/>
          <w:i/>
        </w:rPr>
      </w:pPr>
    </w:p>
    <w:p w:rsidR="00394B4C" w:rsidRPr="00D74CDA" w:rsidRDefault="00394B4C" w:rsidP="00394B4C">
      <w:pPr>
        <w:pStyle w:val="Prrafodelista"/>
        <w:ind w:left="0"/>
        <w:rPr>
          <w:i/>
          <w:sz w:val="18"/>
          <w:lang w:val="es-MX"/>
        </w:rPr>
      </w:pPr>
      <w:r w:rsidRPr="00D74CDA">
        <w:rPr>
          <w:sz w:val="18"/>
          <w:lang w:val="es-MX"/>
        </w:rPr>
        <w:t xml:space="preserve">Sobre el valor </w:t>
      </w:r>
      <w:r w:rsidR="003C3BCC">
        <w:rPr>
          <w:sz w:val="18"/>
          <w:lang w:val="es-MX"/>
        </w:rPr>
        <w:t xml:space="preserve">razonable </w:t>
      </w:r>
      <w:r w:rsidRPr="00D74CDA">
        <w:rPr>
          <w:sz w:val="18"/>
          <w:lang w:val="es-MX"/>
        </w:rPr>
        <w:t>vig</w:t>
      </w:r>
      <w:r w:rsidR="003C3BCC">
        <w:rPr>
          <w:sz w:val="18"/>
          <w:lang w:val="es-MX"/>
        </w:rPr>
        <w:t xml:space="preserve">ente a la fecha de corte de los activos líquidos que comprenden las </w:t>
      </w:r>
      <w:r w:rsidRPr="00D74CDA">
        <w:rPr>
          <w:sz w:val="18"/>
          <w:lang w:val="es-MX"/>
        </w:rPr>
        <w:t xml:space="preserve">categorías </w:t>
      </w:r>
      <w:r w:rsidR="003C3BCC">
        <w:rPr>
          <w:sz w:val="18"/>
          <w:lang w:val="es-MX"/>
        </w:rPr>
        <w:t xml:space="preserve">anteriores </w:t>
      </w:r>
      <w:r w:rsidRPr="00D74CDA">
        <w:rPr>
          <w:sz w:val="18"/>
          <w:lang w:val="es-MX"/>
        </w:rPr>
        <w:t>se debe</w:t>
      </w:r>
      <w:r>
        <w:rPr>
          <w:sz w:val="18"/>
          <w:lang w:val="es-MX"/>
        </w:rPr>
        <w:t>n</w:t>
      </w:r>
      <w:r w:rsidRPr="00D74CDA">
        <w:rPr>
          <w:sz w:val="18"/>
          <w:lang w:val="es-MX"/>
        </w:rPr>
        <w:t xml:space="preserve"> aplicar los siguientes </w:t>
      </w:r>
      <w:proofErr w:type="spellStart"/>
      <w:r w:rsidRPr="003C3BCC">
        <w:rPr>
          <w:sz w:val="18"/>
          <w:lang w:val="es-MX"/>
        </w:rPr>
        <w:t>haircuts</w:t>
      </w:r>
      <w:proofErr w:type="spellEnd"/>
      <w:r w:rsidRPr="00D74CDA">
        <w:rPr>
          <w:sz w:val="18"/>
          <w:lang w:val="es-MX"/>
        </w:rPr>
        <w:t xml:space="preserve"> o descuentos según corresponda:</w:t>
      </w:r>
    </w:p>
    <w:p w:rsidR="00394B4C" w:rsidRDefault="00394B4C" w:rsidP="00394B4C">
      <w:pPr>
        <w:pStyle w:val="Normal9pt"/>
        <w:numPr>
          <w:ilvl w:val="0"/>
          <w:numId w:val="0"/>
        </w:numPr>
        <w:rPr>
          <w:i/>
        </w:rPr>
      </w:pPr>
    </w:p>
    <w:p w:rsidR="00394B4C" w:rsidRDefault="00394B4C" w:rsidP="00C918A5">
      <w:pPr>
        <w:pStyle w:val="Normal9pt"/>
        <w:numPr>
          <w:ilvl w:val="3"/>
          <w:numId w:val="38"/>
        </w:numPr>
        <w:rPr>
          <w:i/>
        </w:rPr>
      </w:pPr>
      <w:r w:rsidRPr="00445CEB">
        <w:t xml:space="preserve">Los </w:t>
      </w:r>
      <w:proofErr w:type="spellStart"/>
      <w:r w:rsidRPr="003B0635">
        <w:t>haircuts</w:t>
      </w:r>
      <w:proofErr w:type="spellEnd"/>
      <w:r w:rsidRPr="00445CEB">
        <w:t xml:space="preserve"> o descuentos que aplica el Banco de la </w:t>
      </w:r>
      <w:r w:rsidR="00075F35" w:rsidRPr="00445CEB">
        <w:t>República</w:t>
      </w:r>
      <w:r w:rsidR="00075F35">
        <w:t xml:space="preserve"> a</w:t>
      </w:r>
      <w:r w:rsidRPr="00161E73">
        <w:t xml:space="preserve"> un día </w:t>
      </w:r>
      <w:r w:rsidRPr="00445CEB">
        <w:t xml:space="preserve">a los distintos valores para la realización de operaciones repo, los cuales son actualizados y publicados en la página web del Banco. </w:t>
      </w:r>
    </w:p>
    <w:p w:rsidR="00394B4C" w:rsidRDefault="00394B4C" w:rsidP="00394B4C">
      <w:pPr>
        <w:pStyle w:val="Normal9pt"/>
        <w:numPr>
          <w:ilvl w:val="0"/>
          <w:numId w:val="0"/>
        </w:numPr>
        <w:ind w:left="720"/>
        <w:rPr>
          <w:i/>
        </w:rPr>
      </w:pPr>
    </w:p>
    <w:p w:rsidR="00394B4C" w:rsidRDefault="00394B4C" w:rsidP="00C918A5">
      <w:pPr>
        <w:pStyle w:val="Normal9pt"/>
        <w:numPr>
          <w:ilvl w:val="3"/>
          <w:numId w:val="38"/>
        </w:numPr>
        <w:rPr>
          <w:i/>
        </w:rPr>
      </w:pPr>
      <w:r w:rsidRPr="002D6A06">
        <w:t xml:space="preserve">El 15% para las acciones inscritas en una bolsa de valores en Colombia y que sean elegibles para ser objeto de operaciones reporto o repo y al mismo tiempo admisibles como garantía de variación en dichas operaciones por la respectiva bolsa. </w:t>
      </w:r>
    </w:p>
    <w:p w:rsidR="00394B4C" w:rsidRDefault="00394B4C" w:rsidP="00394B4C">
      <w:pPr>
        <w:pStyle w:val="Prrafodelista"/>
        <w:rPr>
          <w:i/>
        </w:rPr>
      </w:pPr>
    </w:p>
    <w:p w:rsidR="00394B4C" w:rsidRDefault="00394B4C" w:rsidP="00C918A5">
      <w:pPr>
        <w:pStyle w:val="Normal9pt"/>
        <w:numPr>
          <w:ilvl w:val="3"/>
          <w:numId w:val="38"/>
        </w:numPr>
        <w:rPr>
          <w:i/>
        </w:rPr>
      </w:pPr>
      <w:r w:rsidRPr="00445CEB">
        <w:t xml:space="preserve">El 5.5% sobre el precio justo de intercambio </w:t>
      </w:r>
      <w:r>
        <w:t xml:space="preserve">de </w:t>
      </w:r>
      <w:r w:rsidRPr="00445CEB">
        <w:t>todos los valores denominados en moneda extranjera que no aparezcan en el informe del Banco de la Rep</w:t>
      </w:r>
      <w:r>
        <w:t>ública,</w:t>
      </w:r>
      <w:r w:rsidRPr="00445CEB">
        <w:t xml:space="preserve"> sobre el </w:t>
      </w:r>
      <w:r>
        <w:t xml:space="preserve">efectivo y los flujos contractuales </w:t>
      </w:r>
      <w:r w:rsidRPr="00445CEB">
        <w:t>denominado</w:t>
      </w:r>
      <w:r>
        <w:t>s</w:t>
      </w:r>
      <w:r w:rsidRPr="00445CEB">
        <w:t xml:space="preserve"> en moneda extranjera.</w:t>
      </w:r>
    </w:p>
    <w:p w:rsidR="00394B4C" w:rsidRDefault="00394B4C" w:rsidP="00394B4C">
      <w:pPr>
        <w:pStyle w:val="Prrafodelista"/>
        <w:rPr>
          <w:i/>
        </w:rPr>
      </w:pPr>
    </w:p>
    <w:p w:rsidR="009E3AD8" w:rsidRPr="009E3AD8" w:rsidRDefault="009E3AD8" w:rsidP="00C918A5">
      <w:pPr>
        <w:pStyle w:val="Normal9pt"/>
        <w:numPr>
          <w:ilvl w:val="3"/>
          <w:numId w:val="38"/>
        </w:numPr>
        <w:pBdr>
          <w:left w:val="single" w:sz="4" w:space="4" w:color="auto"/>
        </w:pBdr>
        <w:rPr>
          <w:b/>
          <w:i/>
        </w:rPr>
      </w:pPr>
      <w:r w:rsidRPr="009E3AD8">
        <w:rPr>
          <w:b/>
        </w:rPr>
        <w:t xml:space="preserve">El 15% para </w:t>
      </w:r>
      <w:r>
        <w:rPr>
          <w:b/>
        </w:rPr>
        <w:t>las</w:t>
      </w:r>
      <w:r w:rsidRPr="009E3AD8">
        <w:rPr>
          <w:b/>
        </w:rPr>
        <w:t xml:space="preserve"> participaciones en </w:t>
      </w:r>
      <w:proofErr w:type="spellStart"/>
      <w:r w:rsidRPr="009E3AD8">
        <w:rPr>
          <w:b/>
        </w:rPr>
        <w:t>FICs</w:t>
      </w:r>
      <w:proofErr w:type="spellEnd"/>
      <w:r w:rsidRPr="009E3AD8">
        <w:rPr>
          <w:b/>
        </w:rPr>
        <w:t xml:space="preserve">, participaciones en fondos del exterior, títulos de deuda para los cuales no exista un </w:t>
      </w:r>
      <w:proofErr w:type="spellStart"/>
      <w:r w:rsidRPr="009E3AD8">
        <w:rPr>
          <w:b/>
        </w:rPr>
        <w:t>haircut</w:t>
      </w:r>
      <w:proofErr w:type="spellEnd"/>
      <w:r w:rsidRPr="009E3AD8">
        <w:rPr>
          <w:b/>
        </w:rPr>
        <w:t xml:space="preserve"> establecid</w:t>
      </w:r>
      <w:r>
        <w:rPr>
          <w:b/>
        </w:rPr>
        <w:t>o por el Banco de la República</w:t>
      </w:r>
      <w:r w:rsidRPr="009E3AD8">
        <w:rPr>
          <w:b/>
        </w:rPr>
        <w:t xml:space="preserve">, </w:t>
      </w:r>
      <w:r>
        <w:rPr>
          <w:b/>
        </w:rPr>
        <w:t xml:space="preserve">entre otros, siempre </w:t>
      </w:r>
      <w:r w:rsidRPr="009E3AD8">
        <w:rPr>
          <w:b/>
        </w:rPr>
        <w:t xml:space="preserve">que cuenten con calificación crediticia </w:t>
      </w:r>
      <w:r w:rsidRPr="009E3AD8">
        <w:rPr>
          <w:b/>
          <w:lang w:val="es-CO"/>
        </w:rPr>
        <w:t>AA- (o equivalente) o superior</w:t>
      </w:r>
      <w:r w:rsidRPr="009E3AD8">
        <w:rPr>
          <w:b/>
        </w:rPr>
        <w:t>.</w:t>
      </w:r>
    </w:p>
    <w:p w:rsidR="009E3AD8" w:rsidRDefault="009E3AD8" w:rsidP="009E3AD8">
      <w:pPr>
        <w:pStyle w:val="Prrafodelista"/>
        <w:rPr>
          <w:i/>
        </w:rPr>
      </w:pPr>
    </w:p>
    <w:p w:rsidR="00394B4C" w:rsidRDefault="00394B4C" w:rsidP="00C918A5">
      <w:pPr>
        <w:pStyle w:val="Normal9pt"/>
        <w:numPr>
          <w:ilvl w:val="3"/>
          <w:numId w:val="38"/>
        </w:numPr>
        <w:pBdr>
          <w:left w:val="single" w:sz="4" w:space="4" w:color="auto"/>
        </w:pBdr>
        <w:rPr>
          <w:i/>
        </w:rPr>
      </w:pPr>
      <w:r>
        <w:t xml:space="preserve">El 20% para </w:t>
      </w:r>
      <w:r w:rsidR="009E3AD8">
        <w:t xml:space="preserve">las </w:t>
      </w:r>
      <w:r>
        <w:t xml:space="preserve">participaciones en </w:t>
      </w:r>
      <w:proofErr w:type="spellStart"/>
      <w:r>
        <w:t>FICs</w:t>
      </w:r>
      <w:proofErr w:type="spellEnd"/>
      <w:r>
        <w:t xml:space="preserve">, participaciones en fondos del exterior, títulos de deuda para los cuales no exista un </w:t>
      </w:r>
      <w:proofErr w:type="spellStart"/>
      <w:r w:rsidRPr="00851FDD">
        <w:t>haircut</w:t>
      </w:r>
      <w:proofErr w:type="spellEnd"/>
      <w:r>
        <w:t xml:space="preserve"> establecido por el Banco de la República, entre otros</w:t>
      </w:r>
      <w:r w:rsidR="009E3AD8">
        <w:t xml:space="preserve">, </w:t>
      </w:r>
      <w:r w:rsidR="009E3AD8">
        <w:rPr>
          <w:b/>
        </w:rPr>
        <w:t xml:space="preserve">siempre </w:t>
      </w:r>
      <w:r w:rsidR="009E3AD8" w:rsidRPr="009E3AD8">
        <w:rPr>
          <w:b/>
        </w:rPr>
        <w:t xml:space="preserve">que cuenten con calificación crediticia </w:t>
      </w:r>
      <w:r w:rsidR="009E3AD8">
        <w:rPr>
          <w:b/>
          <w:lang w:val="es-CO"/>
        </w:rPr>
        <w:t>entre A+ y BBB-</w:t>
      </w:r>
      <w:r>
        <w:t>.</w:t>
      </w:r>
    </w:p>
    <w:p w:rsidR="009E3AD8" w:rsidRDefault="009E3AD8" w:rsidP="009E3AD8">
      <w:pPr>
        <w:pStyle w:val="Prrafodelista"/>
        <w:rPr>
          <w:i/>
        </w:rPr>
      </w:pPr>
    </w:p>
    <w:p w:rsidR="009E3AD8" w:rsidRPr="009E3AD8" w:rsidRDefault="009E3AD8" w:rsidP="00C918A5">
      <w:pPr>
        <w:pStyle w:val="Normal9pt"/>
        <w:numPr>
          <w:ilvl w:val="3"/>
          <w:numId w:val="38"/>
        </w:numPr>
        <w:pBdr>
          <w:left w:val="single" w:sz="4" w:space="4" w:color="auto"/>
        </w:pBdr>
        <w:rPr>
          <w:b/>
        </w:rPr>
      </w:pPr>
      <w:r w:rsidRPr="009E3AD8">
        <w:rPr>
          <w:b/>
        </w:rPr>
        <w:t xml:space="preserve">El 50% para los títulos que no cuenten con un </w:t>
      </w:r>
      <w:proofErr w:type="spellStart"/>
      <w:r w:rsidRPr="009E3AD8">
        <w:rPr>
          <w:b/>
        </w:rPr>
        <w:t>haircut</w:t>
      </w:r>
      <w:proofErr w:type="spellEnd"/>
      <w:r w:rsidRPr="009E3AD8">
        <w:rPr>
          <w:b/>
        </w:rPr>
        <w:t xml:space="preserve"> establecido en los </w:t>
      </w:r>
      <w:proofErr w:type="spellStart"/>
      <w:r w:rsidRPr="009E3AD8">
        <w:rPr>
          <w:b/>
        </w:rPr>
        <w:t>subnumerales</w:t>
      </w:r>
      <w:proofErr w:type="spellEnd"/>
      <w:r w:rsidRPr="009E3AD8">
        <w:rPr>
          <w:b/>
        </w:rPr>
        <w:t xml:space="preserve"> anteriores, como participaciones en </w:t>
      </w:r>
      <w:proofErr w:type="spellStart"/>
      <w:r w:rsidRPr="009E3AD8">
        <w:rPr>
          <w:b/>
        </w:rPr>
        <w:t>FICs</w:t>
      </w:r>
      <w:proofErr w:type="spellEnd"/>
      <w:r w:rsidRPr="009E3AD8">
        <w:rPr>
          <w:b/>
        </w:rPr>
        <w:t xml:space="preserve">, participaciones en fondos del exterior, títulos de deuda soberana para los cuales no exista un </w:t>
      </w:r>
      <w:proofErr w:type="spellStart"/>
      <w:r w:rsidRPr="009E3AD8">
        <w:rPr>
          <w:b/>
        </w:rPr>
        <w:t>haircut</w:t>
      </w:r>
      <w:proofErr w:type="spellEnd"/>
      <w:r w:rsidRPr="009E3AD8">
        <w:rPr>
          <w:b/>
        </w:rPr>
        <w:t xml:space="preserve"> establecido por el Banco de la República, entre otros</w:t>
      </w:r>
      <w:r w:rsidRPr="009E3AD8">
        <w:rPr>
          <w:b/>
          <w:sz w:val="20"/>
          <w:szCs w:val="20"/>
          <w:lang w:val="es-CO"/>
        </w:rPr>
        <w:t xml:space="preserve"> </w:t>
      </w:r>
      <w:r w:rsidRPr="009E3AD8">
        <w:rPr>
          <w:b/>
          <w:lang w:val="es-CO"/>
        </w:rPr>
        <w:t>que cuenten con calificación crediticia inferior a las mencionadas anteriormente o que no cuenten con calificación</w:t>
      </w:r>
      <w:r w:rsidRPr="009E3AD8">
        <w:rPr>
          <w:b/>
        </w:rPr>
        <w:t>.</w:t>
      </w:r>
    </w:p>
    <w:p w:rsidR="00394B4C" w:rsidRPr="009E3AD8" w:rsidRDefault="00394B4C" w:rsidP="00394B4C">
      <w:pPr>
        <w:pStyle w:val="Prrafodelista"/>
        <w:rPr>
          <w:lang w:val="es-MX"/>
        </w:rPr>
      </w:pPr>
    </w:p>
    <w:p w:rsidR="00394B4C" w:rsidRDefault="00394B4C" w:rsidP="00394B4C">
      <w:pPr>
        <w:pStyle w:val="Normal9pt"/>
        <w:numPr>
          <w:ilvl w:val="0"/>
          <w:numId w:val="0"/>
        </w:numPr>
        <w:rPr>
          <w:i/>
        </w:rPr>
      </w:pPr>
      <w:r w:rsidRPr="009E3AD8">
        <w:t>En el caso de los Recursos Líquidos, no les serán aplicables ninguno de los</w:t>
      </w:r>
      <w:r w:rsidR="00054424" w:rsidRPr="009E3AD8">
        <w:t xml:space="preserve"> </w:t>
      </w:r>
      <w:proofErr w:type="spellStart"/>
      <w:r w:rsidRPr="009E3AD8">
        <w:t>haircuts</w:t>
      </w:r>
      <w:proofErr w:type="spellEnd"/>
      <w:r w:rsidR="00054424" w:rsidRPr="009E3AD8">
        <w:t xml:space="preserve"> </w:t>
      </w:r>
      <w:r w:rsidRPr="009E3AD8">
        <w:t>siempre que los flujos sean liquidados en pesos, en caso de ser liquidados en otra</w:t>
      </w:r>
      <w:r>
        <w:t xml:space="preserve"> moneda les aplicara el </w:t>
      </w:r>
      <w:proofErr w:type="spellStart"/>
      <w:r w:rsidRPr="004319C4">
        <w:t>haircut</w:t>
      </w:r>
      <w:proofErr w:type="spellEnd"/>
      <w:r>
        <w:t xml:space="preserve"> de moneda extranjera.</w:t>
      </w:r>
    </w:p>
    <w:p w:rsidR="00394B4C" w:rsidRDefault="00394B4C" w:rsidP="003D7AA5">
      <w:pPr>
        <w:pStyle w:val="Normal9pt"/>
        <w:numPr>
          <w:ilvl w:val="0"/>
          <w:numId w:val="0"/>
        </w:numPr>
        <w:rPr>
          <w:i/>
        </w:rPr>
      </w:pPr>
    </w:p>
    <w:p w:rsidR="00394B4C" w:rsidRDefault="00394B4C" w:rsidP="003D7AA5">
      <w:pPr>
        <w:pStyle w:val="Normal9pt"/>
        <w:numPr>
          <w:ilvl w:val="0"/>
          <w:numId w:val="0"/>
        </w:numPr>
        <w:rPr>
          <w:i/>
        </w:rPr>
      </w:pPr>
    </w:p>
    <w:p w:rsidR="00967679" w:rsidRDefault="00160138" w:rsidP="00C918A5">
      <w:pPr>
        <w:pStyle w:val="Normal9pt"/>
        <w:numPr>
          <w:ilvl w:val="1"/>
          <w:numId w:val="38"/>
        </w:numPr>
        <w:rPr>
          <w:b/>
          <w:i/>
        </w:rPr>
      </w:pPr>
      <w:r>
        <w:rPr>
          <w:b/>
        </w:rPr>
        <w:t>Requerimiento de Liquidez</w:t>
      </w:r>
      <w:r w:rsidR="00967679" w:rsidRPr="00445CEB">
        <w:rPr>
          <w:b/>
        </w:rPr>
        <w:t>:</w:t>
      </w:r>
    </w:p>
    <w:p w:rsidR="00793468" w:rsidRDefault="00793468" w:rsidP="00793468">
      <w:pPr>
        <w:pStyle w:val="Normal9pt"/>
        <w:numPr>
          <w:ilvl w:val="0"/>
          <w:numId w:val="0"/>
        </w:numPr>
        <w:ind w:left="450"/>
        <w:rPr>
          <w:b/>
          <w:i/>
        </w:rPr>
      </w:pPr>
    </w:p>
    <w:p w:rsidR="00434FD5" w:rsidRDefault="00434FD5" w:rsidP="00161E73">
      <w:pPr>
        <w:pStyle w:val="Normal9pt"/>
        <w:numPr>
          <w:ilvl w:val="0"/>
          <w:numId w:val="0"/>
        </w:numPr>
        <w:rPr>
          <w:i/>
        </w:rPr>
      </w:pPr>
      <w:r>
        <w:t xml:space="preserve">El requerimiento de liquidez corresponde a la estimación diaria del máximo retiro </w:t>
      </w:r>
      <w:r w:rsidR="00CA1A82">
        <w:t xml:space="preserve">neto </w:t>
      </w:r>
      <w:r>
        <w:t xml:space="preserve">probable para cada FIC con base en su historia de retiros netos </w:t>
      </w:r>
    </w:p>
    <w:p w:rsidR="00434FD5" w:rsidRDefault="00434FD5" w:rsidP="00434FD5">
      <w:pPr>
        <w:pStyle w:val="Normal9pt"/>
        <w:numPr>
          <w:ilvl w:val="0"/>
          <w:numId w:val="0"/>
        </w:numPr>
        <w:ind w:left="720"/>
        <w:rPr>
          <w:i/>
        </w:rPr>
      </w:pPr>
    </w:p>
    <w:p w:rsidR="00714A56" w:rsidRDefault="001D4C93" w:rsidP="00C918A5">
      <w:pPr>
        <w:pStyle w:val="Normal9pt"/>
        <w:numPr>
          <w:ilvl w:val="2"/>
          <w:numId w:val="39"/>
        </w:numPr>
        <w:rPr>
          <w:i/>
        </w:rPr>
      </w:pPr>
      <w:r>
        <w:t>Definición</w:t>
      </w:r>
      <w:r w:rsidR="00283A8C">
        <w:t xml:space="preserve"> de Retiro Neto</w:t>
      </w:r>
      <w:r w:rsidR="006F6D84">
        <w:t xml:space="preserve"> Diario</w:t>
      </w:r>
      <w:r w:rsidR="00160138">
        <w:t xml:space="preserve">: </w:t>
      </w:r>
      <w:r w:rsidR="00161E73">
        <w:t xml:space="preserve">Es el </w:t>
      </w:r>
      <w:r w:rsidR="00F17E83">
        <w:t>t</w:t>
      </w:r>
      <w:r w:rsidR="00161E73">
        <w:t>otal de retiros netos que registra el FIC en un</w:t>
      </w:r>
      <w:r w:rsidR="00A956E3">
        <w:t xml:space="preserve"> día como proporción del valor </w:t>
      </w:r>
      <w:r w:rsidR="00A956E3" w:rsidRPr="00730A68">
        <w:t xml:space="preserve">neto </w:t>
      </w:r>
      <w:r w:rsidR="00161E73" w:rsidRPr="00730A68">
        <w:t>del F</w:t>
      </w:r>
      <w:r w:rsidR="00F17E83" w:rsidRPr="00730A68">
        <w:t>IC</w:t>
      </w:r>
      <w:r w:rsidR="00730A68">
        <w:t xml:space="preserve"> (</w:t>
      </w:r>
      <w:r w:rsidR="00C57DBC" w:rsidRPr="00730A68">
        <w:t>valor del Patrimonio</w:t>
      </w:r>
      <w:r w:rsidR="00730A68">
        <w:t xml:space="preserve"> del FIC</w:t>
      </w:r>
      <w:r w:rsidR="00C57DBC" w:rsidRPr="00730A68">
        <w:t>) al cierre</w:t>
      </w:r>
      <w:r w:rsidR="00C57DBC">
        <w:t xml:space="preserve"> del día anterior</w:t>
      </w:r>
      <w:r w:rsidR="00730A68">
        <w:t>.</w:t>
      </w:r>
      <w:r w:rsidR="006B222B">
        <w:t xml:space="preserve"> </w:t>
      </w:r>
      <w:r w:rsidR="001E746C">
        <w:t>C</w:t>
      </w:r>
      <w:r w:rsidR="001E746C" w:rsidRPr="001E746C">
        <w:t xml:space="preserve">orresponde </w:t>
      </w:r>
      <w:r w:rsidR="00D74CDA">
        <w:t xml:space="preserve">a </w:t>
      </w:r>
      <w:r w:rsidR="001E746C" w:rsidRPr="001E746C">
        <w:t xml:space="preserve">la </w:t>
      </w:r>
      <w:r w:rsidR="00D74CDA">
        <w:t>diferencia entre el valor absoluto del total de retiros y el valor absoluto del total de los aportes</w:t>
      </w:r>
      <w:r w:rsidR="001E746C" w:rsidRPr="001E746C">
        <w:t>, descontando las anulaciones del día, lo anterior dividido sobre el valor neto del FIC al cierre del día anterior</w:t>
      </w:r>
      <w:r w:rsidR="00160138">
        <w:t>.</w:t>
      </w:r>
    </w:p>
    <w:p w:rsidR="001E746C" w:rsidRDefault="001E746C" w:rsidP="001E746C">
      <w:pPr>
        <w:pStyle w:val="Normal9pt"/>
        <w:numPr>
          <w:ilvl w:val="0"/>
          <w:numId w:val="0"/>
        </w:numPr>
        <w:ind w:left="720"/>
        <w:rPr>
          <w:i/>
        </w:rPr>
      </w:pPr>
    </w:p>
    <w:p w:rsidR="00854F9A" w:rsidRDefault="00160138" w:rsidP="00C918A5">
      <w:pPr>
        <w:pStyle w:val="Normal9pt"/>
        <w:numPr>
          <w:ilvl w:val="2"/>
          <w:numId w:val="39"/>
        </w:numPr>
      </w:pPr>
      <w:r w:rsidRPr="00641FDE">
        <w:t xml:space="preserve">Definición del Máximo Retiro Neto Probable: Es el máximo retiro neto </w:t>
      </w:r>
      <w:r w:rsidR="006207FB" w:rsidRPr="00641FDE">
        <w:t>d</w:t>
      </w:r>
      <w:r w:rsidRPr="00641FDE">
        <w:t xml:space="preserve">iario esperado en un día. </w:t>
      </w:r>
      <w:r w:rsidR="000A362E" w:rsidRPr="00641FDE">
        <w:t>Con el propósito de establecer el Máximo Retiro Neto Probable, s</w:t>
      </w:r>
      <w:r w:rsidRPr="00641FDE">
        <w:t xml:space="preserve">obre la serie histórica de retiros netos diarios se establecerá </w:t>
      </w:r>
      <w:r w:rsidR="00BC1FF4" w:rsidRPr="00641FDE">
        <w:t>el percentil 95</w:t>
      </w:r>
      <w:r w:rsidRPr="00641FDE">
        <w:t>.</w:t>
      </w:r>
      <w:r w:rsidR="00793468">
        <w:t xml:space="preserve"> L</w:t>
      </w:r>
      <w:r w:rsidR="001E746C">
        <w:t xml:space="preserve">a serie histórica </w:t>
      </w:r>
      <w:r w:rsidR="00730A68">
        <w:t xml:space="preserve">corresponde </w:t>
      </w:r>
      <w:r w:rsidR="00793468">
        <w:t xml:space="preserve">al conjunto de retiros netos diarios calculados para los últimos diez </w:t>
      </w:r>
      <w:r w:rsidR="00D74CDA">
        <w:t xml:space="preserve">(10) </w:t>
      </w:r>
      <w:r w:rsidR="00793468">
        <w:t xml:space="preserve">años, en el caso de los </w:t>
      </w:r>
      <w:proofErr w:type="spellStart"/>
      <w:r w:rsidR="00793468">
        <w:t>FICs</w:t>
      </w:r>
      <w:proofErr w:type="spellEnd"/>
      <w:r w:rsidR="00793468">
        <w:t xml:space="preserve"> que cuenten con una antigüedad </w:t>
      </w:r>
    </w:p>
    <w:p w:rsidR="00854F9A" w:rsidRPr="00854F9A" w:rsidRDefault="00854F9A" w:rsidP="00854F9A">
      <w:pPr>
        <w:rPr>
          <w:lang w:val="es-MX"/>
        </w:rPr>
      </w:pPr>
    </w:p>
    <w:p w:rsidR="00854F9A" w:rsidRPr="00854F9A" w:rsidRDefault="00854F9A" w:rsidP="00854F9A">
      <w:pPr>
        <w:rPr>
          <w:lang w:val="es-MX"/>
        </w:rPr>
      </w:pPr>
    </w:p>
    <w:p w:rsidR="00A76632" w:rsidRPr="00854F9A" w:rsidRDefault="00A76632" w:rsidP="00854F9A">
      <w:pPr>
        <w:rPr>
          <w:lang w:val="es-MX"/>
        </w:rPr>
        <w:sectPr w:rsidR="00A76632" w:rsidRPr="00854F9A" w:rsidSect="00106187">
          <w:headerReference w:type="default" r:id="rId10"/>
          <w:footerReference w:type="default" r:id="rId11"/>
          <w:pgSz w:w="12242" w:h="18722" w:code="14"/>
          <w:pgMar w:top="1701" w:right="1418" w:bottom="1418" w:left="1701" w:header="567" w:footer="1418" w:gutter="0"/>
          <w:paperSrc w:first="2" w:other="2"/>
          <w:pgNumType w:start="1"/>
          <w:cols w:space="720"/>
          <w:docGrid w:linePitch="381"/>
        </w:sectPr>
      </w:pPr>
      <w:bookmarkStart w:id="0" w:name="_GoBack"/>
      <w:bookmarkEnd w:id="0"/>
    </w:p>
    <w:p w:rsidR="00021301" w:rsidRDefault="00021301" w:rsidP="00C918A5">
      <w:pPr>
        <w:pStyle w:val="Normal9pt"/>
        <w:numPr>
          <w:ilvl w:val="2"/>
          <w:numId w:val="39"/>
        </w:numPr>
        <w:rPr>
          <w:i/>
        </w:rPr>
      </w:pPr>
      <w:r>
        <w:lastRenderedPageBreak/>
        <w:t>inferior a once (11) años la serie histórica corresponde al conjunto de retiros netos diarios registrados a partir del primer año de funcionamiento del FIC hasta la fecha de corte.</w:t>
      </w:r>
    </w:p>
    <w:p w:rsidR="00021301" w:rsidRPr="001E746C" w:rsidRDefault="00021301" w:rsidP="00021301">
      <w:pPr>
        <w:pStyle w:val="Prrafodelista"/>
        <w:rPr>
          <w:i/>
          <w:lang w:val="es-MX"/>
        </w:rPr>
      </w:pPr>
    </w:p>
    <w:p w:rsidR="00021301" w:rsidRPr="00AC5FB5" w:rsidRDefault="00021301" w:rsidP="00C918A5">
      <w:pPr>
        <w:pStyle w:val="Normal9pt"/>
        <w:numPr>
          <w:ilvl w:val="2"/>
          <w:numId w:val="39"/>
        </w:numPr>
        <w:rPr>
          <w:i/>
        </w:rPr>
      </w:pPr>
      <w:r w:rsidRPr="00AC5FB5">
        <w:t>Definición de Requerimiento de Liquidez (RL): Es el máximo requerimiento de liquidez que</w:t>
      </w:r>
      <w:r>
        <w:t xml:space="preserve"> </w:t>
      </w:r>
      <w:r w:rsidRPr="00AC5FB5">
        <w:t xml:space="preserve">la entidad tendría que solventar en un día, y equivale al máximo retiro neto probable calculado </w:t>
      </w:r>
      <w:r>
        <w:t>a la fecha de corte</w:t>
      </w:r>
      <w:r w:rsidRPr="00AC5FB5">
        <w:t xml:space="preserve"> multiplicado por el valor neto del FIC</w:t>
      </w:r>
      <w:r>
        <w:t xml:space="preserve"> a la fecha de corte</w:t>
      </w:r>
      <w:r w:rsidRPr="00AC5FB5">
        <w:t>.</w:t>
      </w:r>
    </w:p>
    <w:p w:rsidR="00021301" w:rsidRDefault="00021301" w:rsidP="00021301">
      <w:pPr>
        <w:pStyle w:val="Normal9pt"/>
        <w:numPr>
          <w:ilvl w:val="0"/>
          <w:numId w:val="0"/>
        </w:numPr>
        <w:rPr>
          <w:i/>
        </w:rPr>
      </w:pPr>
    </w:p>
    <w:p w:rsidR="00021301" w:rsidRDefault="00021301" w:rsidP="00021301">
      <w:pPr>
        <w:pStyle w:val="Normal9pt"/>
        <w:numPr>
          <w:ilvl w:val="0"/>
          <w:numId w:val="0"/>
        </w:numPr>
        <w:rPr>
          <w:i/>
        </w:rPr>
      </w:pPr>
    </w:p>
    <w:p w:rsidR="00021301" w:rsidRDefault="00021301" w:rsidP="00C918A5">
      <w:pPr>
        <w:pStyle w:val="Normal9pt"/>
        <w:numPr>
          <w:ilvl w:val="1"/>
          <w:numId w:val="39"/>
        </w:numPr>
        <w:rPr>
          <w:b/>
          <w:i/>
        </w:rPr>
      </w:pPr>
      <w:r>
        <w:rPr>
          <w:b/>
        </w:rPr>
        <w:t>Niveles Mínimos de Liquidez Requeridos para los FICS abiertos sin pacto de permanencia</w:t>
      </w:r>
    </w:p>
    <w:p w:rsidR="00021301" w:rsidRDefault="00021301" w:rsidP="00021301">
      <w:pPr>
        <w:pStyle w:val="Normal9pt"/>
        <w:numPr>
          <w:ilvl w:val="0"/>
          <w:numId w:val="0"/>
        </w:numPr>
        <w:rPr>
          <w:i/>
        </w:rPr>
      </w:pPr>
    </w:p>
    <w:p w:rsidR="00021301" w:rsidRDefault="00021301" w:rsidP="00021301">
      <w:pPr>
        <w:pStyle w:val="Normal9pt"/>
        <w:numPr>
          <w:ilvl w:val="0"/>
          <w:numId w:val="0"/>
        </w:numPr>
      </w:pPr>
      <w:r>
        <w:t xml:space="preserve">Para una apropiada gestión del Riesgo de Liquidez los FICS deben contar con niveles adecuados de activos </w:t>
      </w:r>
      <w:proofErr w:type="gramStart"/>
      <w:r>
        <w:t>líquidos</w:t>
      </w:r>
      <w:proofErr w:type="gramEnd"/>
      <w:r>
        <w:t xml:space="preserve"> para atender sus requerimientos de liquidez. Para tal fin las entidades deberán respecto de los </w:t>
      </w:r>
      <w:proofErr w:type="spellStart"/>
      <w:r>
        <w:t>FICs</w:t>
      </w:r>
      <w:proofErr w:type="spellEnd"/>
    </w:p>
    <w:sectPr w:rsidR="00021301" w:rsidSect="00106187">
      <w:headerReference w:type="default" r:id="rId12"/>
      <w:pgSz w:w="12242" w:h="18722" w:code="14"/>
      <w:pgMar w:top="1701" w:right="1418" w:bottom="1418" w:left="1701" w:header="567" w:footer="1418" w:gutter="0"/>
      <w:paperSrc w:first="2" w:other="2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D0D" w:rsidRDefault="00ED6D0D">
      <w:r>
        <w:separator/>
      </w:r>
    </w:p>
  </w:endnote>
  <w:endnote w:type="continuationSeparator" w:id="0">
    <w:p w:rsidR="00ED6D0D" w:rsidRDefault="00ED6D0D">
      <w:r>
        <w:continuationSeparator/>
      </w:r>
    </w:p>
  </w:endnote>
  <w:endnote w:type="continuationNotice" w:id="1">
    <w:p w:rsidR="00ED6D0D" w:rsidRDefault="00ED6D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F9A" w:rsidRPr="00854F9A" w:rsidRDefault="00854F9A" w:rsidP="00854F9A">
    <w:pPr>
      <w:tabs>
        <w:tab w:val="left" w:pos="1653"/>
      </w:tabs>
      <w:rPr>
        <w:lang w:val="es-MX"/>
      </w:rPr>
    </w:pPr>
    <w:r>
      <w:rPr>
        <w:lang w:val="es-MX"/>
      </w:rPr>
      <w:tab/>
    </w:r>
  </w:p>
  <w:p w:rsidR="00854F9A" w:rsidRPr="00B368B6" w:rsidRDefault="00854F9A" w:rsidP="00854F9A">
    <w:pPr>
      <w:jc w:val="both"/>
      <w:outlineLvl w:val="0"/>
      <w:rPr>
        <w:b/>
        <w:bCs/>
        <w:i/>
        <w:sz w:val="18"/>
      </w:rPr>
    </w:pPr>
    <w:r w:rsidRPr="00B368B6">
      <w:rPr>
        <w:rStyle w:val="Nmerodepgina"/>
        <w:rFonts w:cs="Arial"/>
        <w:b/>
        <w:bCs/>
        <w:sz w:val="18"/>
      </w:rPr>
      <w:t xml:space="preserve">Anexo </w:t>
    </w:r>
    <w:r>
      <w:rPr>
        <w:rStyle w:val="Nmerodepgina"/>
        <w:rFonts w:cs="Arial"/>
        <w:b/>
        <w:bCs/>
        <w:sz w:val="18"/>
      </w:rPr>
      <w:t>3</w:t>
    </w:r>
    <w:r w:rsidRPr="00B368B6">
      <w:rPr>
        <w:rStyle w:val="Nmerodepgina"/>
        <w:rFonts w:cs="Arial"/>
        <w:b/>
        <w:bCs/>
      </w:rPr>
      <w:t xml:space="preserve">- </w:t>
    </w:r>
    <w:r w:rsidRPr="00B368B6">
      <w:rPr>
        <w:b/>
        <w:bCs/>
        <w:sz w:val="18"/>
      </w:rPr>
      <w:t xml:space="preserve">Metodología para la medición y reporte estándar del riesgo de liquidez de </w:t>
    </w:r>
    <w:r>
      <w:rPr>
        <w:b/>
        <w:bCs/>
        <w:sz w:val="18"/>
      </w:rPr>
      <w:t>los fondos de inversión colectiva abiertos sin pacto de permanencia</w:t>
    </w:r>
  </w:p>
  <w:p w:rsidR="00854F9A" w:rsidRPr="00B368B6" w:rsidRDefault="00854F9A" w:rsidP="00854F9A">
    <w:pPr>
      <w:pStyle w:val="Piedepgina"/>
      <w:rPr>
        <w:rStyle w:val="Nmerodepgina"/>
        <w:rFonts w:cs="Arial"/>
        <w:b/>
        <w:bCs/>
        <w:i/>
      </w:rPr>
    </w:pPr>
  </w:p>
  <w:p w:rsidR="00854F9A" w:rsidRPr="00161E73" w:rsidRDefault="00854F9A" w:rsidP="00854F9A">
    <w:pPr>
      <w:pStyle w:val="Piedepgina"/>
      <w:tabs>
        <w:tab w:val="clear" w:pos="8504"/>
        <w:tab w:val="right" w:pos="9300"/>
      </w:tabs>
      <w:rPr>
        <w:rStyle w:val="Nmerodepgina"/>
        <w:rFonts w:cs="Arial"/>
        <w:b/>
        <w:bCs/>
        <w:i/>
        <w:sz w:val="18"/>
        <w:lang w:val="pt-BR"/>
      </w:rPr>
    </w:pPr>
    <w:r w:rsidRPr="00B368B6">
      <w:rPr>
        <w:rStyle w:val="Nmerodepgina"/>
        <w:rFonts w:cs="Arial"/>
        <w:b/>
        <w:bCs/>
        <w:sz w:val="18"/>
        <w:lang w:val="pt-BR"/>
      </w:rPr>
      <w:t xml:space="preserve">Circular Externa  </w:t>
    </w:r>
    <w:r>
      <w:rPr>
        <w:rStyle w:val="Nmerodepgina"/>
        <w:rFonts w:cs="Arial"/>
        <w:b/>
        <w:bCs/>
        <w:sz w:val="18"/>
        <w:lang w:val="pt-BR"/>
      </w:rPr>
      <w:t xml:space="preserve">        de 2017</w:t>
    </w:r>
    <w:r>
      <w:rPr>
        <w:rStyle w:val="Nmerodepgina"/>
        <w:rFonts w:cs="Arial"/>
        <w:b/>
        <w:bCs/>
        <w:sz w:val="18"/>
        <w:lang w:val="pt-BR"/>
      </w:rPr>
      <w:tab/>
    </w:r>
    <w:r>
      <w:rPr>
        <w:rStyle w:val="Nmerodepgina"/>
        <w:rFonts w:cs="Arial"/>
        <w:b/>
        <w:bCs/>
        <w:sz w:val="18"/>
        <w:lang w:val="pt-BR"/>
      </w:rPr>
      <w:tab/>
    </w:r>
    <w:proofErr w:type="spellStart"/>
    <w:r>
      <w:rPr>
        <w:rStyle w:val="Nmerodepgina"/>
        <w:rFonts w:cs="Arial"/>
        <w:b/>
        <w:bCs/>
        <w:sz w:val="18"/>
        <w:lang w:val="pt-BR"/>
      </w:rPr>
      <w:t>Diciembre</w:t>
    </w:r>
    <w:proofErr w:type="spellEnd"/>
    <w:r>
      <w:rPr>
        <w:rStyle w:val="Nmerodepgina"/>
        <w:rFonts w:cs="Arial"/>
        <w:b/>
        <w:bCs/>
        <w:sz w:val="18"/>
        <w:lang w:val="pt-BR"/>
      </w:rPr>
      <w:t xml:space="preserve"> de 2017</w:t>
    </w:r>
  </w:p>
  <w:p w:rsidR="00854F9A" w:rsidRPr="00854F9A" w:rsidRDefault="00854F9A">
    <w:pPr>
      <w:pStyle w:val="Piedepgina"/>
      <w:rPr>
        <w:lang w:val="pt-BR"/>
      </w:rPr>
    </w:pPr>
  </w:p>
  <w:p w:rsidR="00854F9A" w:rsidRDefault="00854F9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D0D" w:rsidRDefault="00ED6D0D">
      <w:r>
        <w:separator/>
      </w:r>
    </w:p>
  </w:footnote>
  <w:footnote w:type="continuationSeparator" w:id="0">
    <w:p w:rsidR="00ED6D0D" w:rsidRDefault="00ED6D0D">
      <w:r>
        <w:continuationSeparator/>
      </w:r>
    </w:p>
  </w:footnote>
  <w:footnote w:type="continuationNotice" w:id="1">
    <w:p w:rsidR="00ED6D0D" w:rsidRDefault="00ED6D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301" w:rsidRDefault="00021301" w:rsidP="005E2936">
    <w:pPr>
      <w:pStyle w:val="Encabezado"/>
      <w:jc w:val="center"/>
      <w:rPr>
        <w:rFonts w:ascii="Arial (W1)" w:hAnsi="Arial (W1)"/>
        <w:b/>
        <w:sz w:val="24"/>
        <w:szCs w:val="24"/>
      </w:rPr>
    </w:pPr>
  </w:p>
  <w:p w:rsidR="00021301" w:rsidRPr="0035630F" w:rsidRDefault="00021301" w:rsidP="0035630F">
    <w:pPr>
      <w:pStyle w:val="Encabezado"/>
      <w:jc w:val="center"/>
      <w:rPr>
        <w:i/>
        <w:sz w:val="24"/>
        <w:szCs w:val="24"/>
      </w:rPr>
    </w:pPr>
    <w:r w:rsidRPr="0035630F">
      <w:rPr>
        <w:sz w:val="24"/>
        <w:szCs w:val="24"/>
      </w:rPr>
      <w:t>SUPERINTENDENCIA FINANCIERA DE COLOMBIA</w:t>
    </w:r>
  </w:p>
  <w:p w:rsidR="00021301" w:rsidRPr="0035630F" w:rsidRDefault="00021301" w:rsidP="00445CEB">
    <w:pPr>
      <w:pStyle w:val="Encabezado"/>
      <w:tabs>
        <w:tab w:val="clear" w:pos="8504"/>
      </w:tabs>
      <w:rPr>
        <w:rFonts w:ascii="Arial (W1)" w:hAnsi="Arial (W1)"/>
        <w:b/>
        <w:i/>
        <w:sz w:val="24"/>
        <w:szCs w:val="24"/>
      </w:rPr>
    </w:pPr>
    <w:r>
      <w:rPr>
        <w:rFonts w:ascii="Arial (W1)" w:hAnsi="Arial (W1)"/>
        <w:b/>
        <w:sz w:val="24"/>
        <w:szCs w:val="24"/>
      </w:rPr>
      <w:tab/>
    </w:r>
    <w:r>
      <w:rPr>
        <w:rFonts w:ascii="Arial (W1)" w:hAnsi="Arial (W1)"/>
        <w:b/>
        <w:sz w:val="24"/>
        <w:szCs w:val="24"/>
      </w:rPr>
      <w:tab/>
    </w:r>
  </w:p>
  <w:p w:rsidR="00021301" w:rsidRPr="0035630F" w:rsidRDefault="00021301" w:rsidP="0035630F">
    <w:pPr>
      <w:pStyle w:val="Encabezado"/>
      <w:jc w:val="center"/>
      <w:rPr>
        <w:rFonts w:ascii="Arial (W1)" w:hAnsi="Arial (W1)"/>
        <w:b/>
        <w:i/>
        <w:sz w:val="24"/>
        <w:szCs w:val="24"/>
      </w:rPr>
    </w:pPr>
  </w:p>
  <w:p w:rsidR="00021301" w:rsidRPr="0035630F" w:rsidRDefault="00021301" w:rsidP="0035630F">
    <w:pPr>
      <w:pStyle w:val="Encabezado"/>
      <w:jc w:val="center"/>
      <w:rPr>
        <w:rFonts w:ascii="Arial (W1)" w:hAnsi="Arial (W1)"/>
        <w:b/>
        <w:i/>
        <w:sz w:val="24"/>
        <w:szCs w:val="24"/>
      </w:rPr>
    </w:pPr>
  </w:p>
  <w:p w:rsidR="00021301" w:rsidRPr="0035630F" w:rsidRDefault="00021301" w:rsidP="0035630F">
    <w:pPr>
      <w:pStyle w:val="Encabezado"/>
      <w:ind w:right="-21"/>
      <w:rPr>
        <w:rFonts w:ascii="Arial (W1)" w:hAnsi="Arial (W1)"/>
        <w:b/>
        <w:i/>
      </w:rPr>
    </w:pPr>
    <w:r w:rsidRPr="0035630F">
      <w:rPr>
        <w:rFonts w:ascii="Arial (W1)" w:hAnsi="Arial (W1)"/>
        <w:b/>
        <w:sz w:val="18"/>
      </w:rPr>
      <w:t>CAPITULO  VI REGLAS  RELATIVAS AL SISTEMA DE ADMINISTRACIÓN DEL RIESGO DE LIQUIDEZ</w:t>
    </w:r>
  </w:p>
  <w:p w:rsidR="00021301" w:rsidRDefault="00021301" w:rsidP="00021301">
    <w:pPr>
      <w:pStyle w:val="Encabezado"/>
      <w:tabs>
        <w:tab w:val="clear" w:pos="4252"/>
        <w:tab w:val="clear" w:pos="8504"/>
        <w:tab w:val="left" w:pos="3393"/>
      </w:tabs>
      <w:jc w:val="both"/>
      <w:rPr>
        <w:rFonts w:ascii="Arial (W1)" w:hAnsi="Arial (W1)"/>
        <w:b/>
        <w:sz w:val="18"/>
      </w:rPr>
    </w:pPr>
    <w:r w:rsidRPr="007012A2">
      <w:rPr>
        <w:rFonts w:ascii="Arial (W1)" w:hAnsi="Arial (W1)"/>
        <w:b/>
        <w:sz w:val="18"/>
      </w:rPr>
      <w:t xml:space="preserve">Página </w:t>
    </w:r>
    <w:r>
      <w:rPr>
        <w:rFonts w:ascii="Arial (W1)" w:hAnsi="Arial (W1)"/>
        <w:b/>
        <w:sz w:val="18"/>
      </w:rPr>
      <w:t>3</w:t>
    </w:r>
  </w:p>
  <w:p w:rsidR="00021301" w:rsidRDefault="00021301">
    <w:pPr>
      <w:pStyle w:val="Encabezado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301" w:rsidRDefault="00021301" w:rsidP="005E2936">
    <w:pPr>
      <w:pStyle w:val="Encabezado"/>
      <w:jc w:val="center"/>
      <w:rPr>
        <w:rFonts w:ascii="Arial (W1)" w:hAnsi="Arial (W1)"/>
        <w:b/>
        <w:sz w:val="24"/>
        <w:szCs w:val="24"/>
      </w:rPr>
    </w:pPr>
  </w:p>
  <w:p w:rsidR="00021301" w:rsidRPr="0035630F" w:rsidRDefault="00021301" w:rsidP="0035630F">
    <w:pPr>
      <w:pStyle w:val="Encabezado"/>
      <w:jc w:val="center"/>
      <w:rPr>
        <w:i/>
        <w:sz w:val="24"/>
        <w:szCs w:val="24"/>
      </w:rPr>
    </w:pPr>
    <w:r w:rsidRPr="0035630F">
      <w:rPr>
        <w:sz w:val="24"/>
        <w:szCs w:val="24"/>
      </w:rPr>
      <w:t>SUPERINTENDENCIA FINANCIERA DE COLOMBIA</w:t>
    </w:r>
  </w:p>
  <w:p w:rsidR="00021301" w:rsidRPr="0035630F" w:rsidRDefault="00021301" w:rsidP="00445CEB">
    <w:pPr>
      <w:pStyle w:val="Encabezado"/>
      <w:tabs>
        <w:tab w:val="clear" w:pos="8504"/>
      </w:tabs>
      <w:rPr>
        <w:rFonts w:ascii="Arial (W1)" w:hAnsi="Arial (W1)"/>
        <w:b/>
        <w:i/>
        <w:sz w:val="24"/>
        <w:szCs w:val="24"/>
      </w:rPr>
    </w:pPr>
    <w:r>
      <w:rPr>
        <w:rFonts w:ascii="Arial (W1)" w:hAnsi="Arial (W1)"/>
        <w:b/>
        <w:sz w:val="24"/>
        <w:szCs w:val="24"/>
      </w:rPr>
      <w:tab/>
    </w:r>
    <w:r>
      <w:rPr>
        <w:rFonts w:ascii="Arial (W1)" w:hAnsi="Arial (W1)"/>
        <w:b/>
        <w:sz w:val="24"/>
        <w:szCs w:val="24"/>
      </w:rPr>
      <w:tab/>
    </w:r>
  </w:p>
  <w:p w:rsidR="00021301" w:rsidRPr="0035630F" w:rsidRDefault="00021301" w:rsidP="0035630F">
    <w:pPr>
      <w:pStyle w:val="Encabezado"/>
      <w:jc w:val="center"/>
      <w:rPr>
        <w:rFonts w:ascii="Arial (W1)" w:hAnsi="Arial (W1)"/>
        <w:b/>
        <w:i/>
        <w:sz w:val="24"/>
        <w:szCs w:val="24"/>
      </w:rPr>
    </w:pPr>
  </w:p>
  <w:p w:rsidR="00021301" w:rsidRPr="0035630F" w:rsidRDefault="00021301" w:rsidP="0035630F">
    <w:pPr>
      <w:pStyle w:val="Encabezado"/>
      <w:jc w:val="center"/>
      <w:rPr>
        <w:rFonts w:ascii="Arial (W1)" w:hAnsi="Arial (W1)"/>
        <w:b/>
        <w:i/>
        <w:sz w:val="24"/>
        <w:szCs w:val="24"/>
      </w:rPr>
    </w:pPr>
  </w:p>
  <w:p w:rsidR="00021301" w:rsidRPr="0035630F" w:rsidRDefault="00021301" w:rsidP="0035630F">
    <w:pPr>
      <w:pStyle w:val="Encabezado"/>
      <w:ind w:right="-21"/>
      <w:rPr>
        <w:rFonts w:ascii="Arial (W1)" w:hAnsi="Arial (W1)"/>
        <w:b/>
        <w:i/>
      </w:rPr>
    </w:pPr>
    <w:r w:rsidRPr="0035630F">
      <w:rPr>
        <w:rFonts w:ascii="Arial (W1)" w:hAnsi="Arial (W1)"/>
        <w:b/>
        <w:sz w:val="18"/>
      </w:rPr>
      <w:t>CAPITULO  VI REGLAS  RELATIVAS AL SISTEMA DE ADMINISTRACIÓN DEL RIESGO DE LIQUIDEZ</w:t>
    </w:r>
  </w:p>
  <w:p w:rsidR="00021301" w:rsidRPr="007012A2" w:rsidRDefault="00021301" w:rsidP="00021301">
    <w:pPr>
      <w:pStyle w:val="Encabezado"/>
      <w:tabs>
        <w:tab w:val="clear" w:pos="4252"/>
        <w:tab w:val="clear" w:pos="8504"/>
        <w:tab w:val="left" w:pos="3393"/>
      </w:tabs>
      <w:jc w:val="both"/>
      <w:rPr>
        <w:rStyle w:val="Nmerodepgina"/>
        <w:rFonts w:ascii="Arial (W1)" w:hAnsi="Arial (W1)"/>
        <w:b/>
        <w:bCs/>
        <w:i/>
        <w:sz w:val="18"/>
      </w:rPr>
    </w:pPr>
    <w:r w:rsidRPr="007012A2">
      <w:rPr>
        <w:rFonts w:ascii="Arial (W1)" w:hAnsi="Arial (W1)"/>
        <w:b/>
        <w:sz w:val="18"/>
      </w:rPr>
      <w:t xml:space="preserve">Página </w:t>
    </w:r>
    <w:r>
      <w:rPr>
        <w:rFonts w:ascii="Arial (W1)" w:hAnsi="Arial (W1)"/>
        <w:b/>
        <w:sz w:val="18"/>
      </w:rPr>
      <w:t>3-1</w:t>
    </w:r>
    <w:r>
      <w:rPr>
        <w:rFonts w:ascii="Arial (W1)" w:hAnsi="Arial (W1)"/>
        <w:b/>
        <w:sz w:val="18"/>
      </w:rPr>
      <w:tab/>
    </w:r>
  </w:p>
  <w:p w:rsidR="00021301" w:rsidRDefault="00021301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5E69"/>
    <w:multiLevelType w:val="hybridMultilevel"/>
    <w:tmpl w:val="3CF61EAE"/>
    <w:lvl w:ilvl="0" w:tplc="C1E4EA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53500"/>
    <w:multiLevelType w:val="hybridMultilevel"/>
    <w:tmpl w:val="C1C88A16"/>
    <w:lvl w:ilvl="0" w:tplc="2A76423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0445F"/>
    <w:multiLevelType w:val="hybridMultilevel"/>
    <w:tmpl w:val="5082130C"/>
    <w:lvl w:ilvl="0" w:tplc="C1E4EA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50641"/>
    <w:multiLevelType w:val="hybridMultilevel"/>
    <w:tmpl w:val="58C4E50C"/>
    <w:lvl w:ilvl="0" w:tplc="B434AC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3C30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FCC6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724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2F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EB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BAC2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408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BEA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A311C59"/>
    <w:multiLevelType w:val="multilevel"/>
    <w:tmpl w:val="51D6F0F8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08A33F8"/>
    <w:multiLevelType w:val="multilevel"/>
    <w:tmpl w:val="D642639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34867AC"/>
    <w:multiLevelType w:val="multilevel"/>
    <w:tmpl w:val="621A1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19B01E57"/>
    <w:multiLevelType w:val="multilevel"/>
    <w:tmpl w:val="A93291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1A607E18"/>
    <w:multiLevelType w:val="hybridMultilevel"/>
    <w:tmpl w:val="332A2B2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1F4F31"/>
    <w:multiLevelType w:val="hybridMultilevel"/>
    <w:tmpl w:val="3D4886C6"/>
    <w:lvl w:ilvl="0" w:tplc="DA628EB0">
      <w:start w:val="1"/>
      <w:numFmt w:val="lowerLetter"/>
      <w:pStyle w:val="Normal9pt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82752A"/>
    <w:multiLevelType w:val="multilevel"/>
    <w:tmpl w:val="3E3263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upperLetter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11">
    <w:nsid w:val="21393E26"/>
    <w:multiLevelType w:val="multilevel"/>
    <w:tmpl w:val="06624DE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12">
    <w:nsid w:val="2EC20286"/>
    <w:multiLevelType w:val="hybridMultilevel"/>
    <w:tmpl w:val="069626B2"/>
    <w:lvl w:ilvl="0" w:tplc="F9D4F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F86F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F05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6EEA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524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44A4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7C8A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02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E8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F575AF1"/>
    <w:multiLevelType w:val="multilevel"/>
    <w:tmpl w:val="16BA57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lang w:val="es-C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33DD712E"/>
    <w:multiLevelType w:val="multilevel"/>
    <w:tmpl w:val="F74E362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  <w:lang w:val="es-C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15">
    <w:nsid w:val="39B34AE6"/>
    <w:multiLevelType w:val="hybridMultilevel"/>
    <w:tmpl w:val="17FA4292"/>
    <w:lvl w:ilvl="0" w:tplc="C1E4EA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21622"/>
    <w:multiLevelType w:val="multilevel"/>
    <w:tmpl w:val="4B02E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400070DA"/>
    <w:multiLevelType w:val="hybridMultilevel"/>
    <w:tmpl w:val="4EE04370"/>
    <w:lvl w:ilvl="0" w:tplc="C1E4EA4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6834AC"/>
    <w:multiLevelType w:val="hybridMultilevel"/>
    <w:tmpl w:val="D84A483C"/>
    <w:lvl w:ilvl="0" w:tplc="A2AC1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7AF8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68B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5CF1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641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60F7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546B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8E4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08B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73B684C"/>
    <w:multiLevelType w:val="hybridMultilevel"/>
    <w:tmpl w:val="E2380490"/>
    <w:lvl w:ilvl="0" w:tplc="C1E4EA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7401DB"/>
    <w:multiLevelType w:val="hybridMultilevel"/>
    <w:tmpl w:val="A078986A"/>
    <w:lvl w:ilvl="0" w:tplc="A5AC6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4AD6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407C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BA1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D6A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600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6E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4C4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DC0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85B1F2C"/>
    <w:multiLevelType w:val="hybridMultilevel"/>
    <w:tmpl w:val="52DC4F7C"/>
    <w:lvl w:ilvl="0" w:tplc="ABD6AF2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ED2BBE"/>
    <w:multiLevelType w:val="hybridMultilevel"/>
    <w:tmpl w:val="FB08F40C"/>
    <w:lvl w:ilvl="0" w:tplc="205A86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813760"/>
    <w:multiLevelType w:val="hybridMultilevel"/>
    <w:tmpl w:val="8E9C7BFE"/>
    <w:lvl w:ilvl="0" w:tplc="B4584356">
      <w:start w:val="9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591A7C73"/>
    <w:multiLevelType w:val="hybridMultilevel"/>
    <w:tmpl w:val="568827AC"/>
    <w:lvl w:ilvl="0" w:tplc="8542CFAA">
      <w:start w:val="1"/>
      <w:numFmt w:val="lowerRoman"/>
      <w:lvlText w:val="%1."/>
      <w:lvlJc w:val="left"/>
      <w:pPr>
        <w:ind w:left="178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628A2688"/>
    <w:multiLevelType w:val="hybridMultilevel"/>
    <w:tmpl w:val="4DC85F02"/>
    <w:lvl w:ilvl="0" w:tplc="773005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9A02BC">
      <w:numFmt w:val="none"/>
      <w:lvlText w:val=""/>
      <w:lvlJc w:val="left"/>
      <w:pPr>
        <w:tabs>
          <w:tab w:val="num" w:pos="360"/>
        </w:tabs>
      </w:pPr>
    </w:lvl>
    <w:lvl w:ilvl="2" w:tplc="2C38E55E">
      <w:numFmt w:val="none"/>
      <w:lvlText w:val=""/>
      <w:lvlJc w:val="left"/>
      <w:pPr>
        <w:tabs>
          <w:tab w:val="num" w:pos="360"/>
        </w:tabs>
      </w:pPr>
    </w:lvl>
    <w:lvl w:ilvl="3" w:tplc="FF6C6FE2">
      <w:numFmt w:val="none"/>
      <w:lvlText w:val=""/>
      <w:lvlJc w:val="left"/>
      <w:pPr>
        <w:tabs>
          <w:tab w:val="num" w:pos="360"/>
        </w:tabs>
      </w:pPr>
    </w:lvl>
    <w:lvl w:ilvl="4" w:tplc="A586B800">
      <w:numFmt w:val="none"/>
      <w:lvlText w:val=""/>
      <w:lvlJc w:val="left"/>
      <w:pPr>
        <w:tabs>
          <w:tab w:val="num" w:pos="360"/>
        </w:tabs>
      </w:pPr>
    </w:lvl>
    <w:lvl w:ilvl="5" w:tplc="4BC40FC4">
      <w:numFmt w:val="none"/>
      <w:lvlText w:val=""/>
      <w:lvlJc w:val="left"/>
      <w:pPr>
        <w:tabs>
          <w:tab w:val="num" w:pos="360"/>
        </w:tabs>
      </w:pPr>
    </w:lvl>
    <w:lvl w:ilvl="6" w:tplc="5492E5B0">
      <w:numFmt w:val="none"/>
      <w:lvlText w:val=""/>
      <w:lvlJc w:val="left"/>
      <w:pPr>
        <w:tabs>
          <w:tab w:val="num" w:pos="360"/>
        </w:tabs>
      </w:pPr>
    </w:lvl>
    <w:lvl w:ilvl="7" w:tplc="3B9C4C36">
      <w:numFmt w:val="none"/>
      <w:lvlText w:val=""/>
      <w:lvlJc w:val="left"/>
      <w:pPr>
        <w:tabs>
          <w:tab w:val="num" w:pos="360"/>
        </w:tabs>
      </w:pPr>
    </w:lvl>
    <w:lvl w:ilvl="8" w:tplc="32CAC3CE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53C6F6F"/>
    <w:multiLevelType w:val="hybridMultilevel"/>
    <w:tmpl w:val="7B2E10E6"/>
    <w:lvl w:ilvl="0" w:tplc="AD146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2EAA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566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41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EA6A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0A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960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0B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804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73B0CC4"/>
    <w:multiLevelType w:val="multilevel"/>
    <w:tmpl w:val="74CC27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68C0618E"/>
    <w:multiLevelType w:val="multilevel"/>
    <w:tmpl w:val="6B7AC8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upperLetter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29">
    <w:nsid w:val="718B1EAF"/>
    <w:multiLevelType w:val="multilevel"/>
    <w:tmpl w:val="9D5A2DF2"/>
    <w:lvl w:ilvl="0">
      <w:start w:val="2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9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0">
    <w:nsid w:val="748F67C5"/>
    <w:multiLevelType w:val="hybridMultilevel"/>
    <w:tmpl w:val="FBA81E2A"/>
    <w:lvl w:ilvl="0" w:tplc="3F1092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16"/>
  </w:num>
  <w:num w:numId="4">
    <w:abstractNumId w:val="1"/>
  </w:num>
  <w:num w:numId="5">
    <w:abstractNumId w:val="9"/>
  </w:num>
  <w:num w:numId="6">
    <w:abstractNumId w:val="9"/>
  </w:num>
  <w:num w:numId="7">
    <w:abstractNumId w:val="27"/>
  </w:num>
  <w:num w:numId="8">
    <w:abstractNumId w:val="6"/>
  </w:num>
  <w:num w:numId="9">
    <w:abstractNumId w:val="9"/>
  </w:num>
  <w:num w:numId="10">
    <w:abstractNumId w:val="26"/>
  </w:num>
  <w:num w:numId="11">
    <w:abstractNumId w:val="20"/>
  </w:num>
  <w:num w:numId="12">
    <w:abstractNumId w:val="3"/>
  </w:num>
  <w:num w:numId="13">
    <w:abstractNumId w:val="18"/>
  </w:num>
  <w:num w:numId="14">
    <w:abstractNumId w:val="12"/>
  </w:num>
  <w:num w:numId="15">
    <w:abstractNumId w:val="13"/>
  </w:num>
  <w:num w:numId="16">
    <w:abstractNumId w:val="8"/>
  </w:num>
  <w:num w:numId="17">
    <w:abstractNumId w:val="5"/>
  </w:num>
  <w:num w:numId="18">
    <w:abstractNumId w:val="7"/>
  </w:num>
  <w:num w:numId="19">
    <w:abstractNumId w:val="9"/>
  </w:num>
  <w:num w:numId="20">
    <w:abstractNumId w:val="17"/>
  </w:num>
  <w:num w:numId="21">
    <w:abstractNumId w:val="30"/>
  </w:num>
  <w:num w:numId="22">
    <w:abstractNumId w:val="21"/>
  </w:num>
  <w:num w:numId="23">
    <w:abstractNumId w:val="15"/>
  </w:num>
  <w:num w:numId="24">
    <w:abstractNumId w:val="0"/>
  </w:num>
  <w:num w:numId="25">
    <w:abstractNumId w:val="19"/>
  </w:num>
  <w:num w:numId="26">
    <w:abstractNumId w:val="2"/>
  </w:num>
  <w:num w:numId="27">
    <w:abstractNumId w:val="9"/>
  </w:num>
  <w:num w:numId="28">
    <w:abstractNumId w:val="22"/>
  </w:num>
  <w:num w:numId="29">
    <w:abstractNumId w:val="24"/>
  </w:num>
  <w:num w:numId="30">
    <w:abstractNumId w:val="23"/>
  </w:num>
  <w:num w:numId="31">
    <w:abstractNumId w:val="14"/>
  </w:num>
  <w:num w:numId="32">
    <w:abstractNumId w:val="4"/>
  </w:num>
  <w:num w:numId="33">
    <w:abstractNumId w:val="29"/>
  </w:num>
  <w:num w:numId="34">
    <w:abstractNumId w:val="11"/>
  </w:num>
  <w:num w:numId="35">
    <w:abstractNumId w:val="9"/>
  </w:num>
  <w:num w:numId="36">
    <w:abstractNumId w:val="9"/>
  </w:num>
  <w:num w:numId="37">
    <w:abstractNumId w:val="9"/>
  </w:num>
  <w:num w:numId="38">
    <w:abstractNumId w:val="28"/>
  </w:num>
  <w:num w:numId="3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E2"/>
    <w:rsid w:val="00000958"/>
    <w:rsid w:val="00001F50"/>
    <w:rsid w:val="0000462C"/>
    <w:rsid w:val="00013AB8"/>
    <w:rsid w:val="00015223"/>
    <w:rsid w:val="00021013"/>
    <w:rsid w:val="00021301"/>
    <w:rsid w:val="00022A28"/>
    <w:rsid w:val="000276F4"/>
    <w:rsid w:val="000322B9"/>
    <w:rsid w:val="000343AE"/>
    <w:rsid w:val="00034E60"/>
    <w:rsid w:val="00042F99"/>
    <w:rsid w:val="000430EF"/>
    <w:rsid w:val="00044A2F"/>
    <w:rsid w:val="00054424"/>
    <w:rsid w:val="000552D0"/>
    <w:rsid w:val="00056205"/>
    <w:rsid w:val="00071946"/>
    <w:rsid w:val="00073772"/>
    <w:rsid w:val="00075F35"/>
    <w:rsid w:val="00084BBC"/>
    <w:rsid w:val="000853FD"/>
    <w:rsid w:val="000857BF"/>
    <w:rsid w:val="0009043C"/>
    <w:rsid w:val="00090783"/>
    <w:rsid w:val="000925CD"/>
    <w:rsid w:val="000962A4"/>
    <w:rsid w:val="000A1BA1"/>
    <w:rsid w:val="000A362E"/>
    <w:rsid w:val="000A6CC6"/>
    <w:rsid w:val="000B05CA"/>
    <w:rsid w:val="000C5BC6"/>
    <w:rsid w:val="000C7A81"/>
    <w:rsid w:val="000D0A3E"/>
    <w:rsid w:val="000D2965"/>
    <w:rsid w:val="000D5B93"/>
    <w:rsid w:val="000D6721"/>
    <w:rsid w:val="000E4348"/>
    <w:rsid w:val="000E5A95"/>
    <w:rsid w:val="000E692E"/>
    <w:rsid w:val="000E7993"/>
    <w:rsid w:val="000F11E7"/>
    <w:rsid w:val="00101624"/>
    <w:rsid w:val="00101694"/>
    <w:rsid w:val="001017CA"/>
    <w:rsid w:val="00101D2C"/>
    <w:rsid w:val="00103538"/>
    <w:rsid w:val="00105C96"/>
    <w:rsid w:val="00106187"/>
    <w:rsid w:val="001069A2"/>
    <w:rsid w:val="00107AC5"/>
    <w:rsid w:val="00112914"/>
    <w:rsid w:val="00112AB7"/>
    <w:rsid w:val="00112BAE"/>
    <w:rsid w:val="0011405B"/>
    <w:rsid w:val="00116982"/>
    <w:rsid w:val="00117B97"/>
    <w:rsid w:val="00121116"/>
    <w:rsid w:val="0012653B"/>
    <w:rsid w:val="001270A7"/>
    <w:rsid w:val="001279D9"/>
    <w:rsid w:val="00131941"/>
    <w:rsid w:val="00131B2E"/>
    <w:rsid w:val="001325BA"/>
    <w:rsid w:val="001343BC"/>
    <w:rsid w:val="00136B95"/>
    <w:rsid w:val="00136E1B"/>
    <w:rsid w:val="00141653"/>
    <w:rsid w:val="0014170D"/>
    <w:rsid w:val="00142264"/>
    <w:rsid w:val="00145CF7"/>
    <w:rsid w:val="00146A76"/>
    <w:rsid w:val="0015042E"/>
    <w:rsid w:val="0015047E"/>
    <w:rsid w:val="00154DEE"/>
    <w:rsid w:val="00160138"/>
    <w:rsid w:val="001602B2"/>
    <w:rsid w:val="00161E73"/>
    <w:rsid w:val="00161E8A"/>
    <w:rsid w:val="0017083D"/>
    <w:rsid w:val="001727EA"/>
    <w:rsid w:val="00173389"/>
    <w:rsid w:val="0017499A"/>
    <w:rsid w:val="00176134"/>
    <w:rsid w:val="00180183"/>
    <w:rsid w:val="00183C0C"/>
    <w:rsid w:val="00186255"/>
    <w:rsid w:val="00190515"/>
    <w:rsid w:val="001943C8"/>
    <w:rsid w:val="001A2984"/>
    <w:rsid w:val="001A2B7A"/>
    <w:rsid w:val="001B064B"/>
    <w:rsid w:val="001B1BFF"/>
    <w:rsid w:val="001B292C"/>
    <w:rsid w:val="001B4B64"/>
    <w:rsid w:val="001B5808"/>
    <w:rsid w:val="001B7CEE"/>
    <w:rsid w:val="001C139C"/>
    <w:rsid w:val="001C6C5A"/>
    <w:rsid w:val="001C7FBB"/>
    <w:rsid w:val="001D4C93"/>
    <w:rsid w:val="001D6042"/>
    <w:rsid w:val="001D7EDB"/>
    <w:rsid w:val="001E0CE4"/>
    <w:rsid w:val="001E7453"/>
    <w:rsid w:val="001E746C"/>
    <w:rsid w:val="001F2760"/>
    <w:rsid w:val="001F3415"/>
    <w:rsid w:val="001F5745"/>
    <w:rsid w:val="001F576F"/>
    <w:rsid w:val="001F680C"/>
    <w:rsid w:val="00214B3B"/>
    <w:rsid w:val="0021590D"/>
    <w:rsid w:val="0022168D"/>
    <w:rsid w:val="0022574F"/>
    <w:rsid w:val="0022675D"/>
    <w:rsid w:val="00226CB5"/>
    <w:rsid w:val="0022793F"/>
    <w:rsid w:val="00233E98"/>
    <w:rsid w:val="00240CCE"/>
    <w:rsid w:val="00240E71"/>
    <w:rsid w:val="00242445"/>
    <w:rsid w:val="00245026"/>
    <w:rsid w:val="002520BD"/>
    <w:rsid w:val="00256B8E"/>
    <w:rsid w:val="00261742"/>
    <w:rsid w:val="002626CC"/>
    <w:rsid w:val="0026403E"/>
    <w:rsid w:val="002669C6"/>
    <w:rsid w:val="002707A5"/>
    <w:rsid w:val="00283A8C"/>
    <w:rsid w:val="0028473C"/>
    <w:rsid w:val="002912B8"/>
    <w:rsid w:val="0029260C"/>
    <w:rsid w:val="00292DEB"/>
    <w:rsid w:val="002A5A93"/>
    <w:rsid w:val="002A7E2C"/>
    <w:rsid w:val="002B3223"/>
    <w:rsid w:val="002C0219"/>
    <w:rsid w:val="002C242B"/>
    <w:rsid w:val="002C309B"/>
    <w:rsid w:val="002C3253"/>
    <w:rsid w:val="002C54A2"/>
    <w:rsid w:val="002C7800"/>
    <w:rsid w:val="002D2D8D"/>
    <w:rsid w:val="002D2EE4"/>
    <w:rsid w:val="002D3AF9"/>
    <w:rsid w:val="002D5694"/>
    <w:rsid w:val="002D67CD"/>
    <w:rsid w:val="002D6A06"/>
    <w:rsid w:val="002F2744"/>
    <w:rsid w:val="002F62EF"/>
    <w:rsid w:val="002F684C"/>
    <w:rsid w:val="002F7F59"/>
    <w:rsid w:val="00302166"/>
    <w:rsid w:val="0030392B"/>
    <w:rsid w:val="00306AF5"/>
    <w:rsid w:val="003119CA"/>
    <w:rsid w:val="00314D67"/>
    <w:rsid w:val="00321139"/>
    <w:rsid w:val="00321EAF"/>
    <w:rsid w:val="003234E4"/>
    <w:rsid w:val="00330948"/>
    <w:rsid w:val="003313F1"/>
    <w:rsid w:val="00331FDD"/>
    <w:rsid w:val="003326A0"/>
    <w:rsid w:val="00332871"/>
    <w:rsid w:val="003331CB"/>
    <w:rsid w:val="00333A65"/>
    <w:rsid w:val="003347FE"/>
    <w:rsid w:val="003349FF"/>
    <w:rsid w:val="0034145D"/>
    <w:rsid w:val="003414EF"/>
    <w:rsid w:val="00343C82"/>
    <w:rsid w:val="00345086"/>
    <w:rsid w:val="003473A7"/>
    <w:rsid w:val="0035418C"/>
    <w:rsid w:val="0035630F"/>
    <w:rsid w:val="00357D94"/>
    <w:rsid w:val="0036134C"/>
    <w:rsid w:val="00367F02"/>
    <w:rsid w:val="0037321E"/>
    <w:rsid w:val="003758D7"/>
    <w:rsid w:val="00377163"/>
    <w:rsid w:val="00381E91"/>
    <w:rsid w:val="00382361"/>
    <w:rsid w:val="0038323B"/>
    <w:rsid w:val="00392705"/>
    <w:rsid w:val="0039492E"/>
    <w:rsid w:val="00394B4C"/>
    <w:rsid w:val="00394CC9"/>
    <w:rsid w:val="003961A1"/>
    <w:rsid w:val="00396723"/>
    <w:rsid w:val="003978F1"/>
    <w:rsid w:val="003A3211"/>
    <w:rsid w:val="003A4B71"/>
    <w:rsid w:val="003B0635"/>
    <w:rsid w:val="003B08F4"/>
    <w:rsid w:val="003B32DF"/>
    <w:rsid w:val="003B6781"/>
    <w:rsid w:val="003C3BCC"/>
    <w:rsid w:val="003C3EC8"/>
    <w:rsid w:val="003C5372"/>
    <w:rsid w:val="003D0735"/>
    <w:rsid w:val="003D117B"/>
    <w:rsid w:val="003D519D"/>
    <w:rsid w:val="003D7AA5"/>
    <w:rsid w:val="003E1EFE"/>
    <w:rsid w:val="003E5824"/>
    <w:rsid w:val="003E6994"/>
    <w:rsid w:val="003F25BE"/>
    <w:rsid w:val="003F3650"/>
    <w:rsid w:val="003F68B2"/>
    <w:rsid w:val="00401A11"/>
    <w:rsid w:val="00405E1D"/>
    <w:rsid w:val="00406AF5"/>
    <w:rsid w:val="00407467"/>
    <w:rsid w:val="00411499"/>
    <w:rsid w:val="0041262F"/>
    <w:rsid w:val="004133E5"/>
    <w:rsid w:val="0041553B"/>
    <w:rsid w:val="00417815"/>
    <w:rsid w:val="004179E0"/>
    <w:rsid w:val="00422E41"/>
    <w:rsid w:val="00426346"/>
    <w:rsid w:val="0042694D"/>
    <w:rsid w:val="004319C4"/>
    <w:rsid w:val="00431D24"/>
    <w:rsid w:val="0043242A"/>
    <w:rsid w:val="00434FD5"/>
    <w:rsid w:val="00436C60"/>
    <w:rsid w:val="0044372E"/>
    <w:rsid w:val="00445CEB"/>
    <w:rsid w:val="00464AA2"/>
    <w:rsid w:val="00465F01"/>
    <w:rsid w:val="00466138"/>
    <w:rsid w:val="00470E0D"/>
    <w:rsid w:val="0047317F"/>
    <w:rsid w:val="00474028"/>
    <w:rsid w:val="00474A51"/>
    <w:rsid w:val="00481F7F"/>
    <w:rsid w:val="00482D34"/>
    <w:rsid w:val="004830CF"/>
    <w:rsid w:val="00484B0F"/>
    <w:rsid w:val="004868CC"/>
    <w:rsid w:val="00487AA5"/>
    <w:rsid w:val="0049794E"/>
    <w:rsid w:val="004A2832"/>
    <w:rsid w:val="004A3C76"/>
    <w:rsid w:val="004B2683"/>
    <w:rsid w:val="004B3EC5"/>
    <w:rsid w:val="004C0161"/>
    <w:rsid w:val="004C19CE"/>
    <w:rsid w:val="004C1BE5"/>
    <w:rsid w:val="004D2C20"/>
    <w:rsid w:val="004D5757"/>
    <w:rsid w:val="004E0EA7"/>
    <w:rsid w:val="004E2C37"/>
    <w:rsid w:val="004E3620"/>
    <w:rsid w:val="004E37A4"/>
    <w:rsid w:val="004E55B3"/>
    <w:rsid w:val="004F3B06"/>
    <w:rsid w:val="00501859"/>
    <w:rsid w:val="0050233B"/>
    <w:rsid w:val="00502347"/>
    <w:rsid w:val="00505941"/>
    <w:rsid w:val="00505D3C"/>
    <w:rsid w:val="005074BE"/>
    <w:rsid w:val="00507AEC"/>
    <w:rsid w:val="00510F05"/>
    <w:rsid w:val="00514282"/>
    <w:rsid w:val="005202BB"/>
    <w:rsid w:val="00522838"/>
    <w:rsid w:val="005236E2"/>
    <w:rsid w:val="00523DA1"/>
    <w:rsid w:val="00542F1A"/>
    <w:rsid w:val="00543F91"/>
    <w:rsid w:val="00544302"/>
    <w:rsid w:val="005517A8"/>
    <w:rsid w:val="00552041"/>
    <w:rsid w:val="00553A80"/>
    <w:rsid w:val="00555316"/>
    <w:rsid w:val="00561D6A"/>
    <w:rsid w:val="005620AD"/>
    <w:rsid w:val="005638C5"/>
    <w:rsid w:val="00566EBE"/>
    <w:rsid w:val="00572373"/>
    <w:rsid w:val="00580BC9"/>
    <w:rsid w:val="005821AC"/>
    <w:rsid w:val="0058389F"/>
    <w:rsid w:val="00583CF6"/>
    <w:rsid w:val="00584DD8"/>
    <w:rsid w:val="00586DCA"/>
    <w:rsid w:val="00587AFF"/>
    <w:rsid w:val="005959A7"/>
    <w:rsid w:val="00597DFB"/>
    <w:rsid w:val="005A229D"/>
    <w:rsid w:val="005A3DD8"/>
    <w:rsid w:val="005A4312"/>
    <w:rsid w:val="005A4CF8"/>
    <w:rsid w:val="005A659E"/>
    <w:rsid w:val="005A6DDD"/>
    <w:rsid w:val="005B066A"/>
    <w:rsid w:val="005B196F"/>
    <w:rsid w:val="005B1C54"/>
    <w:rsid w:val="005B1DF8"/>
    <w:rsid w:val="005B2A15"/>
    <w:rsid w:val="005B38BD"/>
    <w:rsid w:val="005B58CC"/>
    <w:rsid w:val="005B69F7"/>
    <w:rsid w:val="005C08D4"/>
    <w:rsid w:val="005C28ED"/>
    <w:rsid w:val="005C537E"/>
    <w:rsid w:val="005D7CEC"/>
    <w:rsid w:val="005E2936"/>
    <w:rsid w:val="005E2F87"/>
    <w:rsid w:val="005E4066"/>
    <w:rsid w:val="005E59FA"/>
    <w:rsid w:val="005E7C3E"/>
    <w:rsid w:val="005F04E0"/>
    <w:rsid w:val="005F3C5D"/>
    <w:rsid w:val="005F5531"/>
    <w:rsid w:val="005F78F1"/>
    <w:rsid w:val="006012DC"/>
    <w:rsid w:val="00601662"/>
    <w:rsid w:val="00602AFF"/>
    <w:rsid w:val="006038C3"/>
    <w:rsid w:val="00604095"/>
    <w:rsid w:val="00605A65"/>
    <w:rsid w:val="00605C99"/>
    <w:rsid w:val="006062CE"/>
    <w:rsid w:val="00616C6D"/>
    <w:rsid w:val="006207FB"/>
    <w:rsid w:val="006231D7"/>
    <w:rsid w:val="006232F2"/>
    <w:rsid w:val="00625C6B"/>
    <w:rsid w:val="006365AD"/>
    <w:rsid w:val="0064011B"/>
    <w:rsid w:val="00641E7C"/>
    <w:rsid w:val="00641FDE"/>
    <w:rsid w:val="00645179"/>
    <w:rsid w:val="00645ADA"/>
    <w:rsid w:val="00650EF8"/>
    <w:rsid w:val="0065454C"/>
    <w:rsid w:val="006552AA"/>
    <w:rsid w:val="00656F76"/>
    <w:rsid w:val="0066404C"/>
    <w:rsid w:val="00664633"/>
    <w:rsid w:val="006654D9"/>
    <w:rsid w:val="00665893"/>
    <w:rsid w:val="0067147C"/>
    <w:rsid w:val="00682275"/>
    <w:rsid w:val="0068790C"/>
    <w:rsid w:val="006936EA"/>
    <w:rsid w:val="00694DDE"/>
    <w:rsid w:val="00696124"/>
    <w:rsid w:val="006B0D02"/>
    <w:rsid w:val="006B1161"/>
    <w:rsid w:val="006B222B"/>
    <w:rsid w:val="006B57C1"/>
    <w:rsid w:val="006C2FF3"/>
    <w:rsid w:val="006C3DEA"/>
    <w:rsid w:val="006C5121"/>
    <w:rsid w:val="006C6373"/>
    <w:rsid w:val="006D13FB"/>
    <w:rsid w:val="006D2315"/>
    <w:rsid w:val="006D40C1"/>
    <w:rsid w:val="006D5EAD"/>
    <w:rsid w:val="006D6209"/>
    <w:rsid w:val="006D6733"/>
    <w:rsid w:val="006E7607"/>
    <w:rsid w:val="006F2299"/>
    <w:rsid w:val="006F3EBE"/>
    <w:rsid w:val="006F6D84"/>
    <w:rsid w:val="006F786F"/>
    <w:rsid w:val="007012A2"/>
    <w:rsid w:val="007015C7"/>
    <w:rsid w:val="00702E24"/>
    <w:rsid w:val="0070328D"/>
    <w:rsid w:val="00710021"/>
    <w:rsid w:val="00712AFF"/>
    <w:rsid w:val="007147F7"/>
    <w:rsid w:val="007148C7"/>
    <w:rsid w:val="00714A56"/>
    <w:rsid w:val="00714C14"/>
    <w:rsid w:val="00716D2E"/>
    <w:rsid w:val="00721B32"/>
    <w:rsid w:val="0072469D"/>
    <w:rsid w:val="00730A68"/>
    <w:rsid w:val="00732221"/>
    <w:rsid w:val="0073246F"/>
    <w:rsid w:val="00733694"/>
    <w:rsid w:val="00736530"/>
    <w:rsid w:val="007376AD"/>
    <w:rsid w:val="007428C5"/>
    <w:rsid w:val="00742A70"/>
    <w:rsid w:val="00744D56"/>
    <w:rsid w:val="00746C29"/>
    <w:rsid w:val="00750281"/>
    <w:rsid w:val="00750B65"/>
    <w:rsid w:val="0076089C"/>
    <w:rsid w:val="00760AD6"/>
    <w:rsid w:val="007612B7"/>
    <w:rsid w:val="007667C5"/>
    <w:rsid w:val="007707B6"/>
    <w:rsid w:val="0077098B"/>
    <w:rsid w:val="00773587"/>
    <w:rsid w:val="007758D9"/>
    <w:rsid w:val="007768BD"/>
    <w:rsid w:val="00785EA9"/>
    <w:rsid w:val="00786AF5"/>
    <w:rsid w:val="00793468"/>
    <w:rsid w:val="00793831"/>
    <w:rsid w:val="007A299F"/>
    <w:rsid w:val="007A2E02"/>
    <w:rsid w:val="007A36E8"/>
    <w:rsid w:val="007A423E"/>
    <w:rsid w:val="007A48E5"/>
    <w:rsid w:val="007A4BEC"/>
    <w:rsid w:val="007B1B3B"/>
    <w:rsid w:val="007B4A56"/>
    <w:rsid w:val="007B6B1A"/>
    <w:rsid w:val="007C40CD"/>
    <w:rsid w:val="007D0DF7"/>
    <w:rsid w:val="007D5A55"/>
    <w:rsid w:val="007E0B12"/>
    <w:rsid w:val="007F0B60"/>
    <w:rsid w:val="007F3051"/>
    <w:rsid w:val="007F760C"/>
    <w:rsid w:val="008013C8"/>
    <w:rsid w:val="0080340E"/>
    <w:rsid w:val="00803DD5"/>
    <w:rsid w:val="00805AC1"/>
    <w:rsid w:val="00814EF0"/>
    <w:rsid w:val="00817CF4"/>
    <w:rsid w:val="00820F8A"/>
    <w:rsid w:val="008225F3"/>
    <w:rsid w:val="008251C5"/>
    <w:rsid w:val="008252FB"/>
    <w:rsid w:val="00832083"/>
    <w:rsid w:val="00833E8D"/>
    <w:rsid w:val="00837C04"/>
    <w:rsid w:val="00840755"/>
    <w:rsid w:val="00840F5C"/>
    <w:rsid w:val="00841692"/>
    <w:rsid w:val="0084697D"/>
    <w:rsid w:val="00851FDD"/>
    <w:rsid w:val="00854F9A"/>
    <w:rsid w:val="00867B42"/>
    <w:rsid w:val="00870242"/>
    <w:rsid w:val="008707A6"/>
    <w:rsid w:val="00874FE5"/>
    <w:rsid w:val="008766A8"/>
    <w:rsid w:val="008769BA"/>
    <w:rsid w:val="00880708"/>
    <w:rsid w:val="008813BD"/>
    <w:rsid w:val="00881C2A"/>
    <w:rsid w:val="0088292A"/>
    <w:rsid w:val="0088379A"/>
    <w:rsid w:val="00884F56"/>
    <w:rsid w:val="00890610"/>
    <w:rsid w:val="008918A3"/>
    <w:rsid w:val="00891E6E"/>
    <w:rsid w:val="00893BC5"/>
    <w:rsid w:val="00895CD9"/>
    <w:rsid w:val="0089679F"/>
    <w:rsid w:val="008A38DD"/>
    <w:rsid w:val="008A3EBD"/>
    <w:rsid w:val="008A4C1E"/>
    <w:rsid w:val="008B1618"/>
    <w:rsid w:val="008B39CB"/>
    <w:rsid w:val="008B4AF0"/>
    <w:rsid w:val="008B667B"/>
    <w:rsid w:val="008C0256"/>
    <w:rsid w:val="008C08D1"/>
    <w:rsid w:val="008C1BF0"/>
    <w:rsid w:val="008E0679"/>
    <w:rsid w:val="008E6391"/>
    <w:rsid w:val="008F0A71"/>
    <w:rsid w:val="008F7B84"/>
    <w:rsid w:val="0090015A"/>
    <w:rsid w:val="00900DF4"/>
    <w:rsid w:val="00903DD4"/>
    <w:rsid w:val="00905545"/>
    <w:rsid w:val="00905C6B"/>
    <w:rsid w:val="00906CAF"/>
    <w:rsid w:val="00907051"/>
    <w:rsid w:val="00910B01"/>
    <w:rsid w:val="00912E5C"/>
    <w:rsid w:val="00913D11"/>
    <w:rsid w:val="00917656"/>
    <w:rsid w:val="00920CF7"/>
    <w:rsid w:val="00927BFD"/>
    <w:rsid w:val="00931805"/>
    <w:rsid w:val="00933EF9"/>
    <w:rsid w:val="00934F1A"/>
    <w:rsid w:val="00937399"/>
    <w:rsid w:val="00944539"/>
    <w:rsid w:val="009457B5"/>
    <w:rsid w:val="00946F27"/>
    <w:rsid w:val="0095138A"/>
    <w:rsid w:val="00951F4B"/>
    <w:rsid w:val="00953A58"/>
    <w:rsid w:val="009558B0"/>
    <w:rsid w:val="00962B3E"/>
    <w:rsid w:val="00963EFB"/>
    <w:rsid w:val="00966477"/>
    <w:rsid w:val="00967679"/>
    <w:rsid w:val="00972A47"/>
    <w:rsid w:val="00973C3C"/>
    <w:rsid w:val="00975CE9"/>
    <w:rsid w:val="00976AAE"/>
    <w:rsid w:val="00980B90"/>
    <w:rsid w:val="009843DA"/>
    <w:rsid w:val="00984EEC"/>
    <w:rsid w:val="00986133"/>
    <w:rsid w:val="00986530"/>
    <w:rsid w:val="00995443"/>
    <w:rsid w:val="009B028B"/>
    <w:rsid w:val="009B7873"/>
    <w:rsid w:val="009C5856"/>
    <w:rsid w:val="009C59EA"/>
    <w:rsid w:val="009C5FFC"/>
    <w:rsid w:val="009C759E"/>
    <w:rsid w:val="009D07A4"/>
    <w:rsid w:val="009D116E"/>
    <w:rsid w:val="009D1DDE"/>
    <w:rsid w:val="009D5234"/>
    <w:rsid w:val="009D6654"/>
    <w:rsid w:val="009E37C3"/>
    <w:rsid w:val="009E3AD8"/>
    <w:rsid w:val="009E3F22"/>
    <w:rsid w:val="009E433E"/>
    <w:rsid w:val="009E45B9"/>
    <w:rsid w:val="009E66CF"/>
    <w:rsid w:val="009E68E2"/>
    <w:rsid w:val="009E79C4"/>
    <w:rsid w:val="009F0965"/>
    <w:rsid w:val="009F5843"/>
    <w:rsid w:val="00A117AE"/>
    <w:rsid w:val="00A122C4"/>
    <w:rsid w:val="00A14631"/>
    <w:rsid w:val="00A15927"/>
    <w:rsid w:val="00A17CB3"/>
    <w:rsid w:val="00A221C1"/>
    <w:rsid w:val="00A26CFD"/>
    <w:rsid w:val="00A27A2C"/>
    <w:rsid w:val="00A3082C"/>
    <w:rsid w:val="00A4169B"/>
    <w:rsid w:val="00A51B6B"/>
    <w:rsid w:val="00A51E7C"/>
    <w:rsid w:val="00A52B11"/>
    <w:rsid w:val="00A54FDA"/>
    <w:rsid w:val="00A56CDB"/>
    <w:rsid w:val="00A573E7"/>
    <w:rsid w:val="00A606AD"/>
    <w:rsid w:val="00A61837"/>
    <w:rsid w:val="00A622EB"/>
    <w:rsid w:val="00A76632"/>
    <w:rsid w:val="00A912FE"/>
    <w:rsid w:val="00A93C6C"/>
    <w:rsid w:val="00A955EE"/>
    <w:rsid w:val="00A956E3"/>
    <w:rsid w:val="00A9705C"/>
    <w:rsid w:val="00AA21C9"/>
    <w:rsid w:val="00AA3A3B"/>
    <w:rsid w:val="00AA479C"/>
    <w:rsid w:val="00AA5A14"/>
    <w:rsid w:val="00AA73B4"/>
    <w:rsid w:val="00AA77EF"/>
    <w:rsid w:val="00AB1C36"/>
    <w:rsid w:val="00AC1A2B"/>
    <w:rsid w:val="00AC1EA2"/>
    <w:rsid w:val="00AC2A05"/>
    <w:rsid w:val="00AC4514"/>
    <w:rsid w:val="00AC5AD1"/>
    <w:rsid w:val="00AC5FB5"/>
    <w:rsid w:val="00AC6C86"/>
    <w:rsid w:val="00AD152F"/>
    <w:rsid w:val="00AD3D47"/>
    <w:rsid w:val="00AE328F"/>
    <w:rsid w:val="00AE7F97"/>
    <w:rsid w:val="00AF3B19"/>
    <w:rsid w:val="00AF51D3"/>
    <w:rsid w:val="00AF58AC"/>
    <w:rsid w:val="00AF6BEA"/>
    <w:rsid w:val="00B05E0F"/>
    <w:rsid w:val="00B06B18"/>
    <w:rsid w:val="00B0765B"/>
    <w:rsid w:val="00B10D65"/>
    <w:rsid w:val="00B12751"/>
    <w:rsid w:val="00B1297A"/>
    <w:rsid w:val="00B14E1B"/>
    <w:rsid w:val="00B168ED"/>
    <w:rsid w:val="00B27A3E"/>
    <w:rsid w:val="00B305BC"/>
    <w:rsid w:val="00B345F0"/>
    <w:rsid w:val="00B34DC0"/>
    <w:rsid w:val="00B36244"/>
    <w:rsid w:val="00B368B6"/>
    <w:rsid w:val="00B42879"/>
    <w:rsid w:val="00B43BE6"/>
    <w:rsid w:val="00B458C3"/>
    <w:rsid w:val="00B5227E"/>
    <w:rsid w:val="00B60CFB"/>
    <w:rsid w:val="00B6201F"/>
    <w:rsid w:val="00B62876"/>
    <w:rsid w:val="00B67578"/>
    <w:rsid w:val="00B74C46"/>
    <w:rsid w:val="00B77345"/>
    <w:rsid w:val="00B80EF5"/>
    <w:rsid w:val="00BA0260"/>
    <w:rsid w:val="00BA547C"/>
    <w:rsid w:val="00BA66A0"/>
    <w:rsid w:val="00BC1FF4"/>
    <w:rsid w:val="00BC2C6E"/>
    <w:rsid w:val="00BC42B6"/>
    <w:rsid w:val="00BC49A9"/>
    <w:rsid w:val="00BC6720"/>
    <w:rsid w:val="00BD27A7"/>
    <w:rsid w:val="00BD6309"/>
    <w:rsid w:val="00BD6DCD"/>
    <w:rsid w:val="00BE4FB2"/>
    <w:rsid w:val="00BE50B7"/>
    <w:rsid w:val="00BE574A"/>
    <w:rsid w:val="00BE7396"/>
    <w:rsid w:val="00BE7495"/>
    <w:rsid w:val="00BF152C"/>
    <w:rsid w:val="00BF2093"/>
    <w:rsid w:val="00BF319F"/>
    <w:rsid w:val="00BF5F5A"/>
    <w:rsid w:val="00BF7012"/>
    <w:rsid w:val="00C032DB"/>
    <w:rsid w:val="00C050BA"/>
    <w:rsid w:val="00C059F7"/>
    <w:rsid w:val="00C0602C"/>
    <w:rsid w:val="00C06AD8"/>
    <w:rsid w:val="00C136CF"/>
    <w:rsid w:val="00C20D6D"/>
    <w:rsid w:val="00C26DEB"/>
    <w:rsid w:val="00C26F7E"/>
    <w:rsid w:val="00C314F0"/>
    <w:rsid w:val="00C33385"/>
    <w:rsid w:val="00C355DD"/>
    <w:rsid w:val="00C45B64"/>
    <w:rsid w:val="00C514FD"/>
    <w:rsid w:val="00C53121"/>
    <w:rsid w:val="00C5498A"/>
    <w:rsid w:val="00C552A2"/>
    <w:rsid w:val="00C57DBC"/>
    <w:rsid w:val="00C61D73"/>
    <w:rsid w:val="00C630DB"/>
    <w:rsid w:val="00C66E42"/>
    <w:rsid w:val="00C70CF0"/>
    <w:rsid w:val="00C71C44"/>
    <w:rsid w:val="00C74713"/>
    <w:rsid w:val="00C77157"/>
    <w:rsid w:val="00C83630"/>
    <w:rsid w:val="00C873CA"/>
    <w:rsid w:val="00C918A5"/>
    <w:rsid w:val="00C933D6"/>
    <w:rsid w:val="00CA1A44"/>
    <w:rsid w:val="00CA1A82"/>
    <w:rsid w:val="00CA324F"/>
    <w:rsid w:val="00CA3359"/>
    <w:rsid w:val="00CA3A4C"/>
    <w:rsid w:val="00CB53C3"/>
    <w:rsid w:val="00CB5E41"/>
    <w:rsid w:val="00CC0735"/>
    <w:rsid w:val="00CC2F99"/>
    <w:rsid w:val="00CC516C"/>
    <w:rsid w:val="00CC6980"/>
    <w:rsid w:val="00CC6C75"/>
    <w:rsid w:val="00CC74B3"/>
    <w:rsid w:val="00CD01DC"/>
    <w:rsid w:val="00CE3AC4"/>
    <w:rsid w:val="00CE56D7"/>
    <w:rsid w:val="00CE7405"/>
    <w:rsid w:val="00CF31C7"/>
    <w:rsid w:val="00CF7824"/>
    <w:rsid w:val="00D025F3"/>
    <w:rsid w:val="00D02DAF"/>
    <w:rsid w:val="00D10485"/>
    <w:rsid w:val="00D1175C"/>
    <w:rsid w:val="00D128AA"/>
    <w:rsid w:val="00D14357"/>
    <w:rsid w:val="00D14DD6"/>
    <w:rsid w:val="00D16DDB"/>
    <w:rsid w:val="00D17FB9"/>
    <w:rsid w:val="00D2011F"/>
    <w:rsid w:val="00D20505"/>
    <w:rsid w:val="00D23789"/>
    <w:rsid w:val="00D23910"/>
    <w:rsid w:val="00D239DD"/>
    <w:rsid w:val="00D2577A"/>
    <w:rsid w:val="00D42A83"/>
    <w:rsid w:val="00D53986"/>
    <w:rsid w:val="00D539D4"/>
    <w:rsid w:val="00D57F26"/>
    <w:rsid w:val="00D6301D"/>
    <w:rsid w:val="00D66050"/>
    <w:rsid w:val="00D73136"/>
    <w:rsid w:val="00D74CDA"/>
    <w:rsid w:val="00D8133D"/>
    <w:rsid w:val="00D81520"/>
    <w:rsid w:val="00D874A2"/>
    <w:rsid w:val="00D93B0F"/>
    <w:rsid w:val="00D94701"/>
    <w:rsid w:val="00D94F0F"/>
    <w:rsid w:val="00D95B12"/>
    <w:rsid w:val="00D95FC3"/>
    <w:rsid w:val="00DA3B1F"/>
    <w:rsid w:val="00DB0D1A"/>
    <w:rsid w:val="00DB6F42"/>
    <w:rsid w:val="00DC19F4"/>
    <w:rsid w:val="00DC4682"/>
    <w:rsid w:val="00DC74E3"/>
    <w:rsid w:val="00DE2EA0"/>
    <w:rsid w:val="00DE5B3E"/>
    <w:rsid w:val="00DE6E1D"/>
    <w:rsid w:val="00DF0B10"/>
    <w:rsid w:val="00DF48A8"/>
    <w:rsid w:val="00DF71C8"/>
    <w:rsid w:val="00E01179"/>
    <w:rsid w:val="00E01B8A"/>
    <w:rsid w:val="00E02890"/>
    <w:rsid w:val="00E03709"/>
    <w:rsid w:val="00E13EFF"/>
    <w:rsid w:val="00E22E3F"/>
    <w:rsid w:val="00E242A5"/>
    <w:rsid w:val="00E243C4"/>
    <w:rsid w:val="00E24776"/>
    <w:rsid w:val="00E31512"/>
    <w:rsid w:val="00E31683"/>
    <w:rsid w:val="00E34E0F"/>
    <w:rsid w:val="00E35541"/>
    <w:rsid w:val="00E3607D"/>
    <w:rsid w:val="00E4114A"/>
    <w:rsid w:val="00E4362B"/>
    <w:rsid w:val="00E4537A"/>
    <w:rsid w:val="00E6288F"/>
    <w:rsid w:val="00E676EE"/>
    <w:rsid w:val="00E71A29"/>
    <w:rsid w:val="00E75EC3"/>
    <w:rsid w:val="00E75F0B"/>
    <w:rsid w:val="00E8392C"/>
    <w:rsid w:val="00E8478A"/>
    <w:rsid w:val="00E848EE"/>
    <w:rsid w:val="00E85AB7"/>
    <w:rsid w:val="00E85B53"/>
    <w:rsid w:val="00E9108D"/>
    <w:rsid w:val="00E93FE3"/>
    <w:rsid w:val="00E946ED"/>
    <w:rsid w:val="00E95FE2"/>
    <w:rsid w:val="00E96C5B"/>
    <w:rsid w:val="00E96FC6"/>
    <w:rsid w:val="00EA160A"/>
    <w:rsid w:val="00EA37CF"/>
    <w:rsid w:val="00EA5843"/>
    <w:rsid w:val="00EA6713"/>
    <w:rsid w:val="00EA7068"/>
    <w:rsid w:val="00EB2C33"/>
    <w:rsid w:val="00EB5FF9"/>
    <w:rsid w:val="00ED57DD"/>
    <w:rsid w:val="00ED6D0D"/>
    <w:rsid w:val="00EE62D0"/>
    <w:rsid w:val="00F02601"/>
    <w:rsid w:val="00F0660C"/>
    <w:rsid w:val="00F07ACE"/>
    <w:rsid w:val="00F1008C"/>
    <w:rsid w:val="00F129AB"/>
    <w:rsid w:val="00F17E83"/>
    <w:rsid w:val="00F30BC3"/>
    <w:rsid w:val="00F318A9"/>
    <w:rsid w:val="00F42753"/>
    <w:rsid w:val="00F43147"/>
    <w:rsid w:val="00F432E5"/>
    <w:rsid w:val="00F43CD2"/>
    <w:rsid w:val="00F43D04"/>
    <w:rsid w:val="00F52492"/>
    <w:rsid w:val="00F55A9D"/>
    <w:rsid w:val="00F5617F"/>
    <w:rsid w:val="00F60293"/>
    <w:rsid w:val="00F61B73"/>
    <w:rsid w:val="00F6387F"/>
    <w:rsid w:val="00F70466"/>
    <w:rsid w:val="00F746D4"/>
    <w:rsid w:val="00F83956"/>
    <w:rsid w:val="00F9230A"/>
    <w:rsid w:val="00FA060B"/>
    <w:rsid w:val="00FA4D05"/>
    <w:rsid w:val="00FB32E1"/>
    <w:rsid w:val="00FB409D"/>
    <w:rsid w:val="00FB4D4D"/>
    <w:rsid w:val="00FB4D7C"/>
    <w:rsid w:val="00FC0711"/>
    <w:rsid w:val="00FD1EDD"/>
    <w:rsid w:val="00FD6371"/>
    <w:rsid w:val="00FE2C6F"/>
    <w:rsid w:val="00FE45F4"/>
    <w:rsid w:val="00FF03E4"/>
    <w:rsid w:val="00FF63EC"/>
    <w:rsid w:val="00FF6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3BE6"/>
  </w:style>
  <w:style w:type="paragraph" w:styleId="Ttulo1">
    <w:name w:val="heading 1"/>
    <w:basedOn w:val="Normal"/>
    <w:next w:val="Normal"/>
    <w:qFormat/>
    <w:rsid w:val="00B43BE6"/>
    <w:pPr>
      <w:keepNext/>
      <w:outlineLvl w:val="0"/>
    </w:pPr>
    <w:rPr>
      <w:b/>
      <w:bCs/>
      <w:sz w:val="24"/>
      <w:szCs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43BE6"/>
    <w:pPr>
      <w:jc w:val="both"/>
    </w:pPr>
    <w:rPr>
      <w:sz w:val="24"/>
      <w:szCs w:val="24"/>
      <w:lang w:val="es-MX"/>
    </w:rPr>
  </w:style>
  <w:style w:type="paragraph" w:styleId="Ttulo">
    <w:name w:val="Title"/>
    <w:basedOn w:val="Normal"/>
    <w:qFormat/>
    <w:rsid w:val="00B43BE6"/>
    <w:pPr>
      <w:jc w:val="center"/>
      <w:outlineLvl w:val="0"/>
    </w:pPr>
    <w:rPr>
      <w:rFonts w:cs="Times New Roman"/>
      <w:b/>
      <w:bCs/>
      <w:szCs w:val="22"/>
      <w:lang w:val="es-MX"/>
    </w:rPr>
  </w:style>
  <w:style w:type="paragraph" w:styleId="Sangradetextonormal">
    <w:name w:val="Body Text Indent"/>
    <w:basedOn w:val="Normal"/>
    <w:rsid w:val="00B43BE6"/>
    <w:pPr>
      <w:keepNext/>
      <w:ind w:left="284" w:hanging="284"/>
      <w:jc w:val="both"/>
    </w:pPr>
    <w:rPr>
      <w:rFonts w:cs="Times New Roman"/>
      <w:lang w:val="es-MX"/>
    </w:rPr>
  </w:style>
  <w:style w:type="paragraph" w:styleId="Textoindependiente3">
    <w:name w:val="Body Text 3"/>
    <w:basedOn w:val="Normal"/>
    <w:rsid w:val="00B43BE6"/>
    <w:pPr>
      <w:jc w:val="both"/>
    </w:pPr>
    <w:rPr>
      <w:rFonts w:cs="Times New Roman"/>
      <w:lang w:val="es-MX"/>
    </w:rPr>
  </w:style>
  <w:style w:type="paragraph" w:styleId="Piedepgina">
    <w:name w:val="footer"/>
    <w:basedOn w:val="Normal"/>
    <w:link w:val="PiedepginaCar"/>
    <w:uiPriority w:val="99"/>
    <w:rsid w:val="00B43BE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43BE6"/>
    <w:rPr>
      <w:rFonts w:cs="Times New Roman"/>
    </w:rPr>
  </w:style>
  <w:style w:type="paragraph" w:styleId="Encabezado">
    <w:name w:val="header"/>
    <w:basedOn w:val="Normal"/>
    <w:rsid w:val="00B43BE6"/>
    <w:pPr>
      <w:tabs>
        <w:tab w:val="center" w:pos="4252"/>
        <w:tab w:val="right" w:pos="8504"/>
      </w:tabs>
    </w:pPr>
  </w:style>
  <w:style w:type="character" w:styleId="Refdenotaalpie">
    <w:name w:val="footnote reference"/>
    <w:basedOn w:val="Fuentedeprrafopredeter"/>
    <w:semiHidden/>
    <w:rsid w:val="00B43BE6"/>
    <w:rPr>
      <w:rFonts w:cs="Times New Roman"/>
      <w:vertAlign w:val="superscript"/>
    </w:rPr>
  </w:style>
  <w:style w:type="paragraph" w:styleId="Mapadeldocumento">
    <w:name w:val="Document Map"/>
    <w:basedOn w:val="Normal"/>
    <w:semiHidden/>
    <w:rsid w:val="00B43BE6"/>
    <w:pPr>
      <w:shd w:val="clear" w:color="auto" w:fill="000080"/>
    </w:pPr>
    <w:rPr>
      <w:rFonts w:ascii="Tahoma" w:hAnsi="Tahoma" w:cs="Tahoma"/>
    </w:rPr>
  </w:style>
  <w:style w:type="paragraph" w:customStyle="1" w:styleId="Normal9pt">
    <w:name w:val="Normal + 9 pt"/>
    <w:aliases w:val="Sin Expandido / Comprimido"/>
    <w:basedOn w:val="Textoindependiente"/>
    <w:rsid w:val="00B43BE6"/>
    <w:pPr>
      <w:numPr>
        <w:numId w:val="1"/>
      </w:numPr>
    </w:pPr>
    <w:rPr>
      <w:sz w:val="18"/>
      <w:szCs w:val="18"/>
    </w:rPr>
  </w:style>
  <w:style w:type="paragraph" w:styleId="Textodeglobo">
    <w:name w:val="Balloon Text"/>
    <w:basedOn w:val="Normal"/>
    <w:semiHidden/>
    <w:rsid w:val="00B43BE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B43BE6"/>
    <w:rPr>
      <w:sz w:val="16"/>
      <w:szCs w:val="16"/>
    </w:rPr>
  </w:style>
  <w:style w:type="paragraph" w:styleId="Textocomentario">
    <w:name w:val="annotation text"/>
    <w:basedOn w:val="Normal"/>
    <w:semiHidden/>
    <w:rsid w:val="00B43BE6"/>
  </w:style>
  <w:style w:type="paragraph" w:styleId="Asuntodelcomentario">
    <w:name w:val="annotation subject"/>
    <w:basedOn w:val="Textocomentario"/>
    <w:next w:val="Textocomentario"/>
    <w:semiHidden/>
    <w:rsid w:val="00B43BE6"/>
    <w:rPr>
      <w:b/>
      <w:bCs/>
    </w:rPr>
  </w:style>
  <w:style w:type="paragraph" w:styleId="Textonotapie">
    <w:name w:val="footnote text"/>
    <w:basedOn w:val="Normal"/>
    <w:link w:val="TextonotapieCar"/>
    <w:semiHidden/>
    <w:rsid w:val="00E01B8A"/>
  </w:style>
  <w:style w:type="paragraph" w:styleId="Prrafodelista">
    <w:name w:val="List Paragraph"/>
    <w:basedOn w:val="Normal"/>
    <w:uiPriority w:val="34"/>
    <w:qFormat/>
    <w:rsid w:val="00357D94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C77157"/>
    <w:rPr>
      <w:rFonts w:ascii="Arial" w:hAnsi="Arial" w:cs="Arial"/>
      <w:spacing w:val="20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3978F1"/>
    <w:rPr>
      <w:color w:val="808080"/>
    </w:rPr>
  </w:style>
  <w:style w:type="paragraph" w:styleId="NormalWeb">
    <w:name w:val="Normal (Web)"/>
    <w:basedOn w:val="Normal"/>
    <w:uiPriority w:val="99"/>
    <w:unhideWhenUsed/>
    <w:rsid w:val="00C26F7E"/>
    <w:pPr>
      <w:spacing w:before="100" w:beforeAutospacing="1" w:after="100" w:afterAutospacing="1"/>
    </w:pPr>
    <w:rPr>
      <w:rFonts w:ascii="Times New Roman" w:eastAsiaTheme="minorHAnsi" w:hAnsi="Times New Roman" w:cs="Times New Roman"/>
      <w:i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142264"/>
  </w:style>
  <w:style w:type="character" w:customStyle="1" w:styleId="PiedepginaCar">
    <w:name w:val="Pie de página Car"/>
    <w:basedOn w:val="Fuentedeprrafopredeter"/>
    <w:link w:val="Piedepgina"/>
    <w:uiPriority w:val="99"/>
    <w:rsid w:val="00854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3BE6"/>
  </w:style>
  <w:style w:type="paragraph" w:styleId="Ttulo1">
    <w:name w:val="heading 1"/>
    <w:basedOn w:val="Normal"/>
    <w:next w:val="Normal"/>
    <w:qFormat/>
    <w:rsid w:val="00B43BE6"/>
    <w:pPr>
      <w:keepNext/>
      <w:outlineLvl w:val="0"/>
    </w:pPr>
    <w:rPr>
      <w:b/>
      <w:bCs/>
      <w:sz w:val="24"/>
      <w:szCs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43BE6"/>
    <w:pPr>
      <w:jc w:val="both"/>
    </w:pPr>
    <w:rPr>
      <w:sz w:val="24"/>
      <w:szCs w:val="24"/>
      <w:lang w:val="es-MX"/>
    </w:rPr>
  </w:style>
  <w:style w:type="paragraph" w:styleId="Ttulo">
    <w:name w:val="Title"/>
    <w:basedOn w:val="Normal"/>
    <w:qFormat/>
    <w:rsid w:val="00B43BE6"/>
    <w:pPr>
      <w:jc w:val="center"/>
      <w:outlineLvl w:val="0"/>
    </w:pPr>
    <w:rPr>
      <w:rFonts w:cs="Times New Roman"/>
      <w:b/>
      <w:bCs/>
      <w:szCs w:val="22"/>
      <w:lang w:val="es-MX"/>
    </w:rPr>
  </w:style>
  <w:style w:type="paragraph" w:styleId="Sangradetextonormal">
    <w:name w:val="Body Text Indent"/>
    <w:basedOn w:val="Normal"/>
    <w:rsid w:val="00B43BE6"/>
    <w:pPr>
      <w:keepNext/>
      <w:ind w:left="284" w:hanging="284"/>
      <w:jc w:val="both"/>
    </w:pPr>
    <w:rPr>
      <w:rFonts w:cs="Times New Roman"/>
      <w:lang w:val="es-MX"/>
    </w:rPr>
  </w:style>
  <w:style w:type="paragraph" w:styleId="Textoindependiente3">
    <w:name w:val="Body Text 3"/>
    <w:basedOn w:val="Normal"/>
    <w:rsid w:val="00B43BE6"/>
    <w:pPr>
      <w:jc w:val="both"/>
    </w:pPr>
    <w:rPr>
      <w:rFonts w:cs="Times New Roman"/>
      <w:lang w:val="es-MX"/>
    </w:rPr>
  </w:style>
  <w:style w:type="paragraph" w:styleId="Piedepgina">
    <w:name w:val="footer"/>
    <w:basedOn w:val="Normal"/>
    <w:link w:val="PiedepginaCar"/>
    <w:uiPriority w:val="99"/>
    <w:rsid w:val="00B43BE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43BE6"/>
    <w:rPr>
      <w:rFonts w:cs="Times New Roman"/>
    </w:rPr>
  </w:style>
  <w:style w:type="paragraph" w:styleId="Encabezado">
    <w:name w:val="header"/>
    <w:basedOn w:val="Normal"/>
    <w:rsid w:val="00B43BE6"/>
    <w:pPr>
      <w:tabs>
        <w:tab w:val="center" w:pos="4252"/>
        <w:tab w:val="right" w:pos="8504"/>
      </w:tabs>
    </w:pPr>
  </w:style>
  <w:style w:type="character" w:styleId="Refdenotaalpie">
    <w:name w:val="footnote reference"/>
    <w:basedOn w:val="Fuentedeprrafopredeter"/>
    <w:semiHidden/>
    <w:rsid w:val="00B43BE6"/>
    <w:rPr>
      <w:rFonts w:cs="Times New Roman"/>
      <w:vertAlign w:val="superscript"/>
    </w:rPr>
  </w:style>
  <w:style w:type="paragraph" w:styleId="Mapadeldocumento">
    <w:name w:val="Document Map"/>
    <w:basedOn w:val="Normal"/>
    <w:semiHidden/>
    <w:rsid w:val="00B43BE6"/>
    <w:pPr>
      <w:shd w:val="clear" w:color="auto" w:fill="000080"/>
    </w:pPr>
    <w:rPr>
      <w:rFonts w:ascii="Tahoma" w:hAnsi="Tahoma" w:cs="Tahoma"/>
    </w:rPr>
  </w:style>
  <w:style w:type="paragraph" w:customStyle="1" w:styleId="Normal9pt">
    <w:name w:val="Normal + 9 pt"/>
    <w:aliases w:val="Sin Expandido / Comprimido"/>
    <w:basedOn w:val="Textoindependiente"/>
    <w:rsid w:val="00B43BE6"/>
    <w:pPr>
      <w:numPr>
        <w:numId w:val="1"/>
      </w:numPr>
    </w:pPr>
    <w:rPr>
      <w:sz w:val="18"/>
      <w:szCs w:val="18"/>
    </w:rPr>
  </w:style>
  <w:style w:type="paragraph" w:styleId="Textodeglobo">
    <w:name w:val="Balloon Text"/>
    <w:basedOn w:val="Normal"/>
    <w:semiHidden/>
    <w:rsid w:val="00B43BE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B43BE6"/>
    <w:rPr>
      <w:sz w:val="16"/>
      <w:szCs w:val="16"/>
    </w:rPr>
  </w:style>
  <w:style w:type="paragraph" w:styleId="Textocomentario">
    <w:name w:val="annotation text"/>
    <w:basedOn w:val="Normal"/>
    <w:semiHidden/>
    <w:rsid w:val="00B43BE6"/>
  </w:style>
  <w:style w:type="paragraph" w:styleId="Asuntodelcomentario">
    <w:name w:val="annotation subject"/>
    <w:basedOn w:val="Textocomentario"/>
    <w:next w:val="Textocomentario"/>
    <w:semiHidden/>
    <w:rsid w:val="00B43BE6"/>
    <w:rPr>
      <w:b/>
      <w:bCs/>
    </w:rPr>
  </w:style>
  <w:style w:type="paragraph" w:styleId="Textonotapie">
    <w:name w:val="footnote text"/>
    <w:basedOn w:val="Normal"/>
    <w:link w:val="TextonotapieCar"/>
    <w:semiHidden/>
    <w:rsid w:val="00E01B8A"/>
  </w:style>
  <w:style w:type="paragraph" w:styleId="Prrafodelista">
    <w:name w:val="List Paragraph"/>
    <w:basedOn w:val="Normal"/>
    <w:uiPriority w:val="34"/>
    <w:qFormat/>
    <w:rsid w:val="00357D94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C77157"/>
    <w:rPr>
      <w:rFonts w:ascii="Arial" w:hAnsi="Arial" w:cs="Arial"/>
      <w:spacing w:val="20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3978F1"/>
    <w:rPr>
      <w:color w:val="808080"/>
    </w:rPr>
  </w:style>
  <w:style w:type="paragraph" w:styleId="NormalWeb">
    <w:name w:val="Normal (Web)"/>
    <w:basedOn w:val="Normal"/>
    <w:uiPriority w:val="99"/>
    <w:unhideWhenUsed/>
    <w:rsid w:val="00C26F7E"/>
    <w:pPr>
      <w:spacing w:before="100" w:beforeAutospacing="1" w:after="100" w:afterAutospacing="1"/>
    </w:pPr>
    <w:rPr>
      <w:rFonts w:ascii="Times New Roman" w:eastAsiaTheme="minorHAnsi" w:hAnsi="Times New Roman" w:cs="Times New Roman"/>
      <w:i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142264"/>
  </w:style>
  <w:style w:type="character" w:customStyle="1" w:styleId="PiedepginaCar">
    <w:name w:val="Pie de página Car"/>
    <w:basedOn w:val="Fuentedeprrafopredeter"/>
    <w:link w:val="Piedepgina"/>
    <w:uiPriority w:val="99"/>
    <w:rsid w:val="00854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6681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9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33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2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157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667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enc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02C05-C429-45BF-9070-67BAA87C39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711B62-BF4F-480A-AA4B-7D1A7AEC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668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CAPITULO XXI: REGLAS APLICABLES A LA GESTIÓN DE LOS RIESGOS DE MERCADO</vt:lpstr>
    </vt:vector>
  </TitlesOfParts>
  <Company>Superfinanciera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CAPITULO XXI: REGLAS APLICABLES A LA GESTIÓN DE LOS RIESGOS DE MERCADO</dc:title>
  <dc:creator>Soporte Técnico</dc:creator>
  <cp:lastModifiedBy>SFC</cp:lastModifiedBy>
  <cp:revision>9</cp:revision>
  <cp:lastPrinted>2015-02-19T21:43:00Z</cp:lastPrinted>
  <dcterms:created xsi:type="dcterms:W3CDTF">2017-12-12T15:43:00Z</dcterms:created>
  <dcterms:modified xsi:type="dcterms:W3CDTF">2017-12-12T16:38:00Z</dcterms:modified>
</cp:coreProperties>
</file>