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E7F" w:rsidRPr="007D1C11" w:rsidRDefault="00CD1E7F" w:rsidP="00CD1E7F">
      <w:pPr>
        <w:jc w:val="both"/>
        <w:rPr>
          <w:spacing w:val="0"/>
          <w:sz w:val="18"/>
          <w:szCs w:val="18"/>
          <w:lang w:val="es-CO"/>
        </w:rPr>
      </w:pPr>
      <w:r w:rsidRPr="007D1C11">
        <w:rPr>
          <w:spacing w:val="0"/>
          <w:sz w:val="18"/>
          <w:szCs w:val="18"/>
          <w:lang w:val="es-CO"/>
        </w:rPr>
        <w:t>No obstante lo anterior, cuando se trate del reporte de los flujos de caja contenidos en las unidades de captura de la 01 a la 04, columnas 8 a la 19, del formato 458, las entidades deben reportar los flujos de ingresos y egresos teniendo en cuenta además, los factores de comportamiento histórico o proyectado.</w:t>
      </w:r>
    </w:p>
    <w:p w:rsidR="00CD1E7F" w:rsidRPr="007D1C11" w:rsidRDefault="00CD1E7F" w:rsidP="00CD1E7F">
      <w:pPr>
        <w:jc w:val="both"/>
        <w:rPr>
          <w:spacing w:val="0"/>
          <w:sz w:val="18"/>
          <w:szCs w:val="18"/>
          <w:lang w:val="es-CO"/>
        </w:rPr>
      </w:pPr>
    </w:p>
    <w:p w:rsidR="00CD1E7F" w:rsidRPr="007D1C11" w:rsidRDefault="00CD1E7F" w:rsidP="00CD1E7F">
      <w:pPr>
        <w:jc w:val="both"/>
        <w:rPr>
          <w:spacing w:val="0"/>
          <w:sz w:val="18"/>
          <w:szCs w:val="18"/>
          <w:lang w:val="es-CO"/>
        </w:rPr>
      </w:pPr>
      <w:r w:rsidRPr="007D1C11">
        <w:rPr>
          <w:spacing w:val="0"/>
          <w:sz w:val="18"/>
          <w:szCs w:val="18"/>
          <w:lang w:val="es-CO"/>
        </w:rPr>
        <w:t xml:space="preserve">Si bien las entidades deben reportar en el formato semanal de evaluación del riesgo de liquidez en las respectivas bandas de tiempo el valor de todos los cupones y amortizaciones establecidos contractualmente, no deberán tener en cuenta en el momento de cuantificar los flujos netos de vencimientos contractuales que entran en el cálculo del Indicador de Riesgo de Liquidez, aquellos cupones, amortizaciones y pagos de dividendos que se esperan recibir en las bandas entre uno (1) y treinta (30) días y que correspondan a inversiones que formen parte de los Activos Líquidos. De esta manera, se evita que tales cupones, amortizaciones y pagos de dividendos sean considerados dos veces dentro del Indicador, una como parte de los Activos Líquidos y otra como flujos de ingresos contractuales. </w:t>
      </w:r>
    </w:p>
    <w:p w:rsidR="00CD1E7F" w:rsidRPr="007D1C11" w:rsidRDefault="00CD1E7F" w:rsidP="00CD1E7F">
      <w:pPr>
        <w:jc w:val="both"/>
        <w:rPr>
          <w:spacing w:val="0"/>
          <w:sz w:val="18"/>
          <w:szCs w:val="18"/>
          <w:lang w:val="es-CO"/>
        </w:rPr>
      </w:pPr>
    </w:p>
    <w:p w:rsidR="00CD1E7F" w:rsidRPr="007D1C11" w:rsidRDefault="00CD1E7F" w:rsidP="00CD1E7F">
      <w:pPr>
        <w:jc w:val="both"/>
        <w:rPr>
          <w:spacing w:val="0"/>
          <w:sz w:val="18"/>
          <w:szCs w:val="18"/>
          <w:lang w:val="es-CO"/>
        </w:rPr>
      </w:pPr>
      <w:r w:rsidRPr="007D1C11">
        <w:rPr>
          <w:spacing w:val="0"/>
          <w:sz w:val="18"/>
          <w:szCs w:val="18"/>
          <w:lang w:val="es-CO"/>
        </w:rPr>
        <w:t xml:space="preserve">Por otra parte, el formato de reporte semanal estará habilitado para que las entidades informen los flujos de caja reales que tuvieron la semana inmediatamente anterior, lo cual permitirá al organismo de supervisión y control conocer la evolución de los porcentajes de renovación de </w:t>
      </w:r>
      <w:proofErr w:type="spellStart"/>
      <w:r w:rsidRPr="007D1C11">
        <w:rPr>
          <w:spacing w:val="0"/>
          <w:sz w:val="18"/>
          <w:szCs w:val="18"/>
          <w:lang w:val="es-CO"/>
        </w:rPr>
        <w:t>CDTs</w:t>
      </w:r>
      <w:proofErr w:type="spellEnd"/>
      <w:r w:rsidRPr="007D1C11">
        <w:rPr>
          <w:spacing w:val="0"/>
          <w:sz w:val="18"/>
          <w:szCs w:val="18"/>
          <w:lang w:val="es-CO"/>
        </w:rPr>
        <w:t xml:space="preserve"> y </w:t>
      </w:r>
      <w:proofErr w:type="spellStart"/>
      <w:r w:rsidRPr="007D1C11">
        <w:rPr>
          <w:spacing w:val="0"/>
          <w:sz w:val="18"/>
          <w:szCs w:val="18"/>
          <w:lang w:val="es-CO"/>
        </w:rPr>
        <w:t>CDATs</w:t>
      </w:r>
      <w:proofErr w:type="spellEnd"/>
      <w:r w:rsidRPr="007D1C11">
        <w:rPr>
          <w:spacing w:val="0"/>
          <w:sz w:val="18"/>
          <w:szCs w:val="18"/>
          <w:lang w:val="es-CO"/>
        </w:rPr>
        <w:t>, así como también de las captaciones y colocaciones nuevas de cada entidad, para ser tenidas en cuenta en las simulaciones y análisis que efectúe la SFC.</w:t>
      </w:r>
    </w:p>
    <w:p w:rsidR="00CD1E7F" w:rsidRPr="007D1C11" w:rsidRDefault="00CD1E7F" w:rsidP="00CD1E7F">
      <w:pPr>
        <w:jc w:val="both"/>
        <w:rPr>
          <w:spacing w:val="0"/>
          <w:sz w:val="18"/>
          <w:szCs w:val="18"/>
          <w:lang w:val="es-CO"/>
        </w:rPr>
      </w:pPr>
    </w:p>
    <w:p w:rsidR="00CD1E7F" w:rsidRPr="007D1C11" w:rsidRDefault="00CD1E7F" w:rsidP="00CD1E7F">
      <w:pPr>
        <w:jc w:val="both"/>
        <w:rPr>
          <w:spacing w:val="0"/>
          <w:sz w:val="18"/>
          <w:szCs w:val="18"/>
          <w:lang w:val="es-CO"/>
        </w:rPr>
      </w:pPr>
      <w:r w:rsidRPr="007D1C11">
        <w:rPr>
          <w:spacing w:val="0"/>
          <w:sz w:val="18"/>
          <w:szCs w:val="18"/>
          <w:lang w:val="es-CO"/>
        </w:rPr>
        <w:t>En todo caso, para la medición del requerimiento de liquidez por vencimientos contractuales, en ninguna de las bandas de tiempo del reporte deben las entidades incluir flujo alguno de recaudos por concepto de cartera de cualquier tipo que se encuentre con una altura de mora superior a treinta (30) días calendario. Además, el valor de los vencimientos contractuales de la cartera de créditos de la respectiva banda de tiempo debe multiplicarse por un factor igual a uno (1) menos cero punto cinco (0.5) veces el índice de cartera vencida total que haya registrado la respectiva entidad al cierre del mes inmediatamente anterior (1 – 0.5*[Índice de Cartera Vencida Total]). Esto con el fin de tener una aproximación prudencial –desde la perspectiva del ente supervisor- a los recaudos efectivos que podría tener cada entidad bajo un escenario moderado.</w:t>
      </w:r>
    </w:p>
    <w:p w:rsidR="00CD1E7F" w:rsidRPr="007D1C11" w:rsidRDefault="00CD1E7F" w:rsidP="00CD1E7F">
      <w:pPr>
        <w:jc w:val="both"/>
        <w:rPr>
          <w:spacing w:val="0"/>
          <w:sz w:val="18"/>
          <w:szCs w:val="18"/>
          <w:lang w:val="es-CO"/>
        </w:rPr>
      </w:pPr>
    </w:p>
    <w:p w:rsidR="00CD1E7F" w:rsidRDefault="00CD1E7F" w:rsidP="00CD1E7F">
      <w:pPr>
        <w:numPr>
          <w:ilvl w:val="1"/>
          <w:numId w:val="34"/>
        </w:numPr>
        <w:jc w:val="both"/>
        <w:rPr>
          <w:b/>
          <w:spacing w:val="0"/>
          <w:sz w:val="18"/>
          <w:szCs w:val="18"/>
          <w:lang w:val="es-CO"/>
        </w:rPr>
      </w:pPr>
      <w:r w:rsidRPr="007D1C11">
        <w:rPr>
          <w:b/>
          <w:spacing w:val="0"/>
          <w:sz w:val="18"/>
          <w:szCs w:val="18"/>
          <w:lang w:val="es-CO"/>
        </w:rPr>
        <w:t>Medición del requerimiento de liquidez que no obedece a vencimientos contractuales (Flujo Neto de Vencimientos No Contractuales – FNVNC)</w:t>
      </w:r>
    </w:p>
    <w:p w:rsidR="00CD1E7F" w:rsidRPr="007D1C11" w:rsidRDefault="00CD1E7F" w:rsidP="00CD1E7F">
      <w:pPr>
        <w:jc w:val="both"/>
        <w:rPr>
          <w:spacing w:val="0"/>
          <w:sz w:val="18"/>
          <w:szCs w:val="18"/>
          <w:lang w:val="es-CO"/>
        </w:rPr>
      </w:pPr>
    </w:p>
    <w:p w:rsidR="00135C24" w:rsidRDefault="00CD1E7F" w:rsidP="002766E9">
      <w:pPr>
        <w:pBdr>
          <w:left w:val="single" w:sz="4" w:space="4" w:color="auto"/>
        </w:pBdr>
        <w:jc w:val="both"/>
        <w:rPr>
          <w:b/>
          <w:spacing w:val="0"/>
          <w:sz w:val="18"/>
          <w:szCs w:val="18"/>
          <w:lang w:val="es-CO"/>
        </w:rPr>
      </w:pPr>
      <w:r w:rsidRPr="007D1C11">
        <w:rPr>
          <w:spacing w:val="0"/>
          <w:sz w:val="18"/>
          <w:szCs w:val="18"/>
          <w:lang w:val="es-CO"/>
        </w:rPr>
        <w:t xml:space="preserve">La estimación del flujo neto que no obedece a vencimientos contractuales, vale decir, de los probables retiros netos de caja originados en posiciones y rubros que no tienen vencimientos prestablecidos, debe efectuarse a </w:t>
      </w:r>
      <w:r w:rsidRPr="002766E9">
        <w:rPr>
          <w:spacing w:val="0"/>
          <w:sz w:val="18"/>
          <w:szCs w:val="18"/>
          <w:lang w:val="es-CO"/>
        </w:rPr>
        <w:t>partir del saldo de depósitos y exigibilidades que no está sujeto a vencimientos contractuales</w:t>
      </w:r>
      <w:r w:rsidR="0068019F" w:rsidRPr="002766E9">
        <w:rPr>
          <w:spacing w:val="0"/>
          <w:sz w:val="18"/>
          <w:szCs w:val="18"/>
          <w:lang w:val="es-CO"/>
        </w:rPr>
        <w:t>.</w:t>
      </w:r>
      <w:r w:rsidR="00CF566F">
        <w:rPr>
          <w:spacing w:val="0"/>
          <w:sz w:val="18"/>
          <w:szCs w:val="18"/>
          <w:lang w:val="es-CO"/>
        </w:rPr>
        <w:t xml:space="preserve"> </w:t>
      </w:r>
      <w:r w:rsidR="0068019F" w:rsidRPr="002766E9">
        <w:rPr>
          <w:b/>
          <w:spacing w:val="0"/>
          <w:sz w:val="18"/>
          <w:szCs w:val="18"/>
          <w:lang w:val="es-CO"/>
        </w:rPr>
        <w:t xml:space="preserve">Las entidades deben segmentar </w:t>
      </w:r>
      <w:r w:rsidR="009A254D" w:rsidRPr="002766E9">
        <w:rPr>
          <w:b/>
          <w:spacing w:val="0"/>
          <w:sz w:val="18"/>
          <w:szCs w:val="18"/>
          <w:lang w:val="es-CO"/>
        </w:rPr>
        <w:t>dichos depósitos y exigibilidades,</w:t>
      </w:r>
      <w:r w:rsidR="0068019F" w:rsidRPr="002766E9">
        <w:rPr>
          <w:b/>
          <w:spacing w:val="0"/>
          <w:sz w:val="18"/>
          <w:szCs w:val="18"/>
          <w:lang w:val="es-CO"/>
        </w:rPr>
        <w:t xml:space="preserve"> según el saldo</w:t>
      </w:r>
      <w:r w:rsidR="00CF566F">
        <w:rPr>
          <w:b/>
          <w:spacing w:val="0"/>
          <w:sz w:val="18"/>
          <w:szCs w:val="18"/>
          <w:lang w:val="es-CO"/>
        </w:rPr>
        <w:t xml:space="preserve"> al cierre diario</w:t>
      </w:r>
      <w:r w:rsidR="009A254D">
        <w:rPr>
          <w:spacing w:val="0"/>
          <w:sz w:val="18"/>
          <w:szCs w:val="18"/>
          <w:lang w:val="es-CO"/>
        </w:rPr>
        <w:t>,</w:t>
      </w:r>
      <w:r w:rsidR="006F4A9F">
        <w:rPr>
          <w:spacing w:val="0"/>
          <w:sz w:val="18"/>
          <w:szCs w:val="18"/>
          <w:lang w:val="es-CO"/>
        </w:rPr>
        <w:t xml:space="preserve"> </w:t>
      </w:r>
      <w:r w:rsidR="009A254D" w:rsidRPr="00D53712">
        <w:rPr>
          <w:b/>
          <w:spacing w:val="0"/>
          <w:sz w:val="18"/>
          <w:szCs w:val="18"/>
          <w:lang w:val="es-CO"/>
        </w:rPr>
        <w:t>dentro de las siguientes siete</w:t>
      </w:r>
      <w:r w:rsidR="009A254D" w:rsidRPr="0068019F">
        <w:rPr>
          <w:b/>
          <w:spacing w:val="0"/>
          <w:sz w:val="18"/>
          <w:szCs w:val="18"/>
          <w:lang w:val="es-CO"/>
        </w:rPr>
        <w:t xml:space="preserve"> categorías</w:t>
      </w:r>
      <w:r w:rsidR="00135C24" w:rsidRPr="0068019F">
        <w:rPr>
          <w:b/>
          <w:spacing w:val="0"/>
          <w:sz w:val="18"/>
          <w:szCs w:val="18"/>
          <w:lang w:val="es-CO"/>
        </w:rPr>
        <w:t>:</w:t>
      </w:r>
    </w:p>
    <w:p w:rsidR="00135C24" w:rsidRDefault="00135C24" w:rsidP="00CD1E7F">
      <w:pPr>
        <w:jc w:val="both"/>
        <w:rPr>
          <w:b/>
          <w:spacing w:val="0"/>
          <w:sz w:val="18"/>
          <w:szCs w:val="18"/>
          <w:lang w:val="es-CO"/>
        </w:rPr>
      </w:pPr>
    </w:p>
    <w:p w:rsidR="00135C24" w:rsidRDefault="00135C24" w:rsidP="002766E9">
      <w:pPr>
        <w:pBdr>
          <w:left w:val="single" w:sz="4" w:space="4" w:color="auto"/>
        </w:pBdr>
        <w:jc w:val="both"/>
        <w:rPr>
          <w:b/>
          <w:spacing w:val="0"/>
          <w:sz w:val="18"/>
          <w:szCs w:val="18"/>
          <w:lang w:val="es-CO"/>
        </w:rPr>
      </w:pPr>
      <w:r>
        <w:rPr>
          <w:b/>
          <w:spacing w:val="0"/>
          <w:sz w:val="18"/>
          <w:szCs w:val="18"/>
          <w:lang w:val="es-CO"/>
        </w:rPr>
        <w:t xml:space="preserve">2.2.1. </w:t>
      </w:r>
      <w:r w:rsidR="0068019F">
        <w:rPr>
          <w:b/>
          <w:spacing w:val="0"/>
          <w:sz w:val="18"/>
          <w:szCs w:val="18"/>
          <w:lang w:val="es-CO"/>
        </w:rPr>
        <w:t xml:space="preserve">Minoristas: </w:t>
      </w:r>
      <w:r w:rsidR="0068019F" w:rsidRPr="0068019F">
        <w:rPr>
          <w:b/>
          <w:spacing w:val="0"/>
          <w:sz w:val="18"/>
          <w:szCs w:val="18"/>
          <w:lang w:val="es-ES_tradnl"/>
        </w:rPr>
        <w:t>depósitos de personas naturales cuyo saldo sea igual o inferior a 44 SM</w:t>
      </w:r>
      <w:r w:rsidR="00BE31BB">
        <w:rPr>
          <w:b/>
          <w:spacing w:val="0"/>
          <w:sz w:val="18"/>
          <w:szCs w:val="18"/>
          <w:lang w:val="es-ES_tradnl"/>
        </w:rPr>
        <w:t>L</w:t>
      </w:r>
      <w:r w:rsidR="0068019F" w:rsidRPr="0068019F">
        <w:rPr>
          <w:b/>
          <w:spacing w:val="0"/>
          <w:sz w:val="18"/>
          <w:szCs w:val="18"/>
          <w:lang w:val="es-ES_tradnl"/>
        </w:rPr>
        <w:t>MV del año correspondiente.</w:t>
      </w:r>
    </w:p>
    <w:p w:rsidR="00135C24" w:rsidRDefault="00135C24" w:rsidP="002766E9">
      <w:pPr>
        <w:pBdr>
          <w:left w:val="single" w:sz="4" w:space="4" w:color="auto"/>
        </w:pBdr>
        <w:jc w:val="both"/>
        <w:rPr>
          <w:b/>
          <w:spacing w:val="0"/>
          <w:sz w:val="18"/>
          <w:szCs w:val="18"/>
          <w:lang w:val="es-CO"/>
        </w:rPr>
      </w:pPr>
      <w:r>
        <w:rPr>
          <w:b/>
          <w:spacing w:val="0"/>
          <w:sz w:val="18"/>
          <w:szCs w:val="18"/>
          <w:lang w:val="es-CO"/>
        </w:rPr>
        <w:t>2.2.2. PYME</w:t>
      </w:r>
      <w:r w:rsidR="0068019F">
        <w:rPr>
          <w:b/>
          <w:spacing w:val="0"/>
          <w:sz w:val="18"/>
          <w:szCs w:val="18"/>
          <w:lang w:val="es-CO"/>
        </w:rPr>
        <w:t>S y personas naturales medianas</w:t>
      </w:r>
      <w:r w:rsidR="0068019F" w:rsidRPr="009A254D">
        <w:rPr>
          <w:b/>
          <w:spacing w:val="0"/>
          <w:sz w:val="18"/>
          <w:szCs w:val="18"/>
          <w:lang w:val="es-CO"/>
        </w:rPr>
        <w:t>:</w:t>
      </w:r>
      <w:r w:rsidR="0068019F" w:rsidRPr="003F3833">
        <w:rPr>
          <w:rFonts w:cs="Times New Roman"/>
          <w:b/>
          <w:spacing w:val="0"/>
          <w:sz w:val="18"/>
          <w:szCs w:val="18"/>
          <w:lang w:val="es-ES_tradnl"/>
        </w:rPr>
        <w:t xml:space="preserve"> </w:t>
      </w:r>
      <w:r w:rsidR="009A254D" w:rsidRPr="003F3833">
        <w:rPr>
          <w:rFonts w:cs="Times New Roman"/>
          <w:b/>
          <w:spacing w:val="0"/>
          <w:sz w:val="18"/>
          <w:szCs w:val="18"/>
          <w:lang w:val="es-ES_tradnl"/>
        </w:rPr>
        <w:t>depósitos de las personas jurídicas (distintas a las entidades vigiladas por la SFC) cuyo saldo sea inferior o igual a 220 SML</w:t>
      </w:r>
      <w:r w:rsidR="00BE31BB">
        <w:rPr>
          <w:rFonts w:cs="Times New Roman"/>
          <w:b/>
          <w:spacing w:val="0"/>
          <w:sz w:val="18"/>
          <w:szCs w:val="18"/>
          <w:lang w:val="es-ES_tradnl"/>
        </w:rPr>
        <w:t>M</w:t>
      </w:r>
      <w:r w:rsidR="009A254D" w:rsidRPr="003F3833">
        <w:rPr>
          <w:rFonts w:cs="Times New Roman"/>
          <w:b/>
          <w:spacing w:val="0"/>
          <w:sz w:val="18"/>
          <w:szCs w:val="18"/>
          <w:lang w:val="es-ES_tradnl"/>
        </w:rPr>
        <w:t xml:space="preserve">V del año correspondiente (Incluye entidades públicas no financieras y recursos de agentes </w:t>
      </w:r>
      <w:r w:rsidR="00C92AB3">
        <w:rPr>
          <w:rFonts w:cs="Times New Roman"/>
          <w:b/>
          <w:spacing w:val="0"/>
          <w:sz w:val="18"/>
          <w:szCs w:val="18"/>
          <w:lang w:val="es-ES_tradnl"/>
        </w:rPr>
        <w:t>extranjeros</w:t>
      </w:r>
      <w:r w:rsidR="009A254D" w:rsidRPr="003F3833">
        <w:rPr>
          <w:rFonts w:cs="Times New Roman"/>
          <w:b/>
          <w:spacing w:val="0"/>
          <w:sz w:val="18"/>
          <w:szCs w:val="18"/>
          <w:lang w:val="es-ES_tradnl"/>
        </w:rPr>
        <w:t xml:space="preserve"> con depósitos inferiores o iguales a 220 </w:t>
      </w:r>
      <w:r w:rsidR="00BE31BB">
        <w:rPr>
          <w:rFonts w:cs="Times New Roman"/>
          <w:b/>
          <w:spacing w:val="0"/>
          <w:sz w:val="18"/>
          <w:szCs w:val="18"/>
          <w:lang w:val="es-ES_tradnl"/>
        </w:rPr>
        <w:t>SMLMV</w:t>
      </w:r>
      <w:r w:rsidR="009A254D" w:rsidRPr="003F3833">
        <w:rPr>
          <w:rFonts w:cs="Times New Roman"/>
          <w:b/>
          <w:spacing w:val="0"/>
          <w:sz w:val="18"/>
          <w:szCs w:val="18"/>
          <w:lang w:val="es-ES_tradnl"/>
        </w:rPr>
        <w:t xml:space="preserve">) y </w:t>
      </w:r>
      <w:r w:rsidR="0068019F" w:rsidRPr="009A254D">
        <w:rPr>
          <w:b/>
          <w:spacing w:val="0"/>
          <w:sz w:val="18"/>
          <w:szCs w:val="18"/>
          <w:lang w:val="es-ES_tradnl"/>
        </w:rPr>
        <w:t xml:space="preserve">depósitos de las personas naturales cuyo saldo sea superior a 44 </w:t>
      </w:r>
      <w:r w:rsidR="00BE31BB">
        <w:rPr>
          <w:b/>
          <w:spacing w:val="0"/>
          <w:sz w:val="18"/>
          <w:szCs w:val="18"/>
          <w:lang w:val="es-ES_tradnl"/>
        </w:rPr>
        <w:t>SMLMV</w:t>
      </w:r>
      <w:r w:rsidR="0068019F" w:rsidRPr="009A254D">
        <w:rPr>
          <w:b/>
          <w:spacing w:val="0"/>
          <w:sz w:val="18"/>
          <w:szCs w:val="18"/>
          <w:lang w:val="es-ES_tradnl"/>
        </w:rPr>
        <w:t xml:space="preserve"> e inferior o igual a 220 </w:t>
      </w:r>
      <w:r w:rsidR="00BE31BB">
        <w:rPr>
          <w:b/>
          <w:spacing w:val="0"/>
          <w:sz w:val="18"/>
          <w:szCs w:val="18"/>
          <w:lang w:val="es-ES_tradnl"/>
        </w:rPr>
        <w:t>SMLMV</w:t>
      </w:r>
      <w:r w:rsidR="00183948">
        <w:rPr>
          <w:b/>
          <w:spacing w:val="0"/>
          <w:sz w:val="18"/>
          <w:szCs w:val="18"/>
          <w:lang w:val="es-ES_tradnl"/>
        </w:rPr>
        <w:t xml:space="preserve"> del año correspondiente</w:t>
      </w:r>
      <w:r w:rsidR="0068019F" w:rsidRPr="009A254D">
        <w:rPr>
          <w:b/>
          <w:spacing w:val="0"/>
          <w:sz w:val="18"/>
          <w:szCs w:val="18"/>
          <w:lang w:val="es-ES_tradnl"/>
        </w:rPr>
        <w:t>.</w:t>
      </w:r>
    </w:p>
    <w:p w:rsidR="00135C24" w:rsidRDefault="00135C24" w:rsidP="002766E9">
      <w:pPr>
        <w:pBdr>
          <w:left w:val="single" w:sz="4" w:space="4" w:color="auto"/>
        </w:pBdr>
        <w:jc w:val="both"/>
        <w:rPr>
          <w:b/>
          <w:spacing w:val="0"/>
          <w:sz w:val="18"/>
          <w:szCs w:val="18"/>
          <w:lang w:val="es-CO"/>
        </w:rPr>
      </w:pPr>
      <w:r>
        <w:rPr>
          <w:b/>
          <w:spacing w:val="0"/>
          <w:sz w:val="18"/>
          <w:szCs w:val="18"/>
          <w:lang w:val="es-CO"/>
        </w:rPr>
        <w:t xml:space="preserve">2.2.3. </w:t>
      </w:r>
      <w:r w:rsidR="009A254D">
        <w:rPr>
          <w:b/>
          <w:spacing w:val="0"/>
          <w:sz w:val="18"/>
          <w:szCs w:val="18"/>
          <w:lang w:val="es-CO"/>
        </w:rPr>
        <w:t>E</w:t>
      </w:r>
      <w:r>
        <w:rPr>
          <w:b/>
          <w:spacing w:val="0"/>
          <w:sz w:val="18"/>
          <w:szCs w:val="18"/>
          <w:lang w:val="es-CO"/>
        </w:rPr>
        <w:t>ntidades financieras v</w:t>
      </w:r>
      <w:r w:rsidR="009A254D">
        <w:rPr>
          <w:b/>
          <w:spacing w:val="0"/>
          <w:sz w:val="18"/>
          <w:szCs w:val="18"/>
          <w:lang w:val="es-CO"/>
        </w:rPr>
        <w:t>igiladas: depósitos de las entidades vigiladas por la SFC</w:t>
      </w:r>
      <w:r w:rsidR="00890CE0">
        <w:rPr>
          <w:b/>
          <w:spacing w:val="0"/>
          <w:sz w:val="18"/>
          <w:szCs w:val="18"/>
          <w:lang w:val="es-CO"/>
        </w:rPr>
        <w:t>.</w:t>
      </w:r>
    </w:p>
    <w:p w:rsidR="00135C24" w:rsidRPr="00C92AB3" w:rsidRDefault="00135C24" w:rsidP="002766E9">
      <w:pPr>
        <w:pBdr>
          <w:left w:val="single" w:sz="4" w:space="4" w:color="auto"/>
        </w:pBdr>
        <w:jc w:val="both"/>
        <w:rPr>
          <w:b/>
          <w:spacing w:val="0"/>
          <w:sz w:val="18"/>
          <w:szCs w:val="18"/>
          <w:lang w:val="es-CO"/>
        </w:rPr>
      </w:pPr>
      <w:r>
        <w:rPr>
          <w:b/>
          <w:spacing w:val="0"/>
          <w:sz w:val="18"/>
          <w:szCs w:val="18"/>
          <w:lang w:val="es-CO"/>
        </w:rPr>
        <w:t xml:space="preserve">2.2.4. </w:t>
      </w:r>
      <w:r w:rsidR="00890CE0">
        <w:rPr>
          <w:b/>
          <w:spacing w:val="0"/>
          <w:sz w:val="18"/>
          <w:szCs w:val="18"/>
          <w:lang w:val="es-CO"/>
        </w:rPr>
        <w:t>S</w:t>
      </w:r>
      <w:r>
        <w:rPr>
          <w:b/>
          <w:spacing w:val="0"/>
          <w:sz w:val="18"/>
          <w:szCs w:val="18"/>
          <w:lang w:val="es-CO"/>
        </w:rPr>
        <w:t>ector Gobierno no financiero</w:t>
      </w:r>
      <w:r w:rsidR="00890CE0">
        <w:rPr>
          <w:b/>
          <w:spacing w:val="0"/>
          <w:sz w:val="18"/>
          <w:szCs w:val="18"/>
          <w:lang w:val="es-CO"/>
        </w:rPr>
        <w:t>: depósitos</w:t>
      </w:r>
      <w:r w:rsidR="0020766D" w:rsidRPr="0020766D">
        <w:rPr>
          <w:rFonts w:cs="Times New Roman"/>
          <w:b/>
          <w:spacing w:val="0"/>
          <w:sz w:val="18"/>
          <w:szCs w:val="18"/>
          <w:lang w:val="es-ES_tradnl"/>
        </w:rPr>
        <w:t xml:space="preserve"> </w:t>
      </w:r>
      <w:r w:rsidR="007E7E3E">
        <w:rPr>
          <w:rFonts w:cs="Times New Roman"/>
          <w:b/>
          <w:spacing w:val="0"/>
          <w:sz w:val="18"/>
          <w:szCs w:val="18"/>
          <w:lang w:val="es-ES_tradnl"/>
        </w:rPr>
        <w:t>de entidades públicas no financieras</w:t>
      </w:r>
      <w:r w:rsidR="000255C5">
        <w:rPr>
          <w:rFonts w:cs="Times New Roman"/>
          <w:b/>
          <w:spacing w:val="0"/>
          <w:sz w:val="18"/>
          <w:szCs w:val="18"/>
          <w:lang w:val="es-ES_tradnl"/>
        </w:rPr>
        <w:t xml:space="preserve"> </w:t>
      </w:r>
      <w:r w:rsidR="000255C5" w:rsidRPr="006A7CF5">
        <w:rPr>
          <w:rFonts w:cs="Times New Roman"/>
          <w:b/>
          <w:spacing w:val="0"/>
          <w:sz w:val="18"/>
          <w:szCs w:val="18"/>
          <w:lang w:val="es-ES_tradnl"/>
        </w:rPr>
        <w:t>cuyo saldo sea</w:t>
      </w:r>
      <w:r w:rsidR="000255C5">
        <w:rPr>
          <w:rFonts w:cs="Times New Roman"/>
          <w:b/>
          <w:spacing w:val="0"/>
          <w:sz w:val="18"/>
          <w:szCs w:val="18"/>
          <w:lang w:val="es-ES_tradnl"/>
        </w:rPr>
        <w:t xml:space="preserve"> superior a 220 SMLMV</w:t>
      </w:r>
      <w:r w:rsidR="00183948">
        <w:rPr>
          <w:rFonts w:cs="Times New Roman"/>
          <w:b/>
          <w:spacing w:val="0"/>
          <w:sz w:val="18"/>
          <w:szCs w:val="18"/>
          <w:lang w:val="es-ES_tradnl"/>
        </w:rPr>
        <w:t xml:space="preserve"> del año correspondiente</w:t>
      </w:r>
      <w:r w:rsidR="00175F9C">
        <w:rPr>
          <w:rFonts w:cs="Times New Roman"/>
          <w:b/>
          <w:spacing w:val="0"/>
          <w:sz w:val="18"/>
          <w:szCs w:val="18"/>
          <w:lang w:val="es-ES_tradnl"/>
        </w:rPr>
        <w:t xml:space="preserve"> (incluye sociedades de economía mixta y empresas </w:t>
      </w:r>
      <w:r w:rsidR="00175F9C" w:rsidRPr="00C92AB3">
        <w:rPr>
          <w:rFonts w:cs="Times New Roman"/>
          <w:b/>
          <w:spacing w:val="0"/>
          <w:sz w:val="18"/>
          <w:szCs w:val="18"/>
          <w:lang w:val="es-ES_tradnl"/>
        </w:rPr>
        <w:t>industriales y comerciales del estado)</w:t>
      </w:r>
      <w:r w:rsidR="002766E9" w:rsidRPr="00C92AB3">
        <w:rPr>
          <w:rFonts w:cs="Times New Roman"/>
          <w:b/>
          <w:spacing w:val="0"/>
          <w:sz w:val="18"/>
          <w:szCs w:val="18"/>
          <w:lang w:val="es-ES_tradnl"/>
        </w:rPr>
        <w:t>.</w:t>
      </w:r>
    </w:p>
    <w:p w:rsidR="00C5437A" w:rsidRPr="003F3833" w:rsidRDefault="00C5437A" w:rsidP="002766E9">
      <w:pPr>
        <w:pBdr>
          <w:left w:val="single" w:sz="4" w:space="4" w:color="auto"/>
        </w:pBdr>
        <w:jc w:val="both"/>
        <w:rPr>
          <w:b/>
          <w:spacing w:val="0"/>
          <w:sz w:val="18"/>
          <w:szCs w:val="18"/>
          <w:lang w:val="es-ES_tradnl"/>
        </w:rPr>
      </w:pPr>
      <w:r w:rsidRPr="00C92AB3">
        <w:rPr>
          <w:b/>
          <w:spacing w:val="0"/>
          <w:sz w:val="18"/>
          <w:szCs w:val="18"/>
          <w:lang w:val="es-CO"/>
        </w:rPr>
        <w:t>2.2.5. Mayoristas extranjeros:</w:t>
      </w:r>
      <w:r w:rsidRPr="00C92AB3">
        <w:rPr>
          <w:rFonts w:cs="Times New Roman"/>
          <w:spacing w:val="0"/>
          <w:sz w:val="18"/>
          <w:szCs w:val="18"/>
          <w:lang w:val="es-ES_tradnl"/>
        </w:rPr>
        <w:t xml:space="preserve"> </w:t>
      </w:r>
      <w:r w:rsidRPr="00C92AB3">
        <w:rPr>
          <w:b/>
          <w:spacing w:val="0"/>
          <w:sz w:val="18"/>
          <w:szCs w:val="18"/>
          <w:lang w:val="es-ES_tradnl"/>
        </w:rPr>
        <w:t xml:space="preserve">depósitos de agentes extranjeros, ya sean personas naturales (incluyendo cónsules y diplomáticos) o jurídicas, o vehículos de ahorro e inversión de agentes extranjeros cuyo saldo sea superior a 220 </w:t>
      </w:r>
      <w:r w:rsidR="00BE31BB" w:rsidRPr="00C92AB3">
        <w:rPr>
          <w:b/>
          <w:spacing w:val="0"/>
          <w:sz w:val="18"/>
          <w:szCs w:val="18"/>
          <w:lang w:val="es-ES_tradnl"/>
        </w:rPr>
        <w:t>SMLMV</w:t>
      </w:r>
      <w:r w:rsidR="00183948" w:rsidRPr="00C92AB3">
        <w:rPr>
          <w:b/>
          <w:spacing w:val="0"/>
          <w:sz w:val="18"/>
          <w:szCs w:val="18"/>
          <w:lang w:val="es-ES_tradnl"/>
        </w:rPr>
        <w:t xml:space="preserve"> del año correspondiente</w:t>
      </w:r>
      <w:r w:rsidRPr="00C92AB3">
        <w:rPr>
          <w:b/>
          <w:spacing w:val="0"/>
          <w:sz w:val="18"/>
          <w:szCs w:val="18"/>
          <w:lang w:val="es-ES_tradnl"/>
        </w:rPr>
        <w:t>. (Incluye el valor de los saldos de inversión extranjera que se encuentre en depósitos).</w:t>
      </w:r>
    </w:p>
    <w:p w:rsidR="00135C24" w:rsidRDefault="00135C24" w:rsidP="002766E9">
      <w:pPr>
        <w:pBdr>
          <w:left w:val="single" w:sz="4" w:space="4" w:color="auto"/>
        </w:pBdr>
        <w:jc w:val="both"/>
        <w:rPr>
          <w:b/>
          <w:spacing w:val="0"/>
          <w:sz w:val="18"/>
          <w:szCs w:val="18"/>
          <w:lang w:val="es-ES_tradnl"/>
        </w:rPr>
      </w:pPr>
      <w:r>
        <w:rPr>
          <w:b/>
          <w:spacing w:val="0"/>
          <w:sz w:val="18"/>
          <w:szCs w:val="18"/>
          <w:lang w:val="es-CO"/>
        </w:rPr>
        <w:t xml:space="preserve">2.2.6. </w:t>
      </w:r>
      <w:r w:rsidR="00C5437A">
        <w:rPr>
          <w:b/>
          <w:spacing w:val="0"/>
          <w:sz w:val="18"/>
          <w:szCs w:val="18"/>
          <w:lang w:val="es-CO"/>
        </w:rPr>
        <w:t>M</w:t>
      </w:r>
      <w:r w:rsidR="0068019F">
        <w:rPr>
          <w:b/>
          <w:spacing w:val="0"/>
          <w:sz w:val="18"/>
          <w:szCs w:val="18"/>
          <w:lang w:val="es-CO"/>
        </w:rPr>
        <w:t>ayoristas sector real y personas naturales grandes</w:t>
      </w:r>
      <w:r w:rsidR="00C5437A">
        <w:rPr>
          <w:b/>
          <w:spacing w:val="0"/>
          <w:sz w:val="18"/>
          <w:szCs w:val="18"/>
          <w:lang w:val="es-CO"/>
        </w:rPr>
        <w:t xml:space="preserve">: </w:t>
      </w:r>
      <w:r w:rsidR="00C5437A" w:rsidRPr="00C5437A">
        <w:rPr>
          <w:b/>
          <w:spacing w:val="0"/>
          <w:sz w:val="18"/>
          <w:szCs w:val="18"/>
          <w:lang w:val="es-ES_tradnl"/>
        </w:rPr>
        <w:t xml:space="preserve">depósitos de personas naturales y jurídicas con depósitos </w:t>
      </w:r>
      <w:r w:rsidR="00C5437A">
        <w:rPr>
          <w:b/>
          <w:spacing w:val="0"/>
          <w:sz w:val="18"/>
          <w:szCs w:val="18"/>
          <w:lang w:val="es-ES_tradnl"/>
        </w:rPr>
        <w:t xml:space="preserve">cuyo saldo sea </w:t>
      </w:r>
      <w:r w:rsidR="00C5437A" w:rsidRPr="00C5437A">
        <w:rPr>
          <w:b/>
          <w:spacing w:val="0"/>
          <w:sz w:val="18"/>
          <w:szCs w:val="18"/>
          <w:lang w:val="es-ES_tradnl"/>
        </w:rPr>
        <w:t xml:space="preserve">superior a 220 </w:t>
      </w:r>
      <w:r w:rsidR="00BE31BB">
        <w:rPr>
          <w:b/>
          <w:spacing w:val="0"/>
          <w:sz w:val="18"/>
          <w:szCs w:val="18"/>
          <w:lang w:val="es-ES_tradnl"/>
        </w:rPr>
        <w:t>SMLMV</w:t>
      </w:r>
      <w:r w:rsidR="00C5437A" w:rsidRPr="00C5437A">
        <w:rPr>
          <w:b/>
          <w:spacing w:val="0"/>
          <w:sz w:val="18"/>
          <w:szCs w:val="18"/>
          <w:lang w:val="es-ES_tradnl"/>
        </w:rPr>
        <w:t xml:space="preserve"> </w:t>
      </w:r>
      <w:r w:rsidR="00183948">
        <w:rPr>
          <w:b/>
          <w:spacing w:val="0"/>
          <w:sz w:val="18"/>
          <w:szCs w:val="18"/>
          <w:lang w:val="es-ES_tradnl"/>
        </w:rPr>
        <w:t xml:space="preserve">del año correspondiente </w:t>
      </w:r>
      <w:r w:rsidR="004D71E0">
        <w:rPr>
          <w:b/>
          <w:spacing w:val="0"/>
          <w:sz w:val="18"/>
          <w:szCs w:val="18"/>
          <w:lang w:val="es-ES_tradnl"/>
        </w:rPr>
        <w:t xml:space="preserve">y que </w:t>
      </w:r>
      <w:r w:rsidR="00C5437A" w:rsidRPr="00C5437A">
        <w:rPr>
          <w:b/>
          <w:spacing w:val="0"/>
          <w:sz w:val="18"/>
          <w:szCs w:val="18"/>
          <w:lang w:val="es-ES_tradnl"/>
        </w:rPr>
        <w:t xml:space="preserve">no </w:t>
      </w:r>
      <w:r w:rsidR="004D71E0">
        <w:rPr>
          <w:b/>
          <w:spacing w:val="0"/>
          <w:sz w:val="18"/>
          <w:szCs w:val="18"/>
          <w:lang w:val="es-ES_tradnl"/>
        </w:rPr>
        <w:t>hagan parte de</w:t>
      </w:r>
      <w:r w:rsidR="00C5437A" w:rsidRPr="00C5437A">
        <w:rPr>
          <w:b/>
          <w:spacing w:val="0"/>
          <w:sz w:val="18"/>
          <w:szCs w:val="18"/>
          <w:lang w:val="es-ES_tradnl"/>
        </w:rPr>
        <w:t xml:space="preserve"> </w:t>
      </w:r>
      <w:r w:rsidR="00C5437A">
        <w:rPr>
          <w:b/>
          <w:spacing w:val="0"/>
          <w:sz w:val="18"/>
          <w:szCs w:val="18"/>
          <w:lang w:val="es-ES_tradnl"/>
        </w:rPr>
        <w:t>alguna de las categorías anteriores.</w:t>
      </w:r>
    </w:p>
    <w:p w:rsidR="00C5437A" w:rsidRPr="003F3833" w:rsidRDefault="00C5437A" w:rsidP="002766E9">
      <w:pPr>
        <w:pBdr>
          <w:left w:val="single" w:sz="4" w:space="4" w:color="auto"/>
        </w:pBdr>
        <w:jc w:val="both"/>
        <w:rPr>
          <w:b/>
          <w:spacing w:val="0"/>
          <w:sz w:val="18"/>
          <w:szCs w:val="18"/>
          <w:lang w:val="es-ES_tradnl"/>
        </w:rPr>
      </w:pPr>
      <w:r>
        <w:rPr>
          <w:b/>
          <w:spacing w:val="0"/>
          <w:sz w:val="18"/>
          <w:szCs w:val="18"/>
          <w:lang w:val="es-ES_tradnl"/>
        </w:rPr>
        <w:t xml:space="preserve">2.2.7. </w:t>
      </w:r>
      <w:r w:rsidR="000D6167">
        <w:rPr>
          <w:b/>
          <w:spacing w:val="0"/>
          <w:sz w:val="18"/>
          <w:szCs w:val="18"/>
          <w:lang w:val="es-ES_tradnl"/>
        </w:rPr>
        <w:t>Depósitos</w:t>
      </w:r>
      <w:r>
        <w:rPr>
          <w:b/>
          <w:spacing w:val="0"/>
          <w:sz w:val="18"/>
          <w:szCs w:val="18"/>
          <w:lang w:val="es-ES_tradnl"/>
        </w:rPr>
        <w:t xml:space="preserve"> judiciales y otros: </w:t>
      </w:r>
      <w:r w:rsidRPr="00C5437A">
        <w:rPr>
          <w:b/>
          <w:spacing w:val="0"/>
          <w:sz w:val="18"/>
          <w:szCs w:val="18"/>
          <w:lang w:val="es-ES_tradnl"/>
        </w:rPr>
        <w:t>depósitos judiciales de personas naturales y jurídicas</w:t>
      </w:r>
      <w:r>
        <w:rPr>
          <w:b/>
          <w:spacing w:val="0"/>
          <w:sz w:val="18"/>
          <w:szCs w:val="18"/>
          <w:lang w:val="es-ES_tradnl"/>
        </w:rPr>
        <w:t xml:space="preserve"> y otros depósitos cuyo saldo sea inferior o igual a 220 </w:t>
      </w:r>
      <w:r w:rsidR="00BE31BB">
        <w:rPr>
          <w:b/>
          <w:spacing w:val="0"/>
          <w:sz w:val="18"/>
          <w:szCs w:val="18"/>
          <w:lang w:val="es-ES_tradnl"/>
        </w:rPr>
        <w:t>SMLMV</w:t>
      </w:r>
      <w:r>
        <w:rPr>
          <w:b/>
          <w:spacing w:val="0"/>
          <w:sz w:val="18"/>
          <w:szCs w:val="18"/>
          <w:lang w:val="es-ES_tradnl"/>
        </w:rPr>
        <w:t xml:space="preserve"> </w:t>
      </w:r>
      <w:r w:rsidR="00183948">
        <w:rPr>
          <w:b/>
          <w:spacing w:val="0"/>
          <w:sz w:val="18"/>
          <w:szCs w:val="18"/>
          <w:lang w:val="es-ES_tradnl"/>
        </w:rPr>
        <w:t xml:space="preserve">del año correspondiente </w:t>
      </w:r>
      <w:r w:rsidR="004D71E0">
        <w:rPr>
          <w:b/>
          <w:spacing w:val="0"/>
          <w:sz w:val="18"/>
          <w:szCs w:val="18"/>
          <w:lang w:val="es-ES_tradnl"/>
        </w:rPr>
        <w:t xml:space="preserve">y que </w:t>
      </w:r>
      <w:r w:rsidR="004D71E0" w:rsidRPr="00C5437A">
        <w:rPr>
          <w:b/>
          <w:spacing w:val="0"/>
          <w:sz w:val="18"/>
          <w:szCs w:val="18"/>
          <w:lang w:val="es-ES_tradnl"/>
        </w:rPr>
        <w:t xml:space="preserve">no </w:t>
      </w:r>
      <w:r w:rsidR="004D71E0">
        <w:rPr>
          <w:b/>
          <w:spacing w:val="0"/>
          <w:sz w:val="18"/>
          <w:szCs w:val="18"/>
          <w:lang w:val="es-ES_tradnl"/>
        </w:rPr>
        <w:t>hagan parte de</w:t>
      </w:r>
      <w:r w:rsidR="004D71E0" w:rsidRPr="00C5437A">
        <w:rPr>
          <w:b/>
          <w:spacing w:val="0"/>
          <w:sz w:val="18"/>
          <w:szCs w:val="18"/>
          <w:lang w:val="es-ES_tradnl"/>
        </w:rPr>
        <w:t xml:space="preserve"> </w:t>
      </w:r>
      <w:r>
        <w:rPr>
          <w:b/>
          <w:spacing w:val="0"/>
          <w:sz w:val="18"/>
          <w:szCs w:val="18"/>
          <w:lang w:val="es-ES_tradnl"/>
        </w:rPr>
        <w:t>alguna de las categorías anteriores.</w:t>
      </w:r>
    </w:p>
    <w:p w:rsidR="00135C24" w:rsidRDefault="00135C24" w:rsidP="00CD1E7F">
      <w:pPr>
        <w:jc w:val="both"/>
        <w:rPr>
          <w:b/>
          <w:spacing w:val="0"/>
          <w:sz w:val="18"/>
          <w:szCs w:val="18"/>
          <w:lang w:val="es-CO"/>
        </w:rPr>
      </w:pPr>
    </w:p>
    <w:p w:rsidR="00CD1E7F" w:rsidRPr="007D1C11" w:rsidRDefault="00CD1E7F" w:rsidP="002766E9">
      <w:pPr>
        <w:pBdr>
          <w:left w:val="single" w:sz="4" w:space="4" w:color="auto"/>
        </w:pBdr>
        <w:jc w:val="both"/>
        <w:rPr>
          <w:spacing w:val="0"/>
          <w:sz w:val="18"/>
          <w:szCs w:val="18"/>
          <w:lang w:val="es-CO"/>
        </w:rPr>
      </w:pPr>
      <w:r w:rsidRPr="007D1C11">
        <w:rPr>
          <w:spacing w:val="0"/>
          <w:sz w:val="18"/>
          <w:szCs w:val="18"/>
          <w:lang w:val="es-CO"/>
        </w:rPr>
        <w:t xml:space="preserve">El procedimiento a seguir para la estimación del flujo neto que no obedece a vencimientos contractuales </w:t>
      </w:r>
      <w:r w:rsidR="004D71E0" w:rsidRPr="003F3833">
        <w:rPr>
          <w:b/>
          <w:spacing w:val="0"/>
          <w:sz w:val="18"/>
          <w:szCs w:val="18"/>
          <w:lang w:val="es-CO"/>
        </w:rPr>
        <w:t>para cada una de las anteriores categorías</w:t>
      </w:r>
      <w:r w:rsidR="004D71E0">
        <w:rPr>
          <w:spacing w:val="0"/>
          <w:sz w:val="18"/>
          <w:szCs w:val="18"/>
          <w:lang w:val="es-CO"/>
        </w:rPr>
        <w:t xml:space="preserve"> </w:t>
      </w:r>
      <w:r w:rsidRPr="007D1C11">
        <w:rPr>
          <w:spacing w:val="0"/>
          <w:sz w:val="18"/>
          <w:szCs w:val="18"/>
          <w:lang w:val="es-CO"/>
        </w:rPr>
        <w:t>es el siguiente:</w:t>
      </w:r>
    </w:p>
    <w:p w:rsidR="00CD1E7F" w:rsidRPr="005B1166" w:rsidRDefault="00CD1E7F" w:rsidP="00CD1E7F">
      <w:pPr>
        <w:jc w:val="both"/>
        <w:rPr>
          <w:b/>
          <w:spacing w:val="0"/>
          <w:sz w:val="18"/>
          <w:szCs w:val="18"/>
          <w:lang w:val="es-CO"/>
        </w:rPr>
      </w:pPr>
    </w:p>
    <w:p w:rsidR="00D55848" w:rsidRDefault="000D6167" w:rsidP="002766E9">
      <w:pPr>
        <w:numPr>
          <w:ilvl w:val="0"/>
          <w:numId w:val="35"/>
        </w:numPr>
        <w:pBdr>
          <w:left w:val="single" w:sz="4" w:space="4" w:color="auto"/>
        </w:pBdr>
        <w:jc w:val="both"/>
        <w:rPr>
          <w:b/>
          <w:spacing w:val="0"/>
          <w:sz w:val="18"/>
          <w:szCs w:val="18"/>
          <w:lang w:val="es-CO"/>
        </w:rPr>
        <w:sectPr w:rsidR="00D55848" w:rsidSect="00CD1E7F">
          <w:headerReference w:type="default" r:id="rId9"/>
          <w:footerReference w:type="default" r:id="rId10"/>
          <w:pgSz w:w="12242" w:h="18722" w:code="14"/>
          <w:pgMar w:top="1701" w:right="1418" w:bottom="1418" w:left="1701" w:header="567" w:footer="1418" w:gutter="0"/>
          <w:paperSrc w:first="2" w:other="2"/>
          <w:pgNumType w:start="3"/>
          <w:cols w:space="720"/>
          <w:docGrid w:linePitch="381"/>
        </w:sectPr>
      </w:pPr>
      <w:r w:rsidRPr="007B08A5">
        <w:rPr>
          <w:b/>
          <w:spacing w:val="0"/>
          <w:sz w:val="18"/>
          <w:szCs w:val="18"/>
          <w:lang w:val="es-CO"/>
        </w:rPr>
        <w:t xml:space="preserve">Calcular la serie diaria de variaciones </w:t>
      </w:r>
      <w:r w:rsidR="006F4A9F" w:rsidRPr="00AC4719">
        <w:rPr>
          <w:b/>
          <w:spacing w:val="0"/>
          <w:sz w:val="18"/>
          <w:szCs w:val="18"/>
          <w:lang w:val="es-CO"/>
        </w:rPr>
        <w:t xml:space="preserve">porcentuales </w:t>
      </w:r>
      <w:r w:rsidRPr="00AC4719">
        <w:rPr>
          <w:b/>
          <w:spacing w:val="0"/>
          <w:sz w:val="18"/>
          <w:szCs w:val="18"/>
          <w:lang w:val="es-CO"/>
        </w:rPr>
        <w:t xml:space="preserve">a 30 días calendario de los saldos de los </w:t>
      </w:r>
      <w:r w:rsidRPr="002766E9">
        <w:rPr>
          <w:b/>
          <w:spacing w:val="0"/>
          <w:sz w:val="18"/>
          <w:szCs w:val="18"/>
          <w:lang w:val="es-CO"/>
        </w:rPr>
        <w:t>depósitos en</w:t>
      </w:r>
      <w:r w:rsidR="00CD1E7F" w:rsidRPr="002766E9">
        <w:rPr>
          <w:b/>
          <w:spacing w:val="0"/>
          <w:sz w:val="18"/>
          <w:szCs w:val="18"/>
          <w:lang w:val="es-CO"/>
        </w:rPr>
        <w:t xml:space="preserve"> las Cuentas Corrientes,</w:t>
      </w:r>
      <w:r w:rsidR="006B68A5" w:rsidRPr="002766E9">
        <w:rPr>
          <w:b/>
          <w:spacing w:val="0"/>
          <w:sz w:val="18"/>
          <w:szCs w:val="18"/>
          <w:lang w:val="es-CO"/>
        </w:rPr>
        <w:t xml:space="preserve"> los Depósitos Simples,</w:t>
      </w:r>
      <w:r w:rsidR="00CD1E7F" w:rsidRPr="002766E9">
        <w:rPr>
          <w:b/>
          <w:spacing w:val="0"/>
          <w:sz w:val="18"/>
          <w:szCs w:val="18"/>
          <w:lang w:val="es-CO"/>
        </w:rPr>
        <w:t xml:space="preserve"> </w:t>
      </w:r>
      <w:r w:rsidR="006B68A5" w:rsidRPr="002766E9">
        <w:rPr>
          <w:b/>
          <w:spacing w:val="0"/>
          <w:sz w:val="18"/>
          <w:szCs w:val="18"/>
          <w:lang w:val="es-CO"/>
        </w:rPr>
        <w:t>los Depósitos</w:t>
      </w:r>
      <w:r w:rsidR="00CD1E7F" w:rsidRPr="002766E9">
        <w:rPr>
          <w:b/>
          <w:spacing w:val="0"/>
          <w:sz w:val="18"/>
          <w:szCs w:val="18"/>
          <w:lang w:val="es-CO"/>
        </w:rPr>
        <w:t xml:space="preserve"> de Ahorro</w:t>
      </w:r>
      <w:r w:rsidR="006B68A5" w:rsidRPr="002766E9">
        <w:rPr>
          <w:b/>
          <w:spacing w:val="0"/>
          <w:sz w:val="18"/>
          <w:szCs w:val="18"/>
          <w:lang w:val="es-CO"/>
        </w:rPr>
        <w:t xml:space="preserve">, </w:t>
      </w:r>
      <w:r w:rsidR="00E4266C" w:rsidRPr="002766E9">
        <w:rPr>
          <w:b/>
          <w:spacing w:val="0"/>
          <w:sz w:val="18"/>
          <w:szCs w:val="18"/>
          <w:lang w:val="es-CO"/>
        </w:rPr>
        <w:t xml:space="preserve">los Documentos por Pagar, las Cuentas Centralizadas, los Fondos en Fideicomiso y Cuentas Especiales, </w:t>
      </w:r>
      <w:r w:rsidR="00AC4719" w:rsidRPr="002766E9">
        <w:rPr>
          <w:b/>
          <w:spacing w:val="0"/>
          <w:sz w:val="18"/>
          <w:szCs w:val="18"/>
          <w:lang w:val="es-CO"/>
        </w:rPr>
        <w:t xml:space="preserve">Bancos y Corresponsales, </w:t>
      </w:r>
      <w:r w:rsidR="00DE1E91" w:rsidRPr="002766E9">
        <w:rPr>
          <w:b/>
          <w:spacing w:val="0"/>
          <w:sz w:val="18"/>
          <w:szCs w:val="18"/>
          <w:lang w:val="es-CO"/>
        </w:rPr>
        <w:t xml:space="preserve">los Depósitos </w:t>
      </w:r>
      <w:r w:rsidR="00FD6F8A" w:rsidRPr="002766E9">
        <w:rPr>
          <w:b/>
          <w:spacing w:val="0"/>
          <w:sz w:val="18"/>
          <w:szCs w:val="18"/>
          <w:lang w:val="es-CO"/>
        </w:rPr>
        <w:t>Especiales</w:t>
      </w:r>
      <w:r w:rsidR="00AC4719" w:rsidRPr="002766E9">
        <w:rPr>
          <w:b/>
          <w:spacing w:val="0"/>
          <w:sz w:val="18"/>
          <w:szCs w:val="18"/>
          <w:lang w:val="es-CO"/>
        </w:rPr>
        <w:t>, las Exigibilidades por Servicios, los Servicios de Recaudo, los Establecimientos Afiliados</w:t>
      </w:r>
      <w:r w:rsidR="007B08A5" w:rsidRPr="002766E9">
        <w:rPr>
          <w:b/>
          <w:spacing w:val="0"/>
          <w:sz w:val="18"/>
          <w:szCs w:val="18"/>
          <w:lang w:val="es-CO"/>
        </w:rPr>
        <w:t>,</w:t>
      </w:r>
      <w:r w:rsidR="00CD1E7F" w:rsidRPr="002766E9">
        <w:rPr>
          <w:b/>
          <w:spacing w:val="0"/>
          <w:sz w:val="18"/>
          <w:szCs w:val="18"/>
          <w:lang w:val="es-CO"/>
        </w:rPr>
        <w:t xml:space="preserve"> los Depósitos </w:t>
      </w:r>
      <w:r w:rsidR="00DE1E91" w:rsidRPr="002766E9">
        <w:rPr>
          <w:b/>
          <w:spacing w:val="0"/>
          <w:sz w:val="18"/>
          <w:szCs w:val="18"/>
          <w:lang w:val="es-CO"/>
        </w:rPr>
        <w:t>Electrónicos</w:t>
      </w:r>
      <w:r w:rsidR="007B08A5" w:rsidRPr="002766E9">
        <w:rPr>
          <w:b/>
          <w:spacing w:val="0"/>
          <w:sz w:val="18"/>
          <w:szCs w:val="18"/>
          <w:lang w:val="es-CO"/>
        </w:rPr>
        <w:t xml:space="preserve"> y</w:t>
      </w:r>
      <w:r w:rsidR="00CD1E7F" w:rsidRPr="002766E9">
        <w:rPr>
          <w:b/>
          <w:spacing w:val="0"/>
          <w:sz w:val="18"/>
          <w:szCs w:val="18"/>
          <w:lang w:val="es-CO"/>
        </w:rPr>
        <w:t xml:space="preserve"> </w:t>
      </w:r>
      <w:r w:rsidR="007B08A5" w:rsidRPr="002766E9">
        <w:rPr>
          <w:b/>
          <w:spacing w:val="0"/>
          <w:sz w:val="18"/>
          <w:szCs w:val="18"/>
          <w:lang w:val="es-CO"/>
        </w:rPr>
        <w:t xml:space="preserve">los Aportes Sociales </w:t>
      </w:r>
      <w:r w:rsidR="00CD1E7F" w:rsidRPr="002766E9">
        <w:rPr>
          <w:b/>
          <w:spacing w:val="0"/>
          <w:sz w:val="18"/>
          <w:szCs w:val="18"/>
          <w:lang w:val="es-CO"/>
        </w:rPr>
        <w:t xml:space="preserve">(cuentas </w:t>
      </w:r>
      <w:r w:rsidR="00183867" w:rsidRPr="002766E9">
        <w:rPr>
          <w:b/>
          <w:spacing w:val="0"/>
          <w:sz w:val="18"/>
          <w:szCs w:val="18"/>
          <w:lang w:val="es-CO"/>
        </w:rPr>
        <w:t xml:space="preserve">CUIF </w:t>
      </w:r>
      <w:r w:rsidR="00CD1E7F" w:rsidRPr="002766E9">
        <w:rPr>
          <w:b/>
          <w:spacing w:val="0"/>
          <w:sz w:val="18"/>
          <w:szCs w:val="18"/>
          <w:lang w:val="es-CO"/>
        </w:rPr>
        <w:t xml:space="preserve">2105, </w:t>
      </w:r>
      <w:r w:rsidR="006B68A5" w:rsidRPr="002766E9">
        <w:rPr>
          <w:b/>
          <w:spacing w:val="0"/>
          <w:sz w:val="18"/>
          <w:szCs w:val="18"/>
          <w:lang w:val="es-CO"/>
        </w:rPr>
        <w:t>2106</w:t>
      </w:r>
      <w:r w:rsidR="00CD1E7F" w:rsidRPr="002766E9">
        <w:rPr>
          <w:b/>
          <w:spacing w:val="0"/>
          <w:sz w:val="18"/>
          <w:szCs w:val="18"/>
          <w:lang w:val="es-CO"/>
        </w:rPr>
        <w:t xml:space="preserve">, </w:t>
      </w:r>
      <w:r w:rsidR="006B68A5" w:rsidRPr="002766E9">
        <w:rPr>
          <w:b/>
          <w:spacing w:val="0"/>
          <w:sz w:val="18"/>
          <w:szCs w:val="18"/>
          <w:lang w:val="es-CO"/>
        </w:rPr>
        <w:t xml:space="preserve">2108 </w:t>
      </w:r>
      <w:r w:rsidR="00CD1E7F" w:rsidRPr="002766E9">
        <w:rPr>
          <w:b/>
          <w:spacing w:val="0"/>
          <w:sz w:val="18"/>
          <w:szCs w:val="18"/>
          <w:lang w:val="es-CO"/>
        </w:rPr>
        <w:t xml:space="preserve">-excepto </w:t>
      </w:r>
      <w:r w:rsidR="006B68A5" w:rsidRPr="002766E9">
        <w:rPr>
          <w:b/>
          <w:spacing w:val="0"/>
          <w:sz w:val="18"/>
          <w:szCs w:val="18"/>
          <w:lang w:val="es-CO"/>
        </w:rPr>
        <w:t>210815</w:t>
      </w:r>
      <w:r w:rsidR="00CD1E7F" w:rsidRPr="002766E9">
        <w:rPr>
          <w:b/>
          <w:spacing w:val="0"/>
          <w:sz w:val="18"/>
          <w:szCs w:val="18"/>
          <w:lang w:val="es-CO"/>
        </w:rPr>
        <w:t>-</w:t>
      </w:r>
      <w:r w:rsidR="006B68A5" w:rsidRPr="002766E9">
        <w:rPr>
          <w:b/>
          <w:spacing w:val="0"/>
          <w:sz w:val="18"/>
          <w:szCs w:val="18"/>
          <w:lang w:val="es-CO"/>
        </w:rPr>
        <w:t xml:space="preserve">2109, </w:t>
      </w:r>
      <w:r w:rsidR="00E4266C" w:rsidRPr="002766E9">
        <w:rPr>
          <w:b/>
          <w:spacing w:val="0"/>
          <w:sz w:val="18"/>
          <w:szCs w:val="18"/>
          <w:lang w:val="es-CO"/>
        </w:rPr>
        <w:t xml:space="preserve">2111, 2112, 2113, </w:t>
      </w:r>
      <w:r w:rsidR="00AC4719" w:rsidRPr="002766E9">
        <w:rPr>
          <w:b/>
          <w:spacing w:val="0"/>
          <w:sz w:val="18"/>
          <w:szCs w:val="18"/>
          <w:lang w:val="es-CO"/>
        </w:rPr>
        <w:t xml:space="preserve">2115, </w:t>
      </w:r>
      <w:r w:rsidR="00FD6F8A" w:rsidRPr="002766E9">
        <w:rPr>
          <w:b/>
          <w:spacing w:val="0"/>
          <w:sz w:val="18"/>
          <w:szCs w:val="18"/>
          <w:lang w:val="es-CO"/>
        </w:rPr>
        <w:t>2116</w:t>
      </w:r>
      <w:r w:rsidR="00AC4719" w:rsidRPr="002766E9">
        <w:rPr>
          <w:b/>
          <w:spacing w:val="0"/>
          <w:sz w:val="18"/>
          <w:szCs w:val="18"/>
          <w:lang w:val="es-CO"/>
        </w:rPr>
        <w:t>,</w:t>
      </w:r>
      <w:r w:rsidR="00DE1E91" w:rsidRPr="002766E9">
        <w:rPr>
          <w:b/>
          <w:spacing w:val="0"/>
          <w:sz w:val="18"/>
          <w:szCs w:val="18"/>
          <w:lang w:val="es-CO"/>
        </w:rPr>
        <w:t xml:space="preserve"> </w:t>
      </w:r>
      <w:r w:rsidR="00AC4719" w:rsidRPr="002766E9">
        <w:rPr>
          <w:b/>
          <w:spacing w:val="0"/>
          <w:sz w:val="18"/>
          <w:szCs w:val="18"/>
          <w:lang w:val="es-CO"/>
        </w:rPr>
        <w:t>2117, 2118, 2119</w:t>
      </w:r>
      <w:r w:rsidR="007B08A5" w:rsidRPr="002766E9">
        <w:rPr>
          <w:b/>
          <w:spacing w:val="0"/>
          <w:sz w:val="18"/>
          <w:szCs w:val="18"/>
          <w:lang w:val="es-CO"/>
        </w:rPr>
        <w:t>,</w:t>
      </w:r>
      <w:r w:rsidR="00DE1E91" w:rsidRPr="002766E9">
        <w:rPr>
          <w:b/>
          <w:spacing w:val="0"/>
          <w:sz w:val="18"/>
          <w:szCs w:val="18"/>
          <w:lang w:val="es-CO"/>
        </w:rPr>
        <w:t xml:space="preserve"> 2120</w:t>
      </w:r>
      <w:r w:rsidR="007B08A5" w:rsidRPr="002766E9">
        <w:rPr>
          <w:b/>
          <w:spacing w:val="0"/>
          <w:sz w:val="18"/>
          <w:szCs w:val="18"/>
          <w:lang w:val="es-CO"/>
        </w:rPr>
        <w:t xml:space="preserve"> y</w:t>
      </w:r>
    </w:p>
    <w:p w:rsidR="00CD1E7F" w:rsidRPr="002766E9" w:rsidRDefault="007B08A5" w:rsidP="002766E9">
      <w:pPr>
        <w:numPr>
          <w:ilvl w:val="0"/>
          <w:numId w:val="35"/>
        </w:numPr>
        <w:pBdr>
          <w:left w:val="single" w:sz="4" w:space="4" w:color="auto"/>
        </w:pBdr>
        <w:jc w:val="both"/>
        <w:rPr>
          <w:b/>
          <w:spacing w:val="0"/>
          <w:sz w:val="18"/>
          <w:szCs w:val="18"/>
          <w:lang w:val="es-CO"/>
        </w:rPr>
      </w:pPr>
      <w:bookmarkStart w:id="0" w:name="_GoBack"/>
      <w:bookmarkEnd w:id="0"/>
      <w:r w:rsidRPr="002766E9">
        <w:rPr>
          <w:b/>
          <w:spacing w:val="0"/>
          <w:sz w:val="18"/>
          <w:szCs w:val="18"/>
          <w:lang w:val="es-CO"/>
        </w:rPr>
        <w:lastRenderedPageBreak/>
        <w:t xml:space="preserve"> 3115</w:t>
      </w:r>
      <w:r w:rsidR="007C2B56">
        <w:rPr>
          <w:b/>
          <w:spacing w:val="0"/>
          <w:sz w:val="18"/>
          <w:szCs w:val="18"/>
          <w:lang w:val="es-CO"/>
        </w:rPr>
        <w:t xml:space="preserve"> o sus equivalentes en el anterior Plan Único de Cuentas - PUC</w:t>
      </w:r>
      <w:r w:rsidR="00CD1E7F" w:rsidRPr="002766E9">
        <w:rPr>
          <w:b/>
          <w:spacing w:val="0"/>
          <w:sz w:val="18"/>
          <w:szCs w:val="18"/>
          <w:lang w:val="es-CO"/>
        </w:rPr>
        <w:t xml:space="preserve">), que haya </w:t>
      </w:r>
      <w:r w:rsidR="00913961" w:rsidRPr="002766E9">
        <w:rPr>
          <w:b/>
          <w:spacing w:val="0"/>
          <w:sz w:val="18"/>
          <w:szCs w:val="18"/>
          <w:lang w:val="es-CO"/>
        </w:rPr>
        <w:t xml:space="preserve">presentado </w:t>
      </w:r>
      <w:r w:rsidR="00CD1E7F" w:rsidRPr="002766E9">
        <w:rPr>
          <w:b/>
          <w:spacing w:val="0"/>
          <w:sz w:val="18"/>
          <w:szCs w:val="18"/>
          <w:lang w:val="es-CO"/>
        </w:rPr>
        <w:t>la respectiva entidad</w:t>
      </w:r>
      <w:r w:rsidR="00913961" w:rsidRPr="002766E9">
        <w:rPr>
          <w:b/>
          <w:spacing w:val="0"/>
          <w:sz w:val="18"/>
          <w:szCs w:val="18"/>
          <w:lang w:val="es-CO"/>
        </w:rPr>
        <w:t>,</w:t>
      </w:r>
      <w:r w:rsidR="00CD1E7F" w:rsidRPr="002766E9">
        <w:rPr>
          <w:b/>
          <w:spacing w:val="0"/>
          <w:sz w:val="18"/>
          <w:szCs w:val="18"/>
          <w:lang w:val="es-CO"/>
        </w:rPr>
        <w:t xml:space="preserve"> en </w:t>
      </w:r>
      <w:r w:rsidR="00052DD8" w:rsidRPr="002766E9">
        <w:rPr>
          <w:b/>
          <w:spacing w:val="0"/>
          <w:sz w:val="18"/>
          <w:szCs w:val="18"/>
          <w:lang w:val="es-CO"/>
        </w:rPr>
        <w:t xml:space="preserve">un </w:t>
      </w:r>
      <w:r w:rsidR="00CD1E7F" w:rsidRPr="002766E9">
        <w:rPr>
          <w:b/>
          <w:spacing w:val="0"/>
          <w:sz w:val="18"/>
          <w:szCs w:val="18"/>
          <w:lang w:val="es-CO"/>
        </w:rPr>
        <w:t xml:space="preserve">horizonte de tiempo comprendido entre </w:t>
      </w:r>
      <w:r w:rsidR="00052DD8" w:rsidRPr="002766E9">
        <w:rPr>
          <w:b/>
          <w:spacing w:val="0"/>
          <w:sz w:val="18"/>
          <w:szCs w:val="18"/>
          <w:lang w:val="es-CO"/>
        </w:rPr>
        <w:t>enero 1 de 2011</w:t>
      </w:r>
      <w:r w:rsidR="00CD1E7F" w:rsidRPr="002766E9">
        <w:rPr>
          <w:b/>
          <w:spacing w:val="0"/>
          <w:sz w:val="18"/>
          <w:szCs w:val="18"/>
          <w:lang w:val="es-CO"/>
        </w:rPr>
        <w:t xml:space="preserve"> y el último día </w:t>
      </w:r>
      <w:r w:rsidR="00913961" w:rsidRPr="002766E9">
        <w:rPr>
          <w:b/>
          <w:spacing w:val="0"/>
          <w:sz w:val="18"/>
          <w:szCs w:val="18"/>
          <w:lang w:val="es-CO"/>
        </w:rPr>
        <w:t>hábil de la semana</w:t>
      </w:r>
      <w:r w:rsidR="00CD1E7F" w:rsidRPr="002766E9">
        <w:rPr>
          <w:b/>
          <w:spacing w:val="0"/>
          <w:sz w:val="18"/>
          <w:szCs w:val="18"/>
          <w:lang w:val="es-CO"/>
        </w:rPr>
        <w:t xml:space="preserve"> inmediatamente anterior </w:t>
      </w:r>
      <w:r w:rsidR="00913961" w:rsidRPr="002766E9">
        <w:rPr>
          <w:b/>
          <w:spacing w:val="0"/>
          <w:sz w:val="18"/>
          <w:szCs w:val="18"/>
          <w:lang w:val="es-CO"/>
        </w:rPr>
        <w:t>a</w:t>
      </w:r>
      <w:r w:rsidR="00CD1E7F" w:rsidRPr="002766E9">
        <w:rPr>
          <w:b/>
          <w:spacing w:val="0"/>
          <w:sz w:val="18"/>
          <w:szCs w:val="18"/>
          <w:lang w:val="es-CO"/>
        </w:rPr>
        <w:t xml:space="preserve"> la fecha del reporte del riesgo de liquidez.</w:t>
      </w:r>
    </w:p>
    <w:p w:rsidR="00CD1E7F" w:rsidRPr="002766E9" w:rsidRDefault="00CD1E7F" w:rsidP="00CD1E7F">
      <w:pPr>
        <w:ind w:left="360"/>
        <w:jc w:val="both"/>
        <w:rPr>
          <w:b/>
          <w:spacing w:val="0"/>
          <w:sz w:val="18"/>
          <w:szCs w:val="18"/>
          <w:lang w:val="es-CO"/>
        </w:rPr>
      </w:pPr>
    </w:p>
    <w:p w:rsidR="00CD1E7F" w:rsidRDefault="00CD1E7F" w:rsidP="002A4706">
      <w:pPr>
        <w:pBdr>
          <w:left w:val="single" w:sz="4" w:space="4" w:color="auto"/>
        </w:pBdr>
        <w:ind w:left="360"/>
        <w:jc w:val="both"/>
        <w:rPr>
          <w:b/>
          <w:spacing w:val="0"/>
          <w:sz w:val="18"/>
          <w:szCs w:val="18"/>
          <w:lang w:val="es-CO"/>
        </w:rPr>
      </w:pPr>
      <w:r w:rsidRPr="002766E9">
        <w:rPr>
          <w:b/>
          <w:spacing w:val="0"/>
          <w:sz w:val="18"/>
          <w:szCs w:val="18"/>
          <w:lang w:val="es-CO"/>
        </w:rPr>
        <w:t xml:space="preserve">De esta forma, se define el Factor de Retiros Netos sobre depósitos y exigibilidades a la vista (FRN) </w:t>
      </w:r>
      <w:r w:rsidR="006F4A9F" w:rsidRPr="002766E9">
        <w:rPr>
          <w:b/>
          <w:spacing w:val="0"/>
          <w:sz w:val="18"/>
          <w:szCs w:val="18"/>
          <w:lang w:val="es-CO"/>
        </w:rPr>
        <w:t xml:space="preserve">para cada una de las siete (7) categorías, </w:t>
      </w:r>
      <w:r w:rsidRPr="002766E9">
        <w:rPr>
          <w:b/>
          <w:spacing w:val="0"/>
          <w:sz w:val="18"/>
          <w:szCs w:val="18"/>
          <w:lang w:val="es-CO"/>
        </w:rPr>
        <w:t xml:space="preserve">como </w:t>
      </w:r>
      <w:r w:rsidR="00092FA1" w:rsidRPr="002766E9">
        <w:rPr>
          <w:b/>
          <w:spacing w:val="0"/>
          <w:sz w:val="18"/>
          <w:szCs w:val="18"/>
          <w:lang w:val="es-CO"/>
        </w:rPr>
        <w:t>e</w:t>
      </w:r>
      <w:r w:rsidRPr="002766E9">
        <w:rPr>
          <w:b/>
          <w:spacing w:val="0"/>
          <w:sz w:val="18"/>
          <w:szCs w:val="18"/>
          <w:lang w:val="es-CO"/>
        </w:rPr>
        <w:t xml:space="preserve">l percentil </w:t>
      </w:r>
      <w:r w:rsidR="006F4A9F" w:rsidRPr="002766E9">
        <w:rPr>
          <w:b/>
          <w:spacing w:val="0"/>
          <w:sz w:val="18"/>
          <w:szCs w:val="18"/>
          <w:lang w:val="es-CO"/>
        </w:rPr>
        <w:t>1 de las variaciones</w:t>
      </w:r>
      <w:r w:rsidRPr="002766E9">
        <w:rPr>
          <w:b/>
          <w:spacing w:val="0"/>
          <w:sz w:val="18"/>
          <w:szCs w:val="18"/>
          <w:lang w:val="es-CO"/>
        </w:rPr>
        <w:t xml:space="preserve"> </w:t>
      </w:r>
      <w:r w:rsidR="006F4A9F" w:rsidRPr="002766E9">
        <w:rPr>
          <w:b/>
          <w:spacing w:val="0"/>
          <w:sz w:val="18"/>
          <w:szCs w:val="18"/>
          <w:lang w:val="es-CO"/>
        </w:rPr>
        <w:t>a las que hace referencia</w:t>
      </w:r>
      <w:r w:rsidRPr="002766E9">
        <w:rPr>
          <w:b/>
          <w:spacing w:val="0"/>
          <w:sz w:val="18"/>
          <w:szCs w:val="18"/>
          <w:lang w:val="es-CO"/>
        </w:rPr>
        <w:t xml:space="preserve"> el párrafo anterior.</w:t>
      </w:r>
    </w:p>
    <w:p w:rsidR="002A4706" w:rsidRPr="002766E9" w:rsidRDefault="002A4706" w:rsidP="002A4706">
      <w:pPr>
        <w:pBdr>
          <w:left w:val="single" w:sz="4" w:space="4" w:color="auto"/>
        </w:pBdr>
        <w:ind w:left="360"/>
        <w:jc w:val="both"/>
        <w:rPr>
          <w:b/>
          <w:spacing w:val="0"/>
          <w:sz w:val="18"/>
          <w:szCs w:val="18"/>
          <w:lang w:val="es-CO"/>
        </w:rPr>
      </w:pPr>
    </w:p>
    <w:p w:rsidR="00196CF3" w:rsidRPr="002766E9" w:rsidRDefault="00196CF3" w:rsidP="002766E9">
      <w:pPr>
        <w:pBdr>
          <w:left w:val="single" w:sz="4" w:space="4" w:color="auto"/>
        </w:pBdr>
        <w:ind w:left="360"/>
        <w:jc w:val="both"/>
        <w:rPr>
          <w:b/>
          <w:spacing w:val="0"/>
          <w:sz w:val="18"/>
          <w:szCs w:val="18"/>
          <w:lang w:val="es-CO"/>
        </w:rPr>
      </w:pPr>
      <w:r w:rsidRPr="002766E9">
        <w:rPr>
          <w:b/>
          <w:spacing w:val="0"/>
          <w:sz w:val="18"/>
          <w:szCs w:val="18"/>
          <w:lang w:val="es-CO"/>
        </w:rPr>
        <w:t xml:space="preserve">Cuando el cálculo de cada uno de los FRN resulte inferior a los siguientes porcentajes, </w:t>
      </w:r>
      <w:r w:rsidR="00FB4C15" w:rsidRPr="002766E9">
        <w:rPr>
          <w:b/>
          <w:spacing w:val="0"/>
          <w:sz w:val="18"/>
          <w:szCs w:val="18"/>
          <w:lang w:val="es-CO"/>
        </w:rPr>
        <w:t>el FRN no podrá ser menor a estos</w:t>
      </w:r>
      <w:r w:rsidRPr="002766E9">
        <w:rPr>
          <w:b/>
          <w:spacing w:val="0"/>
          <w:sz w:val="18"/>
          <w:szCs w:val="18"/>
          <w:lang w:val="es-CO"/>
        </w:rPr>
        <w:t>:</w:t>
      </w:r>
    </w:p>
    <w:p w:rsidR="00196CF3" w:rsidRDefault="00196CF3" w:rsidP="00CD1E7F">
      <w:pPr>
        <w:ind w:left="360"/>
        <w:jc w:val="both"/>
        <w:rPr>
          <w:spacing w:val="0"/>
          <w:sz w:val="18"/>
          <w:szCs w:val="18"/>
          <w:lang w:val="es-CO"/>
        </w:rPr>
      </w:pPr>
    </w:p>
    <w:p w:rsidR="00FB4C15" w:rsidRPr="00D066F9" w:rsidRDefault="00FB4C15" w:rsidP="002766E9">
      <w:pPr>
        <w:pStyle w:val="Prrafodelista"/>
        <w:numPr>
          <w:ilvl w:val="0"/>
          <w:numId w:val="39"/>
        </w:numPr>
        <w:pBdr>
          <w:left w:val="single" w:sz="4" w:space="4" w:color="auto"/>
        </w:pBdr>
        <w:jc w:val="both"/>
        <w:rPr>
          <w:b/>
          <w:spacing w:val="0"/>
          <w:sz w:val="18"/>
          <w:szCs w:val="18"/>
          <w:lang w:val="es-CO"/>
        </w:rPr>
      </w:pPr>
      <w:r w:rsidRPr="00D066F9">
        <w:rPr>
          <w:b/>
          <w:spacing w:val="0"/>
          <w:sz w:val="18"/>
          <w:szCs w:val="18"/>
          <w:lang w:val="es-CO"/>
        </w:rPr>
        <w:t xml:space="preserve">Minoristas: </w:t>
      </w:r>
      <w:r w:rsidR="0068793D">
        <w:rPr>
          <w:b/>
          <w:spacing w:val="0"/>
          <w:sz w:val="18"/>
          <w:szCs w:val="18"/>
          <w:lang w:val="es-CO"/>
        </w:rPr>
        <w:t>7</w:t>
      </w:r>
      <w:r w:rsidR="003D15DF">
        <w:rPr>
          <w:b/>
          <w:spacing w:val="0"/>
          <w:sz w:val="18"/>
          <w:szCs w:val="18"/>
          <w:lang w:val="es-CO"/>
        </w:rPr>
        <w:t>.5</w:t>
      </w:r>
      <w:r w:rsidRPr="00D066F9">
        <w:rPr>
          <w:b/>
          <w:spacing w:val="0"/>
          <w:sz w:val="18"/>
          <w:szCs w:val="18"/>
          <w:lang w:val="es-CO"/>
        </w:rPr>
        <w:t>%</w:t>
      </w:r>
    </w:p>
    <w:p w:rsidR="00FB4C15" w:rsidRPr="00D066F9" w:rsidRDefault="00FB4C15" w:rsidP="002766E9">
      <w:pPr>
        <w:pStyle w:val="Prrafodelista"/>
        <w:numPr>
          <w:ilvl w:val="0"/>
          <w:numId w:val="39"/>
        </w:numPr>
        <w:pBdr>
          <w:left w:val="single" w:sz="4" w:space="4" w:color="auto"/>
        </w:pBdr>
        <w:jc w:val="both"/>
        <w:rPr>
          <w:b/>
          <w:spacing w:val="0"/>
          <w:sz w:val="18"/>
          <w:szCs w:val="18"/>
          <w:lang w:val="es-CO"/>
        </w:rPr>
      </w:pPr>
      <w:r w:rsidRPr="00D066F9">
        <w:rPr>
          <w:b/>
          <w:spacing w:val="0"/>
          <w:sz w:val="18"/>
          <w:szCs w:val="18"/>
          <w:lang w:val="es-CO"/>
        </w:rPr>
        <w:t xml:space="preserve">PYMES y personas naturales medianas: </w:t>
      </w:r>
      <w:r w:rsidR="0068793D">
        <w:rPr>
          <w:b/>
          <w:spacing w:val="0"/>
          <w:sz w:val="18"/>
          <w:szCs w:val="18"/>
          <w:lang w:val="es-CO"/>
        </w:rPr>
        <w:t>2.5</w:t>
      </w:r>
      <w:r w:rsidRPr="00D066F9">
        <w:rPr>
          <w:b/>
          <w:spacing w:val="0"/>
          <w:sz w:val="18"/>
          <w:szCs w:val="18"/>
          <w:lang w:val="es-CO"/>
        </w:rPr>
        <w:t>%</w:t>
      </w:r>
    </w:p>
    <w:p w:rsidR="00FB4C15" w:rsidRPr="00D066F9" w:rsidRDefault="00FB4C15" w:rsidP="002766E9">
      <w:pPr>
        <w:pStyle w:val="Prrafodelista"/>
        <w:numPr>
          <w:ilvl w:val="0"/>
          <w:numId w:val="39"/>
        </w:numPr>
        <w:pBdr>
          <w:left w:val="single" w:sz="4" w:space="4" w:color="auto"/>
        </w:pBdr>
        <w:jc w:val="both"/>
        <w:rPr>
          <w:b/>
          <w:spacing w:val="0"/>
          <w:sz w:val="18"/>
          <w:szCs w:val="18"/>
          <w:lang w:val="es-CO"/>
        </w:rPr>
      </w:pPr>
      <w:r w:rsidRPr="00D066F9">
        <w:rPr>
          <w:b/>
          <w:spacing w:val="0"/>
          <w:sz w:val="18"/>
          <w:szCs w:val="18"/>
          <w:lang w:val="es-CO"/>
        </w:rPr>
        <w:t xml:space="preserve">Entidades financieras vigiladas: </w:t>
      </w:r>
      <w:r w:rsidR="0068793D">
        <w:rPr>
          <w:b/>
          <w:spacing w:val="0"/>
          <w:sz w:val="18"/>
          <w:szCs w:val="18"/>
          <w:lang w:val="es-CO"/>
        </w:rPr>
        <w:t>28</w:t>
      </w:r>
      <w:r w:rsidR="003D15DF">
        <w:rPr>
          <w:b/>
          <w:spacing w:val="0"/>
          <w:sz w:val="18"/>
          <w:szCs w:val="18"/>
          <w:lang w:val="es-CO"/>
        </w:rPr>
        <w:t>.5</w:t>
      </w:r>
      <w:r w:rsidRPr="00D066F9">
        <w:rPr>
          <w:b/>
          <w:spacing w:val="0"/>
          <w:sz w:val="18"/>
          <w:szCs w:val="18"/>
          <w:lang w:val="es-CO"/>
        </w:rPr>
        <w:t>%</w:t>
      </w:r>
    </w:p>
    <w:p w:rsidR="00FB4C15" w:rsidRPr="00D066F9" w:rsidRDefault="00FB4C15" w:rsidP="002766E9">
      <w:pPr>
        <w:pStyle w:val="Prrafodelista"/>
        <w:numPr>
          <w:ilvl w:val="0"/>
          <w:numId w:val="39"/>
        </w:numPr>
        <w:pBdr>
          <w:left w:val="single" w:sz="4" w:space="4" w:color="auto"/>
        </w:pBdr>
        <w:jc w:val="both"/>
        <w:rPr>
          <w:b/>
          <w:spacing w:val="0"/>
          <w:sz w:val="18"/>
          <w:szCs w:val="18"/>
          <w:lang w:val="es-CO"/>
        </w:rPr>
      </w:pPr>
      <w:r w:rsidRPr="00D066F9">
        <w:rPr>
          <w:b/>
          <w:spacing w:val="0"/>
          <w:sz w:val="18"/>
          <w:szCs w:val="18"/>
          <w:lang w:val="es-CO"/>
        </w:rPr>
        <w:t xml:space="preserve">Sector Gobierno no financiero: </w:t>
      </w:r>
      <w:r w:rsidR="0068793D">
        <w:rPr>
          <w:b/>
          <w:spacing w:val="0"/>
          <w:sz w:val="18"/>
          <w:szCs w:val="18"/>
          <w:lang w:val="es-CO"/>
        </w:rPr>
        <w:t>19</w:t>
      </w:r>
      <w:r w:rsidR="003D15DF">
        <w:rPr>
          <w:b/>
          <w:spacing w:val="0"/>
          <w:sz w:val="18"/>
          <w:szCs w:val="18"/>
          <w:lang w:val="es-CO"/>
        </w:rPr>
        <w:t>.5</w:t>
      </w:r>
      <w:r w:rsidRPr="00D066F9">
        <w:rPr>
          <w:b/>
          <w:spacing w:val="0"/>
          <w:sz w:val="18"/>
          <w:szCs w:val="18"/>
          <w:lang w:val="es-CO"/>
        </w:rPr>
        <w:t>%</w:t>
      </w:r>
    </w:p>
    <w:p w:rsidR="00FB4C15" w:rsidRPr="00D066F9" w:rsidRDefault="00FB4C15" w:rsidP="002766E9">
      <w:pPr>
        <w:pStyle w:val="Prrafodelista"/>
        <w:numPr>
          <w:ilvl w:val="0"/>
          <w:numId w:val="39"/>
        </w:numPr>
        <w:pBdr>
          <w:left w:val="single" w:sz="4" w:space="4" w:color="auto"/>
        </w:pBdr>
        <w:jc w:val="both"/>
        <w:rPr>
          <w:b/>
          <w:spacing w:val="0"/>
          <w:sz w:val="18"/>
          <w:szCs w:val="18"/>
          <w:lang w:val="es-ES_tradnl"/>
        </w:rPr>
      </w:pPr>
      <w:r w:rsidRPr="00D066F9">
        <w:rPr>
          <w:b/>
          <w:spacing w:val="0"/>
          <w:sz w:val="18"/>
          <w:szCs w:val="18"/>
          <w:lang w:val="es-CO"/>
        </w:rPr>
        <w:t>Mayoristas extranjeros:</w:t>
      </w:r>
      <w:r w:rsidRPr="00D066F9">
        <w:rPr>
          <w:rFonts w:cs="Times New Roman"/>
          <w:spacing w:val="0"/>
          <w:sz w:val="18"/>
          <w:szCs w:val="18"/>
          <w:lang w:val="es-ES_tradnl"/>
        </w:rPr>
        <w:t xml:space="preserve"> </w:t>
      </w:r>
      <w:r w:rsidR="0068793D">
        <w:rPr>
          <w:b/>
          <w:spacing w:val="0"/>
          <w:sz w:val="18"/>
          <w:szCs w:val="18"/>
          <w:lang w:val="es-ES_tradnl"/>
        </w:rPr>
        <w:t>22</w:t>
      </w:r>
      <w:r w:rsidRPr="00D066F9">
        <w:rPr>
          <w:b/>
          <w:spacing w:val="0"/>
          <w:sz w:val="18"/>
          <w:szCs w:val="18"/>
          <w:lang w:val="es-ES_tradnl"/>
        </w:rPr>
        <w:t>%</w:t>
      </w:r>
    </w:p>
    <w:p w:rsidR="00FB4C15" w:rsidRPr="00D066F9" w:rsidRDefault="00FB4C15" w:rsidP="002766E9">
      <w:pPr>
        <w:pStyle w:val="Prrafodelista"/>
        <w:numPr>
          <w:ilvl w:val="0"/>
          <w:numId w:val="39"/>
        </w:numPr>
        <w:pBdr>
          <w:left w:val="single" w:sz="4" w:space="4" w:color="auto"/>
        </w:pBdr>
        <w:jc w:val="both"/>
        <w:rPr>
          <w:b/>
          <w:spacing w:val="0"/>
          <w:sz w:val="18"/>
          <w:szCs w:val="18"/>
          <w:lang w:val="es-ES_tradnl"/>
        </w:rPr>
      </w:pPr>
      <w:r w:rsidRPr="00D066F9">
        <w:rPr>
          <w:b/>
          <w:spacing w:val="0"/>
          <w:sz w:val="18"/>
          <w:szCs w:val="18"/>
          <w:lang w:val="es-CO"/>
        </w:rPr>
        <w:t xml:space="preserve">Mayoristas sector real y personas naturales grandes: </w:t>
      </w:r>
      <w:r w:rsidR="0068793D">
        <w:rPr>
          <w:b/>
          <w:spacing w:val="0"/>
          <w:sz w:val="18"/>
          <w:szCs w:val="18"/>
          <w:lang w:val="es-ES_tradnl"/>
        </w:rPr>
        <w:t>11</w:t>
      </w:r>
      <w:r w:rsidRPr="00D066F9">
        <w:rPr>
          <w:b/>
          <w:spacing w:val="0"/>
          <w:sz w:val="18"/>
          <w:szCs w:val="18"/>
          <w:lang w:val="es-ES_tradnl"/>
        </w:rPr>
        <w:t>%</w:t>
      </w:r>
    </w:p>
    <w:p w:rsidR="00196CF3" w:rsidRPr="00D066F9" w:rsidRDefault="00FB4C15" w:rsidP="002766E9">
      <w:pPr>
        <w:pStyle w:val="Prrafodelista"/>
        <w:numPr>
          <w:ilvl w:val="0"/>
          <w:numId w:val="39"/>
        </w:numPr>
        <w:pBdr>
          <w:left w:val="single" w:sz="4" w:space="4" w:color="auto"/>
        </w:pBdr>
        <w:jc w:val="both"/>
        <w:rPr>
          <w:spacing w:val="0"/>
          <w:sz w:val="18"/>
          <w:szCs w:val="18"/>
          <w:lang w:val="es-CO"/>
        </w:rPr>
      </w:pPr>
      <w:r w:rsidRPr="00D066F9">
        <w:rPr>
          <w:b/>
          <w:spacing w:val="0"/>
          <w:sz w:val="18"/>
          <w:szCs w:val="18"/>
          <w:lang w:val="es-ES_tradnl"/>
        </w:rPr>
        <w:t xml:space="preserve">Depósitos judiciales y otros: </w:t>
      </w:r>
      <w:r w:rsidR="0068793D">
        <w:rPr>
          <w:b/>
          <w:spacing w:val="0"/>
          <w:sz w:val="18"/>
          <w:szCs w:val="18"/>
          <w:lang w:val="es-ES_tradnl"/>
        </w:rPr>
        <w:t>12.5</w:t>
      </w:r>
      <w:r w:rsidRPr="00D066F9">
        <w:rPr>
          <w:b/>
          <w:spacing w:val="0"/>
          <w:sz w:val="18"/>
          <w:szCs w:val="18"/>
          <w:lang w:val="es-ES_tradnl"/>
        </w:rPr>
        <w:t>%</w:t>
      </w:r>
    </w:p>
    <w:p w:rsidR="00196CF3" w:rsidRDefault="00196CF3" w:rsidP="00CD1E7F">
      <w:pPr>
        <w:ind w:left="360"/>
        <w:jc w:val="both"/>
        <w:rPr>
          <w:spacing w:val="0"/>
          <w:sz w:val="18"/>
          <w:szCs w:val="18"/>
          <w:lang w:val="es-CO"/>
        </w:rPr>
      </w:pPr>
    </w:p>
    <w:p w:rsidR="00CD1E7F" w:rsidRPr="002766E9" w:rsidRDefault="00FB4C15" w:rsidP="002766E9">
      <w:pPr>
        <w:pBdr>
          <w:left w:val="single" w:sz="4" w:space="4" w:color="auto"/>
        </w:pBdr>
        <w:ind w:left="360"/>
        <w:jc w:val="both"/>
        <w:rPr>
          <w:b/>
          <w:spacing w:val="0"/>
          <w:sz w:val="18"/>
          <w:szCs w:val="18"/>
          <w:lang w:val="es-CO"/>
        </w:rPr>
      </w:pPr>
      <w:r w:rsidRPr="002766E9">
        <w:rPr>
          <w:b/>
          <w:spacing w:val="0"/>
          <w:sz w:val="18"/>
          <w:szCs w:val="18"/>
          <w:lang w:val="es-CO"/>
        </w:rPr>
        <w:t xml:space="preserve">Así mismo, las entidades que se hayan constituido en los últimos 3 años (anteriores a la fecha del reporte del riesgo de liquidez) deberán utilizar los porcentajes </w:t>
      </w:r>
      <w:r w:rsidR="002D1336" w:rsidRPr="002766E9">
        <w:rPr>
          <w:b/>
          <w:spacing w:val="0"/>
          <w:sz w:val="18"/>
          <w:szCs w:val="18"/>
          <w:lang w:val="es-CO"/>
        </w:rPr>
        <w:t>previamente</w:t>
      </w:r>
      <w:r w:rsidRPr="002766E9">
        <w:rPr>
          <w:b/>
          <w:spacing w:val="0"/>
          <w:sz w:val="18"/>
          <w:szCs w:val="18"/>
          <w:lang w:val="es-CO"/>
        </w:rPr>
        <w:t xml:space="preserve"> relacionados.</w:t>
      </w:r>
    </w:p>
    <w:p w:rsidR="00CD1E7F" w:rsidRPr="001A3E3E" w:rsidRDefault="00CD1E7F" w:rsidP="00CD1E7F">
      <w:pPr>
        <w:jc w:val="both"/>
        <w:rPr>
          <w:spacing w:val="0"/>
          <w:sz w:val="18"/>
          <w:szCs w:val="18"/>
          <w:lang w:val="es-CO"/>
        </w:rPr>
      </w:pPr>
    </w:p>
    <w:p w:rsidR="00CD1E7F" w:rsidRPr="00FE4CF9" w:rsidRDefault="00CD1E7F" w:rsidP="002766E9">
      <w:pPr>
        <w:pBdr>
          <w:left w:val="single" w:sz="4" w:space="4" w:color="auto"/>
        </w:pBdr>
        <w:ind w:left="360"/>
        <w:jc w:val="both"/>
        <w:rPr>
          <w:spacing w:val="0"/>
          <w:sz w:val="18"/>
          <w:szCs w:val="18"/>
          <w:lang w:val="es-CO"/>
        </w:rPr>
      </w:pPr>
      <w:r w:rsidRPr="001A3E3E">
        <w:rPr>
          <w:spacing w:val="0"/>
          <w:sz w:val="18"/>
          <w:szCs w:val="18"/>
          <w:lang w:val="es-CO"/>
        </w:rPr>
        <w:t xml:space="preserve">Para el cálculo de </w:t>
      </w:r>
      <w:r w:rsidRPr="002766E9">
        <w:rPr>
          <w:b/>
          <w:spacing w:val="0"/>
          <w:sz w:val="18"/>
          <w:szCs w:val="18"/>
          <w:lang w:val="es-CO"/>
        </w:rPr>
        <w:t>dicho</w:t>
      </w:r>
      <w:r w:rsidR="002D1336" w:rsidRPr="002766E9">
        <w:rPr>
          <w:b/>
          <w:spacing w:val="0"/>
          <w:sz w:val="18"/>
          <w:szCs w:val="18"/>
          <w:lang w:val="es-CO"/>
        </w:rPr>
        <w:t>s</w:t>
      </w:r>
      <w:r w:rsidRPr="002766E9">
        <w:rPr>
          <w:b/>
          <w:spacing w:val="0"/>
          <w:sz w:val="18"/>
          <w:szCs w:val="18"/>
          <w:lang w:val="es-CO"/>
        </w:rPr>
        <w:t xml:space="preserve"> </w:t>
      </w:r>
      <w:r w:rsidR="002D1336" w:rsidRPr="002766E9">
        <w:rPr>
          <w:b/>
          <w:spacing w:val="0"/>
          <w:sz w:val="18"/>
          <w:szCs w:val="18"/>
          <w:lang w:val="es-CO"/>
        </w:rPr>
        <w:t>f</w:t>
      </w:r>
      <w:r w:rsidRPr="002766E9">
        <w:rPr>
          <w:b/>
          <w:spacing w:val="0"/>
          <w:sz w:val="18"/>
          <w:szCs w:val="18"/>
          <w:lang w:val="es-CO"/>
        </w:rPr>
        <w:t>actor</w:t>
      </w:r>
      <w:r w:rsidR="002D1336" w:rsidRPr="002766E9">
        <w:rPr>
          <w:b/>
          <w:spacing w:val="0"/>
          <w:sz w:val="18"/>
          <w:szCs w:val="18"/>
          <w:lang w:val="es-CO"/>
        </w:rPr>
        <w:t>es</w:t>
      </w:r>
      <w:r w:rsidRPr="001A3E3E">
        <w:rPr>
          <w:spacing w:val="0"/>
          <w:sz w:val="18"/>
          <w:szCs w:val="18"/>
          <w:lang w:val="es-CO"/>
        </w:rPr>
        <w:t xml:space="preserve"> se deben integrar en una sola base los datos de las entidades que han sido objeto de procesos de fusión, adquisiciones o conversiones en el período histórico que se considera en el análisis, cuando así corresponda, con el fin de capturar mejor la naturaleza de los clientes y depósitos de las entidades que han resultado de tales reorganizaciones.</w:t>
      </w:r>
    </w:p>
    <w:p w:rsidR="00CD1E7F" w:rsidRPr="007D1C11" w:rsidRDefault="00CD1E7F" w:rsidP="00CD1E7F">
      <w:pPr>
        <w:jc w:val="both"/>
        <w:rPr>
          <w:spacing w:val="0"/>
          <w:sz w:val="18"/>
          <w:szCs w:val="18"/>
          <w:lang w:val="es-CO"/>
        </w:rPr>
      </w:pPr>
    </w:p>
    <w:p w:rsidR="00CD1E7F" w:rsidRPr="006348CB" w:rsidRDefault="00CD1E7F" w:rsidP="002766E9">
      <w:pPr>
        <w:numPr>
          <w:ilvl w:val="0"/>
          <w:numId w:val="35"/>
        </w:numPr>
        <w:pBdr>
          <w:left w:val="single" w:sz="4" w:space="4" w:color="auto"/>
        </w:pBdr>
        <w:jc w:val="both"/>
        <w:rPr>
          <w:spacing w:val="0"/>
          <w:sz w:val="18"/>
          <w:szCs w:val="18"/>
          <w:lang w:val="es-CO"/>
        </w:rPr>
      </w:pPr>
      <w:r w:rsidRPr="006348CB">
        <w:rPr>
          <w:spacing w:val="0"/>
          <w:sz w:val="18"/>
          <w:szCs w:val="18"/>
          <w:lang w:val="es-CO"/>
        </w:rPr>
        <w:t xml:space="preserve">Calcular </w:t>
      </w:r>
      <w:r w:rsidR="00310F30" w:rsidRPr="003F3833">
        <w:rPr>
          <w:b/>
          <w:spacing w:val="0"/>
          <w:sz w:val="18"/>
          <w:szCs w:val="18"/>
          <w:lang w:val="es-CO"/>
        </w:rPr>
        <w:t>los saldos de los depósitos</w:t>
      </w:r>
      <w:r w:rsidR="00310F30">
        <w:rPr>
          <w:spacing w:val="0"/>
          <w:sz w:val="18"/>
          <w:szCs w:val="18"/>
          <w:lang w:val="es-CO"/>
        </w:rPr>
        <w:t xml:space="preserve"> </w:t>
      </w:r>
      <w:r w:rsidR="00310F30" w:rsidRPr="002766E9">
        <w:rPr>
          <w:b/>
          <w:spacing w:val="0"/>
          <w:sz w:val="18"/>
          <w:szCs w:val="18"/>
          <w:lang w:val="es-CO"/>
        </w:rPr>
        <w:t xml:space="preserve">en las Cuentas Corrientes, los Depósitos Simples, los Depósitos de Ahorro, </w:t>
      </w:r>
      <w:r w:rsidR="00E4266C" w:rsidRPr="002766E9">
        <w:rPr>
          <w:b/>
          <w:spacing w:val="0"/>
          <w:sz w:val="18"/>
          <w:szCs w:val="18"/>
          <w:lang w:val="es-CO"/>
        </w:rPr>
        <w:t xml:space="preserve">los Documentos por Pagar, las Cuentas Centralizadas, los Fondos en Fideicomiso y Cuentas Especiales, </w:t>
      </w:r>
      <w:r w:rsidR="00AC4719" w:rsidRPr="002766E9">
        <w:rPr>
          <w:b/>
          <w:spacing w:val="0"/>
          <w:sz w:val="18"/>
          <w:szCs w:val="18"/>
          <w:lang w:val="es-CO"/>
        </w:rPr>
        <w:t xml:space="preserve">Bancos y Corresponsales, </w:t>
      </w:r>
      <w:r w:rsidR="00310F30" w:rsidRPr="002766E9">
        <w:rPr>
          <w:b/>
          <w:spacing w:val="0"/>
          <w:sz w:val="18"/>
          <w:szCs w:val="18"/>
          <w:lang w:val="es-CO"/>
        </w:rPr>
        <w:t xml:space="preserve">los Depósitos </w:t>
      </w:r>
      <w:r w:rsidR="00FD6F8A" w:rsidRPr="002766E9">
        <w:rPr>
          <w:b/>
          <w:spacing w:val="0"/>
          <w:sz w:val="18"/>
          <w:szCs w:val="18"/>
          <w:lang w:val="es-CO"/>
        </w:rPr>
        <w:t>Especiales</w:t>
      </w:r>
      <w:r w:rsidR="00AC4719" w:rsidRPr="002766E9">
        <w:rPr>
          <w:b/>
          <w:spacing w:val="0"/>
          <w:sz w:val="18"/>
          <w:szCs w:val="18"/>
          <w:lang w:val="es-CO"/>
        </w:rPr>
        <w:t>, las Exigibilidades por Servicios, los Servicios de Recaudo, los Establecimientos Afiliados</w:t>
      </w:r>
      <w:r w:rsidR="007B08A5" w:rsidRPr="002766E9">
        <w:rPr>
          <w:b/>
          <w:spacing w:val="0"/>
          <w:sz w:val="18"/>
          <w:szCs w:val="18"/>
          <w:lang w:val="es-CO"/>
        </w:rPr>
        <w:t>,</w:t>
      </w:r>
      <w:r w:rsidR="00310F30" w:rsidRPr="002766E9">
        <w:rPr>
          <w:b/>
          <w:spacing w:val="0"/>
          <w:sz w:val="18"/>
          <w:szCs w:val="18"/>
          <w:lang w:val="es-CO"/>
        </w:rPr>
        <w:t xml:space="preserve"> los Depósitos Electrónicos </w:t>
      </w:r>
      <w:r w:rsidR="007B08A5" w:rsidRPr="002766E9">
        <w:rPr>
          <w:b/>
          <w:spacing w:val="0"/>
          <w:sz w:val="18"/>
          <w:szCs w:val="18"/>
          <w:lang w:val="es-CO"/>
        </w:rPr>
        <w:t xml:space="preserve"> y los Aportes Sociales </w:t>
      </w:r>
      <w:r w:rsidR="00310F30" w:rsidRPr="002766E9">
        <w:rPr>
          <w:b/>
          <w:spacing w:val="0"/>
          <w:sz w:val="18"/>
          <w:szCs w:val="18"/>
          <w:lang w:val="es-CO"/>
        </w:rPr>
        <w:t xml:space="preserve">(cuentas CUIF 2105, 2106, 2108 -excepto 210815-, </w:t>
      </w:r>
      <w:r w:rsidR="00E4266C" w:rsidRPr="002766E9">
        <w:rPr>
          <w:b/>
          <w:spacing w:val="0"/>
          <w:sz w:val="18"/>
          <w:szCs w:val="18"/>
          <w:lang w:val="es-CO"/>
        </w:rPr>
        <w:t xml:space="preserve">2111, 2112, 2113, </w:t>
      </w:r>
      <w:r w:rsidR="00AC4719" w:rsidRPr="002766E9">
        <w:rPr>
          <w:b/>
          <w:spacing w:val="0"/>
          <w:sz w:val="18"/>
          <w:szCs w:val="18"/>
          <w:lang w:val="es-CO"/>
        </w:rPr>
        <w:t xml:space="preserve">2115, </w:t>
      </w:r>
      <w:r w:rsidR="00310F30" w:rsidRPr="002766E9">
        <w:rPr>
          <w:b/>
          <w:spacing w:val="0"/>
          <w:sz w:val="18"/>
          <w:szCs w:val="18"/>
          <w:lang w:val="es-CO"/>
        </w:rPr>
        <w:t>2116</w:t>
      </w:r>
      <w:r w:rsidR="00AC4719" w:rsidRPr="002766E9">
        <w:rPr>
          <w:b/>
          <w:spacing w:val="0"/>
          <w:sz w:val="18"/>
          <w:szCs w:val="18"/>
          <w:lang w:val="es-CO"/>
        </w:rPr>
        <w:t>, 2117, 2118, 2119</w:t>
      </w:r>
      <w:r w:rsidR="007B08A5" w:rsidRPr="002766E9">
        <w:rPr>
          <w:b/>
          <w:spacing w:val="0"/>
          <w:sz w:val="18"/>
          <w:szCs w:val="18"/>
          <w:lang w:val="es-CO"/>
        </w:rPr>
        <w:t>,</w:t>
      </w:r>
      <w:r w:rsidR="00310F30" w:rsidRPr="002766E9">
        <w:rPr>
          <w:b/>
          <w:spacing w:val="0"/>
          <w:sz w:val="18"/>
          <w:szCs w:val="18"/>
          <w:lang w:val="es-CO"/>
        </w:rPr>
        <w:t xml:space="preserve"> 2120</w:t>
      </w:r>
      <w:r w:rsidR="007B08A5" w:rsidRPr="002766E9">
        <w:rPr>
          <w:b/>
          <w:spacing w:val="0"/>
          <w:sz w:val="18"/>
          <w:szCs w:val="18"/>
          <w:lang w:val="es-CO"/>
        </w:rPr>
        <w:t xml:space="preserve"> y 3115</w:t>
      </w:r>
      <w:r w:rsidR="00310F30" w:rsidRPr="002766E9">
        <w:rPr>
          <w:b/>
          <w:spacing w:val="0"/>
          <w:sz w:val="18"/>
          <w:szCs w:val="18"/>
          <w:lang w:val="es-CO"/>
        </w:rPr>
        <w:t xml:space="preserve">) </w:t>
      </w:r>
      <w:r w:rsidR="00735BA8" w:rsidRPr="002766E9">
        <w:rPr>
          <w:b/>
          <w:spacing w:val="0"/>
          <w:sz w:val="18"/>
          <w:szCs w:val="18"/>
          <w:lang w:val="es-CO"/>
        </w:rPr>
        <w:t>en cada una de</w:t>
      </w:r>
      <w:r w:rsidR="00310F30" w:rsidRPr="002766E9">
        <w:rPr>
          <w:b/>
          <w:spacing w:val="0"/>
          <w:sz w:val="18"/>
          <w:szCs w:val="18"/>
          <w:lang w:val="es-CO"/>
        </w:rPr>
        <w:t xml:space="preserve"> las categorías de depositantes descritas en los numerales 2.2.1. a 2.2.7.</w:t>
      </w:r>
    </w:p>
    <w:p w:rsidR="00CD1E7F" w:rsidRDefault="00CD1E7F" w:rsidP="00CD1E7F">
      <w:pPr>
        <w:pStyle w:val="Prrafodelista"/>
        <w:rPr>
          <w:spacing w:val="0"/>
          <w:sz w:val="18"/>
          <w:szCs w:val="18"/>
          <w:lang w:val="es-CO"/>
        </w:rPr>
      </w:pPr>
    </w:p>
    <w:p w:rsidR="00CD1E7F" w:rsidRPr="001A3E3E" w:rsidRDefault="00310F30" w:rsidP="002766E9">
      <w:pPr>
        <w:pBdr>
          <w:left w:val="single" w:sz="4" w:space="4" w:color="auto"/>
        </w:pBdr>
        <w:ind w:left="360"/>
        <w:jc w:val="both"/>
        <w:rPr>
          <w:spacing w:val="0"/>
          <w:sz w:val="18"/>
          <w:szCs w:val="18"/>
          <w:lang w:val="es-CO"/>
        </w:rPr>
      </w:pPr>
      <w:r>
        <w:rPr>
          <w:spacing w:val="0"/>
          <w:sz w:val="18"/>
          <w:szCs w:val="18"/>
          <w:lang w:val="es-CO"/>
        </w:rPr>
        <w:t xml:space="preserve">A </w:t>
      </w:r>
      <w:r w:rsidRPr="002766E9">
        <w:rPr>
          <w:b/>
          <w:spacing w:val="0"/>
          <w:sz w:val="18"/>
          <w:szCs w:val="18"/>
          <w:lang w:val="es-CO"/>
        </w:rPr>
        <w:t>los saldos antes mencionados</w:t>
      </w:r>
      <w:r>
        <w:rPr>
          <w:spacing w:val="0"/>
          <w:sz w:val="18"/>
          <w:szCs w:val="18"/>
          <w:lang w:val="es-CO"/>
        </w:rPr>
        <w:t>,</w:t>
      </w:r>
      <w:r w:rsidR="00CD1E7F" w:rsidRPr="001A3E3E">
        <w:rPr>
          <w:spacing w:val="0"/>
          <w:sz w:val="18"/>
          <w:szCs w:val="18"/>
          <w:lang w:val="es-CO"/>
        </w:rPr>
        <w:t xml:space="preserve"> </w:t>
      </w:r>
      <w:r w:rsidR="00CD1E7F" w:rsidRPr="002766E9">
        <w:rPr>
          <w:b/>
          <w:spacing w:val="0"/>
          <w:sz w:val="18"/>
          <w:szCs w:val="18"/>
          <w:lang w:val="es-CO"/>
        </w:rPr>
        <w:t>se le</w:t>
      </w:r>
      <w:r w:rsidRPr="002766E9">
        <w:rPr>
          <w:b/>
          <w:spacing w:val="0"/>
          <w:sz w:val="18"/>
          <w:szCs w:val="18"/>
          <w:lang w:val="es-CO"/>
        </w:rPr>
        <w:t>s</w:t>
      </w:r>
      <w:r w:rsidR="00CD1E7F" w:rsidRPr="001A3E3E">
        <w:rPr>
          <w:spacing w:val="0"/>
          <w:sz w:val="18"/>
          <w:szCs w:val="18"/>
          <w:lang w:val="es-CO"/>
        </w:rPr>
        <w:t xml:space="preserve"> debe aplicar el porcentaje específico de reducción mensual de los depósitos a la vista </w:t>
      </w:r>
      <w:r w:rsidR="00CD1E7F" w:rsidRPr="002766E9">
        <w:rPr>
          <w:b/>
          <w:spacing w:val="0"/>
          <w:sz w:val="18"/>
          <w:szCs w:val="18"/>
          <w:lang w:val="es-CO"/>
        </w:rPr>
        <w:t>establecido</w:t>
      </w:r>
      <w:r w:rsidRPr="002766E9">
        <w:rPr>
          <w:b/>
          <w:spacing w:val="0"/>
          <w:sz w:val="18"/>
          <w:szCs w:val="18"/>
          <w:lang w:val="es-CO"/>
        </w:rPr>
        <w:t>s</w:t>
      </w:r>
      <w:r w:rsidR="00CD1E7F" w:rsidRPr="001A3E3E">
        <w:rPr>
          <w:spacing w:val="0"/>
          <w:sz w:val="18"/>
          <w:szCs w:val="18"/>
          <w:lang w:val="es-CO"/>
        </w:rPr>
        <w:t xml:space="preserve"> en el numeral 1), en forma proporcional, en cada banda de tiempo del reporte, al número de días calendario comprendidos en la misma, teniendo en cuenta siempre un mes calendario de 30 días. Los valores resultantes serán los flujos netos que no obedecen a vencimientos contractuales, estimados para cada una de las bandas de tiempo.</w:t>
      </w:r>
    </w:p>
    <w:p w:rsidR="00CD1E7F" w:rsidRDefault="00CD1E7F" w:rsidP="00CD1E7F">
      <w:pPr>
        <w:jc w:val="both"/>
        <w:rPr>
          <w:spacing w:val="0"/>
          <w:sz w:val="18"/>
          <w:szCs w:val="18"/>
          <w:lang w:val="es-CO"/>
        </w:rPr>
      </w:pPr>
    </w:p>
    <w:p w:rsidR="00CD1E7F" w:rsidRPr="007D1C11" w:rsidRDefault="00CD1E7F" w:rsidP="00CD1E7F">
      <w:pPr>
        <w:jc w:val="both"/>
        <w:rPr>
          <w:spacing w:val="0"/>
          <w:sz w:val="18"/>
          <w:szCs w:val="18"/>
          <w:lang w:val="es-CO"/>
        </w:rPr>
      </w:pPr>
    </w:p>
    <w:p w:rsidR="00461187" w:rsidRDefault="00CD1E7F" w:rsidP="00461187">
      <w:pPr>
        <w:numPr>
          <w:ilvl w:val="1"/>
          <w:numId w:val="36"/>
        </w:numPr>
        <w:jc w:val="both"/>
        <w:rPr>
          <w:b/>
          <w:spacing w:val="0"/>
          <w:sz w:val="18"/>
          <w:szCs w:val="18"/>
          <w:lang w:val="es-CO"/>
        </w:rPr>
      </w:pPr>
      <w:r w:rsidRPr="002131F7">
        <w:rPr>
          <w:b/>
          <w:spacing w:val="0"/>
          <w:sz w:val="18"/>
          <w:szCs w:val="18"/>
          <w:lang w:val="es-CO"/>
        </w:rPr>
        <w:t>Medición de los activos líquidos ajustados por ‘liquidez de mercado’ y riesgo cambiario (ALM)</w:t>
      </w:r>
    </w:p>
    <w:p w:rsidR="00CD1E7F" w:rsidRDefault="00CD1E7F" w:rsidP="00461187">
      <w:pPr>
        <w:jc w:val="both"/>
        <w:rPr>
          <w:b/>
          <w:spacing w:val="0"/>
          <w:sz w:val="18"/>
          <w:szCs w:val="18"/>
          <w:lang w:val="es-CO"/>
        </w:rPr>
      </w:pPr>
    </w:p>
    <w:p w:rsidR="00461187" w:rsidRDefault="00461187" w:rsidP="00461187">
      <w:pPr>
        <w:jc w:val="both"/>
        <w:rPr>
          <w:b/>
          <w:spacing w:val="0"/>
          <w:sz w:val="18"/>
          <w:szCs w:val="18"/>
          <w:lang w:val="es-CO"/>
        </w:rPr>
      </w:pPr>
    </w:p>
    <w:p w:rsidR="00461187" w:rsidRDefault="00461187" w:rsidP="004F1A7B">
      <w:pPr>
        <w:jc w:val="both"/>
        <w:rPr>
          <w:b/>
          <w:spacing w:val="0"/>
          <w:sz w:val="18"/>
          <w:szCs w:val="18"/>
          <w:lang w:val="es-CO"/>
        </w:rPr>
        <w:sectPr w:rsidR="00461187" w:rsidSect="00CD1E7F">
          <w:headerReference w:type="default" r:id="rId11"/>
          <w:pgSz w:w="12242" w:h="18722" w:code="14"/>
          <w:pgMar w:top="1701" w:right="1418" w:bottom="1418" w:left="1701" w:header="567" w:footer="1418" w:gutter="0"/>
          <w:paperSrc w:first="2" w:other="2"/>
          <w:pgNumType w:start="3"/>
          <w:cols w:space="720"/>
          <w:docGrid w:linePitch="381"/>
        </w:sectPr>
      </w:pPr>
    </w:p>
    <w:p w:rsidR="004F1A7B" w:rsidRPr="001A3E3E" w:rsidRDefault="004F1A7B" w:rsidP="00F236C0">
      <w:pPr>
        <w:pBdr>
          <w:left w:val="single" w:sz="4" w:space="4" w:color="auto"/>
        </w:pBdr>
        <w:jc w:val="both"/>
        <w:rPr>
          <w:spacing w:val="0"/>
          <w:sz w:val="18"/>
          <w:szCs w:val="18"/>
          <w:lang w:val="es-CO"/>
        </w:rPr>
      </w:pPr>
      <w:r w:rsidRPr="001A3E3E">
        <w:rPr>
          <w:spacing w:val="0"/>
          <w:sz w:val="18"/>
          <w:szCs w:val="18"/>
          <w:lang w:val="es-CO"/>
        </w:rPr>
        <w:lastRenderedPageBreak/>
        <w:t xml:space="preserve">Los Activos Líquidos corresponden a la suma del disponible, las inversiones negociables en títulos de deuda, las inversiones en </w:t>
      </w:r>
      <w:r w:rsidR="0068793D" w:rsidRPr="00F236C0">
        <w:rPr>
          <w:b/>
          <w:spacing w:val="0"/>
          <w:sz w:val="18"/>
          <w:szCs w:val="18"/>
          <w:lang w:val="es-CO"/>
        </w:rPr>
        <w:t>fondos de inversión colectiva</w:t>
      </w:r>
      <w:r w:rsidRPr="00F236C0">
        <w:rPr>
          <w:b/>
          <w:spacing w:val="0"/>
          <w:sz w:val="18"/>
          <w:szCs w:val="18"/>
          <w:lang w:val="es-CO"/>
        </w:rPr>
        <w:t xml:space="preserve"> abiert</w:t>
      </w:r>
      <w:r w:rsidR="0068793D" w:rsidRPr="00F236C0">
        <w:rPr>
          <w:b/>
          <w:spacing w:val="0"/>
          <w:sz w:val="18"/>
          <w:szCs w:val="18"/>
          <w:lang w:val="es-CO"/>
        </w:rPr>
        <w:t>o</w:t>
      </w:r>
      <w:r w:rsidRPr="00F236C0">
        <w:rPr>
          <w:b/>
          <w:spacing w:val="0"/>
          <w:sz w:val="18"/>
          <w:szCs w:val="18"/>
          <w:lang w:val="es-CO"/>
        </w:rPr>
        <w:t>s</w:t>
      </w:r>
      <w:r w:rsidRPr="001A3E3E">
        <w:rPr>
          <w:spacing w:val="0"/>
          <w:sz w:val="18"/>
          <w:szCs w:val="18"/>
          <w:lang w:val="es-CO"/>
        </w:rPr>
        <w:t xml:space="preserve"> sin pacto de permanencia, las inversiones disponibles para la venta en títulos de deuda y las inversiones hasta el vencimiento, siempre que en este último caso se trate de las inversiones forzosas u obligatorias suscritas en el mercado primario y que esté permitido efectuar con ellas operaciones de mercado monetario. Adicionalmente formarán parte de los Activos Líquidos los títulos o cupones transferidos a la entidad en desarrollo de operaciones activas de mercado monetario realizadas por ésta y que no hayan sido utilizados posteriormente en operaciones pasivas en el mercado monetario.</w:t>
      </w:r>
    </w:p>
    <w:p w:rsidR="004F1A7B" w:rsidRPr="001A3E3E" w:rsidRDefault="004F1A7B" w:rsidP="004F1A7B">
      <w:pPr>
        <w:jc w:val="both"/>
        <w:rPr>
          <w:spacing w:val="0"/>
          <w:sz w:val="18"/>
          <w:szCs w:val="18"/>
          <w:lang w:val="es-CO"/>
        </w:rPr>
      </w:pPr>
    </w:p>
    <w:p w:rsidR="004F1A7B" w:rsidRPr="001A3E3E" w:rsidRDefault="004F1A7B" w:rsidP="00F236C0">
      <w:pPr>
        <w:pBdr>
          <w:left w:val="single" w:sz="4" w:space="4" w:color="auto"/>
        </w:pBdr>
        <w:jc w:val="both"/>
        <w:rPr>
          <w:spacing w:val="0"/>
          <w:sz w:val="18"/>
          <w:szCs w:val="18"/>
          <w:lang w:val="es-CO"/>
        </w:rPr>
      </w:pPr>
      <w:r w:rsidRPr="001A3E3E">
        <w:rPr>
          <w:spacing w:val="0"/>
          <w:sz w:val="18"/>
          <w:szCs w:val="18"/>
          <w:lang w:val="es-CO"/>
        </w:rPr>
        <w:t xml:space="preserve">Para efectos del cálculo de los Activos Líquidos, todas las inversiones enunciadas, sin excepción alguna, computarán </w:t>
      </w:r>
      <w:r w:rsidRPr="00F236C0">
        <w:rPr>
          <w:spacing w:val="0"/>
          <w:sz w:val="18"/>
          <w:szCs w:val="18"/>
          <w:lang w:val="es-CO"/>
        </w:rPr>
        <w:t xml:space="preserve">por su </w:t>
      </w:r>
      <w:r w:rsidR="004D1411" w:rsidRPr="00F236C0">
        <w:rPr>
          <w:b/>
          <w:spacing w:val="0"/>
          <w:sz w:val="18"/>
          <w:szCs w:val="18"/>
          <w:lang w:val="es-CO"/>
        </w:rPr>
        <w:t>valor razonable</w:t>
      </w:r>
      <w:r w:rsidRPr="00F236C0">
        <w:rPr>
          <w:b/>
          <w:spacing w:val="0"/>
          <w:sz w:val="18"/>
          <w:szCs w:val="18"/>
          <w:lang w:val="es-CO"/>
        </w:rPr>
        <w:t xml:space="preserve"> </w:t>
      </w:r>
      <w:r w:rsidRPr="00F236C0">
        <w:rPr>
          <w:spacing w:val="0"/>
          <w:sz w:val="18"/>
          <w:szCs w:val="18"/>
          <w:lang w:val="es-CO"/>
        </w:rPr>
        <w:t>en la fecha de la evaluación,</w:t>
      </w:r>
      <w:r w:rsidRPr="00F236C0">
        <w:rPr>
          <w:b/>
          <w:spacing w:val="0"/>
          <w:sz w:val="18"/>
          <w:szCs w:val="18"/>
          <w:lang w:val="es-CO"/>
        </w:rPr>
        <w:t xml:space="preserve"> </w:t>
      </w:r>
      <w:r w:rsidRPr="00F236C0">
        <w:rPr>
          <w:spacing w:val="0"/>
          <w:sz w:val="18"/>
          <w:szCs w:val="18"/>
          <w:lang w:val="es-CO"/>
        </w:rPr>
        <w:t>independientemente de su clasificación contable.</w:t>
      </w:r>
      <w:r w:rsidRPr="001A3E3E">
        <w:rPr>
          <w:spacing w:val="0"/>
          <w:sz w:val="18"/>
          <w:szCs w:val="18"/>
          <w:lang w:val="es-CO"/>
        </w:rPr>
        <w:t xml:space="preserve"> Esto implica que en ningún caso las inversiones que conforman los activos líquidos habrán de computar por el resultado de su valoración con la tasa facial o Tasa Interna de Retorno de la fecha de compra (como ocurre con las </w:t>
      </w:r>
      <w:r w:rsidRPr="00F236C0">
        <w:rPr>
          <w:spacing w:val="0"/>
          <w:sz w:val="18"/>
          <w:szCs w:val="18"/>
          <w:lang w:val="es-CO"/>
        </w:rPr>
        <w:t xml:space="preserve">inversiones clasificadas </w:t>
      </w:r>
      <w:r w:rsidR="00EF5F27" w:rsidRPr="00F236C0">
        <w:rPr>
          <w:b/>
          <w:spacing w:val="0"/>
          <w:sz w:val="18"/>
          <w:szCs w:val="18"/>
          <w:lang w:val="es-CO"/>
        </w:rPr>
        <w:t>h</w:t>
      </w:r>
      <w:r w:rsidRPr="00F236C0">
        <w:rPr>
          <w:spacing w:val="0"/>
          <w:sz w:val="18"/>
          <w:szCs w:val="18"/>
          <w:lang w:val="es-CO"/>
        </w:rPr>
        <w:t xml:space="preserve">asta el </w:t>
      </w:r>
      <w:r w:rsidR="00EF5F27" w:rsidRPr="00F236C0">
        <w:rPr>
          <w:b/>
          <w:spacing w:val="0"/>
          <w:sz w:val="18"/>
          <w:szCs w:val="18"/>
          <w:lang w:val="es-CO"/>
        </w:rPr>
        <w:t>v</w:t>
      </w:r>
      <w:r w:rsidRPr="00F236C0">
        <w:rPr>
          <w:spacing w:val="0"/>
          <w:sz w:val="18"/>
          <w:szCs w:val="18"/>
          <w:lang w:val="es-CO"/>
        </w:rPr>
        <w:t>encimiento),</w:t>
      </w:r>
      <w:r w:rsidRPr="001A3E3E">
        <w:rPr>
          <w:spacing w:val="0"/>
          <w:sz w:val="18"/>
          <w:szCs w:val="18"/>
          <w:lang w:val="es-CO"/>
        </w:rPr>
        <w:t xml:space="preserve"> sino siempre por lo que se estime como su valor a precios de mercado en la fecha del reporte. Cuando por alguna razón no sea posible estimar dicho valor para cualquier inversión, deberá computar en el cálculo de los Activos Líquidos por el 50% de su valor en libros.</w:t>
      </w:r>
    </w:p>
    <w:p w:rsidR="004F1A7B" w:rsidRPr="001A3E3E" w:rsidRDefault="004F1A7B" w:rsidP="004F1A7B">
      <w:pPr>
        <w:jc w:val="both"/>
        <w:rPr>
          <w:spacing w:val="0"/>
          <w:sz w:val="18"/>
          <w:szCs w:val="18"/>
          <w:lang w:val="es-CO"/>
        </w:rPr>
      </w:pPr>
    </w:p>
    <w:p w:rsidR="004F1A7B" w:rsidRPr="001A3E3E" w:rsidRDefault="004F1A7B" w:rsidP="00F236C0">
      <w:pPr>
        <w:pBdr>
          <w:left w:val="single" w:sz="4" w:space="4" w:color="auto"/>
        </w:pBdr>
        <w:jc w:val="both"/>
        <w:rPr>
          <w:spacing w:val="0"/>
          <w:sz w:val="18"/>
          <w:szCs w:val="18"/>
          <w:lang w:val="es-CO"/>
        </w:rPr>
      </w:pPr>
      <w:r w:rsidRPr="001A3E3E">
        <w:rPr>
          <w:spacing w:val="0"/>
          <w:sz w:val="18"/>
          <w:szCs w:val="18"/>
          <w:lang w:val="es-CO"/>
        </w:rPr>
        <w:t xml:space="preserve">También se deben excluir del cálculo de los Activos Líquidos las inversiones financieras entregadas en garantía o sujetas a cualquier otro tipo de gravamen, medida preventiva o de cualquier naturaleza, que impida su libre cesión o transferencia, y aquellas que hayan sido transferidas en operaciones pasivas de reporto o repo, simultáneas o transferencia temporal de valores. En el caso de estas operaciones pasivas de mercado monetario, los flujos de efectivo pactados para su cancelación deberán registrarse en la correspondiente banda temporal de acuerdo con las fechas pactadas para el cumplimiento de los compromisos, debiendo registrarse a su vez, a manera de ingresos en la misma banda de tiempo, </w:t>
      </w:r>
      <w:r w:rsidRPr="00F236C0">
        <w:rPr>
          <w:spacing w:val="0"/>
          <w:sz w:val="18"/>
          <w:szCs w:val="18"/>
          <w:lang w:val="es-CO"/>
        </w:rPr>
        <w:t>los valores</w:t>
      </w:r>
      <w:r w:rsidRPr="00F236C0">
        <w:rPr>
          <w:b/>
          <w:spacing w:val="0"/>
          <w:sz w:val="18"/>
          <w:szCs w:val="18"/>
          <w:lang w:val="es-CO"/>
        </w:rPr>
        <w:t xml:space="preserve"> </w:t>
      </w:r>
      <w:r w:rsidR="0068793D" w:rsidRPr="00F236C0">
        <w:rPr>
          <w:b/>
          <w:spacing w:val="0"/>
          <w:sz w:val="18"/>
          <w:szCs w:val="18"/>
          <w:lang w:val="es-CO"/>
        </w:rPr>
        <w:t>razonables</w:t>
      </w:r>
      <w:r w:rsidRPr="001A3E3E">
        <w:rPr>
          <w:spacing w:val="0"/>
          <w:sz w:val="18"/>
          <w:szCs w:val="18"/>
          <w:lang w:val="es-CO"/>
        </w:rPr>
        <w:t xml:space="preserve"> de los títulos, cupones o pagos de dividendos, que se retransfieren con la cancelación de tales operaciones.</w:t>
      </w:r>
    </w:p>
    <w:p w:rsidR="004F1A7B" w:rsidRPr="001A3E3E" w:rsidRDefault="004F1A7B" w:rsidP="004F1A7B">
      <w:pPr>
        <w:jc w:val="both"/>
        <w:rPr>
          <w:spacing w:val="0"/>
          <w:sz w:val="18"/>
          <w:szCs w:val="18"/>
          <w:lang w:val="es-CO"/>
        </w:rPr>
      </w:pPr>
    </w:p>
    <w:p w:rsidR="004F1A7B" w:rsidRPr="001A3E3E" w:rsidRDefault="004F1A7B" w:rsidP="004F1A7B">
      <w:pPr>
        <w:jc w:val="both"/>
        <w:rPr>
          <w:spacing w:val="0"/>
          <w:sz w:val="18"/>
          <w:szCs w:val="18"/>
          <w:lang w:val="es-CO"/>
        </w:rPr>
      </w:pPr>
      <w:r w:rsidRPr="001A3E3E">
        <w:rPr>
          <w:spacing w:val="0"/>
          <w:sz w:val="18"/>
          <w:szCs w:val="18"/>
          <w:lang w:val="es-CO"/>
        </w:rPr>
        <w:t>Una vez estimados los Activos Líquidos siguiendo las reglas antes mencionadas, deberán ajustarse por el efecto que eventualmente puede tener la ‘liquidez del mercado’ sobre el valor del portafolio de inversiones que lo integra y, por ende, sobre el precio que efectivamente podría recibir la entidad en caso de tener que liquidarlo rápidamente. De esta manera, los activos líquidos ajustados por ‘liquidez de mercado’ buscan capturar –desde el punto de vista del reporte estándar del supervisor- el tamaño efectivo probable del ‘colchón’ de recursos que dispone la entidad para realizar sus pagos.</w:t>
      </w:r>
    </w:p>
    <w:p w:rsidR="004F1A7B" w:rsidRPr="001A3E3E" w:rsidRDefault="004F1A7B" w:rsidP="004F1A7B">
      <w:pPr>
        <w:jc w:val="both"/>
        <w:rPr>
          <w:spacing w:val="0"/>
          <w:sz w:val="18"/>
          <w:szCs w:val="18"/>
          <w:lang w:val="es-CO"/>
        </w:rPr>
      </w:pPr>
    </w:p>
    <w:p w:rsidR="0085678F" w:rsidRDefault="004F1A7B" w:rsidP="00F236C0">
      <w:pPr>
        <w:pBdr>
          <w:left w:val="single" w:sz="4" w:space="4" w:color="auto"/>
        </w:pBdr>
        <w:jc w:val="both"/>
        <w:rPr>
          <w:spacing w:val="0"/>
          <w:sz w:val="18"/>
          <w:szCs w:val="18"/>
          <w:lang w:val="es-CO"/>
        </w:rPr>
      </w:pPr>
      <w:r w:rsidRPr="001A3E3E">
        <w:rPr>
          <w:spacing w:val="0"/>
          <w:sz w:val="18"/>
          <w:szCs w:val="18"/>
          <w:lang w:val="es-CO"/>
        </w:rPr>
        <w:t xml:space="preserve">Para efectos del cálculo de los </w:t>
      </w:r>
      <w:r w:rsidRPr="00F236C0">
        <w:rPr>
          <w:b/>
          <w:spacing w:val="0"/>
          <w:sz w:val="18"/>
          <w:szCs w:val="18"/>
          <w:lang w:val="es-CO"/>
        </w:rPr>
        <w:t>a</w:t>
      </w:r>
      <w:r w:rsidRPr="001A3E3E">
        <w:rPr>
          <w:spacing w:val="0"/>
          <w:sz w:val="18"/>
          <w:szCs w:val="18"/>
          <w:lang w:val="es-CO"/>
        </w:rPr>
        <w:t xml:space="preserve">ctivos </w:t>
      </w:r>
      <w:r w:rsidRPr="00F236C0">
        <w:rPr>
          <w:b/>
          <w:spacing w:val="0"/>
          <w:sz w:val="18"/>
          <w:szCs w:val="18"/>
          <w:lang w:val="es-CO"/>
        </w:rPr>
        <w:t>l</w:t>
      </w:r>
      <w:r w:rsidRPr="001A3E3E">
        <w:rPr>
          <w:spacing w:val="0"/>
          <w:sz w:val="18"/>
          <w:szCs w:val="18"/>
          <w:lang w:val="es-CO"/>
        </w:rPr>
        <w:t>íquidos ajustados por ‘liquidez de mercado’ las entidades deberán asumir que ocurriera un descuento sobre el precio de mercado de las inversiones que forman parte de los mismos, atribuible a eventuales alzas en las tasas de interés o a riesgo de liquidez de las mismas. Tal descuento debe corresponder a los ‘</w:t>
      </w:r>
      <w:proofErr w:type="spellStart"/>
      <w:r w:rsidRPr="001A3E3E">
        <w:rPr>
          <w:spacing w:val="0"/>
          <w:sz w:val="18"/>
          <w:szCs w:val="18"/>
          <w:lang w:val="es-CO"/>
        </w:rPr>
        <w:t>haircuts</w:t>
      </w:r>
      <w:proofErr w:type="spellEnd"/>
      <w:r w:rsidRPr="001A3E3E">
        <w:rPr>
          <w:spacing w:val="0"/>
          <w:sz w:val="18"/>
          <w:szCs w:val="18"/>
          <w:lang w:val="es-CO"/>
        </w:rPr>
        <w:t>’ que aplica el Banco de la República a los distintos títulos para la realización de operaciones repo, los cuales son actualizados y publicados en la página web del Banco, equivalentes a treinta y tres (33) días calendario. Para los títulos que no aparezcan en dicho informe estadístico</w:t>
      </w:r>
      <w:r w:rsidR="0068793D">
        <w:rPr>
          <w:spacing w:val="0"/>
          <w:sz w:val="18"/>
          <w:szCs w:val="18"/>
          <w:lang w:val="es-CO"/>
        </w:rPr>
        <w:t xml:space="preserve"> </w:t>
      </w:r>
      <w:r w:rsidR="0068793D" w:rsidRPr="00F236C0">
        <w:rPr>
          <w:b/>
          <w:spacing w:val="0"/>
          <w:sz w:val="18"/>
          <w:szCs w:val="18"/>
          <w:lang w:val="es-CO"/>
        </w:rPr>
        <w:t>y los fondos de inversión colectiva abiertos sin pacto de permanencia</w:t>
      </w:r>
      <w:r w:rsidRPr="001A3E3E">
        <w:rPr>
          <w:spacing w:val="0"/>
          <w:sz w:val="18"/>
          <w:szCs w:val="18"/>
          <w:lang w:val="es-CO"/>
        </w:rPr>
        <w:t xml:space="preserve">, las entidades deberán asumir un descuento </w:t>
      </w:r>
      <w:r w:rsidR="0068793D" w:rsidRPr="00F236C0">
        <w:rPr>
          <w:b/>
          <w:spacing w:val="0"/>
          <w:sz w:val="18"/>
          <w:szCs w:val="18"/>
          <w:lang w:val="es-CO"/>
        </w:rPr>
        <w:t xml:space="preserve">del 15% </w:t>
      </w:r>
      <w:r w:rsidR="006B0C07" w:rsidRPr="00F236C0">
        <w:rPr>
          <w:b/>
          <w:spacing w:val="0"/>
          <w:sz w:val="18"/>
          <w:szCs w:val="18"/>
          <w:lang w:val="es-CO"/>
        </w:rPr>
        <w:t xml:space="preserve">sobre el valor de mercado de los mismos </w:t>
      </w:r>
      <w:r w:rsidR="0068793D" w:rsidRPr="00F236C0">
        <w:rPr>
          <w:b/>
          <w:spacing w:val="0"/>
          <w:sz w:val="18"/>
          <w:szCs w:val="18"/>
          <w:lang w:val="es-CO"/>
        </w:rPr>
        <w:t>si la</w:t>
      </w:r>
      <w:r w:rsidR="00EF5F27" w:rsidRPr="00F236C0">
        <w:rPr>
          <w:b/>
          <w:spacing w:val="0"/>
          <w:sz w:val="18"/>
          <w:szCs w:val="18"/>
          <w:lang w:val="es-CO"/>
        </w:rPr>
        <w:t xml:space="preserve"> calificación crediticia </w:t>
      </w:r>
      <w:r w:rsidR="0068793D" w:rsidRPr="00F236C0">
        <w:rPr>
          <w:b/>
          <w:spacing w:val="0"/>
          <w:sz w:val="18"/>
          <w:szCs w:val="18"/>
          <w:lang w:val="es-CO"/>
        </w:rPr>
        <w:t>es AA- (o equivalente) o superior.</w:t>
      </w:r>
    </w:p>
    <w:p w:rsidR="0068793D" w:rsidRDefault="0068793D" w:rsidP="004F1A7B">
      <w:pPr>
        <w:jc w:val="both"/>
        <w:rPr>
          <w:spacing w:val="0"/>
          <w:sz w:val="18"/>
          <w:szCs w:val="18"/>
          <w:lang w:val="es-CO"/>
        </w:rPr>
      </w:pPr>
    </w:p>
    <w:p w:rsidR="00916200" w:rsidRDefault="00386AB3">
      <w:pPr>
        <w:pBdr>
          <w:left w:val="single" w:sz="4" w:space="4" w:color="auto"/>
        </w:pBdr>
        <w:jc w:val="both"/>
        <w:rPr>
          <w:b/>
          <w:spacing w:val="0"/>
          <w:sz w:val="18"/>
          <w:szCs w:val="18"/>
          <w:lang w:val="es-CO"/>
        </w:rPr>
      </w:pPr>
      <w:r w:rsidRPr="00F236C0">
        <w:rPr>
          <w:b/>
          <w:spacing w:val="0"/>
          <w:sz w:val="18"/>
          <w:szCs w:val="18"/>
          <w:lang w:val="es-CO"/>
        </w:rPr>
        <w:t xml:space="preserve">Para los títulos y fondos </w:t>
      </w:r>
      <w:r w:rsidR="00762926">
        <w:rPr>
          <w:b/>
          <w:spacing w:val="0"/>
          <w:sz w:val="18"/>
          <w:szCs w:val="18"/>
          <w:lang w:val="es-CO"/>
        </w:rPr>
        <w:t xml:space="preserve">de inversión colectiva abiertos sin pacto de permanencia </w:t>
      </w:r>
      <w:r w:rsidRPr="00F236C0">
        <w:rPr>
          <w:b/>
          <w:spacing w:val="0"/>
          <w:sz w:val="18"/>
          <w:szCs w:val="18"/>
          <w:lang w:val="es-CO"/>
        </w:rPr>
        <w:t>con calificación crediticia</w:t>
      </w:r>
      <w:r w:rsidR="00762926">
        <w:rPr>
          <w:b/>
          <w:spacing w:val="0"/>
          <w:sz w:val="18"/>
          <w:szCs w:val="18"/>
          <w:lang w:val="es-CO"/>
        </w:rPr>
        <w:t xml:space="preserve"> entre A+ y BBB-, se aplicará un descuento del 20% sobre el valor de mercado de los mismos.</w:t>
      </w:r>
      <w:r w:rsidRPr="00F236C0">
        <w:rPr>
          <w:b/>
          <w:spacing w:val="0"/>
          <w:sz w:val="18"/>
          <w:szCs w:val="18"/>
          <w:lang w:val="es-CO"/>
        </w:rPr>
        <w:t xml:space="preserve"> </w:t>
      </w:r>
    </w:p>
    <w:p w:rsidR="00916200" w:rsidRDefault="00916200" w:rsidP="0011745E">
      <w:pPr>
        <w:jc w:val="both"/>
        <w:rPr>
          <w:b/>
          <w:spacing w:val="0"/>
          <w:sz w:val="18"/>
          <w:szCs w:val="18"/>
          <w:lang w:val="es-CO"/>
        </w:rPr>
      </w:pPr>
    </w:p>
    <w:p w:rsidR="0068793D" w:rsidRPr="00F236C0" w:rsidRDefault="00762926">
      <w:pPr>
        <w:pBdr>
          <w:left w:val="single" w:sz="4" w:space="4" w:color="auto"/>
        </w:pBdr>
        <w:jc w:val="both"/>
        <w:rPr>
          <w:spacing w:val="0"/>
          <w:sz w:val="18"/>
          <w:szCs w:val="18"/>
          <w:lang w:val="es-CO"/>
        </w:rPr>
      </w:pPr>
      <w:r>
        <w:rPr>
          <w:b/>
          <w:spacing w:val="0"/>
          <w:sz w:val="18"/>
          <w:szCs w:val="18"/>
          <w:lang w:val="es-CO"/>
        </w:rPr>
        <w:t xml:space="preserve">Para los títulos y fondos de inversión colectiva abiertos sin pacto de permanencia con calificación </w:t>
      </w:r>
      <w:r w:rsidR="00386AB3" w:rsidRPr="00F236C0">
        <w:rPr>
          <w:b/>
          <w:spacing w:val="0"/>
          <w:sz w:val="18"/>
          <w:szCs w:val="18"/>
          <w:lang w:val="es-CO"/>
        </w:rPr>
        <w:t>inferior a las mencionadas anteriormente</w:t>
      </w:r>
      <w:r>
        <w:rPr>
          <w:b/>
          <w:spacing w:val="0"/>
          <w:sz w:val="18"/>
          <w:szCs w:val="18"/>
          <w:lang w:val="es-CO"/>
        </w:rPr>
        <w:t xml:space="preserve"> o que no cuenten con calificación</w:t>
      </w:r>
      <w:r w:rsidR="00386AB3" w:rsidRPr="00F236C0">
        <w:rPr>
          <w:b/>
          <w:spacing w:val="0"/>
          <w:sz w:val="18"/>
          <w:szCs w:val="18"/>
          <w:lang w:val="es-CO"/>
        </w:rPr>
        <w:t>, se aplicará un descuento del 50%</w:t>
      </w:r>
      <w:r w:rsidR="004F1A7B" w:rsidRPr="00F236C0">
        <w:rPr>
          <w:b/>
          <w:spacing w:val="0"/>
          <w:sz w:val="18"/>
          <w:szCs w:val="18"/>
          <w:lang w:val="es-CO"/>
        </w:rPr>
        <w:t xml:space="preserve"> </w:t>
      </w:r>
      <w:r w:rsidR="004F1A7B" w:rsidRPr="00F236C0">
        <w:rPr>
          <w:spacing w:val="0"/>
          <w:sz w:val="18"/>
          <w:szCs w:val="18"/>
          <w:lang w:val="es-CO"/>
        </w:rPr>
        <w:t>sobre el valor de mercado de los mismos.</w:t>
      </w:r>
      <w:r w:rsidR="0068793D" w:rsidRPr="00F236C0">
        <w:rPr>
          <w:spacing w:val="0"/>
          <w:sz w:val="18"/>
          <w:szCs w:val="18"/>
          <w:lang w:val="es-CO"/>
        </w:rPr>
        <w:t xml:space="preserve"> </w:t>
      </w:r>
    </w:p>
    <w:p w:rsidR="0068793D" w:rsidRDefault="0068793D" w:rsidP="00906D73">
      <w:pPr>
        <w:jc w:val="both"/>
        <w:rPr>
          <w:spacing w:val="0"/>
          <w:sz w:val="18"/>
          <w:szCs w:val="18"/>
          <w:lang w:val="es-CO"/>
        </w:rPr>
      </w:pPr>
    </w:p>
    <w:p w:rsidR="00396723" w:rsidRPr="001A3E3E" w:rsidRDefault="004F1A7B" w:rsidP="00906D73">
      <w:pPr>
        <w:jc w:val="both"/>
        <w:rPr>
          <w:spacing w:val="0"/>
          <w:sz w:val="18"/>
          <w:szCs w:val="18"/>
          <w:lang w:val="es-CO"/>
        </w:rPr>
      </w:pPr>
      <w:r w:rsidRPr="001A3E3E">
        <w:rPr>
          <w:spacing w:val="0"/>
          <w:sz w:val="18"/>
          <w:szCs w:val="18"/>
          <w:lang w:val="es-CO"/>
        </w:rPr>
        <w:t>Por último, las entidades deben aplicar un ‘</w:t>
      </w:r>
      <w:proofErr w:type="spellStart"/>
      <w:r w:rsidRPr="001A3E3E">
        <w:rPr>
          <w:i/>
          <w:spacing w:val="0"/>
          <w:sz w:val="18"/>
          <w:szCs w:val="18"/>
          <w:lang w:val="es-CO"/>
        </w:rPr>
        <w:t>haircut</w:t>
      </w:r>
      <w:proofErr w:type="spellEnd"/>
      <w:r w:rsidRPr="001A3E3E">
        <w:rPr>
          <w:spacing w:val="0"/>
          <w:sz w:val="18"/>
          <w:szCs w:val="18"/>
          <w:lang w:val="es-CO"/>
        </w:rPr>
        <w:t>’ adicional sobre el componente en moneda extranjera de los Activos Líquidos (disponible e inversiones), por razón del eventual riesgo cambiario en que podrían incurrir en el horizonte de un mes en caso de tener que liquidar posiciones en moneda extranjera para atender necesidades de liquidez. Dicho ‘</w:t>
      </w:r>
      <w:proofErr w:type="spellStart"/>
      <w:r w:rsidRPr="001A3E3E">
        <w:rPr>
          <w:spacing w:val="0"/>
          <w:sz w:val="18"/>
          <w:szCs w:val="18"/>
          <w:lang w:val="es-CO"/>
        </w:rPr>
        <w:t>haircut</w:t>
      </w:r>
      <w:proofErr w:type="spellEnd"/>
      <w:r w:rsidRPr="001A3E3E">
        <w:rPr>
          <w:spacing w:val="0"/>
          <w:sz w:val="18"/>
          <w:szCs w:val="18"/>
          <w:lang w:val="es-CO"/>
        </w:rPr>
        <w:t>’ a treinta (30) días será actualizado cuando se modifique la volatilidad a diez (10) días de</w:t>
      </w:r>
      <w:r w:rsidR="00906D73" w:rsidRPr="001A3E3E">
        <w:rPr>
          <w:lang w:val="es-CO"/>
        </w:rPr>
        <w:t xml:space="preserve"> </w:t>
      </w:r>
      <w:r w:rsidR="00906D73" w:rsidRPr="001A3E3E">
        <w:rPr>
          <w:spacing w:val="0"/>
          <w:sz w:val="18"/>
          <w:szCs w:val="18"/>
          <w:lang w:val="es-CO"/>
        </w:rPr>
        <w:t>la Tasa Representativa del Mercado para efectos del cálculo del Valor en Riesgo por riesgo cambiario, en el Anexo I del Capítulo XXI de la Circular Externa 100 de 1995</w:t>
      </w:r>
      <w:r w:rsidR="007C7853">
        <w:rPr>
          <w:spacing w:val="0"/>
          <w:sz w:val="18"/>
          <w:szCs w:val="18"/>
          <w:lang w:val="es-CO"/>
        </w:rPr>
        <w:t>.</w:t>
      </w:r>
    </w:p>
    <w:p w:rsidR="004F1A7B" w:rsidRPr="001A3E3E" w:rsidRDefault="004F1A7B" w:rsidP="00497F97">
      <w:pPr>
        <w:jc w:val="both"/>
        <w:rPr>
          <w:spacing w:val="0"/>
          <w:sz w:val="18"/>
          <w:szCs w:val="18"/>
          <w:lang w:val="es-CO"/>
        </w:rPr>
      </w:pPr>
    </w:p>
    <w:p w:rsidR="00396723" w:rsidRPr="001A3E3E" w:rsidRDefault="00396723" w:rsidP="00906D73">
      <w:pPr>
        <w:jc w:val="both"/>
        <w:rPr>
          <w:b/>
          <w:spacing w:val="0"/>
          <w:sz w:val="18"/>
          <w:szCs w:val="18"/>
          <w:lang w:val="es-CO"/>
        </w:rPr>
      </w:pPr>
      <w:r w:rsidRPr="001A3E3E">
        <w:rPr>
          <w:b/>
          <w:spacing w:val="0"/>
          <w:sz w:val="18"/>
          <w:szCs w:val="18"/>
          <w:lang w:val="es-CO"/>
        </w:rPr>
        <w:t>2.4 Cálculo del Indicador de Riesgo de Liquidez (</w:t>
      </w:r>
      <w:proofErr w:type="spellStart"/>
      <w:r w:rsidRPr="001A3E3E">
        <w:rPr>
          <w:b/>
          <w:spacing w:val="0"/>
          <w:sz w:val="18"/>
          <w:szCs w:val="18"/>
          <w:lang w:val="es-CO"/>
        </w:rPr>
        <w:t>IRL</w:t>
      </w:r>
      <w:r w:rsidR="005816A9" w:rsidRPr="001A3E3E">
        <w:rPr>
          <w:b/>
          <w:spacing w:val="0"/>
          <w:sz w:val="18"/>
          <w:szCs w:val="18"/>
          <w:vertAlign w:val="subscript"/>
          <w:lang w:val="es-CO"/>
        </w:rPr>
        <w:t>m</w:t>
      </w:r>
      <w:proofErr w:type="spellEnd"/>
      <w:r w:rsidRPr="001A3E3E">
        <w:rPr>
          <w:b/>
          <w:spacing w:val="0"/>
          <w:sz w:val="18"/>
          <w:szCs w:val="18"/>
          <w:lang w:val="es-CO"/>
        </w:rPr>
        <w:t>)</w:t>
      </w:r>
      <w:r w:rsidR="003C1479" w:rsidRPr="001A3E3E">
        <w:rPr>
          <w:b/>
          <w:spacing w:val="0"/>
          <w:sz w:val="18"/>
          <w:szCs w:val="18"/>
          <w:lang w:val="es-CO"/>
        </w:rPr>
        <w:t xml:space="preserve"> (en </w:t>
      </w:r>
      <w:r w:rsidR="005816A9" w:rsidRPr="001A3E3E">
        <w:rPr>
          <w:b/>
          <w:spacing w:val="0"/>
          <w:sz w:val="18"/>
          <w:szCs w:val="18"/>
          <w:lang w:val="es-CO"/>
        </w:rPr>
        <w:t>monto</w:t>
      </w:r>
      <w:r w:rsidR="003C1479" w:rsidRPr="001A3E3E">
        <w:rPr>
          <w:b/>
          <w:spacing w:val="0"/>
          <w:sz w:val="18"/>
          <w:szCs w:val="18"/>
          <w:lang w:val="es-CO"/>
        </w:rPr>
        <w:t>)</w:t>
      </w:r>
    </w:p>
    <w:p w:rsidR="00396723" w:rsidRPr="001A3E3E" w:rsidRDefault="00396723" w:rsidP="00497F97">
      <w:pPr>
        <w:jc w:val="both"/>
        <w:rPr>
          <w:spacing w:val="0"/>
          <w:sz w:val="18"/>
          <w:szCs w:val="18"/>
          <w:lang w:val="es-CO"/>
        </w:rPr>
      </w:pPr>
    </w:p>
    <w:p w:rsidR="00396723" w:rsidRPr="001A3E3E" w:rsidRDefault="00396723" w:rsidP="00906D73">
      <w:pPr>
        <w:jc w:val="both"/>
        <w:rPr>
          <w:spacing w:val="0"/>
          <w:sz w:val="18"/>
          <w:szCs w:val="18"/>
          <w:lang w:val="es-CO"/>
        </w:rPr>
      </w:pPr>
      <w:r w:rsidRPr="001A3E3E">
        <w:rPr>
          <w:spacing w:val="0"/>
          <w:sz w:val="18"/>
          <w:szCs w:val="18"/>
          <w:lang w:val="es-CO"/>
        </w:rPr>
        <w:t>El Indicador de Riesgo de Liquidez (</w:t>
      </w:r>
      <w:proofErr w:type="spellStart"/>
      <w:r w:rsidRPr="001A3E3E">
        <w:rPr>
          <w:spacing w:val="0"/>
          <w:sz w:val="18"/>
          <w:szCs w:val="18"/>
          <w:lang w:val="es-CO"/>
        </w:rPr>
        <w:t>IRL</w:t>
      </w:r>
      <w:r w:rsidR="005816A9" w:rsidRPr="001A3E3E">
        <w:rPr>
          <w:spacing w:val="0"/>
          <w:sz w:val="18"/>
          <w:szCs w:val="18"/>
          <w:vertAlign w:val="subscript"/>
          <w:lang w:val="es-CO"/>
        </w:rPr>
        <w:t>m</w:t>
      </w:r>
      <w:proofErr w:type="spellEnd"/>
      <w:r w:rsidRPr="001A3E3E">
        <w:rPr>
          <w:spacing w:val="0"/>
          <w:sz w:val="18"/>
          <w:szCs w:val="18"/>
          <w:lang w:val="es-CO"/>
        </w:rPr>
        <w:t xml:space="preserve">) en cada fecha de evaluación será la </w:t>
      </w:r>
      <w:r w:rsidR="003C1479" w:rsidRPr="001A3E3E">
        <w:rPr>
          <w:spacing w:val="0"/>
          <w:sz w:val="18"/>
          <w:szCs w:val="18"/>
          <w:lang w:val="es-CO"/>
        </w:rPr>
        <w:t>diferencia</w:t>
      </w:r>
      <w:r w:rsidRPr="001A3E3E">
        <w:rPr>
          <w:spacing w:val="0"/>
          <w:sz w:val="18"/>
          <w:szCs w:val="18"/>
          <w:lang w:val="es-CO"/>
        </w:rPr>
        <w:t xml:space="preserve"> de los activos líquidos ajustados por ‘liquidez de mercado’</w:t>
      </w:r>
      <w:r w:rsidR="00673BA9" w:rsidRPr="001A3E3E">
        <w:rPr>
          <w:spacing w:val="0"/>
          <w:sz w:val="18"/>
          <w:szCs w:val="18"/>
          <w:lang w:val="es-CO"/>
        </w:rPr>
        <w:t xml:space="preserve"> y</w:t>
      </w:r>
      <w:r w:rsidRPr="001A3E3E">
        <w:rPr>
          <w:spacing w:val="0"/>
          <w:sz w:val="18"/>
          <w:szCs w:val="18"/>
          <w:lang w:val="es-CO"/>
        </w:rPr>
        <w:t xml:space="preserve"> riesgo cambiario  (ALM)</w:t>
      </w:r>
      <w:r w:rsidR="003C1479" w:rsidRPr="001A3E3E">
        <w:rPr>
          <w:spacing w:val="0"/>
          <w:sz w:val="18"/>
          <w:szCs w:val="18"/>
          <w:lang w:val="es-CO"/>
        </w:rPr>
        <w:t>,</w:t>
      </w:r>
      <w:r w:rsidRPr="001A3E3E">
        <w:rPr>
          <w:spacing w:val="0"/>
          <w:sz w:val="18"/>
          <w:szCs w:val="18"/>
          <w:lang w:val="es-CO"/>
        </w:rPr>
        <w:t xml:space="preserve"> y el requerimiento de liquide</w:t>
      </w:r>
      <w:r w:rsidR="00E4362B" w:rsidRPr="001A3E3E">
        <w:rPr>
          <w:spacing w:val="0"/>
          <w:sz w:val="18"/>
          <w:szCs w:val="18"/>
          <w:lang w:val="es-CO"/>
        </w:rPr>
        <w:t>z neto total de la primera (1ª)</w:t>
      </w:r>
      <w:r w:rsidRPr="001A3E3E">
        <w:rPr>
          <w:spacing w:val="0"/>
          <w:sz w:val="18"/>
          <w:szCs w:val="18"/>
          <w:lang w:val="es-CO"/>
        </w:rPr>
        <w:t xml:space="preserve"> banda</w:t>
      </w:r>
      <w:r w:rsidR="005816A9" w:rsidRPr="001A3E3E">
        <w:rPr>
          <w:spacing w:val="0"/>
          <w:sz w:val="18"/>
          <w:szCs w:val="18"/>
          <w:lang w:val="es-CO"/>
        </w:rPr>
        <w:t>, o de la sumatoria de las tres (3) primeras bandas</w:t>
      </w:r>
      <w:r w:rsidRPr="001A3E3E">
        <w:rPr>
          <w:spacing w:val="0"/>
          <w:sz w:val="18"/>
          <w:szCs w:val="18"/>
          <w:lang w:val="es-CO"/>
        </w:rPr>
        <w:t xml:space="preserve"> de tiempo</w:t>
      </w:r>
      <w:r w:rsidR="0022675D" w:rsidRPr="001A3E3E">
        <w:rPr>
          <w:spacing w:val="0"/>
          <w:sz w:val="18"/>
          <w:szCs w:val="18"/>
          <w:lang w:val="es-CO"/>
        </w:rPr>
        <w:t xml:space="preserve"> (RLN)</w:t>
      </w:r>
      <w:r w:rsidR="005816A9" w:rsidRPr="001A3E3E">
        <w:rPr>
          <w:spacing w:val="0"/>
          <w:sz w:val="18"/>
          <w:szCs w:val="18"/>
          <w:lang w:val="es-CO"/>
        </w:rPr>
        <w:t>, según corresponda</w:t>
      </w:r>
      <w:r w:rsidRPr="001A3E3E">
        <w:rPr>
          <w:spacing w:val="0"/>
          <w:sz w:val="18"/>
          <w:szCs w:val="18"/>
          <w:lang w:val="es-CO"/>
        </w:rPr>
        <w:t xml:space="preserve">. Tal cálculo se expresa de la siguiente manera: </w:t>
      </w:r>
    </w:p>
    <w:p w:rsidR="001F680C" w:rsidRPr="001A3E3E" w:rsidRDefault="001F680C" w:rsidP="00497F97">
      <w:pPr>
        <w:jc w:val="both"/>
        <w:outlineLvl w:val="0"/>
        <w:rPr>
          <w:spacing w:val="0"/>
          <w:sz w:val="18"/>
          <w:szCs w:val="18"/>
          <w:lang w:val="es-CO"/>
        </w:rPr>
      </w:pPr>
    </w:p>
    <w:p w:rsidR="001F680C" w:rsidRPr="001A3E3E" w:rsidRDefault="00906D73" w:rsidP="00497F97">
      <w:pPr>
        <w:tabs>
          <w:tab w:val="left" w:pos="3720"/>
        </w:tabs>
        <w:ind w:left="708" w:firstLine="708"/>
        <w:jc w:val="both"/>
        <w:outlineLvl w:val="0"/>
        <w:rPr>
          <w:b/>
          <w:spacing w:val="0"/>
          <w:sz w:val="18"/>
          <w:szCs w:val="18"/>
          <w:lang w:val="es-CO"/>
        </w:rPr>
      </w:pPr>
      <w:r w:rsidRPr="001A3E3E">
        <w:rPr>
          <w:b/>
          <w:spacing w:val="0"/>
          <w:position w:val="-12"/>
          <w:sz w:val="18"/>
          <w:szCs w:val="18"/>
          <w:lang w:val="es-CO"/>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18.8pt" o:ole="">
            <v:imagedata r:id="rId12" o:title=""/>
          </v:shape>
          <o:OLEObject Type="Embed" ProgID="Equation.3" ShapeID="_x0000_i1025" DrawAspect="Content" ObjectID="_1574584479" r:id="rId13"/>
        </w:object>
      </w:r>
    </w:p>
    <w:p w:rsidR="00396723" w:rsidRPr="001A3E3E" w:rsidRDefault="00396723" w:rsidP="00497F97">
      <w:pPr>
        <w:jc w:val="both"/>
        <w:rPr>
          <w:spacing w:val="0"/>
          <w:sz w:val="18"/>
          <w:szCs w:val="18"/>
          <w:lang w:val="es-CO"/>
        </w:rPr>
      </w:pPr>
      <w:proofErr w:type="spellStart"/>
      <w:r w:rsidRPr="001A3E3E">
        <w:rPr>
          <w:spacing w:val="0"/>
          <w:sz w:val="18"/>
          <w:szCs w:val="18"/>
          <w:lang w:val="es-CO"/>
        </w:rPr>
        <w:t>Donde</w:t>
      </w:r>
      <w:proofErr w:type="spellEnd"/>
      <w:r w:rsidRPr="001A3E3E">
        <w:rPr>
          <w:spacing w:val="0"/>
          <w:sz w:val="18"/>
          <w:szCs w:val="18"/>
          <w:lang w:val="es-CO"/>
        </w:rPr>
        <w:t>:</w:t>
      </w:r>
    </w:p>
    <w:p w:rsidR="00396723" w:rsidRPr="001A3E3E" w:rsidRDefault="00396723" w:rsidP="00497F97">
      <w:pPr>
        <w:jc w:val="both"/>
        <w:rPr>
          <w:spacing w:val="0"/>
          <w:sz w:val="18"/>
          <w:szCs w:val="18"/>
          <w:lang w:val="es-CO"/>
        </w:rPr>
      </w:pPr>
    </w:p>
    <w:p w:rsidR="00396723" w:rsidRPr="001A3E3E" w:rsidRDefault="00396723" w:rsidP="001D7625">
      <w:pPr>
        <w:jc w:val="both"/>
        <w:outlineLvl w:val="0"/>
        <w:rPr>
          <w:spacing w:val="0"/>
          <w:sz w:val="18"/>
          <w:szCs w:val="18"/>
          <w:lang w:val="es-CO"/>
        </w:rPr>
      </w:pPr>
      <w:r w:rsidRPr="001A3E3E">
        <w:rPr>
          <w:spacing w:val="0"/>
          <w:sz w:val="18"/>
          <w:szCs w:val="18"/>
          <w:lang w:val="es-CO"/>
        </w:rPr>
        <w:t xml:space="preserve">ALM:      </w:t>
      </w:r>
      <w:r w:rsidR="00484B0F" w:rsidRPr="001A3E3E">
        <w:rPr>
          <w:spacing w:val="0"/>
          <w:sz w:val="18"/>
          <w:szCs w:val="18"/>
          <w:lang w:val="es-CO"/>
        </w:rPr>
        <w:tab/>
      </w:r>
      <w:r w:rsidRPr="001A3E3E">
        <w:rPr>
          <w:spacing w:val="0"/>
          <w:sz w:val="18"/>
          <w:szCs w:val="18"/>
          <w:lang w:val="es-CO"/>
        </w:rPr>
        <w:t>Activos líquidos ajustados por ‘liquidez de mercado’</w:t>
      </w:r>
      <w:r w:rsidR="001D7625" w:rsidRPr="001A3E3E">
        <w:rPr>
          <w:spacing w:val="0"/>
          <w:sz w:val="18"/>
          <w:szCs w:val="18"/>
          <w:lang w:val="es-CO"/>
        </w:rPr>
        <w:t xml:space="preserve"> y</w:t>
      </w:r>
      <w:r w:rsidRPr="001A3E3E">
        <w:rPr>
          <w:spacing w:val="0"/>
          <w:sz w:val="18"/>
          <w:szCs w:val="18"/>
          <w:lang w:val="es-CO"/>
        </w:rPr>
        <w:t xml:space="preserve"> riesgo cambiario, en la fecha de la evaluación.</w:t>
      </w:r>
    </w:p>
    <w:p w:rsidR="00461187" w:rsidRDefault="00461187" w:rsidP="00497F97">
      <w:pPr>
        <w:jc w:val="both"/>
        <w:rPr>
          <w:b/>
          <w:spacing w:val="0"/>
          <w:sz w:val="18"/>
          <w:szCs w:val="18"/>
          <w:lang w:val="es-CO"/>
        </w:rPr>
        <w:sectPr w:rsidR="00461187" w:rsidSect="00CD1E7F">
          <w:headerReference w:type="default" r:id="rId14"/>
          <w:pgSz w:w="12242" w:h="18722" w:code="14"/>
          <w:pgMar w:top="1701" w:right="1418" w:bottom="1418" w:left="1701" w:header="567" w:footer="1418" w:gutter="0"/>
          <w:paperSrc w:first="2" w:other="2"/>
          <w:pgNumType w:start="3"/>
          <w:cols w:space="720"/>
          <w:docGrid w:linePitch="381"/>
        </w:sectPr>
      </w:pPr>
    </w:p>
    <w:p w:rsidR="00484B0F" w:rsidRPr="005F47B4" w:rsidRDefault="00E67479" w:rsidP="00F236C0">
      <w:pPr>
        <w:jc w:val="center"/>
        <w:rPr>
          <w:b/>
          <w:spacing w:val="0"/>
          <w:sz w:val="16"/>
          <w:szCs w:val="16"/>
          <w:lang w:val="es-CO"/>
        </w:rPr>
      </w:pPr>
      <w:r w:rsidRPr="005F47B4">
        <w:rPr>
          <w:b/>
          <w:spacing w:val="0"/>
          <w:position w:val="-96"/>
          <w:sz w:val="12"/>
          <w:szCs w:val="12"/>
          <w:lang w:val="es-CO"/>
        </w:rPr>
        <w:object w:dxaOrig="7720" w:dyaOrig="2040">
          <v:shape id="_x0000_i1026" type="#_x0000_t75" style="width:406.35pt;height:93.9pt" o:ole="">
            <v:imagedata r:id="rId15" o:title=""/>
          </v:shape>
          <o:OLEObject Type="Embed" ProgID="Equation.3" ShapeID="_x0000_i1026" DrawAspect="Content" ObjectID="_1574584480" r:id="rId16"/>
        </w:object>
      </w:r>
    </w:p>
    <w:p w:rsidR="00484B0F" w:rsidRPr="005F47B4" w:rsidRDefault="00484B0F" w:rsidP="00F236C0">
      <w:pPr>
        <w:jc w:val="both"/>
        <w:rPr>
          <w:b/>
          <w:spacing w:val="0"/>
          <w:sz w:val="16"/>
          <w:szCs w:val="16"/>
          <w:lang w:val="es-CO"/>
        </w:rPr>
      </w:pPr>
    </w:p>
    <w:p w:rsidR="00484B0F" w:rsidRPr="005F47B4" w:rsidRDefault="00484B0F" w:rsidP="00F236C0">
      <w:pPr>
        <w:jc w:val="both"/>
        <w:rPr>
          <w:b/>
          <w:spacing w:val="0"/>
          <w:sz w:val="18"/>
          <w:szCs w:val="18"/>
          <w:lang w:val="es-CO"/>
        </w:rPr>
      </w:pPr>
      <w:proofErr w:type="spellStart"/>
      <w:r w:rsidRPr="005F47B4">
        <w:rPr>
          <w:b/>
          <w:spacing w:val="0"/>
          <w:sz w:val="18"/>
          <w:szCs w:val="18"/>
          <w:lang w:val="es-CO"/>
        </w:rPr>
        <w:t>Donde</w:t>
      </w:r>
      <w:proofErr w:type="spellEnd"/>
      <w:r w:rsidRPr="005F47B4">
        <w:rPr>
          <w:b/>
          <w:spacing w:val="0"/>
          <w:sz w:val="18"/>
          <w:szCs w:val="18"/>
          <w:lang w:val="es-CO"/>
        </w:rPr>
        <w:t>:</w:t>
      </w:r>
    </w:p>
    <w:p w:rsidR="00484B0F" w:rsidRPr="005F47B4" w:rsidRDefault="00484B0F" w:rsidP="00F236C0">
      <w:pPr>
        <w:jc w:val="both"/>
        <w:rPr>
          <w:b/>
          <w:spacing w:val="0"/>
          <w:sz w:val="18"/>
          <w:szCs w:val="18"/>
          <w:lang w:val="es-CO"/>
        </w:rPr>
      </w:pPr>
    </w:p>
    <w:p w:rsidR="00591992" w:rsidRPr="00F236C0" w:rsidRDefault="00591992" w:rsidP="00F236C0">
      <w:pPr>
        <w:jc w:val="both"/>
        <w:rPr>
          <w:spacing w:val="0"/>
          <w:sz w:val="18"/>
          <w:szCs w:val="18"/>
          <w:lang w:val="es-CO"/>
        </w:rPr>
      </w:pPr>
      <w:r w:rsidRPr="005F47B4">
        <w:rPr>
          <w:position w:val="-6"/>
        </w:rPr>
        <w:object w:dxaOrig="700" w:dyaOrig="279">
          <v:shape id="_x0000_i1027" type="#_x0000_t75" style="width:35.05pt;height:13.75pt" o:ole="">
            <v:imagedata r:id="rId17" o:title=""/>
          </v:shape>
          <o:OLEObject Type="Embed" ProgID="Equation.3" ShapeID="_x0000_i1027" DrawAspect="Content" ObjectID="_1574584481" r:id="rId18"/>
        </w:object>
      </w:r>
      <w:r w:rsidRPr="005F47B4">
        <w:rPr>
          <w:b/>
          <w:spacing w:val="0"/>
          <w:sz w:val="18"/>
          <w:szCs w:val="18"/>
          <w:lang w:val="es-CO"/>
        </w:rPr>
        <w:t>:</w:t>
      </w:r>
      <w:r w:rsidRPr="005F47B4">
        <w:rPr>
          <w:b/>
          <w:spacing w:val="0"/>
          <w:sz w:val="18"/>
          <w:szCs w:val="18"/>
          <w:lang w:val="es-CO"/>
        </w:rPr>
        <w:tab/>
      </w:r>
      <w:r w:rsidRPr="00F236C0">
        <w:rPr>
          <w:spacing w:val="0"/>
          <w:sz w:val="18"/>
          <w:szCs w:val="18"/>
          <w:lang w:val="es-CO"/>
        </w:rPr>
        <w:t>Activos Líquidos de Alta Calidad</w:t>
      </w:r>
    </w:p>
    <w:p w:rsidR="00591992" w:rsidRPr="00F236C0" w:rsidRDefault="00E67479" w:rsidP="00F236C0">
      <w:pPr>
        <w:jc w:val="both"/>
        <w:rPr>
          <w:spacing w:val="0"/>
          <w:sz w:val="18"/>
          <w:szCs w:val="18"/>
          <w:lang w:val="es-CO"/>
        </w:rPr>
      </w:pPr>
      <w:r w:rsidRPr="00F236C0">
        <w:rPr>
          <w:position w:val="-6"/>
        </w:rPr>
        <w:object w:dxaOrig="520" w:dyaOrig="279">
          <v:shape id="_x0000_i1028" type="#_x0000_t75" style="width:26.3pt;height:13.75pt" o:ole="">
            <v:imagedata r:id="rId19" o:title=""/>
          </v:shape>
          <o:OLEObject Type="Embed" ProgID="Equation.3" ShapeID="_x0000_i1028" DrawAspect="Content" ObjectID="_1574584482" r:id="rId20"/>
        </w:object>
      </w:r>
      <w:r w:rsidR="00591992" w:rsidRPr="00F236C0">
        <w:rPr>
          <w:spacing w:val="0"/>
          <w:sz w:val="18"/>
          <w:szCs w:val="18"/>
          <w:lang w:val="es-CO"/>
        </w:rPr>
        <w:t>:</w:t>
      </w:r>
      <w:r w:rsidR="00591992" w:rsidRPr="00F236C0">
        <w:rPr>
          <w:spacing w:val="0"/>
          <w:sz w:val="18"/>
          <w:szCs w:val="18"/>
          <w:lang w:val="es-CO"/>
        </w:rPr>
        <w:tab/>
      </w:r>
      <w:r w:rsidR="00591992" w:rsidRPr="00F236C0">
        <w:rPr>
          <w:spacing w:val="0"/>
          <w:sz w:val="18"/>
          <w:szCs w:val="18"/>
          <w:lang w:val="es-CO"/>
        </w:rPr>
        <w:tab/>
        <w:t>Otros Activos Líquidos</w:t>
      </w:r>
      <w:r w:rsidR="00591992" w:rsidRPr="00F236C0">
        <w:t xml:space="preserve"> </w:t>
      </w:r>
    </w:p>
    <w:p w:rsidR="00484B0F" w:rsidRPr="00F236C0" w:rsidRDefault="007D5404" w:rsidP="00F236C0">
      <w:pPr>
        <w:jc w:val="both"/>
        <w:rPr>
          <w:spacing w:val="0"/>
          <w:sz w:val="18"/>
          <w:szCs w:val="18"/>
          <w:lang w:val="es-CO"/>
        </w:rPr>
      </w:pPr>
      <w:r w:rsidRPr="00F236C0">
        <w:rPr>
          <w:position w:val="-4"/>
        </w:rPr>
        <w:object w:dxaOrig="600" w:dyaOrig="260">
          <v:shape id="_x0000_i1029" type="#_x0000_t75" style="width:30.05pt;height:13.15pt" o:ole="">
            <v:imagedata r:id="rId21" o:title=""/>
          </v:shape>
          <o:OLEObject Type="Embed" ProgID="Equation.3" ShapeID="_x0000_i1029" DrawAspect="Content" ObjectID="_1574584483" r:id="rId22"/>
        </w:object>
      </w:r>
      <w:r w:rsidR="00484B0F" w:rsidRPr="00F236C0">
        <w:rPr>
          <w:spacing w:val="0"/>
          <w:sz w:val="18"/>
          <w:szCs w:val="18"/>
          <w:lang w:val="es-CO"/>
        </w:rPr>
        <w:t>:</w:t>
      </w:r>
      <w:r w:rsidR="00484B0F" w:rsidRPr="00F236C0">
        <w:rPr>
          <w:spacing w:val="0"/>
          <w:sz w:val="18"/>
          <w:szCs w:val="18"/>
          <w:lang w:val="es-CO"/>
        </w:rPr>
        <w:tab/>
      </w:r>
      <w:r w:rsidR="00484B0F" w:rsidRPr="00F236C0">
        <w:rPr>
          <w:spacing w:val="0"/>
          <w:sz w:val="18"/>
          <w:szCs w:val="18"/>
          <w:lang w:val="es-CO"/>
        </w:rPr>
        <w:tab/>
      </w:r>
      <w:r w:rsidR="00DC4682" w:rsidRPr="00F236C0">
        <w:rPr>
          <w:spacing w:val="0"/>
          <w:sz w:val="18"/>
          <w:szCs w:val="18"/>
          <w:lang w:val="es-CO"/>
        </w:rPr>
        <w:t xml:space="preserve">Disponible </w:t>
      </w:r>
      <w:r w:rsidR="00484B0F" w:rsidRPr="00F236C0">
        <w:rPr>
          <w:spacing w:val="0"/>
          <w:sz w:val="18"/>
          <w:szCs w:val="18"/>
          <w:lang w:val="es-CO"/>
        </w:rPr>
        <w:t xml:space="preserve">en </w:t>
      </w:r>
      <w:r w:rsidR="00DC4682" w:rsidRPr="00F236C0">
        <w:rPr>
          <w:spacing w:val="0"/>
          <w:sz w:val="18"/>
          <w:szCs w:val="18"/>
          <w:lang w:val="es-CO"/>
        </w:rPr>
        <w:t>M</w:t>
      </w:r>
      <w:r w:rsidR="00484B0F" w:rsidRPr="00F236C0">
        <w:rPr>
          <w:spacing w:val="0"/>
          <w:sz w:val="18"/>
          <w:szCs w:val="18"/>
          <w:lang w:val="es-CO"/>
        </w:rPr>
        <w:t>oneda Legal</w:t>
      </w:r>
    </w:p>
    <w:p w:rsidR="00484B0F" w:rsidRPr="00F236C0" w:rsidRDefault="007D5404" w:rsidP="00F236C0">
      <w:pPr>
        <w:jc w:val="both"/>
        <w:rPr>
          <w:spacing w:val="0"/>
          <w:sz w:val="18"/>
          <w:szCs w:val="18"/>
          <w:lang w:val="es-CO"/>
        </w:rPr>
      </w:pPr>
      <w:r w:rsidRPr="00F236C0">
        <w:rPr>
          <w:position w:val="-4"/>
        </w:rPr>
        <w:object w:dxaOrig="620" w:dyaOrig="260">
          <v:shape id="_x0000_i1030" type="#_x0000_t75" style="width:31.3pt;height:13.15pt" o:ole="">
            <v:imagedata r:id="rId23" o:title=""/>
          </v:shape>
          <o:OLEObject Type="Embed" ProgID="Equation.3" ShapeID="_x0000_i1030" DrawAspect="Content" ObjectID="_1574584484" r:id="rId24"/>
        </w:object>
      </w:r>
      <w:r w:rsidR="00484B0F" w:rsidRPr="00F236C0">
        <w:rPr>
          <w:spacing w:val="0"/>
          <w:sz w:val="18"/>
          <w:szCs w:val="18"/>
          <w:lang w:val="es-CO"/>
        </w:rPr>
        <w:t>:</w:t>
      </w:r>
      <w:r w:rsidR="00484B0F" w:rsidRPr="00F236C0">
        <w:rPr>
          <w:spacing w:val="0"/>
          <w:sz w:val="18"/>
          <w:szCs w:val="18"/>
          <w:lang w:val="es-CO"/>
        </w:rPr>
        <w:tab/>
      </w:r>
      <w:r w:rsidR="00484B0F" w:rsidRPr="00F236C0">
        <w:rPr>
          <w:spacing w:val="0"/>
          <w:sz w:val="18"/>
          <w:szCs w:val="18"/>
          <w:lang w:val="es-CO"/>
        </w:rPr>
        <w:tab/>
        <w:t>Disponible en Moneda Extranjera</w:t>
      </w:r>
    </w:p>
    <w:p w:rsidR="00484B0F" w:rsidRPr="00F236C0" w:rsidRDefault="007D5404" w:rsidP="00F236C0">
      <w:pPr>
        <w:jc w:val="both"/>
        <w:rPr>
          <w:spacing w:val="0"/>
          <w:sz w:val="18"/>
          <w:szCs w:val="18"/>
          <w:lang w:val="es-CO"/>
        </w:rPr>
      </w:pPr>
      <w:r w:rsidRPr="00F236C0">
        <w:rPr>
          <w:position w:val="-6"/>
        </w:rPr>
        <w:object w:dxaOrig="580" w:dyaOrig="279">
          <v:shape id="_x0000_i1031" type="#_x0000_t75" style="width:28.8pt;height:13.75pt" o:ole="">
            <v:imagedata r:id="rId25" o:title=""/>
          </v:shape>
          <o:OLEObject Type="Embed" ProgID="Equation.3" ShapeID="_x0000_i1031" DrawAspect="Content" ObjectID="_1574584485" r:id="rId26"/>
        </w:object>
      </w:r>
      <w:r w:rsidR="00484B0F" w:rsidRPr="00F236C0">
        <w:rPr>
          <w:spacing w:val="0"/>
          <w:sz w:val="18"/>
          <w:szCs w:val="18"/>
          <w:lang w:val="es-CO"/>
        </w:rPr>
        <w:t>:</w:t>
      </w:r>
      <w:r w:rsidR="00484B0F" w:rsidRPr="00F236C0">
        <w:rPr>
          <w:spacing w:val="0"/>
          <w:sz w:val="18"/>
          <w:szCs w:val="18"/>
          <w:lang w:val="es-CO"/>
        </w:rPr>
        <w:tab/>
      </w:r>
      <w:r w:rsidR="00484B0F" w:rsidRPr="00F236C0">
        <w:rPr>
          <w:spacing w:val="0"/>
          <w:sz w:val="18"/>
          <w:szCs w:val="18"/>
          <w:lang w:val="es-CO"/>
        </w:rPr>
        <w:tab/>
      </w:r>
      <w:proofErr w:type="spellStart"/>
      <w:r w:rsidR="00484B0F" w:rsidRPr="00F236C0">
        <w:rPr>
          <w:spacing w:val="0"/>
          <w:sz w:val="18"/>
          <w:szCs w:val="18"/>
          <w:lang w:val="es-CO"/>
        </w:rPr>
        <w:t>Haircut</w:t>
      </w:r>
      <w:proofErr w:type="spellEnd"/>
      <w:r w:rsidR="00484B0F" w:rsidRPr="00F236C0">
        <w:rPr>
          <w:spacing w:val="0"/>
          <w:sz w:val="18"/>
          <w:szCs w:val="18"/>
          <w:lang w:val="es-CO"/>
        </w:rPr>
        <w:t xml:space="preserve"> </w:t>
      </w:r>
      <w:r w:rsidR="001A2984" w:rsidRPr="00F236C0">
        <w:rPr>
          <w:spacing w:val="0"/>
          <w:sz w:val="18"/>
          <w:szCs w:val="18"/>
          <w:lang w:val="es-CO"/>
        </w:rPr>
        <w:t xml:space="preserve">a </w:t>
      </w:r>
      <w:r w:rsidR="001D7625" w:rsidRPr="00F236C0">
        <w:rPr>
          <w:spacing w:val="0"/>
          <w:sz w:val="18"/>
          <w:szCs w:val="18"/>
          <w:lang w:val="es-CO"/>
        </w:rPr>
        <w:t>30</w:t>
      </w:r>
      <w:r w:rsidR="001A2984" w:rsidRPr="00F236C0">
        <w:rPr>
          <w:spacing w:val="0"/>
          <w:sz w:val="18"/>
          <w:szCs w:val="18"/>
          <w:lang w:val="es-CO"/>
        </w:rPr>
        <w:t xml:space="preserve"> días </w:t>
      </w:r>
      <w:r w:rsidR="00484B0F" w:rsidRPr="00F236C0">
        <w:rPr>
          <w:spacing w:val="0"/>
          <w:sz w:val="18"/>
          <w:szCs w:val="18"/>
          <w:lang w:val="es-CO"/>
        </w:rPr>
        <w:t xml:space="preserve">por </w:t>
      </w:r>
      <w:r w:rsidR="002707A5" w:rsidRPr="00F236C0">
        <w:rPr>
          <w:spacing w:val="0"/>
          <w:sz w:val="18"/>
          <w:szCs w:val="18"/>
          <w:lang w:val="es-CO"/>
        </w:rPr>
        <w:t>R</w:t>
      </w:r>
      <w:r w:rsidR="00484B0F" w:rsidRPr="00F236C0">
        <w:rPr>
          <w:spacing w:val="0"/>
          <w:sz w:val="18"/>
          <w:szCs w:val="18"/>
          <w:lang w:val="es-CO"/>
        </w:rPr>
        <w:t xml:space="preserve">iesgo </w:t>
      </w:r>
      <w:r w:rsidR="002707A5" w:rsidRPr="00F236C0">
        <w:rPr>
          <w:spacing w:val="0"/>
          <w:sz w:val="18"/>
          <w:szCs w:val="18"/>
          <w:lang w:val="es-CO"/>
        </w:rPr>
        <w:t>C</w:t>
      </w:r>
      <w:r w:rsidR="00484B0F" w:rsidRPr="00F236C0">
        <w:rPr>
          <w:spacing w:val="0"/>
          <w:sz w:val="18"/>
          <w:szCs w:val="18"/>
          <w:lang w:val="es-CO"/>
        </w:rPr>
        <w:t>ambiario</w:t>
      </w:r>
    </w:p>
    <w:p w:rsidR="00484B0F" w:rsidRPr="00F236C0" w:rsidRDefault="007D5404" w:rsidP="00F236C0">
      <w:pPr>
        <w:pBdr>
          <w:left w:val="single" w:sz="4" w:space="4" w:color="auto"/>
        </w:pBdr>
        <w:jc w:val="both"/>
        <w:rPr>
          <w:spacing w:val="0"/>
          <w:sz w:val="18"/>
          <w:szCs w:val="18"/>
          <w:lang w:val="es-CO"/>
        </w:rPr>
      </w:pPr>
      <w:r w:rsidRPr="005F47B4">
        <w:rPr>
          <w:b/>
          <w:position w:val="-12"/>
        </w:rPr>
        <w:object w:dxaOrig="1240" w:dyaOrig="380">
          <v:shape id="_x0000_i1032" type="#_x0000_t75" style="width:62pt;height:18.8pt" o:ole="">
            <v:imagedata r:id="rId27" o:title=""/>
          </v:shape>
          <o:OLEObject Type="Embed" ProgID="Equation.3" ShapeID="_x0000_i1032" DrawAspect="Content" ObjectID="_1574584486" r:id="rId28"/>
        </w:object>
      </w:r>
      <w:r w:rsidR="00484B0F" w:rsidRPr="005F47B4">
        <w:rPr>
          <w:b/>
          <w:spacing w:val="0"/>
          <w:sz w:val="18"/>
          <w:szCs w:val="18"/>
          <w:lang w:val="es-CO"/>
        </w:rPr>
        <w:t>:</w:t>
      </w:r>
      <w:r w:rsidR="00484B0F" w:rsidRPr="005F47B4">
        <w:rPr>
          <w:b/>
          <w:spacing w:val="0"/>
          <w:sz w:val="18"/>
          <w:szCs w:val="18"/>
          <w:lang w:val="es-CO"/>
        </w:rPr>
        <w:tab/>
      </w:r>
      <w:r w:rsidR="0068793D">
        <w:rPr>
          <w:b/>
          <w:spacing w:val="0"/>
          <w:sz w:val="18"/>
          <w:szCs w:val="18"/>
          <w:lang w:val="es-CO"/>
        </w:rPr>
        <w:t>Valor razonable</w:t>
      </w:r>
      <w:r w:rsidR="00396723" w:rsidRPr="005F47B4">
        <w:rPr>
          <w:b/>
          <w:spacing w:val="0"/>
          <w:sz w:val="18"/>
          <w:szCs w:val="18"/>
          <w:lang w:val="es-CO"/>
        </w:rPr>
        <w:t xml:space="preserve"> </w:t>
      </w:r>
      <w:r w:rsidR="00484B0F" w:rsidRPr="00F236C0">
        <w:rPr>
          <w:spacing w:val="0"/>
          <w:sz w:val="18"/>
          <w:szCs w:val="18"/>
          <w:lang w:val="es-CO"/>
        </w:rPr>
        <w:t xml:space="preserve">de </w:t>
      </w:r>
      <w:r w:rsidR="00E31683" w:rsidRPr="00F236C0">
        <w:rPr>
          <w:spacing w:val="0"/>
          <w:sz w:val="18"/>
          <w:szCs w:val="18"/>
          <w:lang w:val="es-CO"/>
        </w:rPr>
        <w:t xml:space="preserve">la </w:t>
      </w:r>
      <w:r w:rsidR="00484B0F" w:rsidRPr="00F236C0">
        <w:rPr>
          <w:spacing w:val="0"/>
          <w:sz w:val="18"/>
          <w:szCs w:val="18"/>
          <w:lang w:val="es-CO"/>
        </w:rPr>
        <w:t>Inversi</w:t>
      </w:r>
      <w:r w:rsidR="00E31683" w:rsidRPr="00F236C0">
        <w:rPr>
          <w:spacing w:val="0"/>
          <w:sz w:val="18"/>
          <w:szCs w:val="18"/>
          <w:lang w:val="es-CO"/>
        </w:rPr>
        <w:t>ón</w:t>
      </w:r>
      <w:r w:rsidRPr="00F236C0">
        <w:rPr>
          <w:spacing w:val="0"/>
          <w:sz w:val="18"/>
          <w:szCs w:val="18"/>
          <w:lang w:val="es-CO"/>
        </w:rPr>
        <w:t xml:space="preserve"> de Alta Calidad</w:t>
      </w:r>
      <w:r w:rsidR="00E31683" w:rsidRPr="00F236C0">
        <w:rPr>
          <w:spacing w:val="0"/>
          <w:sz w:val="18"/>
          <w:szCs w:val="18"/>
          <w:lang w:val="es-CO"/>
        </w:rPr>
        <w:t xml:space="preserve"> (</w:t>
      </w:r>
      <w:r w:rsidR="00E31683" w:rsidRPr="00F236C0">
        <w:rPr>
          <w:i/>
          <w:spacing w:val="0"/>
          <w:sz w:val="18"/>
          <w:szCs w:val="18"/>
          <w:lang w:val="es-CO"/>
        </w:rPr>
        <w:t>i</w:t>
      </w:r>
      <w:r w:rsidR="00E31683" w:rsidRPr="00F236C0">
        <w:rPr>
          <w:spacing w:val="0"/>
          <w:sz w:val="18"/>
          <w:szCs w:val="18"/>
          <w:lang w:val="es-CO"/>
        </w:rPr>
        <w:t>)</w:t>
      </w:r>
      <w:r w:rsidR="00484B0F" w:rsidRPr="00F236C0">
        <w:rPr>
          <w:spacing w:val="0"/>
          <w:sz w:val="18"/>
          <w:szCs w:val="18"/>
          <w:lang w:val="es-CO"/>
        </w:rPr>
        <w:t xml:space="preserve"> en Moneda Legal</w:t>
      </w:r>
    </w:p>
    <w:p w:rsidR="007D5404" w:rsidRPr="00F236C0" w:rsidRDefault="007D5404" w:rsidP="00F236C0">
      <w:pPr>
        <w:pBdr>
          <w:left w:val="single" w:sz="4" w:space="4" w:color="auto"/>
        </w:pBdr>
        <w:jc w:val="both"/>
        <w:rPr>
          <w:spacing w:val="0"/>
          <w:sz w:val="18"/>
          <w:szCs w:val="18"/>
          <w:lang w:val="es-CO"/>
        </w:rPr>
      </w:pPr>
      <w:r w:rsidRPr="005F47B4">
        <w:rPr>
          <w:b/>
          <w:position w:val="-12"/>
        </w:rPr>
        <w:object w:dxaOrig="1280" w:dyaOrig="380">
          <v:shape id="_x0000_i1033" type="#_x0000_t75" style="width:63.85pt;height:18.8pt" o:ole="">
            <v:imagedata r:id="rId29" o:title=""/>
          </v:shape>
          <o:OLEObject Type="Embed" ProgID="Equation.3" ShapeID="_x0000_i1033" DrawAspect="Content" ObjectID="_1574584487" r:id="rId30"/>
        </w:object>
      </w:r>
      <w:r w:rsidR="00F52492" w:rsidRPr="005F47B4">
        <w:rPr>
          <w:b/>
          <w:spacing w:val="0"/>
          <w:sz w:val="18"/>
          <w:szCs w:val="18"/>
          <w:lang w:val="es-CO"/>
        </w:rPr>
        <w:t>:</w:t>
      </w:r>
      <w:r w:rsidR="00E31683" w:rsidRPr="005F47B4">
        <w:rPr>
          <w:b/>
          <w:spacing w:val="0"/>
          <w:sz w:val="18"/>
          <w:szCs w:val="18"/>
          <w:lang w:val="es-CO"/>
        </w:rPr>
        <w:tab/>
      </w:r>
      <w:r w:rsidR="0068793D">
        <w:rPr>
          <w:b/>
          <w:spacing w:val="0"/>
          <w:sz w:val="18"/>
          <w:szCs w:val="18"/>
          <w:lang w:val="es-CO"/>
        </w:rPr>
        <w:t>Valor razonable</w:t>
      </w:r>
      <w:r w:rsidR="00E31683" w:rsidRPr="005F47B4">
        <w:rPr>
          <w:b/>
          <w:spacing w:val="0"/>
          <w:sz w:val="18"/>
          <w:szCs w:val="18"/>
          <w:lang w:val="es-CO"/>
        </w:rPr>
        <w:t xml:space="preserve"> </w:t>
      </w:r>
      <w:r w:rsidR="00E31683" w:rsidRPr="00F236C0">
        <w:rPr>
          <w:spacing w:val="0"/>
          <w:sz w:val="18"/>
          <w:szCs w:val="18"/>
          <w:lang w:val="es-CO"/>
        </w:rPr>
        <w:t xml:space="preserve">de la Inversión </w:t>
      </w:r>
      <w:r w:rsidRPr="00F236C0">
        <w:rPr>
          <w:spacing w:val="0"/>
          <w:sz w:val="18"/>
          <w:szCs w:val="18"/>
          <w:lang w:val="es-CO"/>
        </w:rPr>
        <w:t xml:space="preserve">de Alta Calidad </w:t>
      </w:r>
      <w:r w:rsidR="00E31683" w:rsidRPr="00F236C0">
        <w:rPr>
          <w:spacing w:val="0"/>
          <w:sz w:val="18"/>
          <w:szCs w:val="18"/>
          <w:lang w:val="es-CO"/>
        </w:rPr>
        <w:t>(</w:t>
      </w:r>
      <w:r w:rsidR="00E31683" w:rsidRPr="00F236C0">
        <w:rPr>
          <w:i/>
          <w:spacing w:val="0"/>
          <w:sz w:val="18"/>
          <w:szCs w:val="18"/>
          <w:lang w:val="es-CO"/>
        </w:rPr>
        <w:t>i</w:t>
      </w:r>
      <w:r w:rsidR="00E31683" w:rsidRPr="00F236C0">
        <w:rPr>
          <w:spacing w:val="0"/>
          <w:sz w:val="18"/>
          <w:szCs w:val="18"/>
          <w:lang w:val="es-CO"/>
        </w:rPr>
        <w:t>) en Moneda Extranjera</w:t>
      </w:r>
    </w:p>
    <w:p w:rsidR="007D5404" w:rsidRPr="00F236C0" w:rsidRDefault="005628C2" w:rsidP="00F236C0">
      <w:pPr>
        <w:pBdr>
          <w:left w:val="single" w:sz="4" w:space="4" w:color="auto"/>
        </w:pBdr>
        <w:jc w:val="both"/>
        <w:rPr>
          <w:b/>
          <w:spacing w:val="0"/>
          <w:sz w:val="18"/>
          <w:szCs w:val="18"/>
          <w:lang w:val="es-CO"/>
        </w:rPr>
      </w:pPr>
      <w:r w:rsidRPr="005F47B4">
        <w:rPr>
          <w:b/>
          <w:position w:val="-12"/>
        </w:rPr>
        <w:object w:dxaOrig="1219" w:dyaOrig="380">
          <v:shape id="_x0000_i1034" type="#_x0000_t75" style="width:60.75pt;height:18.8pt" o:ole="">
            <v:imagedata r:id="rId31" o:title=""/>
          </v:shape>
          <o:OLEObject Type="Embed" ProgID="Equation.3" ShapeID="_x0000_i1034" DrawAspect="Content" ObjectID="_1574584488" r:id="rId32"/>
        </w:object>
      </w:r>
      <w:r w:rsidR="007D5404" w:rsidRPr="005F47B4">
        <w:rPr>
          <w:b/>
          <w:spacing w:val="0"/>
          <w:sz w:val="18"/>
          <w:szCs w:val="18"/>
          <w:lang w:val="es-CO"/>
        </w:rPr>
        <w:t>:</w:t>
      </w:r>
      <w:r w:rsidR="007D5404" w:rsidRPr="005F47B4">
        <w:rPr>
          <w:b/>
          <w:spacing w:val="0"/>
          <w:sz w:val="18"/>
          <w:szCs w:val="18"/>
          <w:lang w:val="es-CO"/>
        </w:rPr>
        <w:tab/>
      </w:r>
      <w:r w:rsidR="0068793D">
        <w:rPr>
          <w:b/>
          <w:spacing w:val="0"/>
          <w:sz w:val="18"/>
          <w:szCs w:val="18"/>
          <w:lang w:val="es-CO"/>
        </w:rPr>
        <w:t>Valor razonable</w:t>
      </w:r>
      <w:r w:rsidR="007D5404" w:rsidRPr="005F47B4">
        <w:rPr>
          <w:b/>
          <w:spacing w:val="0"/>
          <w:sz w:val="18"/>
          <w:szCs w:val="18"/>
          <w:lang w:val="es-CO"/>
        </w:rPr>
        <w:t xml:space="preserve"> </w:t>
      </w:r>
      <w:r w:rsidR="007D5404" w:rsidRPr="00F236C0">
        <w:rPr>
          <w:spacing w:val="0"/>
          <w:sz w:val="18"/>
          <w:szCs w:val="18"/>
          <w:lang w:val="es-CO"/>
        </w:rPr>
        <w:t>de la Inversión de Otros Activos (</w:t>
      </w:r>
      <w:r w:rsidR="007D5404" w:rsidRPr="00F236C0">
        <w:rPr>
          <w:i/>
          <w:spacing w:val="0"/>
          <w:sz w:val="18"/>
          <w:szCs w:val="18"/>
          <w:lang w:val="es-CO"/>
        </w:rPr>
        <w:t>i</w:t>
      </w:r>
      <w:r w:rsidR="007D5404" w:rsidRPr="00F236C0">
        <w:rPr>
          <w:spacing w:val="0"/>
          <w:sz w:val="18"/>
          <w:szCs w:val="18"/>
          <w:lang w:val="es-CO"/>
        </w:rPr>
        <w:t>) en Moneda Legal</w:t>
      </w:r>
    </w:p>
    <w:p w:rsidR="00E31683" w:rsidRPr="005F47B4" w:rsidRDefault="005628C2" w:rsidP="00F236C0">
      <w:pPr>
        <w:pBdr>
          <w:left w:val="single" w:sz="4" w:space="4" w:color="auto"/>
        </w:pBdr>
        <w:jc w:val="both"/>
        <w:rPr>
          <w:b/>
          <w:spacing w:val="0"/>
          <w:sz w:val="18"/>
          <w:szCs w:val="18"/>
          <w:lang w:val="es-CO"/>
        </w:rPr>
      </w:pPr>
      <w:r w:rsidRPr="005F47B4">
        <w:rPr>
          <w:b/>
          <w:position w:val="-12"/>
        </w:rPr>
        <w:object w:dxaOrig="1280" w:dyaOrig="380">
          <v:shape id="_x0000_i1035" type="#_x0000_t75" style="width:63.85pt;height:18.8pt" o:ole="">
            <v:imagedata r:id="rId33" o:title=""/>
          </v:shape>
          <o:OLEObject Type="Embed" ProgID="Equation.3" ShapeID="_x0000_i1035" DrawAspect="Content" ObjectID="_1574584489" r:id="rId34"/>
        </w:object>
      </w:r>
      <w:r w:rsidR="007D5404" w:rsidRPr="005F47B4">
        <w:rPr>
          <w:b/>
          <w:spacing w:val="0"/>
          <w:sz w:val="18"/>
          <w:szCs w:val="18"/>
          <w:lang w:val="es-CO"/>
        </w:rPr>
        <w:t>:</w:t>
      </w:r>
      <w:r w:rsidR="007D5404" w:rsidRPr="005F47B4">
        <w:rPr>
          <w:b/>
          <w:spacing w:val="0"/>
          <w:sz w:val="18"/>
          <w:szCs w:val="18"/>
          <w:lang w:val="es-CO"/>
        </w:rPr>
        <w:tab/>
      </w:r>
      <w:r w:rsidR="0068793D">
        <w:rPr>
          <w:b/>
          <w:spacing w:val="0"/>
          <w:sz w:val="18"/>
          <w:szCs w:val="18"/>
          <w:lang w:val="es-CO"/>
        </w:rPr>
        <w:t>Valor razonable</w:t>
      </w:r>
      <w:r w:rsidR="007D5404" w:rsidRPr="005F47B4">
        <w:rPr>
          <w:b/>
          <w:spacing w:val="0"/>
          <w:sz w:val="18"/>
          <w:szCs w:val="18"/>
          <w:lang w:val="es-CO"/>
        </w:rPr>
        <w:t xml:space="preserve"> </w:t>
      </w:r>
      <w:r w:rsidR="007D5404" w:rsidRPr="00F236C0">
        <w:rPr>
          <w:spacing w:val="0"/>
          <w:sz w:val="18"/>
          <w:szCs w:val="18"/>
          <w:lang w:val="es-CO"/>
        </w:rPr>
        <w:t>de la Inversión de Otros Activos (</w:t>
      </w:r>
      <w:r w:rsidR="007D5404" w:rsidRPr="00F236C0">
        <w:rPr>
          <w:i/>
          <w:spacing w:val="0"/>
          <w:sz w:val="18"/>
          <w:szCs w:val="18"/>
          <w:lang w:val="es-CO"/>
        </w:rPr>
        <w:t>i</w:t>
      </w:r>
      <w:r w:rsidR="007D5404" w:rsidRPr="00F236C0">
        <w:rPr>
          <w:spacing w:val="0"/>
          <w:sz w:val="18"/>
          <w:szCs w:val="18"/>
          <w:lang w:val="es-CO"/>
        </w:rPr>
        <w:t>) en Moneda Extranjera</w:t>
      </w:r>
      <w:r w:rsidR="007D5404" w:rsidRPr="005F47B4">
        <w:rPr>
          <w:b/>
          <w:spacing w:val="0"/>
          <w:sz w:val="18"/>
          <w:szCs w:val="18"/>
          <w:lang w:val="es-CO"/>
        </w:rPr>
        <w:t xml:space="preserve">     </w:t>
      </w:r>
      <w:r w:rsidR="00396723" w:rsidRPr="005F47B4">
        <w:rPr>
          <w:b/>
          <w:spacing w:val="0"/>
          <w:sz w:val="18"/>
          <w:szCs w:val="18"/>
          <w:lang w:val="es-CO"/>
        </w:rPr>
        <w:t xml:space="preserve">   </w:t>
      </w:r>
    </w:p>
    <w:p w:rsidR="00E31683" w:rsidRPr="005628C2" w:rsidRDefault="007D5404" w:rsidP="00F236C0">
      <w:pPr>
        <w:pBdr>
          <w:left w:val="single" w:sz="4" w:space="4" w:color="auto"/>
        </w:pBdr>
        <w:ind w:left="1410" w:hanging="1410"/>
        <w:jc w:val="both"/>
        <w:rPr>
          <w:b/>
          <w:spacing w:val="0"/>
          <w:sz w:val="18"/>
          <w:szCs w:val="18"/>
          <w:lang w:val="es-CO"/>
        </w:rPr>
      </w:pPr>
      <w:r w:rsidRPr="005F47B4">
        <w:rPr>
          <w:b/>
          <w:position w:val="-12"/>
        </w:rPr>
        <w:object w:dxaOrig="660" w:dyaOrig="360">
          <v:shape id="_x0000_i1036" type="#_x0000_t75" style="width:33.2pt;height:18.15pt" o:ole="">
            <v:imagedata r:id="rId35" o:title=""/>
          </v:shape>
          <o:OLEObject Type="Embed" ProgID="Equation.3" ShapeID="_x0000_i1036" DrawAspect="Content" ObjectID="_1574584490" r:id="rId36"/>
        </w:object>
      </w:r>
      <w:r w:rsidR="00E31683" w:rsidRPr="005F47B4">
        <w:rPr>
          <w:b/>
          <w:spacing w:val="0"/>
          <w:sz w:val="18"/>
          <w:szCs w:val="18"/>
          <w:lang w:val="es-CO"/>
        </w:rPr>
        <w:t>:</w:t>
      </w:r>
      <w:r w:rsidR="00E31683" w:rsidRPr="005F47B4">
        <w:rPr>
          <w:b/>
          <w:spacing w:val="0"/>
          <w:sz w:val="18"/>
          <w:szCs w:val="18"/>
          <w:lang w:val="es-CO"/>
        </w:rPr>
        <w:tab/>
      </w:r>
      <w:r w:rsidR="00E31683" w:rsidRPr="00F236C0">
        <w:rPr>
          <w:spacing w:val="0"/>
          <w:sz w:val="18"/>
          <w:szCs w:val="18"/>
          <w:lang w:val="es-CO"/>
        </w:rPr>
        <w:tab/>
      </w:r>
      <w:proofErr w:type="spellStart"/>
      <w:r w:rsidR="00E31683" w:rsidRPr="00F236C0">
        <w:rPr>
          <w:spacing w:val="0"/>
          <w:sz w:val="18"/>
          <w:szCs w:val="18"/>
          <w:lang w:val="es-CO"/>
        </w:rPr>
        <w:t>Haircut</w:t>
      </w:r>
      <w:proofErr w:type="spellEnd"/>
      <w:r w:rsidR="00E31683" w:rsidRPr="00F236C0">
        <w:rPr>
          <w:spacing w:val="0"/>
          <w:sz w:val="18"/>
          <w:szCs w:val="18"/>
          <w:lang w:val="es-CO"/>
        </w:rPr>
        <w:t xml:space="preserve"> </w:t>
      </w:r>
      <w:r w:rsidR="001A2984" w:rsidRPr="00F236C0">
        <w:rPr>
          <w:spacing w:val="0"/>
          <w:sz w:val="18"/>
          <w:szCs w:val="18"/>
          <w:lang w:val="es-CO"/>
        </w:rPr>
        <w:t xml:space="preserve">a </w:t>
      </w:r>
      <w:r w:rsidR="008D607C" w:rsidRPr="00F236C0">
        <w:rPr>
          <w:spacing w:val="0"/>
          <w:sz w:val="18"/>
          <w:szCs w:val="18"/>
          <w:lang w:val="es-CO"/>
        </w:rPr>
        <w:t xml:space="preserve">33 </w:t>
      </w:r>
      <w:r w:rsidR="001A2984" w:rsidRPr="00F236C0">
        <w:rPr>
          <w:spacing w:val="0"/>
          <w:sz w:val="18"/>
          <w:szCs w:val="18"/>
          <w:lang w:val="es-CO"/>
        </w:rPr>
        <w:t xml:space="preserve">días </w:t>
      </w:r>
      <w:r w:rsidR="00E31683" w:rsidRPr="00F236C0">
        <w:rPr>
          <w:spacing w:val="0"/>
          <w:sz w:val="18"/>
          <w:szCs w:val="18"/>
          <w:lang w:val="es-CO"/>
        </w:rPr>
        <w:t>por Liquidez de Mercado</w:t>
      </w:r>
      <w:r w:rsidR="00E4362B" w:rsidRPr="005F47B4">
        <w:rPr>
          <w:b/>
          <w:spacing w:val="0"/>
          <w:sz w:val="18"/>
          <w:szCs w:val="18"/>
          <w:lang w:val="es-CO"/>
        </w:rPr>
        <w:t xml:space="preserve"> </w:t>
      </w:r>
    </w:p>
    <w:p w:rsidR="00465577" w:rsidRPr="001A3E3E" w:rsidRDefault="00465577" w:rsidP="00F236C0">
      <w:pPr>
        <w:ind w:left="1410" w:hanging="1410"/>
        <w:jc w:val="both"/>
        <w:rPr>
          <w:spacing w:val="0"/>
          <w:sz w:val="18"/>
          <w:szCs w:val="18"/>
          <w:lang w:val="es-CO"/>
        </w:rPr>
      </w:pPr>
    </w:p>
    <w:p w:rsidR="00E31683" w:rsidRPr="001A3E3E" w:rsidRDefault="00E31683" w:rsidP="00497F97">
      <w:pPr>
        <w:jc w:val="both"/>
        <w:rPr>
          <w:spacing w:val="0"/>
          <w:sz w:val="18"/>
          <w:szCs w:val="18"/>
          <w:lang w:val="es-CO"/>
        </w:rPr>
      </w:pPr>
    </w:p>
    <w:p w:rsidR="00396723" w:rsidRPr="001A3E3E" w:rsidRDefault="00396723" w:rsidP="00906D73">
      <w:pPr>
        <w:ind w:left="1410" w:hanging="1410"/>
        <w:jc w:val="both"/>
        <w:rPr>
          <w:spacing w:val="0"/>
          <w:sz w:val="18"/>
          <w:szCs w:val="18"/>
          <w:lang w:val="es-CO"/>
        </w:rPr>
      </w:pPr>
      <w:r w:rsidRPr="001A3E3E">
        <w:rPr>
          <w:spacing w:val="0"/>
          <w:sz w:val="18"/>
          <w:szCs w:val="18"/>
          <w:lang w:val="es-CO"/>
        </w:rPr>
        <w:t xml:space="preserve">RLN:    </w:t>
      </w:r>
      <w:r w:rsidR="00E31683" w:rsidRPr="001A3E3E">
        <w:rPr>
          <w:spacing w:val="0"/>
          <w:sz w:val="18"/>
          <w:szCs w:val="18"/>
          <w:lang w:val="es-CO"/>
        </w:rPr>
        <w:tab/>
      </w:r>
      <w:r w:rsidR="00E31683" w:rsidRPr="001A3E3E">
        <w:rPr>
          <w:spacing w:val="0"/>
          <w:sz w:val="18"/>
          <w:szCs w:val="18"/>
          <w:lang w:val="es-CO"/>
        </w:rPr>
        <w:tab/>
      </w:r>
      <w:r w:rsidRPr="001A3E3E">
        <w:rPr>
          <w:spacing w:val="0"/>
          <w:sz w:val="18"/>
          <w:szCs w:val="18"/>
          <w:lang w:val="es-CO"/>
        </w:rPr>
        <w:t xml:space="preserve">Requerimiento de </w:t>
      </w:r>
      <w:r w:rsidR="00E31683" w:rsidRPr="001A3E3E">
        <w:rPr>
          <w:spacing w:val="0"/>
          <w:sz w:val="18"/>
          <w:szCs w:val="18"/>
          <w:lang w:val="es-CO"/>
        </w:rPr>
        <w:t>L</w:t>
      </w:r>
      <w:r w:rsidRPr="001A3E3E">
        <w:rPr>
          <w:spacing w:val="0"/>
          <w:sz w:val="18"/>
          <w:szCs w:val="18"/>
          <w:lang w:val="es-CO"/>
        </w:rPr>
        <w:t xml:space="preserve">iquidez </w:t>
      </w:r>
      <w:r w:rsidR="00E31683" w:rsidRPr="001A3E3E">
        <w:rPr>
          <w:spacing w:val="0"/>
          <w:sz w:val="18"/>
          <w:szCs w:val="18"/>
          <w:lang w:val="es-CO"/>
        </w:rPr>
        <w:t>N</w:t>
      </w:r>
      <w:r w:rsidRPr="001A3E3E">
        <w:rPr>
          <w:spacing w:val="0"/>
          <w:sz w:val="18"/>
          <w:szCs w:val="18"/>
          <w:lang w:val="es-CO"/>
        </w:rPr>
        <w:t xml:space="preserve">eto estimado para la primera banda </w:t>
      </w:r>
      <w:r w:rsidR="008D607C" w:rsidRPr="001A3E3E">
        <w:rPr>
          <w:spacing w:val="0"/>
          <w:sz w:val="18"/>
          <w:szCs w:val="18"/>
          <w:lang w:val="es-CO"/>
        </w:rPr>
        <w:t xml:space="preserve">o la sumatoria de las tres (3) primeras bandas </w:t>
      </w:r>
      <w:r w:rsidRPr="001A3E3E">
        <w:rPr>
          <w:spacing w:val="0"/>
          <w:sz w:val="18"/>
          <w:szCs w:val="18"/>
          <w:lang w:val="es-CO"/>
        </w:rPr>
        <w:t>de tiempo</w:t>
      </w:r>
      <w:r w:rsidR="008D607C" w:rsidRPr="001A3E3E">
        <w:rPr>
          <w:spacing w:val="0"/>
          <w:sz w:val="18"/>
          <w:szCs w:val="18"/>
          <w:lang w:val="es-CO"/>
        </w:rPr>
        <w:t>, según corresponda</w:t>
      </w:r>
      <w:r w:rsidRPr="001A3E3E">
        <w:rPr>
          <w:spacing w:val="0"/>
          <w:sz w:val="18"/>
          <w:szCs w:val="18"/>
          <w:lang w:val="es-CO"/>
        </w:rPr>
        <w:t>.</w:t>
      </w:r>
    </w:p>
    <w:p w:rsidR="00396723" w:rsidRPr="001A3E3E" w:rsidRDefault="00396723" w:rsidP="00497F97">
      <w:pPr>
        <w:jc w:val="both"/>
        <w:rPr>
          <w:spacing w:val="0"/>
          <w:sz w:val="18"/>
          <w:szCs w:val="18"/>
          <w:lang w:val="es-CO"/>
        </w:rPr>
      </w:pPr>
    </w:p>
    <w:p w:rsidR="00566EBE" w:rsidRPr="001A3E3E" w:rsidRDefault="00722BE3" w:rsidP="00497F97">
      <w:pPr>
        <w:ind w:left="708" w:firstLine="708"/>
        <w:jc w:val="both"/>
        <w:rPr>
          <w:b/>
          <w:spacing w:val="0"/>
          <w:sz w:val="18"/>
          <w:szCs w:val="18"/>
          <w:lang w:val="es-CO"/>
        </w:rPr>
      </w:pPr>
      <w:r w:rsidRPr="001A3E3E">
        <w:rPr>
          <w:spacing w:val="0"/>
          <w:position w:val="-10"/>
          <w:sz w:val="18"/>
          <w:szCs w:val="18"/>
          <w:lang w:val="es-CO"/>
        </w:rPr>
        <w:object w:dxaOrig="6140" w:dyaOrig="320">
          <v:shape id="_x0000_i1037" type="#_x0000_t75" style="width:306.15pt;height:15.65pt" o:ole="" o:borderleftcolor="this">
            <v:imagedata r:id="rId37" o:title=""/>
          </v:shape>
          <o:OLEObject Type="Embed" ProgID="Equation.3" ShapeID="_x0000_i1037" DrawAspect="Content" ObjectID="_1574584491" r:id="rId38"/>
        </w:object>
      </w:r>
    </w:p>
    <w:p w:rsidR="00566EBE" w:rsidRPr="001A3E3E" w:rsidRDefault="00566EBE" w:rsidP="00497F97">
      <w:pPr>
        <w:jc w:val="both"/>
        <w:rPr>
          <w:b/>
          <w:spacing w:val="0"/>
          <w:sz w:val="18"/>
          <w:szCs w:val="18"/>
          <w:lang w:val="es-CO"/>
        </w:rPr>
      </w:pPr>
    </w:p>
    <w:p w:rsidR="00396723" w:rsidRPr="001A3E3E" w:rsidRDefault="00566EBE" w:rsidP="00497F97">
      <w:pPr>
        <w:jc w:val="both"/>
        <w:rPr>
          <w:spacing w:val="0"/>
          <w:sz w:val="18"/>
          <w:szCs w:val="18"/>
          <w:lang w:val="es-CO"/>
        </w:rPr>
      </w:pPr>
      <w:proofErr w:type="spellStart"/>
      <w:r w:rsidRPr="001A3E3E">
        <w:rPr>
          <w:spacing w:val="0"/>
          <w:sz w:val="18"/>
          <w:szCs w:val="18"/>
          <w:lang w:val="es-CO"/>
        </w:rPr>
        <w:t>Donde</w:t>
      </w:r>
      <w:proofErr w:type="spellEnd"/>
      <w:r w:rsidRPr="001A3E3E">
        <w:rPr>
          <w:spacing w:val="0"/>
          <w:sz w:val="18"/>
          <w:szCs w:val="18"/>
          <w:lang w:val="es-CO"/>
        </w:rPr>
        <w:t>:</w:t>
      </w:r>
    </w:p>
    <w:p w:rsidR="00566EBE" w:rsidRPr="001A3E3E" w:rsidRDefault="00566EBE" w:rsidP="00497F97">
      <w:pPr>
        <w:jc w:val="both"/>
        <w:rPr>
          <w:spacing w:val="0"/>
          <w:sz w:val="18"/>
          <w:szCs w:val="18"/>
          <w:lang w:val="es-CO"/>
        </w:rPr>
      </w:pPr>
    </w:p>
    <w:p w:rsidR="00396723" w:rsidRPr="001A3E3E" w:rsidRDefault="00396723" w:rsidP="00906D73">
      <w:pPr>
        <w:ind w:left="1410" w:hanging="1410"/>
        <w:jc w:val="both"/>
        <w:rPr>
          <w:spacing w:val="0"/>
          <w:sz w:val="18"/>
          <w:szCs w:val="18"/>
          <w:lang w:val="es-CO"/>
        </w:rPr>
      </w:pPr>
      <w:r w:rsidRPr="001A3E3E">
        <w:rPr>
          <w:spacing w:val="0"/>
          <w:sz w:val="18"/>
          <w:szCs w:val="18"/>
          <w:lang w:val="es-CO"/>
        </w:rPr>
        <w:t>F</w:t>
      </w:r>
      <w:r w:rsidR="008D607C" w:rsidRPr="001A3E3E">
        <w:rPr>
          <w:spacing w:val="0"/>
          <w:sz w:val="18"/>
          <w:szCs w:val="18"/>
          <w:lang w:val="es-CO"/>
        </w:rPr>
        <w:t>E</w:t>
      </w:r>
      <w:r w:rsidRPr="001A3E3E">
        <w:rPr>
          <w:spacing w:val="0"/>
          <w:sz w:val="18"/>
          <w:szCs w:val="18"/>
          <w:lang w:val="es-CO"/>
        </w:rPr>
        <w:t>VC:</w:t>
      </w:r>
      <w:r w:rsidR="00EA7068" w:rsidRPr="001A3E3E">
        <w:rPr>
          <w:spacing w:val="0"/>
          <w:sz w:val="18"/>
          <w:szCs w:val="18"/>
          <w:lang w:val="es-CO"/>
        </w:rPr>
        <w:tab/>
      </w:r>
      <w:r w:rsidR="00E31683" w:rsidRPr="001A3E3E">
        <w:rPr>
          <w:spacing w:val="0"/>
          <w:sz w:val="18"/>
          <w:szCs w:val="18"/>
          <w:lang w:val="es-CO"/>
        </w:rPr>
        <w:tab/>
      </w:r>
      <w:r w:rsidRPr="001A3E3E">
        <w:rPr>
          <w:spacing w:val="0"/>
          <w:sz w:val="18"/>
          <w:szCs w:val="18"/>
          <w:lang w:val="es-CO"/>
        </w:rPr>
        <w:t xml:space="preserve">Flujo </w:t>
      </w:r>
      <w:r w:rsidR="008D607C" w:rsidRPr="001A3E3E">
        <w:rPr>
          <w:spacing w:val="0"/>
          <w:sz w:val="18"/>
          <w:szCs w:val="18"/>
          <w:lang w:val="es-CO"/>
        </w:rPr>
        <w:t>de Egresos con</w:t>
      </w:r>
      <w:r w:rsidRPr="001A3E3E">
        <w:rPr>
          <w:spacing w:val="0"/>
          <w:sz w:val="18"/>
          <w:szCs w:val="18"/>
          <w:lang w:val="es-CO"/>
        </w:rPr>
        <w:t xml:space="preserve"> </w:t>
      </w:r>
      <w:r w:rsidR="0022675D" w:rsidRPr="001A3E3E">
        <w:rPr>
          <w:spacing w:val="0"/>
          <w:sz w:val="18"/>
          <w:szCs w:val="18"/>
          <w:lang w:val="es-CO"/>
        </w:rPr>
        <w:t>V</w:t>
      </w:r>
      <w:r w:rsidRPr="001A3E3E">
        <w:rPr>
          <w:spacing w:val="0"/>
          <w:sz w:val="18"/>
          <w:szCs w:val="18"/>
          <w:lang w:val="es-CO"/>
        </w:rPr>
        <w:t xml:space="preserve">encimientos </w:t>
      </w:r>
      <w:r w:rsidR="0022675D" w:rsidRPr="001A3E3E">
        <w:rPr>
          <w:spacing w:val="0"/>
          <w:sz w:val="18"/>
          <w:szCs w:val="18"/>
          <w:lang w:val="es-CO"/>
        </w:rPr>
        <w:t>C</w:t>
      </w:r>
      <w:r w:rsidRPr="001A3E3E">
        <w:rPr>
          <w:spacing w:val="0"/>
          <w:sz w:val="18"/>
          <w:szCs w:val="18"/>
          <w:lang w:val="es-CO"/>
        </w:rPr>
        <w:t xml:space="preserve">ontractuales de los pasivos y posiciones fuera de </w:t>
      </w:r>
      <w:r w:rsidR="00976AAE" w:rsidRPr="001A3E3E">
        <w:rPr>
          <w:spacing w:val="0"/>
          <w:sz w:val="18"/>
          <w:szCs w:val="18"/>
          <w:lang w:val="es-CO"/>
        </w:rPr>
        <w:t xml:space="preserve"> </w:t>
      </w:r>
      <w:r w:rsidR="0022675D" w:rsidRPr="001A3E3E">
        <w:rPr>
          <w:spacing w:val="0"/>
          <w:sz w:val="18"/>
          <w:szCs w:val="18"/>
          <w:lang w:val="es-CO"/>
        </w:rPr>
        <w:t>b</w:t>
      </w:r>
      <w:r w:rsidRPr="001A3E3E">
        <w:rPr>
          <w:spacing w:val="0"/>
          <w:sz w:val="18"/>
          <w:szCs w:val="18"/>
          <w:lang w:val="es-CO"/>
        </w:rPr>
        <w:t xml:space="preserve">alance, en </w:t>
      </w:r>
      <w:r w:rsidR="00842072" w:rsidRPr="001A3E3E">
        <w:rPr>
          <w:spacing w:val="0"/>
          <w:sz w:val="18"/>
          <w:szCs w:val="18"/>
          <w:lang w:val="es-CO"/>
        </w:rPr>
        <w:t xml:space="preserve">los </w:t>
      </w:r>
      <w:r w:rsidRPr="001A3E3E">
        <w:rPr>
          <w:spacing w:val="0"/>
          <w:sz w:val="18"/>
          <w:szCs w:val="18"/>
          <w:lang w:val="es-CO"/>
        </w:rPr>
        <w:t>horizonte</w:t>
      </w:r>
      <w:r w:rsidR="00842072" w:rsidRPr="001A3E3E">
        <w:rPr>
          <w:spacing w:val="0"/>
          <w:sz w:val="18"/>
          <w:szCs w:val="18"/>
          <w:lang w:val="es-CO"/>
        </w:rPr>
        <w:t>s</w:t>
      </w:r>
      <w:r w:rsidRPr="001A3E3E">
        <w:rPr>
          <w:spacing w:val="0"/>
          <w:sz w:val="18"/>
          <w:szCs w:val="18"/>
          <w:lang w:val="es-CO"/>
        </w:rPr>
        <w:t xml:space="preserve"> de </w:t>
      </w:r>
      <w:r w:rsidR="00842072" w:rsidRPr="001A3E3E">
        <w:rPr>
          <w:spacing w:val="0"/>
          <w:sz w:val="18"/>
          <w:szCs w:val="18"/>
          <w:lang w:val="es-CO"/>
        </w:rPr>
        <w:t xml:space="preserve">siete (7) y treinta (30) </w:t>
      </w:r>
      <w:r w:rsidRPr="001A3E3E">
        <w:rPr>
          <w:spacing w:val="0"/>
          <w:sz w:val="18"/>
          <w:szCs w:val="18"/>
          <w:lang w:val="es-CO"/>
        </w:rPr>
        <w:t>días calendario</w:t>
      </w:r>
      <w:r w:rsidR="0022675D" w:rsidRPr="001A3E3E">
        <w:rPr>
          <w:spacing w:val="0"/>
          <w:sz w:val="18"/>
          <w:szCs w:val="18"/>
          <w:lang w:val="es-CO"/>
        </w:rPr>
        <w:t xml:space="preserve"> </w:t>
      </w:r>
      <w:r w:rsidRPr="001A3E3E">
        <w:rPr>
          <w:spacing w:val="0"/>
          <w:sz w:val="18"/>
          <w:szCs w:val="18"/>
          <w:lang w:val="es-CO"/>
        </w:rPr>
        <w:t>siguientes a la fecha de la evaluación.</w:t>
      </w:r>
    </w:p>
    <w:p w:rsidR="00396723" w:rsidRPr="001A3E3E" w:rsidRDefault="00396723" w:rsidP="00906D73">
      <w:pPr>
        <w:ind w:left="1410" w:hanging="1410"/>
        <w:jc w:val="both"/>
        <w:rPr>
          <w:spacing w:val="0"/>
          <w:sz w:val="18"/>
          <w:szCs w:val="18"/>
          <w:lang w:val="es-CO"/>
        </w:rPr>
      </w:pPr>
      <w:r w:rsidRPr="001A3E3E">
        <w:rPr>
          <w:spacing w:val="0"/>
          <w:sz w:val="18"/>
          <w:szCs w:val="18"/>
          <w:lang w:val="es-CO"/>
        </w:rPr>
        <w:t xml:space="preserve">FNVNC:  </w:t>
      </w:r>
      <w:r w:rsidR="00E31683" w:rsidRPr="001A3E3E">
        <w:rPr>
          <w:spacing w:val="0"/>
          <w:sz w:val="18"/>
          <w:szCs w:val="18"/>
          <w:lang w:val="es-CO"/>
        </w:rPr>
        <w:tab/>
      </w:r>
      <w:r w:rsidRPr="001A3E3E">
        <w:rPr>
          <w:spacing w:val="0"/>
          <w:sz w:val="18"/>
          <w:szCs w:val="18"/>
          <w:lang w:val="es-CO"/>
        </w:rPr>
        <w:t xml:space="preserve">Flujo </w:t>
      </w:r>
      <w:r w:rsidR="0022675D" w:rsidRPr="001A3E3E">
        <w:rPr>
          <w:spacing w:val="0"/>
          <w:sz w:val="18"/>
          <w:szCs w:val="18"/>
          <w:lang w:val="es-CO"/>
        </w:rPr>
        <w:t>N</w:t>
      </w:r>
      <w:r w:rsidRPr="001A3E3E">
        <w:rPr>
          <w:spacing w:val="0"/>
          <w:sz w:val="18"/>
          <w:szCs w:val="18"/>
          <w:lang w:val="es-CO"/>
        </w:rPr>
        <w:t xml:space="preserve">eto </w:t>
      </w:r>
      <w:r w:rsidR="0022675D" w:rsidRPr="001A3E3E">
        <w:rPr>
          <w:spacing w:val="0"/>
          <w:sz w:val="18"/>
          <w:szCs w:val="18"/>
          <w:lang w:val="es-CO"/>
        </w:rPr>
        <w:t xml:space="preserve">(estimado) </w:t>
      </w:r>
      <w:r w:rsidRPr="001A3E3E">
        <w:rPr>
          <w:spacing w:val="0"/>
          <w:sz w:val="18"/>
          <w:szCs w:val="18"/>
          <w:lang w:val="es-CO"/>
        </w:rPr>
        <w:t xml:space="preserve">de </w:t>
      </w:r>
      <w:r w:rsidR="0022675D" w:rsidRPr="001A3E3E">
        <w:rPr>
          <w:spacing w:val="0"/>
          <w:sz w:val="18"/>
          <w:szCs w:val="18"/>
          <w:lang w:val="es-CO"/>
        </w:rPr>
        <w:t>V</w:t>
      </w:r>
      <w:r w:rsidRPr="001A3E3E">
        <w:rPr>
          <w:spacing w:val="0"/>
          <w:sz w:val="18"/>
          <w:szCs w:val="18"/>
          <w:lang w:val="es-CO"/>
        </w:rPr>
        <w:t xml:space="preserve">encimientos </w:t>
      </w:r>
      <w:r w:rsidR="0022675D" w:rsidRPr="001A3E3E">
        <w:rPr>
          <w:spacing w:val="0"/>
          <w:sz w:val="18"/>
          <w:szCs w:val="18"/>
          <w:lang w:val="es-CO"/>
        </w:rPr>
        <w:t>No C</w:t>
      </w:r>
      <w:r w:rsidRPr="001A3E3E">
        <w:rPr>
          <w:spacing w:val="0"/>
          <w:sz w:val="18"/>
          <w:szCs w:val="18"/>
          <w:lang w:val="es-CO"/>
        </w:rPr>
        <w:t xml:space="preserve">ontractuales, </w:t>
      </w:r>
      <w:r w:rsidR="00842072" w:rsidRPr="001A3E3E">
        <w:rPr>
          <w:spacing w:val="0"/>
          <w:sz w:val="18"/>
          <w:szCs w:val="18"/>
          <w:lang w:val="es-CO"/>
        </w:rPr>
        <w:t>en los horizontes de siete (7) y treinta (30) días calendario siguientes a la fecha de la evaluación</w:t>
      </w:r>
      <w:r w:rsidRPr="001A3E3E">
        <w:rPr>
          <w:spacing w:val="0"/>
          <w:sz w:val="18"/>
          <w:szCs w:val="18"/>
          <w:lang w:val="es-CO"/>
        </w:rPr>
        <w:t xml:space="preserve">. </w:t>
      </w:r>
    </w:p>
    <w:p w:rsidR="00842072" w:rsidRPr="001A3E3E" w:rsidRDefault="00842072" w:rsidP="00906D73">
      <w:pPr>
        <w:ind w:left="709" w:firstLine="707"/>
        <w:jc w:val="both"/>
        <w:rPr>
          <w:spacing w:val="0"/>
          <w:position w:val="-6"/>
          <w:sz w:val="18"/>
          <w:szCs w:val="18"/>
          <w:lang w:val="es-CO"/>
        </w:rPr>
      </w:pPr>
    </w:p>
    <w:p w:rsidR="00842072" w:rsidRPr="001A3E3E" w:rsidRDefault="00842072" w:rsidP="00906D73">
      <w:pPr>
        <w:ind w:left="709" w:firstLine="707"/>
        <w:jc w:val="both"/>
        <w:rPr>
          <w:spacing w:val="0"/>
          <w:sz w:val="18"/>
          <w:szCs w:val="18"/>
          <w:lang w:val="es-CO"/>
        </w:rPr>
      </w:pPr>
      <w:r w:rsidRPr="001A3E3E">
        <w:rPr>
          <w:spacing w:val="0"/>
          <w:position w:val="-6"/>
          <w:sz w:val="18"/>
          <w:szCs w:val="18"/>
          <w:lang w:val="es-CO"/>
        </w:rPr>
        <w:object w:dxaOrig="2439" w:dyaOrig="279">
          <v:shape id="_x0000_i1038" type="#_x0000_t75" style="width:122.1pt;height:13.75pt" o:ole="">
            <v:imagedata r:id="rId39" o:title=""/>
          </v:shape>
          <o:OLEObject Type="Embed" ProgID="Equation.3" ShapeID="_x0000_i1038" DrawAspect="Content" ObjectID="_1574584492" r:id="rId40"/>
        </w:object>
      </w:r>
    </w:p>
    <w:p w:rsidR="00842072" w:rsidRPr="001A3E3E" w:rsidRDefault="00842072" w:rsidP="00906D73">
      <w:pPr>
        <w:jc w:val="both"/>
        <w:rPr>
          <w:spacing w:val="0"/>
          <w:sz w:val="18"/>
          <w:szCs w:val="18"/>
          <w:lang w:val="es-CO"/>
        </w:rPr>
      </w:pPr>
    </w:p>
    <w:p w:rsidR="00842072" w:rsidRPr="001A3E3E" w:rsidRDefault="00842072" w:rsidP="00906D73">
      <w:pPr>
        <w:jc w:val="both"/>
        <w:rPr>
          <w:spacing w:val="0"/>
          <w:sz w:val="18"/>
          <w:szCs w:val="18"/>
          <w:lang w:val="es-CO"/>
        </w:rPr>
      </w:pPr>
      <w:proofErr w:type="spellStart"/>
      <w:r w:rsidRPr="001A3E3E">
        <w:rPr>
          <w:spacing w:val="0"/>
          <w:sz w:val="18"/>
          <w:szCs w:val="18"/>
          <w:lang w:val="es-CO"/>
        </w:rPr>
        <w:t>Donde</w:t>
      </w:r>
      <w:proofErr w:type="spellEnd"/>
      <w:r w:rsidRPr="001A3E3E">
        <w:rPr>
          <w:spacing w:val="0"/>
          <w:sz w:val="18"/>
          <w:szCs w:val="18"/>
          <w:lang w:val="es-CO"/>
        </w:rPr>
        <w:t>:</w:t>
      </w:r>
    </w:p>
    <w:p w:rsidR="00842072" w:rsidRPr="001A3E3E" w:rsidRDefault="00842072" w:rsidP="00906D73">
      <w:pPr>
        <w:jc w:val="both"/>
        <w:rPr>
          <w:spacing w:val="0"/>
          <w:sz w:val="18"/>
          <w:szCs w:val="18"/>
          <w:lang w:val="es-CO"/>
        </w:rPr>
      </w:pPr>
    </w:p>
    <w:p w:rsidR="00C826C3" w:rsidRPr="001A3E3E" w:rsidRDefault="00842072" w:rsidP="00906D73">
      <w:pPr>
        <w:ind w:left="1410" w:hanging="1410"/>
        <w:jc w:val="both"/>
        <w:rPr>
          <w:spacing w:val="0"/>
          <w:sz w:val="18"/>
          <w:szCs w:val="18"/>
          <w:lang w:val="es-CO"/>
        </w:rPr>
      </w:pPr>
      <w:r w:rsidRPr="001A3E3E">
        <w:rPr>
          <w:spacing w:val="0"/>
          <w:sz w:val="18"/>
          <w:szCs w:val="18"/>
          <w:lang w:val="es-CO"/>
        </w:rPr>
        <w:t>FRN:</w:t>
      </w:r>
      <w:r w:rsidRPr="001A3E3E">
        <w:rPr>
          <w:spacing w:val="0"/>
          <w:sz w:val="18"/>
          <w:szCs w:val="18"/>
          <w:lang w:val="es-CO"/>
        </w:rPr>
        <w:tab/>
      </w:r>
      <w:r w:rsidRPr="001A3E3E">
        <w:rPr>
          <w:spacing w:val="0"/>
          <w:sz w:val="18"/>
          <w:szCs w:val="18"/>
          <w:lang w:val="es-CO"/>
        </w:rPr>
        <w:tab/>
        <w:t>Factor de Retiros Netos (%) mensual para el horizonte de treinta (30) días y multiplicado por (7/30) para el horizonte de siete (7) días calendario.</w:t>
      </w:r>
    </w:p>
    <w:p w:rsidR="00842072" w:rsidRPr="001A3E3E" w:rsidRDefault="00842072" w:rsidP="00906D73">
      <w:pPr>
        <w:ind w:left="1410" w:hanging="1410"/>
        <w:jc w:val="both"/>
        <w:rPr>
          <w:spacing w:val="0"/>
          <w:sz w:val="18"/>
          <w:szCs w:val="18"/>
          <w:lang w:val="es-CO"/>
        </w:rPr>
      </w:pPr>
      <w:r w:rsidRPr="001A3E3E">
        <w:rPr>
          <w:spacing w:val="0"/>
          <w:sz w:val="18"/>
          <w:szCs w:val="18"/>
          <w:lang w:val="es-CO"/>
        </w:rPr>
        <w:t>DENC:</w:t>
      </w:r>
      <w:r w:rsidRPr="001A3E3E">
        <w:rPr>
          <w:spacing w:val="0"/>
          <w:sz w:val="18"/>
          <w:szCs w:val="18"/>
          <w:lang w:val="es-CO"/>
        </w:rPr>
        <w:tab/>
      </w:r>
      <w:r w:rsidRPr="001A3E3E">
        <w:rPr>
          <w:spacing w:val="0"/>
          <w:sz w:val="18"/>
          <w:szCs w:val="18"/>
          <w:lang w:val="es-CO"/>
        </w:rPr>
        <w:tab/>
        <w:t>Depósitos y Exigibilidades No Contractuales, en la fecha de corte</w:t>
      </w:r>
    </w:p>
    <w:p w:rsidR="00842072" w:rsidRPr="001A3E3E" w:rsidRDefault="00842072" w:rsidP="00497F97">
      <w:pPr>
        <w:ind w:left="1410" w:hanging="1410"/>
        <w:jc w:val="both"/>
        <w:rPr>
          <w:spacing w:val="0"/>
          <w:sz w:val="18"/>
          <w:szCs w:val="18"/>
          <w:lang w:val="es-CO"/>
        </w:rPr>
      </w:pPr>
    </w:p>
    <w:p w:rsidR="00842072" w:rsidRPr="001A3E3E" w:rsidRDefault="00842072" w:rsidP="00497F97">
      <w:pPr>
        <w:ind w:left="1410" w:hanging="1410"/>
        <w:jc w:val="both"/>
        <w:rPr>
          <w:spacing w:val="0"/>
          <w:sz w:val="18"/>
          <w:szCs w:val="18"/>
          <w:lang w:val="es-CO"/>
        </w:rPr>
      </w:pPr>
    </w:p>
    <w:p w:rsidR="00396723" w:rsidRPr="001A3E3E" w:rsidRDefault="00842072" w:rsidP="00906D73">
      <w:pPr>
        <w:ind w:left="1410" w:hanging="1410"/>
        <w:jc w:val="both"/>
        <w:rPr>
          <w:spacing w:val="0"/>
          <w:sz w:val="18"/>
          <w:szCs w:val="18"/>
          <w:lang w:val="es-CO"/>
        </w:rPr>
      </w:pPr>
      <w:r w:rsidRPr="001A3E3E">
        <w:rPr>
          <w:spacing w:val="0"/>
          <w:sz w:val="18"/>
          <w:szCs w:val="18"/>
          <w:lang w:val="es-CO"/>
        </w:rPr>
        <w:t>F</w:t>
      </w:r>
      <w:r w:rsidR="001D7625" w:rsidRPr="001A3E3E">
        <w:rPr>
          <w:spacing w:val="0"/>
          <w:sz w:val="18"/>
          <w:szCs w:val="18"/>
          <w:lang w:val="es-CO"/>
        </w:rPr>
        <w:t>I</w:t>
      </w:r>
      <w:r w:rsidRPr="001A3E3E">
        <w:rPr>
          <w:spacing w:val="0"/>
          <w:sz w:val="18"/>
          <w:szCs w:val="18"/>
          <w:lang w:val="es-CO"/>
        </w:rPr>
        <w:t>VC</w:t>
      </w:r>
      <w:r w:rsidR="001D7625" w:rsidRPr="001A3E3E">
        <w:rPr>
          <w:spacing w:val="0"/>
          <w:sz w:val="18"/>
          <w:szCs w:val="18"/>
          <w:lang w:val="es-CO"/>
        </w:rPr>
        <w:t>:</w:t>
      </w:r>
      <w:r w:rsidR="001D7625" w:rsidRPr="001A3E3E">
        <w:rPr>
          <w:spacing w:val="0"/>
          <w:sz w:val="18"/>
          <w:szCs w:val="18"/>
          <w:lang w:val="es-CO"/>
        </w:rPr>
        <w:tab/>
      </w:r>
      <w:r w:rsidRPr="001A3E3E">
        <w:rPr>
          <w:spacing w:val="0"/>
          <w:sz w:val="18"/>
          <w:szCs w:val="18"/>
          <w:lang w:val="es-CO"/>
        </w:rPr>
        <w:t xml:space="preserve">Flujo de </w:t>
      </w:r>
      <w:r w:rsidR="001D7625" w:rsidRPr="001A3E3E">
        <w:rPr>
          <w:spacing w:val="0"/>
          <w:sz w:val="18"/>
          <w:szCs w:val="18"/>
          <w:lang w:val="es-CO"/>
        </w:rPr>
        <w:t xml:space="preserve">Ingresos </w:t>
      </w:r>
      <w:r w:rsidRPr="001A3E3E">
        <w:rPr>
          <w:spacing w:val="0"/>
          <w:sz w:val="18"/>
          <w:szCs w:val="18"/>
          <w:lang w:val="es-CO"/>
        </w:rPr>
        <w:t>con Vencimientos Contractuales de los activos y posiciones fuera de  balance, en los horizontes de siete (7) y treinta (30) días calendario siguientes a la fecha de la evaluación.</w:t>
      </w:r>
    </w:p>
    <w:p w:rsidR="003C1479" w:rsidRPr="001A3E3E" w:rsidRDefault="003C1479" w:rsidP="00497F97">
      <w:pPr>
        <w:jc w:val="both"/>
        <w:rPr>
          <w:spacing w:val="0"/>
          <w:sz w:val="18"/>
          <w:szCs w:val="18"/>
          <w:lang w:val="es-CO"/>
        </w:rPr>
      </w:pPr>
    </w:p>
    <w:p w:rsidR="003C1479" w:rsidRPr="001A3E3E" w:rsidRDefault="003C1479" w:rsidP="00906D73">
      <w:pPr>
        <w:jc w:val="both"/>
        <w:rPr>
          <w:b/>
          <w:spacing w:val="0"/>
          <w:sz w:val="18"/>
          <w:szCs w:val="18"/>
          <w:lang w:val="es-CO"/>
        </w:rPr>
      </w:pPr>
      <w:r w:rsidRPr="001A3E3E">
        <w:rPr>
          <w:b/>
          <w:spacing w:val="0"/>
          <w:sz w:val="18"/>
          <w:szCs w:val="18"/>
          <w:lang w:val="es-CO"/>
        </w:rPr>
        <w:t>2.5 Cálculo del Indicador de Riesgo de Liquidez (</w:t>
      </w:r>
      <w:proofErr w:type="spellStart"/>
      <w:r w:rsidRPr="001A3E3E">
        <w:rPr>
          <w:b/>
          <w:spacing w:val="0"/>
          <w:sz w:val="18"/>
          <w:szCs w:val="18"/>
          <w:lang w:val="es-CO"/>
        </w:rPr>
        <w:t>IRL</w:t>
      </w:r>
      <w:r w:rsidR="00443355" w:rsidRPr="001A3E3E">
        <w:rPr>
          <w:b/>
          <w:spacing w:val="0"/>
          <w:sz w:val="18"/>
          <w:szCs w:val="18"/>
          <w:vertAlign w:val="subscript"/>
          <w:lang w:val="es-CO"/>
        </w:rPr>
        <w:t>r</w:t>
      </w:r>
      <w:proofErr w:type="spellEnd"/>
      <w:r w:rsidRPr="001A3E3E">
        <w:rPr>
          <w:b/>
          <w:spacing w:val="0"/>
          <w:sz w:val="18"/>
          <w:szCs w:val="18"/>
          <w:lang w:val="es-CO"/>
        </w:rPr>
        <w:t>) (razón)</w:t>
      </w:r>
    </w:p>
    <w:p w:rsidR="003C1479" w:rsidRPr="001A3E3E" w:rsidRDefault="003C1479" w:rsidP="003C1479">
      <w:pPr>
        <w:jc w:val="both"/>
        <w:rPr>
          <w:spacing w:val="0"/>
          <w:sz w:val="18"/>
          <w:szCs w:val="18"/>
          <w:lang w:val="es-CO"/>
        </w:rPr>
      </w:pPr>
    </w:p>
    <w:p w:rsidR="00C826C3" w:rsidRPr="001A3E3E" w:rsidRDefault="003C1479" w:rsidP="00906D73">
      <w:pPr>
        <w:jc w:val="both"/>
        <w:rPr>
          <w:spacing w:val="0"/>
          <w:sz w:val="18"/>
          <w:szCs w:val="18"/>
          <w:lang w:val="es-CO"/>
        </w:rPr>
      </w:pPr>
      <w:r w:rsidRPr="001A3E3E">
        <w:rPr>
          <w:spacing w:val="0"/>
          <w:sz w:val="18"/>
          <w:szCs w:val="18"/>
          <w:lang w:val="es-CO"/>
        </w:rPr>
        <w:t>El Indicador de Riesgo de Liquidez (</w:t>
      </w:r>
      <w:proofErr w:type="spellStart"/>
      <w:r w:rsidRPr="001A3E3E">
        <w:rPr>
          <w:spacing w:val="0"/>
          <w:sz w:val="18"/>
          <w:szCs w:val="18"/>
          <w:lang w:val="es-CO"/>
        </w:rPr>
        <w:t>IRL</w:t>
      </w:r>
      <w:r w:rsidR="00443355" w:rsidRPr="001A3E3E">
        <w:rPr>
          <w:spacing w:val="0"/>
          <w:sz w:val="18"/>
          <w:szCs w:val="18"/>
          <w:vertAlign w:val="subscript"/>
          <w:lang w:val="es-CO"/>
        </w:rPr>
        <w:t>r</w:t>
      </w:r>
      <w:proofErr w:type="spellEnd"/>
      <w:r w:rsidRPr="001A3E3E">
        <w:rPr>
          <w:spacing w:val="0"/>
          <w:sz w:val="18"/>
          <w:szCs w:val="18"/>
          <w:lang w:val="es-CO"/>
        </w:rPr>
        <w:t xml:space="preserve">) en cada fecha de evaluación será la razón, en donde el numerador consiste en los activos líquidos ajustados por ‘liquidez de mercado’ y riesgo cambiario  (ALM) y el denominador consiste en el requerimiento de liquidez neto total de </w:t>
      </w:r>
      <w:r w:rsidR="00B6715E" w:rsidRPr="001A3E3E">
        <w:rPr>
          <w:spacing w:val="0"/>
          <w:sz w:val="18"/>
          <w:szCs w:val="18"/>
          <w:lang w:val="es-CO"/>
        </w:rPr>
        <w:t>la primera banda o de la sumatoria de las tres (3) primeras bandas de tiempo (RLN), según corresponda</w:t>
      </w:r>
      <w:r w:rsidRPr="001A3E3E">
        <w:rPr>
          <w:spacing w:val="0"/>
          <w:sz w:val="18"/>
          <w:szCs w:val="18"/>
          <w:lang w:val="es-CO"/>
        </w:rPr>
        <w:t xml:space="preserve">. Tal cálculo se expresa de la siguiente manera: </w:t>
      </w:r>
    </w:p>
    <w:p w:rsidR="00C826C3" w:rsidRPr="001A3E3E" w:rsidRDefault="00C826C3" w:rsidP="00906D73">
      <w:pPr>
        <w:jc w:val="both"/>
        <w:rPr>
          <w:spacing w:val="0"/>
          <w:sz w:val="18"/>
          <w:szCs w:val="18"/>
          <w:lang w:val="es-CO"/>
        </w:rPr>
      </w:pPr>
    </w:p>
    <w:p w:rsidR="003C1479" w:rsidRPr="001A3E3E" w:rsidRDefault="0053715C" w:rsidP="005B2D81">
      <w:pPr>
        <w:jc w:val="center"/>
        <w:rPr>
          <w:spacing w:val="0"/>
          <w:sz w:val="18"/>
          <w:szCs w:val="18"/>
          <w:lang w:val="es-CO"/>
        </w:rPr>
      </w:pPr>
      <w:r w:rsidRPr="001A3E3E">
        <w:rPr>
          <w:spacing w:val="0"/>
          <w:position w:val="-24"/>
          <w:sz w:val="18"/>
          <w:szCs w:val="18"/>
          <w:lang w:val="es-CO"/>
        </w:rPr>
        <w:object w:dxaOrig="1340" w:dyaOrig="620">
          <v:shape id="_x0000_i1039" type="#_x0000_t75" style="width:67pt;height:31.3pt" o:ole="" o:borderleftcolor="this">
            <v:imagedata r:id="rId41" o:title=""/>
          </v:shape>
          <o:OLEObject Type="Embed" ProgID="Equation.3" ShapeID="_x0000_i1039" DrawAspect="Content" ObjectID="_1574584493" r:id="rId42"/>
        </w:object>
      </w:r>
    </w:p>
    <w:sectPr w:rsidR="003C1479" w:rsidRPr="001A3E3E" w:rsidSect="00CD1E7F">
      <w:headerReference w:type="default" r:id="rId43"/>
      <w:pgSz w:w="12242" w:h="18722" w:code="14"/>
      <w:pgMar w:top="1701" w:right="1418" w:bottom="1418" w:left="1701" w:header="567" w:footer="1418" w:gutter="0"/>
      <w:paperSrc w:first="2" w:other="2"/>
      <w:pgNumType w:start="3"/>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C86" w:rsidRDefault="00372C86">
      <w:r>
        <w:separator/>
      </w:r>
    </w:p>
  </w:endnote>
  <w:endnote w:type="continuationSeparator" w:id="0">
    <w:p w:rsidR="00372C86" w:rsidRDefault="0037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7F" w:rsidRDefault="00CD1E7F" w:rsidP="001A3E3E">
    <w:pPr>
      <w:pStyle w:val="Piedepgina"/>
      <w:rPr>
        <w:rStyle w:val="Nmerodepgina"/>
        <w:rFonts w:cs="Arial"/>
        <w:b/>
        <w:bCs/>
        <w:spacing w:val="0"/>
        <w:sz w:val="20"/>
        <w:szCs w:val="20"/>
        <w:lang w:val="pt-BR"/>
      </w:rPr>
    </w:pPr>
  </w:p>
  <w:p w:rsidR="00CD1E7F" w:rsidRDefault="00CD1E7F" w:rsidP="001A3E3E">
    <w:pPr>
      <w:pStyle w:val="Piedepgina"/>
      <w:rPr>
        <w:rStyle w:val="Nmerodepgina"/>
        <w:rFonts w:cs="Arial"/>
        <w:b/>
        <w:bCs/>
        <w:spacing w:val="0"/>
        <w:sz w:val="20"/>
        <w:szCs w:val="20"/>
        <w:lang w:val="pt-BR"/>
      </w:rPr>
    </w:pPr>
  </w:p>
  <w:p w:rsidR="00CD1E7F" w:rsidRPr="00044A2F" w:rsidRDefault="00CD1E7F" w:rsidP="001A3E3E">
    <w:pPr>
      <w:jc w:val="both"/>
      <w:outlineLvl w:val="0"/>
      <w:rPr>
        <w:b/>
        <w:bCs/>
        <w:spacing w:val="0"/>
        <w:sz w:val="18"/>
        <w:szCs w:val="18"/>
      </w:rPr>
    </w:pPr>
    <w:r w:rsidRPr="00F93DB1">
      <w:rPr>
        <w:rStyle w:val="Nmerodepgina"/>
        <w:rFonts w:cs="Arial"/>
        <w:b/>
        <w:bCs/>
        <w:spacing w:val="0"/>
        <w:sz w:val="18"/>
        <w:szCs w:val="18"/>
      </w:rPr>
      <w:t>Anexo I</w:t>
    </w:r>
    <w:r>
      <w:rPr>
        <w:rStyle w:val="Nmerodepgina"/>
        <w:rFonts w:cs="Arial"/>
        <w:b/>
        <w:bCs/>
        <w:spacing w:val="0"/>
        <w:sz w:val="18"/>
        <w:szCs w:val="18"/>
      </w:rPr>
      <w:t xml:space="preserve"> </w:t>
    </w:r>
    <w:r w:rsidRPr="00F93DB1">
      <w:rPr>
        <w:rStyle w:val="Nmerodepgina"/>
        <w:rFonts w:cs="Arial"/>
        <w:b/>
        <w:bCs/>
        <w:spacing w:val="0"/>
        <w:sz w:val="20"/>
        <w:szCs w:val="20"/>
      </w:rPr>
      <w:t>-</w:t>
    </w:r>
    <w:r>
      <w:rPr>
        <w:rStyle w:val="Nmerodepgina"/>
        <w:rFonts w:cs="Arial"/>
        <w:b/>
        <w:bCs/>
        <w:spacing w:val="0"/>
        <w:sz w:val="20"/>
        <w:szCs w:val="20"/>
      </w:rPr>
      <w:t xml:space="preserve"> </w:t>
    </w:r>
    <w:r w:rsidRPr="00F93DB1">
      <w:rPr>
        <w:rStyle w:val="Nmerodepgina"/>
        <w:rFonts w:cs="Arial"/>
        <w:b/>
        <w:bCs/>
        <w:spacing w:val="0"/>
        <w:sz w:val="20"/>
        <w:szCs w:val="20"/>
      </w:rPr>
      <w:t>M</w:t>
    </w:r>
    <w:r w:rsidRPr="00044A2F">
      <w:rPr>
        <w:b/>
        <w:bCs/>
        <w:spacing w:val="0"/>
        <w:sz w:val="18"/>
        <w:szCs w:val="18"/>
      </w:rPr>
      <w:t xml:space="preserve">etodología para la </w:t>
    </w:r>
    <w:r>
      <w:rPr>
        <w:b/>
        <w:bCs/>
        <w:spacing w:val="0"/>
        <w:sz w:val="18"/>
        <w:szCs w:val="18"/>
      </w:rPr>
      <w:t>medición y reporte estándar</w:t>
    </w:r>
    <w:r w:rsidRPr="00044A2F">
      <w:rPr>
        <w:b/>
        <w:bCs/>
        <w:spacing w:val="0"/>
        <w:sz w:val="18"/>
        <w:szCs w:val="18"/>
      </w:rPr>
      <w:t xml:space="preserve"> del riesgo de liquidez de los establecimientos de crédito</w:t>
    </w:r>
    <w:r>
      <w:rPr>
        <w:b/>
        <w:bCs/>
        <w:spacing w:val="0"/>
        <w:sz w:val="18"/>
        <w:szCs w:val="18"/>
      </w:rPr>
      <w:t>,</w:t>
    </w:r>
    <w:r w:rsidRPr="00044A2F">
      <w:rPr>
        <w:b/>
        <w:bCs/>
        <w:spacing w:val="0"/>
        <w:sz w:val="18"/>
        <w:szCs w:val="18"/>
      </w:rPr>
      <w:t xml:space="preserve"> organismos cooperativos de grado superior</w:t>
    </w:r>
    <w:r>
      <w:rPr>
        <w:b/>
        <w:bCs/>
        <w:spacing w:val="0"/>
        <w:sz w:val="18"/>
        <w:szCs w:val="18"/>
      </w:rPr>
      <w:t xml:space="preserve"> e instituciones oficiales especiales (</w:t>
    </w:r>
    <w:proofErr w:type="spellStart"/>
    <w:r>
      <w:rPr>
        <w:b/>
        <w:bCs/>
        <w:spacing w:val="0"/>
        <w:sz w:val="18"/>
        <w:szCs w:val="18"/>
      </w:rPr>
      <w:t>IOEs</w:t>
    </w:r>
    <w:proofErr w:type="spellEnd"/>
    <w:r>
      <w:rPr>
        <w:b/>
        <w:bCs/>
        <w:spacing w:val="0"/>
        <w:sz w:val="18"/>
        <w:szCs w:val="18"/>
      </w:rPr>
      <w:t>)</w:t>
    </w:r>
  </w:p>
  <w:p w:rsidR="00CD1E7F" w:rsidRPr="00CD01DC" w:rsidRDefault="00CD1E7F" w:rsidP="001A3E3E">
    <w:pPr>
      <w:pStyle w:val="Piedepgina"/>
      <w:rPr>
        <w:rStyle w:val="Nmerodepgina"/>
        <w:rFonts w:cs="Arial"/>
        <w:b/>
        <w:bCs/>
        <w:spacing w:val="0"/>
        <w:sz w:val="20"/>
        <w:szCs w:val="20"/>
      </w:rPr>
    </w:pPr>
  </w:p>
  <w:p w:rsidR="00CD1E7F" w:rsidRPr="001A3E3E" w:rsidRDefault="00CD1E7F" w:rsidP="001A3E3E">
    <w:pPr>
      <w:pStyle w:val="Piedepgina"/>
      <w:rPr>
        <w:sz w:val="18"/>
        <w:szCs w:val="18"/>
        <w:lang w:val="pt-BR"/>
      </w:rPr>
    </w:pPr>
    <w:r w:rsidRPr="00953A58">
      <w:rPr>
        <w:rStyle w:val="Nmerodepgina"/>
        <w:rFonts w:cs="Arial"/>
        <w:b/>
        <w:bCs/>
        <w:spacing w:val="0"/>
        <w:sz w:val="18"/>
        <w:szCs w:val="18"/>
        <w:lang w:val="pt-BR"/>
      </w:rPr>
      <w:t xml:space="preserve">Circular Externa </w:t>
    </w:r>
    <w:r w:rsidR="005D199B">
      <w:rPr>
        <w:rStyle w:val="Nmerodepgina"/>
        <w:rFonts w:cs="Arial"/>
        <w:b/>
        <w:bCs/>
        <w:spacing w:val="0"/>
        <w:sz w:val="18"/>
        <w:szCs w:val="18"/>
        <w:lang w:val="pt-BR"/>
      </w:rPr>
      <w:t xml:space="preserve">     </w:t>
    </w:r>
    <w:r w:rsidRPr="00953A58">
      <w:rPr>
        <w:rStyle w:val="Nmerodepgina"/>
        <w:rFonts w:cs="Arial"/>
        <w:b/>
        <w:bCs/>
        <w:spacing w:val="0"/>
        <w:sz w:val="18"/>
        <w:szCs w:val="18"/>
        <w:lang w:val="pt-BR"/>
      </w:rPr>
      <w:t>de 20</w:t>
    </w:r>
    <w:r w:rsidR="00A51EFD">
      <w:rPr>
        <w:rStyle w:val="Nmerodepgina"/>
        <w:rFonts w:cs="Arial"/>
        <w:b/>
        <w:bCs/>
        <w:spacing w:val="0"/>
        <w:sz w:val="18"/>
        <w:szCs w:val="18"/>
        <w:lang w:val="pt-BR"/>
      </w:rPr>
      <w:t>17</w:t>
    </w:r>
    <w:r>
      <w:rPr>
        <w:rStyle w:val="Nmerodepgina"/>
        <w:rFonts w:cs="Arial"/>
        <w:b/>
        <w:bCs/>
        <w:spacing w:val="0"/>
        <w:sz w:val="18"/>
        <w:szCs w:val="18"/>
        <w:lang w:val="pt-BR"/>
      </w:rPr>
      <w:tab/>
    </w:r>
    <w:r>
      <w:rPr>
        <w:rStyle w:val="Nmerodepgina"/>
        <w:rFonts w:cs="Arial"/>
        <w:b/>
        <w:bCs/>
        <w:spacing w:val="0"/>
        <w:sz w:val="18"/>
        <w:szCs w:val="18"/>
        <w:lang w:val="pt-BR"/>
      </w:rPr>
      <w:tab/>
      <w:t xml:space="preserve">     </w:t>
    </w:r>
    <w:proofErr w:type="spellStart"/>
    <w:r w:rsidR="00426F1B">
      <w:rPr>
        <w:rStyle w:val="Nmerodepgina"/>
        <w:rFonts w:cs="Arial"/>
        <w:b/>
        <w:bCs/>
        <w:spacing w:val="0"/>
        <w:sz w:val="18"/>
        <w:szCs w:val="18"/>
        <w:lang w:val="pt-BR"/>
      </w:rPr>
      <w:t>Diciemb</w:t>
    </w:r>
    <w:proofErr w:type="spellEnd"/>
    <w:r w:rsidR="00A51EFD" w:rsidRPr="00A51EFD">
      <w:rPr>
        <w:rStyle w:val="Nmerodepgina"/>
        <w:rFonts w:cs="Arial"/>
        <w:b/>
        <w:bCs/>
        <w:spacing w:val="0"/>
        <w:sz w:val="18"/>
        <w:szCs w:val="18"/>
        <w:lang w:val="es-CO"/>
      </w:rPr>
      <w:t>re</w:t>
    </w:r>
    <w:r>
      <w:rPr>
        <w:rStyle w:val="Nmerodepgina"/>
        <w:rFonts w:cs="Arial"/>
        <w:b/>
        <w:bCs/>
        <w:spacing w:val="0"/>
        <w:sz w:val="18"/>
        <w:szCs w:val="18"/>
        <w:lang w:val="pt-BR"/>
      </w:rPr>
      <w:t xml:space="preserve"> de</w:t>
    </w:r>
    <w:r w:rsidRPr="00953A58">
      <w:rPr>
        <w:rStyle w:val="Nmerodepgina"/>
        <w:rFonts w:cs="Arial"/>
        <w:b/>
        <w:bCs/>
        <w:spacing w:val="0"/>
        <w:sz w:val="18"/>
        <w:szCs w:val="18"/>
        <w:lang w:val="pt-BR"/>
      </w:rPr>
      <w:t xml:space="preserve"> 20</w:t>
    </w:r>
    <w:r>
      <w:rPr>
        <w:rStyle w:val="Nmerodepgina"/>
        <w:rFonts w:cs="Arial"/>
        <w:b/>
        <w:bCs/>
        <w:spacing w:val="0"/>
        <w:sz w:val="18"/>
        <w:szCs w:val="18"/>
        <w:lang w:val="pt-BR"/>
      </w:rPr>
      <w:t>1</w:t>
    </w:r>
    <w:r w:rsidR="00A51EFD">
      <w:rPr>
        <w:rStyle w:val="Nmerodepgina"/>
        <w:rFonts w:cs="Arial"/>
        <w:b/>
        <w:bCs/>
        <w:spacing w:val="0"/>
        <w:sz w:val="18"/>
        <w:szCs w:val="18"/>
        <w:lang w:val="pt-BR"/>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C86" w:rsidRDefault="00372C86">
      <w:r>
        <w:separator/>
      </w:r>
    </w:p>
  </w:footnote>
  <w:footnote w:type="continuationSeparator" w:id="0">
    <w:p w:rsidR="00372C86" w:rsidRDefault="00372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7F" w:rsidRDefault="00CD1E7F"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CD1E7F" w:rsidRPr="001A3E3E" w:rsidRDefault="00CD1E7F" w:rsidP="001A3E3E">
    <w:pPr>
      <w:pStyle w:val="Encabezado"/>
      <w:jc w:val="center"/>
      <w:rPr>
        <w:rFonts w:ascii="Arial (W1)" w:hAnsi="Arial (W1)"/>
        <w:b/>
        <w:spacing w:val="0"/>
        <w:sz w:val="18"/>
        <w:szCs w:val="18"/>
      </w:rPr>
    </w:pPr>
  </w:p>
  <w:p w:rsidR="00CD1E7F" w:rsidRPr="001A3E3E" w:rsidRDefault="00CD1E7F"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CD1E7F" w:rsidRDefault="00CD1E7F"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w:t>
    </w:r>
    <w:r w:rsidR="00D55848">
      <w:rPr>
        <w:rFonts w:ascii="Arial (W1)" w:hAnsi="Arial (W1)"/>
        <w:b/>
        <w:spacing w:val="0"/>
        <w:sz w:val="18"/>
        <w:szCs w:val="18"/>
      </w:rPr>
      <w:t>2</w:t>
    </w:r>
  </w:p>
  <w:p w:rsidR="00461187" w:rsidRPr="001A3E3E" w:rsidRDefault="00461187" w:rsidP="001A3E3E">
    <w:pPr>
      <w:pStyle w:val="Encabezado"/>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848" w:rsidRDefault="00D55848"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D55848" w:rsidRPr="001A3E3E" w:rsidRDefault="00D55848" w:rsidP="001A3E3E">
    <w:pPr>
      <w:pStyle w:val="Encabezado"/>
      <w:jc w:val="center"/>
      <w:rPr>
        <w:rFonts w:ascii="Arial (W1)" w:hAnsi="Arial (W1)"/>
        <w:b/>
        <w:spacing w:val="0"/>
        <w:sz w:val="18"/>
        <w:szCs w:val="18"/>
      </w:rPr>
    </w:pPr>
  </w:p>
  <w:p w:rsidR="00D55848" w:rsidRPr="001A3E3E" w:rsidRDefault="00D55848"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D55848" w:rsidRDefault="00D55848"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2-1</w:t>
    </w:r>
  </w:p>
  <w:p w:rsidR="00D55848" w:rsidRPr="001A3E3E" w:rsidRDefault="00D55848" w:rsidP="001A3E3E">
    <w:pPr>
      <w:pStyle w:val="Encabezado"/>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187" w:rsidRDefault="00461187"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461187" w:rsidRPr="001A3E3E" w:rsidRDefault="00461187" w:rsidP="001A3E3E">
    <w:pPr>
      <w:pStyle w:val="Encabezado"/>
      <w:jc w:val="center"/>
      <w:rPr>
        <w:rFonts w:ascii="Arial (W1)" w:hAnsi="Arial (W1)"/>
        <w:b/>
        <w:spacing w:val="0"/>
        <w:sz w:val="18"/>
        <w:szCs w:val="18"/>
      </w:rPr>
    </w:pPr>
  </w:p>
  <w:p w:rsidR="00461187" w:rsidRPr="001A3E3E" w:rsidRDefault="00461187"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461187" w:rsidRDefault="00461187"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3</w:t>
    </w:r>
  </w:p>
  <w:p w:rsidR="00461187" w:rsidRPr="001A3E3E" w:rsidRDefault="00461187" w:rsidP="001A3E3E">
    <w:pPr>
      <w:pStyle w:val="Encabezado"/>
      <w:rPr>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187" w:rsidRDefault="00461187"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461187" w:rsidRPr="001A3E3E" w:rsidRDefault="00461187" w:rsidP="001A3E3E">
    <w:pPr>
      <w:pStyle w:val="Encabezado"/>
      <w:jc w:val="center"/>
      <w:rPr>
        <w:rFonts w:ascii="Arial (W1)" w:hAnsi="Arial (W1)"/>
        <w:b/>
        <w:spacing w:val="0"/>
        <w:sz w:val="18"/>
        <w:szCs w:val="18"/>
      </w:rPr>
    </w:pPr>
  </w:p>
  <w:p w:rsidR="00461187" w:rsidRPr="001A3E3E" w:rsidRDefault="00461187"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461187" w:rsidRDefault="00461187"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4</w:t>
    </w:r>
  </w:p>
  <w:p w:rsidR="00461187" w:rsidRPr="001A3E3E" w:rsidRDefault="00461187" w:rsidP="001A3E3E">
    <w:pPr>
      <w:pStyle w:val="Encabezado"/>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263"/>
    <w:multiLevelType w:val="hybridMultilevel"/>
    <w:tmpl w:val="3A02D04E"/>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0C0A0019">
      <w:start w:val="1"/>
      <w:numFmt w:val="lowerLetter"/>
      <w:lvlText w:val="%8."/>
      <w:lvlJc w:val="left"/>
      <w:pPr>
        <w:tabs>
          <w:tab w:val="num" w:pos="6840"/>
        </w:tabs>
        <w:ind w:left="6840" w:hanging="360"/>
      </w:pPr>
      <w:rPr>
        <w:rFonts w:cs="Times New Roman"/>
      </w:rPr>
    </w:lvl>
    <w:lvl w:ilvl="8" w:tplc="0C0A001B">
      <w:start w:val="1"/>
      <w:numFmt w:val="lowerRoman"/>
      <w:lvlText w:val="%9."/>
      <w:lvlJc w:val="right"/>
      <w:pPr>
        <w:tabs>
          <w:tab w:val="num" w:pos="7560"/>
        </w:tabs>
        <w:ind w:left="7560" w:hanging="180"/>
      </w:pPr>
      <w:rPr>
        <w:rFonts w:cs="Times New Roman"/>
      </w:rPr>
    </w:lvl>
  </w:abstractNum>
  <w:abstractNum w:abstractNumId="1">
    <w:nsid w:val="06005601"/>
    <w:multiLevelType w:val="hybridMultilevel"/>
    <w:tmpl w:val="51D838C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
    <w:nsid w:val="084E4B4A"/>
    <w:multiLevelType w:val="hybridMultilevel"/>
    <w:tmpl w:val="EFDE9A88"/>
    <w:lvl w:ilvl="0" w:tplc="BE0ECFDA">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nsid w:val="194226AD"/>
    <w:multiLevelType w:val="hybridMultilevel"/>
    <w:tmpl w:val="08424F44"/>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7">
    <w:nsid w:val="195D3F98"/>
    <w:multiLevelType w:val="hybridMultilevel"/>
    <w:tmpl w:val="2666A068"/>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
    <w:nsid w:val="1C232932"/>
    <w:multiLevelType w:val="multilevel"/>
    <w:tmpl w:val="2ECE13F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nsid w:val="2850326B"/>
    <w:multiLevelType w:val="hybridMultilevel"/>
    <w:tmpl w:val="BDACFE9E"/>
    <w:lvl w:ilvl="0" w:tplc="B616FED0">
      <w:start w:val="2"/>
      <w:numFmt w:val="lowerLetter"/>
      <w:lvlText w:val="%1."/>
      <w:lvlJc w:val="left"/>
      <w:pPr>
        <w:tabs>
          <w:tab w:val="num" w:pos="720"/>
        </w:tabs>
        <w:ind w:left="720" w:hanging="360"/>
      </w:pPr>
      <w:rPr>
        <w:rFonts w:cs="Times New Roman" w:hint="default"/>
      </w:rPr>
    </w:lvl>
    <w:lvl w:ilvl="1" w:tplc="05CE3276">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1">
    <w:nsid w:val="28B84628"/>
    <w:multiLevelType w:val="hybridMultilevel"/>
    <w:tmpl w:val="14D0B602"/>
    <w:lvl w:ilvl="0" w:tplc="FDD47424">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AF81AFE"/>
    <w:multiLevelType w:val="hybridMultilevel"/>
    <w:tmpl w:val="6454652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nsid w:val="2E287BBE"/>
    <w:multiLevelType w:val="hybridMultilevel"/>
    <w:tmpl w:val="00482F50"/>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14">
    <w:nsid w:val="30DB6BE3"/>
    <w:multiLevelType w:val="hybridMultilevel"/>
    <w:tmpl w:val="4A6EBAB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6">
    <w:nsid w:val="34DA4223"/>
    <w:multiLevelType w:val="hybridMultilevel"/>
    <w:tmpl w:val="DA5CA13C"/>
    <w:lvl w:ilvl="0" w:tplc="0614A1E8">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D5E021E"/>
    <w:multiLevelType w:val="hybridMultilevel"/>
    <w:tmpl w:val="EB060D8C"/>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18">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nsid w:val="3FD63041"/>
    <w:multiLevelType w:val="hybridMultilevel"/>
    <w:tmpl w:val="EC701D7E"/>
    <w:lvl w:ilvl="0" w:tplc="B266A562">
      <w:start w:val="2"/>
      <w:numFmt w:val="decimal"/>
      <w:lvlText w:val="%1."/>
      <w:lvlJc w:val="left"/>
      <w:pPr>
        <w:tabs>
          <w:tab w:val="num" w:pos="705"/>
        </w:tabs>
        <w:ind w:left="705" w:hanging="705"/>
      </w:pPr>
      <w:rPr>
        <w:rFonts w:cs="Times New Roman" w:hint="default"/>
        <w:b/>
        <w:bCs/>
      </w:rPr>
    </w:lvl>
    <w:lvl w:ilvl="1" w:tplc="1C9498A4">
      <w:numFmt w:val="none"/>
      <w:lvlText w:val=""/>
      <w:lvlJc w:val="left"/>
      <w:pPr>
        <w:tabs>
          <w:tab w:val="num" w:pos="360"/>
        </w:tabs>
      </w:pPr>
    </w:lvl>
    <w:lvl w:ilvl="2" w:tplc="6A44296E">
      <w:numFmt w:val="none"/>
      <w:lvlText w:val=""/>
      <w:lvlJc w:val="left"/>
      <w:pPr>
        <w:tabs>
          <w:tab w:val="num" w:pos="360"/>
        </w:tabs>
      </w:pPr>
    </w:lvl>
    <w:lvl w:ilvl="3" w:tplc="AAFC23B4">
      <w:numFmt w:val="none"/>
      <w:lvlText w:val=""/>
      <w:lvlJc w:val="left"/>
      <w:pPr>
        <w:tabs>
          <w:tab w:val="num" w:pos="360"/>
        </w:tabs>
      </w:pPr>
    </w:lvl>
    <w:lvl w:ilvl="4" w:tplc="1ECE0978">
      <w:numFmt w:val="none"/>
      <w:lvlText w:val=""/>
      <w:lvlJc w:val="left"/>
      <w:pPr>
        <w:tabs>
          <w:tab w:val="num" w:pos="360"/>
        </w:tabs>
      </w:pPr>
    </w:lvl>
    <w:lvl w:ilvl="5" w:tplc="B4F6C318">
      <w:numFmt w:val="none"/>
      <w:lvlText w:val=""/>
      <w:lvlJc w:val="left"/>
      <w:pPr>
        <w:tabs>
          <w:tab w:val="num" w:pos="360"/>
        </w:tabs>
      </w:pPr>
    </w:lvl>
    <w:lvl w:ilvl="6" w:tplc="F0EAD064">
      <w:numFmt w:val="none"/>
      <w:lvlText w:val=""/>
      <w:lvlJc w:val="left"/>
      <w:pPr>
        <w:tabs>
          <w:tab w:val="num" w:pos="360"/>
        </w:tabs>
      </w:pPr>
    </w:lvl>
    <w:lvl w:ilvl="7" w:tplc="290861A2">
      <w:numFmt w:val="none"/>
      <w:lvlText w:val=""/>
      <w:lvlJc w:val="left"/>
      <w:pPr>
        <w:tabs>
          <w:tab w:val="num" w:pos="360"/>
        </w:tabs>
      </w:pPr>
    </w:lvl>
    <w:lvl w:ilvl="8" w:tplc="1414C6DC">
      <w:numFmt w:val="none"/>
      <w:lvlText w:val=""/>
      <w:lvlJc w:val="left"/>
      <w:pPr>
        <w:tabs>
          <w:tab w:val="num" w:pos="360"/>
        </w:tabs>
      </w:pPr>
    </w:lvl>
  </w:abstractNum>
  <w:abstractNum w:abstractNumId="2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1">
    <w:nsid w:val="481048EB"/>
    <w:multiLevelType w:val="hybridMultilevel"/>
    <w:tmpl w:val="6582AA1E"/>
    <w:lvl w:ilvl="0" w:tplc="03006B3A">
      <w:start w:val="1"/>
      <w:numFmt w:val="lowerLetter"/>
      <w:lvlText w:val="%1."/>
      <w:lvlJc w:val="left"/>
      <w:pPr>
        <w:tabs>
          <w:tab w:val="num" w:pos="357"/>
        </w:tabs>
        <w:ind w:firstLine="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2">
    <w:nsid w:val="4AB37924"/>
    <w:multiLevelType w:val="hybridMultilevel"/>
    <w:tmpl w:val="28C0DC80"/>
    <w:lvl w:ilvl="0" w:tplc="594876CE">
      <w:start w:val="1"/>
      <w:numFmt w:val="lowerLetter"/>
      <w:lvlText w:val="%1."/>
      <w:lvlJc w:val="left"/>
      <w:pPr>
        <w:tabs>
          <w:tab w:val="num" w:pos="720"/>
        </w:tabs>
        <w:ind w:left="720" w:hanging="360"/>
      </w:pPr>
      <w:rPr>
        <w:rFonts w:cs="Times New Roman" w:hint="default"/>
      </w:rPr>
    </w:lvl>
    <w:lvl w:ilvl="1" w:tplc="61D480FE">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3">
    <w:nsid w:val="4C466F9F"/>
    <w:multiLevelType w:val="hybridMultilevel"/>
    <w:tmpl w:val="6A6C49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CB63424"/>
    <w:multiLevelType w:val="hybridMultilevel"/>
    <w:tmpl w:val="052830A8"/>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5">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6">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7">
    <w:nsid w:val="54DB201E"/>
    <w:multiLevelType w:val="hybridMultilevel"/>
    <w:tmpl w:val="AC886C6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8">
    <w:nsid w:val="56D90268"/>
    <w:multiLevelType w:val="hybridMultilevel"/>
    <w:tmpl w:val="C0FAC65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6E95EF4"/>
    <w:multiLevelType w:val="hybridMultilevel"/>
    <w:tmpl w:val="0492B50C"/>
    <w:lvl w:ilvl="0" w:tplc="2674924C">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0">
    <w:nsid w:val="5826625A"/>
    <w:multiLevelType w:val="hybridMultilevel"/>
    <w:tmpl w:val="0430E18C"/>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nsid w:val="5FED5766"/>
    <w:multiLevelType w:val="hybridMultilevel"/>
    <w:tmpl w:val="5276C7DA"/>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32">
    <w:nsid w:val="628A2688"/>
    <w:multiLevelType w:val="hybridMultilevel"/>
    <w:tmpl w:val="439E53F0"/>
    <w:lvl w:ilvl="0" w:tplc="C6507078">
      <w:start w:val="1"/>
      <w:numFmt w:val="decimal"/>
      <w:lvlText w:val="%1"/>
      <w:lvlJc w:val="left"/>
      <w:pPr>
        <w:tabs>
          <w:tab w:val="num" w:pos="360"/>
        </w:tabs>
        <w:ind w:left="360" w:hanging="360"/>
      </w:pPr>
      <w:rPr>
        <w:rFonts w:hint="default"/>
      </w:rPr>
    </w:lvl>
    <w:lvl w:ilvl="1" w:tplc="F69A02BC">
      <w:numFmt w:val="none"/>
      <w:lvlText w:val=""/>
      <w:lvlJc w:val="left"/>
      <w:pPr>
        <w:tabs>
          <w:tab w:val="num" w:pos="360"/>
        </w:tabs>
      </w:pPr>
    </w:lvl>
    <w:lvl w:ilvl="2" w:tplc="2C38E55E">
      <w:numFmt w:val="none"/>
      <w:lvlText w:val=""/>
      <w:lvlJc w:val="left"/>
      <w:pPr>
        <w:tabs>
          <w:tab w:val="num" w:pos="360"/>
        </w:tabs>
      </w:pPr>
    </w:lvl>
    <w:lvl w:ilvl="3" w:tplc="FF6C6FE2">
      <w:numFmt w:val="none"/>
      <w:lvlText w:val=""/>
      <w:lvlJc w:val="left"/>
      <w:pPr>
        <w:tabs>
          <w:tab w:val="num" w:pos="360"/>
        </w:tabs>
      </w:pPr>
    </w:lvl>
    <w:lvl w:ilvl="4" w:tplc="A586B800">
      <w:numFmt w:val="none"/>
      <w:lvlText w:val=""/>
      <w:lvlJc w:val="left"/>
      <w:pPr>
        <w:tabs>
          <w:tab w:val="num" w:pos="360"/>
        </w:tabs>
      </w:pPr>
    </w:lvl>
    <w:lvl w:ilvl="5" w:tplc="4BC40FC4">
      <w:numFmt w:val="none"/>
      <w:lvlText w:val=""/>
      <w:lvlJc w:val="left"/>
      <w:pPr>
        <w:tabs>
          <w:tab w:val="num" w:pos="360"/>
        </w:tabs>
      </w:pPr>
    </w:lvl>
    <w:lvl w:ilvl="6" w:tplc="5492E5B0">
      <w:numFmt w:val="none"/>
      <w:lvlText w:val=""/>
      <w:lvlJc w:val="left"/>
      <w:pPr>
        <w:tabs>
          <w:tab w:val="num" w:pos="360"/>
        </w:tabs>
      </w:pPr>
    </w:lvl>
    <w:lvl w:ilvl="7" w:tplc="3B9C4C36">
      <w:numFmt w:val="none"/>
      <w:lvlText w:val=""/>
      <w:lvlJc w:val="left"/>
      <w:pPr>
        <w:tabs>
          <w:tab w:val="num" w:pos="360"/>
        </w:tabs>
      </w:pPr>
    </w:lvl>
    <w:lvl w:ilvl="8" w:tplc="32CAC3CE">
      <w:numFmt w:val="none"/>
      <w:lvlText w:val=""/>
      <w:lvlJc w:val="left"/>
      <w:pPr>
        <w:tabs>
          <w:tab w:val="num" w:pos="360"/>
        </w:tabs>
      </w:pPr>
    </w:lvl>
  </w:abstractNum>
  <w:abstractNum w:abstractNumId="33">
    <w:nsid w:val="6C205747"/>
    <w:multiLevelType w:val="hybridMultilevel"/>
    <w:tmpl w:val="2BEC8B7A"/>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34">
    <w:nsid w:val="700C5296"/>
    <w:multiLevelType w:val="multilevel"/>
    <w:tmpl w:val="04C434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21F5460"/>
    <w:multiLevelType w:val="hybridMultilevel"/>
    <w:tmpl w:val="530EAB02"/>
    <w:lvl w:ilvl="0" w:tplc="0C0A000F">
      <w:start w:val="1"/>
      <w:numFmt w:val="decimal"/>
      <w:lvlText w:val="%1."/>
      <w:lvlJc w:val="left"/>
      <w:pPr>
        <w:tabs>
          <w:tab w:val="num" w:pos="1068"/>
        </w:tabs>
        <w:ind w:left="1068" w:hanging="360"/>
      </w:pPr>
      <w:rPr>
        <w:rFonts w:cs="Times New Roman"/>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36">
    <w:nsid w:val="7F2E57C8"/>
    <w:multiLevelType w:val="hybridMultilevel"/>
    <w:tmpl w:val="E6FCFAF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9"/>
  </w:num>
  <w:num w:numId="3">
    <w:abstractNumId w:val="29"/>
  </w:num>
  <w:num w:numId="4">
    <w:abstractNumId w:val="19"/>
  </w:num>
  <w:num w:numId="5">
    <w:abstractNumId w:val="10"/>
  </w:num>
  <w:num w:numId="6">
    <w:abstractNumId w:val="18"/>
  </w:num>
  <w:num w:numId="7">
    <w:abstractNumId w:val="15"/>
  </w:num>
  <w:num w:numId="8">
    <w:abstractNumId w:val="4"/>
  </w:num>
  <w:num w:numId="9">
    <w:abstractNumId w:val="5"/>
  </w:num>
  <w:num w:numId="10">
    <w:abstractNumId w:val="3"/>
  </w:num>
  <w:num w:numId="11">
    <w:abstractNumId w:val="14"/>
  </w:num>
  <w:num w:numId="12">
    <w:abstractNumId w:val="25"/>
  </w:num>
  <w:num w:numId="13">
    <w:abstractNumId w:val="31"/>
  </w:num>
  <w:num w:numId="14">
    <w:abstractNumId w:val="35"/>
  </w:num>
  <w:num w:numId="15">
    <w:abstractNumId w:val="1"/>
  </w:num>
  <w:num w:numId="16">
    <w:abstractNumId w:val="26"/>
  </w:num>
  <w:num w:numId="17">
    <w:abstractNumId w:val="7"/>
  </w:num>
  <w:num w:numId="18">
    <w:abstractNumId w:val="20"/>
  </w:num>
  <w:num w:numId="19">
    <w:abstractNumId w:val="12"/>
  </w:num>
  <w:num w:numId="20">
    <w:abstractNumId w:val="23"/>
  </w:num>
  <w:num w:numId="21">
    <w:abstractNumId w:val="21"/>
  </w:num>
  <w:num w:numId="22">
    <w:abstractNumId w:val="0"/>
  </w:num>
  <w:num w:numId="23">
    <w:abstractNumId w:val="24"/>
  </w:num>
  <w:num w:numId="24">
    <w:abstractNumId w:val="27"/>
  </w:num>
  <w:num w:numId="25">
    <w:abstractNumId w:val="17"/>
  </w:num>
  <w:num w:numId="26">
    <w:abstractNumId w:val="6"/>
  </w:num>
  <w:num w:numId="27">
    <w:abstractNumId w:val="33"/>
  </w:num>
  <w:num w:numId="28">
    <w:abstractNumId w:val="13"/>
  </w:num>
  <w:num w:numId="29">
    <w:abstractNumId w:val="11"/>
  </w:num>
  <w:num w:numId="30">
    <w:abstractNumId w:val="28"/>
  </w:num>
  <w:num w:numId="31">
    <w:abstractNumId w:val="9"/>
  </w:num>
  <w:num w:numId="32">
    <w:abstractNumId w:val="9"/>
  </w:num>
  <w:num w:numId="33">
    <w:abstractNumId w:val="32"/>
  </w:num>
  <w:num w:numId="34">
    <w:abstractNumId w:val="8"/>
  </w:num>
  <w:num w:numId="35">
    <w:abstractNumId w:val="2"/>
  </w:num>
  <w:num w:numId="36">
    <w:abstractNumId w:val="34"/>
  </w:num>
  <w:num w:numId="37">
    <w:abstractNumId w:val="30"/>
  </w:num>
  <w:num w:numId="38">
    <w:abstractNumId w:val="3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5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E2"/>
    <w:rsid w:val="00001F50"/>
    <w:rsid w:val="0000462C"/>
    <w:rsid w:val="00005A52"/>
    <w:rsid w:val="00020A6E"/>
    <w:rsid w:val="000255C5"/>
    <w:rsid w:val="000266CF"/>
    <w:rsid w:val="000366D2"/>
    <w:rsid w:val="00042F99"/>
    <w:rsid w:val="000432EC"/>
    <w:rsid w:val="00044A2F"/>
    <w:rsid w:val="000450DA"/>
    <w:rsid w:val="00052DD8"/>
    <w:rsid w:val="000552D0"/>
    <w:rsid w:val="00055989"/>
    <w:rsid w:val="000747B6"/>
    <w:rsid w:val="0007734B"/>
    <w:rsid w:val="00091CDB"/>
    <w:rsid w:val="00092FA1"/>
    <w:rsid w:val="00093F6F"/>
    <w:rsid w:val="000A43F8"/>
    <w:rsid w:val="000C2DFF"/>
    <w:rsid w:val="000C5BBA"/>
    <w:rsid w:val="000D6167"/>
    <w:rsid w:val="000E09C8"/>
    <w:rsid w:val="000E7993"/>
    <w:rsid w:val="000F11E7"/>
    <w:rsid w:val="0011346D"/>
    <w:rsid w:val="00116982"/>
    <w:rsid w:val="0011745E"/>
    <w:rsid w:val="00117B97"/>
    <w:rsid w:val="00121116"/>
    <w:rsid w:val="00121251"/>
    <w:rsid w:val="001279D9"/>
    <w:rsid w:val="00133A02"/>
    <w:rsid w:val="00135C24"/>
    <w:rsid w:val="001473BC"/>
    <w:rsid w:val="001709FA"/>
    <w:rsid w:val="001727EA"/>
    <w:rsid w:val="00175F9C"/>
    <w:rsid w:val="00183867"/>
    <w:rsid w:val="00183948"/>
    <w:rsid w:val="00196CF3"/>
    <w:rsid w:val="001A2984"/>
    <w:rsid w:val="001A2B7A"/>
    <w:rsid w:val="001A3D15"/>
    <w:rsid w:val="001A3E3E"/>
    <w:rsid w:val="001C6C5A"/>
    <w:rsid w:val="001D7625"/>
    <w:rsid w:val="001E7453"/>
    <w:rsid w:val="001F2A25"/>
    <w:rsid w:val="001F3415"/>
    <w:rsid w:val="001F680C"/>
    <w:rsid w:val="002007D7"/>
    <w:rsid w:val="0020766D"/>
    <w:rsid w:val="00215281"/>
    <w:rsid w:val="00224E37"/>
    <w:rsid w:val="00226531"/>
    <w:rsid w:val="0022675D"/>
    <w:rsid w:val="0023738E"/>
    <w:rsid w:val="0024427B"/>
    <w:rsid w:val="00253FB5"/>
    <w:rsid w:val="00256B8E"/>
    <w:rsid w:val="002627C2"/>
    <w:rsid w:val="002669C6"/>
    <w:rsid w:val="002707A5"/>
    <w:rsid w:val="002766E9"/>
    <w:rsid w:val="00281D8E"/>
    <w:rsid w:val="00284BA7"/>
    <w:rsid w:val="002A4706"/>
    <w:rsid w:val="002C3253"/>
    <w:rsid w:val="002C54A2"/>
    <w:rsid w:val="002D1336"/>
    <w:rsid w:val="002D3AF9"/>
    <w:rsid w:val="002D5694"/>
    <w:rsid w:val="002E4FD6"/>
    <w:rsid w:val="002F684C"/>
    <w:rsid w:val="002F6EB1"/>
    <w:rsid w:val="002F7F59"/>
    <w:rsid w:val="00302166"/>
    <w:rsid w:val="00310F30"/>
    <w:rsid w:val="00311926"/>
    <w:rsid w:val="00314D67"/>
    <w:rsid w:val="00317868"/>
    <w:rsid w:val="0032009F"/>
    <w:rsid w:val="00321139"/>
    <w:rsid w:val="00327FDC"/>
    <w:rsid w:val="003347FE"/>
    <w:rsid w:val="00351E7F"/>
    <w:rsid w:val="00354237"/>
    <w:rsid w:val="00367F02"/>
    <w:rsid w:val="00372C86"/>
    <w:rsid w:val="00386AB3"/>
    <w:rsid w:val="00394CC9"/>
    <w:rsid w:val="003961A1"/>
    <w:rsid w:val="00396723"/>
    <w:rsid w:val="003A4B71"/>
    <w:rsid w:val="003A69FC"/>
    <w:rsid w:val="003C1479"/>
    <w:rsid w:val="003C3758"/>
    <w:rsid w:val="003D15DF"/>
    <w:rsid w:val="003F3650"/>
    <w:rsid w:val="003F3833"/>
    <w:rsid w:val="003F6B5C"/>
    <w:rsid w:val="00415430"/>
    <w:rsid w:val="00417815"/>
    <w:rsid w:val="00426346"/>
    <w:rsid w:val="00426F1B"/>
    <w:rsid w:val="00436C60"/>
    <w:rsid w:val="00437167"/>
    <w:rsid w:val="00437D64"/>
    <w:rsid w:val="00443355"/>
    <w:rsid w:val="0044372E"/>
    <w:rsid w:val="00443E3E"/>
    <w:rsid w:val="00452D6A"/>
    <w:rsid w:val="00461187"/>
    <w:rsid w:val="00465577"/>
    <w:rsid w:val="004657A4"/>
    <w:rsid w:val="00470A9A"/>
    <w:rsid w:val="00477FDF"/>
    <w:rsid w:val="00484B0F"/>
    <w:rsid w:val="00497F97"/>
    <w:rsid w:val="004A2832"/>
    <w:rsid w:val="004A7004"/>
    <w:rsid w:val="004B30FC"/>
    <w:rsid w:val="004D1411"/>
    <w:rsid w:val="004D5757"/>
    <w:rsid w:val="004D71E0"/>
    <w:rsid w:val="004E2FE9"/>
    <w:rsid w:val="004F01EE"/>
    <w:rsid w:val="004F1A7B"/>
    <w:rsid w:val="004F4682"/>
    <w:rsid w:val="0050233B"/>
    <w:rsid w:val="00502347"/>
    <w:rsid w:val="00507AEC"/>
    <w:rsid w:val="0051565D"/>
    <w:rsid w:val="00520E1A"/>
    <w:rsid w:val="0053715C"/>
    <w:rsid w:val="00537402"/>
    <w:rsid w:val="00542A52"/>
    <w:rsid w:val="00542F1A"/>
    <w:rsid w:val="00543F91"/>
    <w:rsid w:val="00546D0D"/>
    <w:rsid w:val="005536C0"/>
    <w:rsid w:val="00556F7D"/>
    <w:rsid w:val="005628C2"/>
    <w:rsid w:val="0056562F"/>
    <w:rsid w:val="00566EBE"/>
    <w:rsid w:val="005728C9"/>
    <w:rsid w:val="0057324D"/>
    <w:rsid w:val="00580BC9"/>
    <w:rsid w:val="005816A9"/>
    <w:rsid w:val="00591992"/>
    <w:rsid w:val="00596DC1"/>
    <w:rsid w:val="005B05BB"/>
    <w:rsid w:val="005B2D81"/>
    <w:rsid w:val="005B564F"/>
    <w:rsid w:val="005D199B"/>
    <w:rsid w:val="005E2936"/>
    <w:rsid w:val="005E415C"/>
    <w:rsid w:val="005F47B4"/>
    <w:rsid w:val="00604095"/>
    <w:rsid w:val="00604363"/>
    <w:rsid w:val="006232F2"/>
    <w:rsid w:val="00647B5A"/>
    <w:rsid w:val="00650810"/>
    <w:rsid w:val="00665893"/>
    <w:rsid w:val="00673BA9"/>
    <w:rsid w:val="00674523"/>
    <w:rsid w:val="0068019F"/>
    <w:rsid w:val="00682275"/>
    <w:rsid w:val="0068790C"/>
    <w:rsid w:val="0068793D"/>
    <w:rsid w:val="00691C6C"/>
    <w:rsid w:val="006B0C07"/>
    <w:rsid w:val="006B0D02"/>
    <w:rsid w:val="006B68A5"/>
    <w:rsid w:val="006C3B03"/>
    <w:rsid w:val="006D13FB"/>
    <w:rsid w:val="006D6733"/>
    <w:rsid w:val="006E4360"/>
    <w:rsid w:val="006E7607"/>
    <w:rsid w:val="006F2B35"/>
    <w:rsid w:val="006F4A9F"/>
    <w:rsid w:val="006F7D62"/>
    <w:rsid w:val="00700FFC"/>
    <w:rsid w:val="007015C7"/>
    <w:rsid w:val="00703A8D"/>
    <w:rsid w:val="007148C7"/>
    <w:rsid w:val="00714C14"/>
    <w:rsid w:val="00722BE3"/>
    <w:rsid w:val="007275F5"/>
    <w:rsid w:val="00733B35"/>
    <w:rsid w:val="00735BA8"/>
    <w:rsid w:val="007368C9"/>
    <w:rsid w:val="00737821"/>
    <w:rsid w:val="007428C5"/>
    <w:rsid w:val="00746C29"/>
    <w:rsid w:val="00753F71"/>
    <w:rsid w:val="00762926"/>
    <w:rsid w:val="00773D02"/>
    <w:rsid w:val="00786AF5"/>
    <w:rsid w:val="00790AC4"/>
    <w:rsid w:val="0079196D"/>
    <w:rsid w:val="007A2DC5"/>
    <w:rsid w:val="007A4BEC"/>
    <w:rsid w:val="007B08A5"/>
    <w:rsid w:val="007B22D6"/>
    <w:rsid w:val="007C2B56"/>
    <w:rsid w:val="007C7853"/>
    <w:rsid w:val="007D0DF7"/>
    <w:rsid w:val="007D5404"/>
    <w:rsid w:val="007E7E3E"/>
    <w:rsid w:val="008009C2"/>
    <w:rsid w:val="0080340E"/>
    <w:rsid w:val="008252FB"/>
    <w:rsid w:val="00842072"/>
    <w:rsid w:val="00843B40"/>
    <w:rsid w:val="0085678F"/>
    <w:rsid w:val="00861CDF"/>
    <w:rsid w:val="00870B06"/>
    <w:rsid w:val="008769BA"/>
    <w:rsid w:val="00880708"/>
    <w:rsid w:val="0088292A"/>
    <w:rsid w:val="00890CE0"/>
    <w:rsid w:val="008B5043"/>
    <w:rsid w:val="008D607C"/>
    <w:rsid w:val="00906D73"/>
    <w:rsid w:val="0090744A"/>
    <w:rsid w:val="00913961"/>
    <w:rsid w:val="00916200"/>
    <w:rsid w:val="00937399"/>
    <w:rsid w:val="00940575"/>
    <w:rsid w:val="00946F27"/>
    <w:rsid w:val="0094759F"/>
    <w:rsid w:val="00953A58"/>
    <w:rsid w:val="009604B3"/>
    <w:rsid w:val="00973C3C"/>
    <w:rsid w:val="00976435"/>
    <w:rsid w:val="00976AAE"/>
    <w:rsid w:val="00984EEC"/>
    <w:rsid w:val="00995443"/>
    <w:rsid w:val="009A0B04"/>
    <w:rsid w:val="009A254D"/>
    <w:rsid w:val="009E0965"/>
    <w:rsid w:val="009E179B"/>
    <w:rsid w:val="009E2EC3"/>
    <w:rsid w:val="009E68E2"/>
    <w:rsid w:val="00A018B5"/>
    <w:rsid w:val="00A0751D"/>
    <w:rsid w:val="00A1515D"/>
    <w:rsid w:val="00A1705B"/>
    <w:rsid w:val="00A17CB3"/>
    <w:rsid w:val="00A211D7"/>
    <w:rsid w:val="00A3390A"/>
    <w:rsid w:val="00A51EFD"/>
    <w:rsid w:val="00AA5A14"/>
    <w:rsid w:val="00AC1A2B"/>
    <w:rsid w:val="00AC1EA2"/>
    <w:rsid w:val="00AC4514"/>
    <w:rsid w:val="00AC4719"/>
    <w:rsid w:val="00AD152F"/>
    <w:rsid w:val="00AD4456"/>
    <w:rsid w:val="00AD5683"/>
    <w:rsid w:val="00AD6863"/>
    <w:rsid w:val="00AE7F97"/>
    <w:rsid w:val="00AF51D3"/>
    <w:rsid w:val="00AF58AC"/>
    <w:rsid w:val="00B1297A"/>
    <w:rsid w:val="00B179DE"/>
    <w:rsid w:val="00B5168D"/>
    <w:rsid w:val="00B53E45"/>
    <w:rsid w:val="00B60B17"/>
    <w:rsid w:val="00B6715E"/>
    <w:rsid w:val="00B74C46"/>
    <w:rsid w:val="00B77345"/>
    <w:rsid w:val="00B8036C"/>
    <w:rsid w:val="00B92356"/>
    <w:rsid w:val="00BA5513"/>
    <w:rsid w:val="00BA66A0"/>
    <w:rsid w:val="00BC2C6E"/>
    <w:rsid w:val="00BC42B6"/>
    <w:rsid w:val="00BE31BB"/>
    <w:rsid w:val="00BE574A"/>
    <w:rsid w:val="00BE5EB6"/>
    <w:rsid w:val="00BF5F5A"/>
    <w:rsid w:val="00C0602C"/>
    <w:rsid w:val="00C06AD8"/>
    <w:rsid w:val="00C06B62"/>
    <w:rsid w:val="00C109D3"/>
    <w:rsid w:val="00C123B7"/>
    <w:rsid w:val="00C1550E"/>
    <w:rsid w:val="00C314F0"/>
    <w:rsid w:val="00C32217"/>
    <w:rsid w:val="00C44767"/>
    <w:rsid w:val="00C515F6"/>
    <w:rsid w:val="00C5437A"/>
    <w:rsid w:val="00C61BC2"/>
    <w:rsid w:val="00C7175A"/>
    <w:rsid w:val="00C71BF9"/>
    <w:rsid w:val="00C826C3"/>
    <w:rsid w:val="00C92AB3"/>
    <w:rsid w:val="00CA1938"/>
    <w:rsid w:val="00CA3359"/>
    <w:rsid w:val="00CA39EC"/>
    <w:rsid w:val="00CA6F9D"/>
    <w:rsid w:val="00CB41A1"/>
    <w:rsid w:val="00CB53C3"/>
    <w:rsid w:val="00CC6980"/>
    <w:rsid w:val="00CC74B3"/>
    <w:rsid w:val="00CD01DC"/>
    <w:rsid w:val="00CD1E7F"/>
    <w:rsid w:val="00CF24E1"/>
    <w:rsid w:val="00CF566F"/>
    <w:rsid w:val="00D03CD8"/>
    <w:rsid w:val="00D066F9"/>
    <w:rsid w:val="00D10485"/>
    <w:rsid w:val="00D1360C"/>
    <w:rsid w:val="00D13AC0"/>
    <w:rsid w:val="00D30CC2"/>
    <w:rsid w:val="00D32F35"/>
    <w:rsid w:val="00D3592D"/>
    <w:rsid w:val="00D55848"/>
    <w:rsid w:val="00D64C84"/>
    <w:rsid w:val="00D65E1B"/>
    <w:rsid w:val="00D8201C"/>
    <w:rsid w:val="00D851E9"/>
    <w:rsid w:val="00D874A2"/>
    <w:rsid w:val="00DC0201"/>
    <w:rsid w:val="00DC4682"/>
    <w:rsid w:val="00DE1E91"/>
    <w:rsid w:val="00DE6E1D"/>
    <w:rsid w:val="00DF0B10"/>
    <w:rsid w:val="00E01179"/>
    <w:rsid w:val="00E24776"/>
    <w:rsid w:val="00E3124C"/>
    <w:rsid w:val="00E31512"/>
    <w:rsid w:val="00E31683"/>
    <w:rsid w:val="00E34E0F"/>
    <w:rsid w:val="00E40129"/>
    <w:rsid w:val="00E4266C"/>
    <w:rsid w:val="00E4362B"/>
    <w:rsid w:val="00E4537A"/>
    <w:rsid w:val="00E67479"/>
    <w:rsid w:val="00E72550"/>
    <w:rsid w:val="00E778B3"/>
    <w:rsid w:val="00E821F2"/>
    <w:rsid w:val="00E8392C"/>
    <w:rsid w:val="00E87786"/>
    <w:rsid w:val="00E93752"/>
    <w:rsid w:val="00E95FE2"/>
    <w:rsid w:val="00EA5843"/>
    <w:rsid w:val="00EA5FE4"/>
    <w:rsid w:val="00EA7068"/>
    <w:rsid w:val="00ED5556"/>
    <w:rsid w:val="00EF5F27"/>
    <w:rsid w:val="00F07731"/>
    <w:rsid w:val="00F07DC2"/>
    <w:rsid w:val="00F1234D"/>
    <w:rsid w:val="00F143D6"/>
    <w:rsid w:val="00F22B53"/>
    <w:rsid w:val="00F236C0"/>
    <w:rsid w:val="00F43147"/>
    <w:rsid w:val="00F52492"/>
    <w:rsid w:val="00F55A9D"/>
    <w:rsid w:val="00F60293"/>
    <w:rsid w:val="00F659DA"/>
    <w:rsid w:val="00F70466"/>
    <w:rsid w:val="00F76649"/>
    <w:rsid w:val="00F93DB1"/>
    <w:rsid w:val="00FA060B"/>
    <w:rsid w:val="00FB4C15"/>
    <w:rsid w:val="00FB4D4D"/>
    <w:rsid w:val="00FB544B"/>
    <w:rsid w:val="00FC1570"/>
    <w:rsid w:val="00FD1EDD"/>
    <w:rsid w:val="00FD6371"/>
    <w:rsid w:val="00FD6F8A"/>
    <w:rsid w:val="00FE2C6F"/>
    <w:rsid w:val="00FE45F4"/>
    <w:rsid w:val="00FF03E4"/>
    <w:rsid w:val="00FF7290"/>
    <w:rsid w:val="00FF77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E37"/>
    <w:rPr>
      <w:rFonts w:ascii="Arial" w:hAnsi="Arial" w:cs="Arial"/>
      <w:spacing w:val="20"/>
      <w:sz w:val="28"/>
      <w:szCs w:val="28"/>
    </w:rPr>
  </w:style>
  <w:style w:type="paragraph" w:styleId="Ttulo1">
    <w:name w:val="heading 1"/>
    <w:basedOn w:val="Normal"/>
    <w:next w:val="Normal"/>
    <w:qFormat/>
    <w:rsid w:val="00224E37"/>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224E37"/>
    <w:pPr>
      <w:jc w:val="both"/>
    </w:pPr>
    <w:rPr>
      <w:sz w:val="24"/>
      <w:szCs w:val="24"/>
      <w:lang w:val="es-MX"/>
    </w:rPr>
  </w:style>
  <w:style w:type="paragraph" w:styleId="Ttulo">
    <w:name w:val="Title"/>
    <w:basedOn w:val="Normal"/>
    <w:qFormat/>
    <w:rsid w:val="00224E37"/>
    <w:pPr>
      <w:jc w:val="center"/>
      <w:outlineLvl w:val="0"/>
    </w:pPr>
    <w:rPr>
      <w:rFonts w:cs="Times New Roman"/>
      <w:b/>
      <w:bCs/>
      <w:spacing w:val="0"/>
      <w:sz w:val="22"/>
      <w:szCs w:val="22"/>
      <w:lang w:val="es-MX"/>
    </w:rPr>
  </w:style>
  <w:style w:type="paragraph" w:styleId="Sangradetextonormal">
    <w:name w:val="Body Text Indent"/>
    <w:basedOn w:val="Normal"/>
    <w:rsid w:val="00224E37"/>
    <w:pPr>
      <w:keepNext/>
      <w:ind w:left="284" w:hanging="284"/>
      <w:jc w:val="both"/>
    </w:pPr>
    <w:rPr>
      <w:rFonts w:cs="Times New Roman"/>
      <w:sz w:val="20"/>
      <w:szCs w:val="20"/>
      <w:lang w:val="es-MX"/>
    </w:rPr>
  </w:style>
  <w:style w:type="paragraph" w:styleId="Textoindependiente3">
    <w:name w:val="Body Text 3"/>
    <w:basedOn w:val="Normal"/>
    <w:rsid w:val="00224E37"/>
    <w:pPr>
      <w:jc w:val="both"/>
    </w:pPr>
    <w:rPr>
      <w:rFonts w:cs="Times New Roman"/>
      <w:sz w:val="20"/>
      <w:szCs w:val="20"/>
      <w:lang w:val="es-MX"/>
    </w:rPr>
  </w:style>
  <w:style w:type="paragraph" w:styleId="Piedepgina">
    <w:name w:val="footer"/>
    <w:basedOn w:val="Normal"/>
    <w:rsid w:val="00224E37"/>
    <w:pPr>
      <w:tabs>
        <w:tab w:val="center" w:pos="4252"/>
        <w:tab w:val="right" w:pos="8504"/>
      </w:tabs>
    </w:pPr>
  </w:style>
  <w:style w:type="character" w:styleId="Nmerodepgina">
    <w:name w:val="page number"/>
    <w:rsid w:val="00224E37"/>
    <w:rPr>
      <w:rFonts w:cs="Times New Roman"/>
    </w:rPr>
  </w:style>
  <w:style w:type="paragraph" w:styleId="Encabezado">
    <w:name w:val="header"/>
    <w:basedOn w:val="Normal"/>
    <w:rsid w:val="00224E37"/>
    <w:pPr>
      <w:tabs>
        <w:tab w:val="center" w:pos="4252"/>
        <w:tab w:val="right" w:pos="8504"/>
      </w:tabs>
    </w:pPr>
  </w:style>
  <w:style w:type="character" w:styleId="Refdenotaalpie">
    <w:name w:val="footnote reference"/>
    <w:semiHidden/>
    <w:rsid w:val="00224E37"/>
    <w:rPr>
      <w:rFonts w:cs="Times New Roman"/>
      <w:vertAlign w:val="superscript"/>
    </w:rPr>
  </w:style>
  <w:style w:type="paragraph" w:styleId="Mapadeldocumento">
    <w:name w:val="Document Map"/>
    <w:basedOn w:val="Normal"/>
    <w:semiHidden/>
    <w:rsid w:val="00224E37"/>
    <w:pPr>
      <w:shd w:val="clear" w:color="auto" w:fill="000080"/>
    </w:pPr>
    <w:rPr>
      <w:rFonts w:ascii="Tahoma" w:hAnsi="Tahoma" w:cs="Tahoma"/>
      <w:sz w:val="20"/>
      <w:szCs w:val="20"/>
    </w:rPr>
  </w:style>
  <w:style w:type="paragraph" w:customStyle="1" w:styleId="Normal9pt">
    <w:name w:val="Normal + 9 pt"/>
    <w:aliases w:val="Sin Expandido / Comprimido"/>
    <w:basedOn w:val="Textoindependiente"/>
    <w:rsid w:val="00224E37"/>
    <w:pPr>
      <w:numPr>
        <w:numId w:val="2"/>
      </w:numPr>
    </w:pPr>
    <w:rPr>
      <w:spacing w:val="0"/>
      <w:sz w:val="18"/>
      <w:szCs w:val="18"/>
    </w:rPr>
  </w:style>
  <w:style w:type="paragraph" w:styleId="Textodeglobo">
    <w:name w:val="Balloon Text"/>
    <w:basedOn w:val="Normal"/>
    <w:semiHidden/>
    <w:rsid w:val="00224E37"/>
    <w:rPr>
      <w:rFonts w:ascii="Tahoma" w:hAnsi="Tahoma" w:cs="Tahoma"/>
      <w:sz w:val="16"/>
      <w:szCs w:val="16"/>
    </w:rPr>
  </w:style>
  <w:style w:type="character" w:styleId="Refdecomentario">
    <w:name w:val="annotation reference"/>
    <w:semiHidden/>
    <w:rsid w:val="00224E37"/>
    <w:rPr>
      <w:sz w:val="16"/>
      <w:szCs w:val="16"/>
    </w:rPr>
  </w:style>
  <w:style w:type="paragraph" w:styleId="Textocomentario">
    <w:name w:val="annotation text"/>
    <w:basedOn w:val="Normal"/>
    <w:semiHidden/>
    <w:rsid w:val="00224E37"/>
    <w:rPr>
      <w:sz w:val="20"/>
      <w:szCs w:val="20"/>
    </w:rPr>
  </w:style>
  <w:style w:type="paragraph" w:styleId="Asuntodelcomentario">
    <w:name w:val="annotation subject"/>
    <w:basedOn w:val="Textocomentario"/>
    <w:next w:val="Textocomentario"/>
    <w:semiHidden/>
    <w:rsid w:val="00224E37"/>
    <w:rPr>
      <w:b/>
      <w:bCs/>
    </w:rPr>
  </w:style>
  <w:style w:type="paragraph" w:styleId="Prrafodelista">
    <w:name w:val="List Paragraph"/>
    <w:basedOn w:val="Normal"/>
    <w:uiPriority w:val="34"/>
    <w:qFormat/>
    <w:rsid w:val="00CD1E7F"/>
    <w:pPr>
      <w:ind w:left="708"/>
    </w:pPr>
  </w:style>
  <w:style w:type="table" w:styleId="Tablaconcuadrcula">
    <w:name w:val="Table Grid"/>
    <w:basedOn w:val="Tablanormal"/>
    <w:rsid w:val="00EF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E37"/>
    <w:rPr>
      <w:rFonts w:ascii="Arial" w:hAnsi="Arial" w:cs="Arial"/>
      <w:spacing w:val="20"/>
      <w:sz w:val="28"/>
      <w:szCs w:val="28"/>
    </w:rPr>
  </w:style>
  <w:style w:type="paragraph" w:styleId="Ttulo1">
    <w:name w:val="heading 1"/>
    <w:basedOn w:val="Normal"/>
    <w:next w:val="Normal"/>
    <w:qFormat/>
    <w:rsid w:val="00224E37"/>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224E37"/>
    <w:pPr>
      <w:jc w:val="both"/>
    </w:pPr>
    <w:rPr>
      <w:sz w:val="24"/>
      <w:szCs w:val="24"/>
      <w:lang w:val="es-MX"/>
    </w:rPr>
  </w:style>
  <w:style w:type="paragraph" w:styleId="Ttulo">
    <w:name w:val="Title"/>
    <w:basedOn w:val="Normal"/>
    <w:qFormat/>
    <w:rsid w:val="00224E37"/>
    <w:pPr>
      <w:jc w:val="center"/>
      <w:outlineLvl w:val="0"/>
    </w:pPr>
    <w:rPr>
      <w:rFonts w:cs="Times New Roman"/>
      <w:b/>
      <w:bCs/>
      <w:spacing w:val="0"/>
      <w:sz w:val="22"/>
      <w:szCs w:val="22"/>
      <w:lang w:val="es-MX"/>
    </w:rPr>
  </w:style>
  <w:style w:type="paragraph" w:styleId="Sangradetextonormal">
    <w:name w:val="Body Text Indent"/>
    <w:basedOn w:val="Normal"/>
    <w:rsid w:val="00224E37"/>
    <w:pPr>
      <w:keepNext/>
      <w:ind w:left="284" w:hanging="284"/>
      <w:jc w:val="both"/>
    </w:pPr>
    <w:rPr>
      <w:rFonts w:cs="Times New Roman"/>
      <w:sz w:val="20"/>
      <w:szCs w:val="20"/>
      <w:lang w:val="es-MX"/>
    </w:rPr>
  </w:style>
  <w:style w:type="paragraph" w:styleId="Textoindependiente3">
    <w:name w:val="Body Text 3"/>
    <w:basedOn w:val="Normal"/>
    <w:rsid w:val="00224E37"/>
    <w:pPr>
      <w:jc w:val="both"/>
    </w:pPr>
    <w:rPr>
      <w:rFonts w:cs="Times New Roman"/>
      <w:sz w:val="20"/>
      <w:szCs w:val="20"/>
      <w:lang w:val="es-MX"/>
    </w:rPr>
  </w:style>
  <w:style w:type="paragraph" w:styleId="Piedepgina">
    <w:name w:val="footer"/>
    <w:basedOn w:val="Normal"/>
    <w:rsid w:val="00224E37"/>
    <w:pPr>
      <w:tabs>
        <w:tab w:val="center" w:pos="4252"/>
        <w:tab w:val="right" w:pos="8504"/>
      </w:tabs>
    </w:pPr>
  </w:style>
  <w:style w:type="character" w:styleId="Nmerodepgina">
    <w:name w:val="page number"/>
    <w:rsid w:val="00224E37"/>
    <w:rPr>
      <w:rFonts w:cs="Times New Roman"/>
    </w:rPr>
  </w:style>
  <w:style w:type="paragraph" w:styleId="Encabezado">
    <w:name w:val="header"/>
    <w:basedOn w:val="Normal"/>
    <w:rsid w:val="00224E37"/>
    <w:pPr>
      <w:tabs>
        <w:tab w:val="center" w:pos="4252"/>
        <w:tab w:val="right" w:pos="8504"/>
      </w:tabs>
    </w:pPr>
  </w:style>
  <w:style w:type="character" w:styleId="Refdenotaalpie">
    <w:name w:val="footnote reference"/>
    <w:semiHidden/>
    <w:rsid w:val="00224E37"/>
    <w:rPr>
      <w:rFonts w:cs="Times New Roman"/>
      <w:vertAlign w:val="superscript"/>
    </w:rPr>
  </w:style>
  <w:style w:type="paragraph" w:styleId="Mapadeldocumento">
    <w:name w:val="Document Map"/>
    <w:basedOn w:val="Normal"/>
    <w:semiHidden/>
    <w:rsid w:val="00224E37"/>
    <w:pPr>
      <w:shd w:val="clear" w:color="auto" w:fill="000080"/>
    </w:pPr>
    <w:rPr>
      <w:rFonts w:ascii="Tahoma" w:hAnsi="Tahoma" w:cs="Tahoma"/>
      <w:sz w:val="20"/>
      <w:szCs w:val="20"/>
    </w:rPr>
  </w:style>
  <w:style w:type="paragraph" w:customStyle="1" w:styleId="Normal9pt">
    <w:name w:val="Normal + 9 pt"/>
    <w:aliases w:val="Sin Expandido / Comprimido"/>
    <w:basedOn w:val="Textoindependiente"/>
    <w:rsid w:val="00224E37"/>
    <w:pPr>
      <w:numPr>
        <w:numId w:val="2"/>
      </w:numPr>
    </w:pPr>
    <w:rPr>
      <w:spacing w:val="0"/>
      <w:sz w:val="18"/>
      <w:szCs w:val="18"/>
    </w:rPr>
  </w:style>
  <w:style w:type="paragraph" w:styleId="Textodeglobo">
    <w:name w:val="Balloon Text"/>
    <w:basedOn w:val="Normal"/>
    <w:semiHidden/>
    <w:rsid w:val="00224E37"/>
    <w:rPr>
      <w:rFonts w:ascii="Tahoma" w:hAnsi="Tahoma" w:cs="Tahoma"/>
      <w:sz w:val="16"/>
      <w:szCs w:val="16"/>
    </w:rPr>
  </w:style>
  <w:style w:type="character" w:styleId="Refdecomentario">
    <w:name w:val="annotation reference"/>
    <w:semiHidden/>
    <w:rsid w:val="00224E37"/>
    <w:rPr>
      <w:sz w:val="16"/>
      <w:szCs w:val="16"/>
    </w:rPr>
  </w:style>
  <w:style w:type="paragraph" w:styleId="Textocomentario">
    <w:name w:val="annotation text"/>
    <w:basedOn w:val="Normal"/>
    <w:semiHidden/>
    <w:rsid w:val="00224E37"/>
    <w:rPr>
      <w:sz w:val="20"/>
      <w:szCs w:val="20"/>
    </w:rPr>
  </w:style>
  <w:style w:type="paragraph" w:styleId="Asuntodelcomentario">
    <w:name w:val="annotation subject"/>
    <w:basedOn w:val="Textocomentario"/>
    <w:next w:val="Textocomentario"/>
    <w:semiHidden/>
    <w:rsid w:val="00224E37"/>
    <w:rPr>
      <w:b/>
      <w:bCs/>
    </w:rPr>
  </w:style>
  <w:style w:type="paragraph" w:styleId="Prrafodelista">
    <w:name w:val="List Paragraph"/>
    <w:basedOn w:val="Normal"/>
    <w:uiPriority w:val="34"/>
    <w:qFormat/>
    <w:rsid w:val="00CD1E7F"/>
    <w:pPr>
      <w:ind w:left="708"/>
    </w:pPr>
  </w:style>
  <w:style w:type="table" w:styleId="Tablaconcuadrcula">
    <w:name w:val="Table Grid"/>
    <w:basedOn w:val="Tablanormal"/>
    <w:rsid w:val="00EF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oleObject" Target="embeddings/oleObject15.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header" Target="header4.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3.bin"/><Relationship Id="rId20" Type="http://schemas.openxmlformats.org/officeDocument/2006/relationships/oleObject" Target="embeddings/oleObject4.bin"/><Relationship Id="rId41" Type="http://schemas.openxmlformats.org/officeDocument/2006/relationships/image" Target="media/image15.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89AFF-56B5-44BA-A95B-43C094E4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2449</Words>
  <Characters>13475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CAPITULO XXI: REGLAS APLICABLES A LA GESTIÓN DE LOS RIESGOS DE MERCADO</vt:lpstr>
    </vt:vector>
  </TitlesOfParts>
  <Company>Superfinanciera</Company>
  <LinksUpToDate>false</LinksUpToDate>
  <CharactersWithSpaces>15893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XXI: REGLAS APLICABLES A LA GESTIÓN DE LOS RIESGOS DE MERCADO</dc:title>
  <dc:creator>amortiz</dc:creator>
  <cp:lastModifiedBy>SFC</cp:lastModifiedBy>
  <cp:revision>23</cp:revision>
  <cp:lastPrinted>2012-05-02T17:33:00Z</cp:lastPrinted>
  <dcterms:created xsi:type="dcterms:W3CDTF">2017-12-12T15:32:00Z</dcterms:created>
  <dcterms:modified xsi:type="dcterms:W3CDTF">2017-12-12T16:48:00Z</dcterms:modified>
</cp:coreProperties>
</file>