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723" w:rsidRPr="00E96C5B" w:rsidRDefault="00396723">
      <w:pPr>
        <w:ind w:left="1410" w:hanging="1410"/>
        <w:jc w:val="center"/>
        <w:rPr>
          <w:b/>
          <w:bCs/>
          <w:sz w:val="18"/>
        </w:rPr>
      </w:pPr>
    </w:p>
    <w:p w:rsidR="001A2B7A" w:rsidRPr="00E96C5B" w:rsidRDefault="00396723">
      <w:pPr>
        <w:ind w:left="1410" w:hanging="1410"/>
        <w:jc w:val="center"/>
        <w:outlineLvl w:val="0"/>
        <w:rPr>
          <w:b/>
          <w:bCs/>
          <w:i w:val="0"/>
          <w:sz w:val="18"/>
        </w:rPr>
      </w:pPr>
      <w:r w:rsidRPr="00E96C5B">
        <w:rPr>
          <w:b/>
          <w:bCs/>
          <w:i w:val="0"/>
          <w:sz w:val="18"/>
        </w:rPr>
        <w:t xml:space="preserve">ANEXO </w:t>
      </w:r>
      <w:r w:rsidR="001602B2" w:rsidRPr="00E96C5B">
        <w:rPr>
          <w:b/>
          <w:bCs/>
          <w:i w:val="0"/>
          <w:sz w:val="18"/>
        </w:rPr>
        <w:t>2</w:t>
      </w:r>
      <w:r w:rsidRPr="00E96C5B">
        <w:rPr>
          <w:b/>
          <w:bCs/>
          <w:i w:val="0"/>
          <w:sz w:val="18"/>
        </w:rPr>
        <w:t xml:space="preserve"> </w:t>
      </w:r>
    </w:p>
    <w:p w:rsidR="00396723" w:rsidRPr="00E96C5B" w:rsidRDefault="00396723">
      <w:pPr>
        <w:ind w:left="1410" w:hanging="1410"/>
        <w:jc w:val="center"/>
        <w:outlineLvl w:val="0"/>
        <w:rPr>
          <w:b/>
          <w:bCs/>
          <w:i w:val="0"/>
          <w:sz w:val="18"/>
        </w:rPr>
      </w:pPr>
    </w:p>
    <w:p w:rsidR="00396723" w:rsidRPr="00E96C5B" w:rsidRDefault="00396723" w:rsidP="00833DAC">
      <w:pPr>
        <w:jc w:val="center"/>
        <w:outlineLvl w:val="0"/>
        <w:rPr>
          <w:b/>
          <w:bCs/>
          <w:i w:val="0"/>
          <w:sz w:val="18"/>
        </w:rPr>
      </w:pPr>
      <w:r w:rsidRPr="00E96C5B">
        <w:rPr>
          <w:b/>
          <w:bCs/>
          <w:i w:val="0"/>
          <w:sz w:val="18"/>
        </w:rPr>
        <w:t xml:space="preserve">METODOLOGÍA PARA LA </w:t>
      </w:r>
      <w:r w:rsidR="001A2B7A" w:rsidRPr="00E96C5B">
        <w:rPr>
          <w:b/>
          <w:bCs/>
          <w:i w:val="0"/>
          <w:sz w:val="18"/>
        </w:rPr>
        <w:t>MEDICIÓN Y REPORTE ESTÁNDAR</w:t>
      </w:r>
      <w:r w:rsidRPr="00E96C5B">
        <w:rPr>
          <w:b/>
          <w:bCs/>
          <w:i w:val="0"/>
          <w:sz w:val="18"/>
        </w:rPr>
        <w:t xml:space="preserve"> DEL RIESGO DE LIQUIDEZ DE L</w:t>
      </w:r>
      <w:r w:rsidR="001602B2" w:rsidRPr="00E96C5B">
        <w:rPr>
          <w:b/>
          <w:bCs/>
          <w:i w:val="0"/>
          <w:sz w:val="18"/>
        </w:rPr>
        <w:t>AS SOCIEDADES COMISIONISTAS</w:t>
      </w:r>
      <w:r w:rsidRPr="00E96C5B">
        <w:rPr>
          <w:b/>
          <w:bCs/>
          <w:i w:val="0"/>
          <w:sz w:val="18"/>
        </w:rPr>
        <w:t xml:space="preserve"> </w:t>
      </w:r>
      <w:r w:rsidR="001602B2" w:rsidRPr="00E96C5B">
        <w:rPr>
          <w:b/>
          <w:bCs/>
          <w:i w:val="0"/>
          <w:sz w:val="18"/>
        </w:rPr>
        <w:t>DE BOLSA DE VALORES</w:t>
      </w:r>
    </w:p>
    <w:p w:rsidR="00396723" w:rsidRPr="00E96C5B" w:rsidRDefault="00396723" w:rsidP="00833DAC">
      <w:pPr>
        <w:pStyle w:val="Textoindependiente"/>
        <w:rPr>
          <w:i w:val="0"/>
          <w:sz w:val="18"/>
          <w:szCs w:val="18"/>
        </w:rPr>
      </w:pPr>
    </w:p>
    <w:p w:rsidR="003B32DF" w:rsidRPr="00E96C5B" w:rsidRDefault="003B32DF" w:rsidP="00833DAC">
      <w:pPr>
        <w:pStyle w:val="Textoindependiente"/>
        <w:rPr>
          <w:i w:val="0"/>
          <w:sz w:val="18"/>
          <w:szCs w:val="18"/>
        </w:rPr>
      </w:pPr>
    </w:p>
    <w:p w:rsidR="00396723" w:rsidRPr="00E96C5B" w:rsidRDefault="00396723" w:rsidP="00833DAC">
      <w:pPr>
        <w:pStyle w:val="Normal9pt"/>
        <w:numPr>
          <w:ilvl w:val="0"/>
          <w:numId w:val="8"/>
        </w:numPr>
        <w:rPr>
          <w:b/>
          <w:i w:val="0"/>
        </w:rPr>
      </w:pPr>
      <w:r w:rsidRPr="00E96C5B">
        <w:rPr>
          <w:b/>
          <w:i w:val="0"/>
        </w:rPr>
        <w:t>CONSIDERACIONES GENERALES</w:t>
      </w:r>
    </w:p>
    <w:p w:rsidR="00396723" w:rsidRPr="00E96C5B" w:rsidRDefault="00396723" w:rsidP="00833DAC">
      <w:pPr>
        <w:pStyle w:val="Textoindependiente"/>
        <w:rPr>
          <w:i w:val="0"/>
          <w:sz w:val="18"/>
          <w:szCs w:val="18"/>
        </w:rPr>
      </w:pPr>
    </w:p>
    <w:p w:rsidR="00396723" w:rsidRPr="00833DAC" w:rsidRDefault="00396723" w:rsidP="00833DAC">
      <w:pPr>
        <w:pStyle w:val="Textoindependiente"/>
        <w:rPr>
          <w:i w:val="0"/>
          <w:sz w:val="18"/>
          <w:szCs w:val="18"/>
        </w:rPr>
      </w:pPr>
      <w:r w:rsidRPr="00833DAC">
        <w:rPr>
          <w:i w:val="0"/>
          <w:sz w:val="18"/>
          <w:szCs w:val="18"/>
        </w:rPr>
        <w:t>En el presente Anexo se establece</w:t>
      </w:r>
      <w:r w:rsidR="0035630F" w:rsidRPr="00833DAC">
        <w:rPr>
          <w:i w:val="0"/>
          <w:sz w:val="18"/>
          <w:szCs w:val="18"/>
        </w:rPr>
        <w:tab/>
      </w:r>
      <w:r w:rsidR="0044372E" w:rsidRPr="00833DAC">
        <w:rPr>
          <w:i w:val="0"/>
          <w:sz w:val="18"/>
          <w:szCs w:val="18"/>
        </w:rPr>
        <w:t xml:space="preserve"> la metodología para </w:t>
      </w:r>
      <w:r w:rsidR="0044372E" w:rsidRPr="00833DAC">
        <w:rPr>
          <w:bCs/>
          <w:i w:val="0"/>
          <w:sz w:val="18"/>
          <w:szCs w:val="18"/>
        </w:rPr>
        <w:t xml:space="preserve">la medición y </w:t>
      </w:r>
      <w:r w:rsidR="00417815" w:rsidRPr="00833DAC">
        <w:rPr>
          <w:i w:val="0"/>
          <w:sz w:val="18"/>
          <w:szCs w:val="18"/>
        </w:rPr>
        <w:t xml:space="preserve">las características del </w:t>
      </w:r>
      <w:r w:rsidR="0044372E" w:rsidRPr="00833DAC">
        <w:rPr>
          <w:bCs/>
          <w:i w:val="0"/>
          <w:sz w:val="18"/>
          <w:szCs w:val="18"/>
        </w:rPr>
        <w:t>reporte estándar del riesgo de liquidez</w:t>
      </w:r>
      <w:r w:rsidR="007F0B60" w:rsidRPr="00833DAC">
        <w:rPr>
          <w:i w:val="0"/>
          <w:sz w:val="18"/>
          <w:szCs w:val="18"/>
        </w:rPr>
        <w:t xml:space="preserve"> derivado de las operaciones realizadas por las sociedades comisionistas de bolsa de valores </w:t>
      </w:r>
      <w:r w:rsidR="00101D2C" w:rsidRPr="00833DAC">
        <w:rPr>
          <w:i w:val="0"/>
          <w:sz w:val="18"/>
          <w:szCs w:val="18"/>
        </w:rPr>
        <w:t xml:space="preserve">en </w:t>
      </w:r>
      <w:r w:rsidR="008E6391" w:rsidRPr="00833DAC">
        <w:rPr>
          <w:i w:val="0"/>
          <w:sz w:val="18"/>
          <w:szCs w:val="18"/>
        </w:rPr>
        <w:t>cuenta</w:t>
      </w:r>
      <w:r w:rsidR="00101D2C" w:rsidRPr="00833DAC">
        <w:rPr>
          <w:i w:val="0"/>
          <w:sz w:val="18"/>
          <w:szCs w:val="18"/>
        </w:rPr>
        <w:t xml:space="preserve"> propia</w:t>
      </w:r>
      <w:r w:rsidR="00906CAF" w:rsidRPr="00833DAC">
        <w:rPr>
          <w:i w:val="0"/>
          <w:sz w:val="18"/>
          <w:szCs w:val="18"/>
        </w:rPr>
        <w:t xml:space="preserve"> y por cuenta de terceros</w:t>
      </w:r>
      <w:r w:rsidR="00AE328F" w:rsidRPr="00833DAC">
        <w:rPr>
          <w:i w:val="0"/>
          <w:sz w:val="18"/>
          <w:szCs w:val="18"/>
        </w:rPr>
        <w:t xml:space="preserve"> en desarrollo del contrato de comisión</w:t>
      </w:r>
      <w:r w:rsidR="003B32DF" w:rsidRPr="00833DAC">
        <w:rPr>
          <w:i w:val="0"/>
          <w:sz w:val="18"/>
          <w:szCs w:val="18"/>
        </w:rPr>
        <w:t>.</w:t>
      </w:r>
    </w:p>
    <w:p w:rsidR="00966477" w:rsidRPr="00833DAC" w:rsidRDefault="00966477" w:rsidP="00833DAC">
      <w:pPr>
        <w:pStyle w:val="Textoindependiente"/>
        <w:rPr>
          <w:i w:val="0"/>
          <w:sz w:val="18"/>
          <w:szCs w:val="18"/>
        </w:rPr>
      </w:pPr>
    </w:p>
    <w:p w:rsidR="00966477" w:rsidRPr="00833DAC" w:rsidRDefault="00966477" w:rsidP="00833DAC">
      <w:pPr>
        <w:jc w:val="both"/>
        <w:rPr>
          <w:i w:val="0"/>
          <w:sz w:val="18"/>
          <w:lang w:val="es-MX"/>
        </w:rPr>
      </w:pPr>
      <w:r w:rsidRPr="00833DAC">
        <w:rPr>
          <w:i w:val="0"/>
          <w:sz w:val="18"/>
          <w:lang w:val="es-MX"/>
        </w:rPr>
        <w:t xml:space="preserve">Las sociedades comisionistas de bolsa de valores deberán remitir diariamente a la Superintendencia Financiera de Colombia, al día </w:t>
      </w:r>
      <w:r w:rsidR="005E7C3E" w:rsidRPr="00833DAC">
        <w:rPr>
          <w:i w:val="0"/>
          <w:sz w:val="18"/>
          <w:lang w:val="es-MX"/>
        </w:rPr>
        <w:t xml:space="preserve">hábil siguiente, </w:t>
      </w:r>
      <w:r w:rsidR="00906CAF" w:rsidRPr="00833DAC">
        <w:rPr>
          <w:i w:val="0"/>
          <w:sz w:val="18"/>
          <w:lang w:val="es-MX"/>
        </w:rPr>
        <w:t>la</w:t>
      </w:r>
      <w:r w:rsidR="003414EF" w:rsidRPr="00833DAC">
        <w:rPr>
          <w:i w:val="0"/>
          <w:sz w:val="18"/>
          <w:lang w:val="es-MX"/>
        </w:rPr>
        <w:t>s</w:t>
      </w:r>
      <w:r w:rsidR="00906CAF" w:rsidRPr="00833DAC">
        <w:rPr>
          <w:i w:val="0"/>
          <w:sz w:val="18"/>
          <w:lang w:val="es-MX"/>
        </w:rPr>
        <w:t xml:space="preserve"> proforma</w:t>
      </w:r>
      <w:r w:rsidR="003414EF" w:rsidRPr="00833DAC">
        <w:rPr>
          <w:i w:val="0"/>
          <w:sz w:val="18"/>
          <w:lang w:val="es-MX"/>
        </w:rPr>
        <w:t>s</w:t>
      </w:r>
      <w:r w:rsidR="00906CAF" w:rsidRPr="00833DAC">
        <w:rPr>
          <w:i w:val="0"/>
          <w:sz w:val="18"/>
          <w:lang w:val="es-MX"/>
        </w:rPr>
        <w:t xml:space="preserve"> F8000-</w:t>
      </w:r>
      <w:r w:rsidR="00056205" w:rsidRPr="00833DAC">
        <w:rPr>
          <w:i w:val="0"/>
          <w:sz w:val="18"/>
          <w:lang w:val="es-MX"/>
        </w:rPr>
        <w:t>61</w:t>
      </w:r>
      <w:r w:rsidR="003414EF" w:rsidRPr="00833DAC">
        <w:rPr>
          <w:i w:val="0"/>
          <w:sz w:val="18"/>
          <w:lang w:val="es-MX"/>
        </w:rPr>
        <w:t xml:space="preserve"> y F8000-54</w:t>
      </w:r>
      <w:r w:rsidR="00906CAF" w:rsidRPr="00833DAC">
        <w:rPr>
          <w:i w:val="0"/>
          <w:sz w:val="18"/>
          <w:lang w:val="es-MX"/>
        </w:rPr>
        <w:t xml:space="preserve"> (</w:t>
      </w:r>
      <w:r w:rsidR="005E7C3E" w:rsidRPr="00833DAC">
        <w:rPr>
          <w:i w:val="0"/>
          <w:sz w:val="18"/>
          <w:lang w:val="es-MX"/>
        </w:rPr>
        <w:t>formato</w:t>
      </w:r>
      <w:r w:rsidR="003414EF" w:rsidRPr="00833DAC">
        <w:rPr>
          <w:i w:val="0"/>
          <w:sz w:val="18"/>
          <w:lang w:val="es-MX"/>
        </w:rPr>
        <w:t>s</w:t>
      </w:r>
      <w:r w:rsidR="005E7C3E" w:rsidRPr="00833DAC">
        <w:rPr>
          <w:i w:val="0"/>
          <w:sz w:val="18"/>
          <w:lang w:val="es-MX"/>
        </w:rPr>
        <w:t xml:space="preserve"> </w:t>
      </w:r>
      <w:r w:rsidR="00056205" w:rsidRPr="00833DAC">
        <w:rPr>
          <w:i w:val="0"/>
          <w:sz w:val="18"/>
          <w:lang w:val="es-MX"/>
        </w:rPr>
        <w:t>508</w:t>
      </w:r>
      <w:r w:rsidR="003414EF" w:rsidRPr="00833DAC">
        <w:rPr>
          <w:i w:val="0"/>
          <w:sz w:val="18"/>
          <w:lang w:val="es-MX"/>
        </w:rPr>
        <w:t xml:space="preserve"> y 476</w:t>
      </w:r>
      <w:r w:rsidR="00906CAF" w:rsidRPr="00833DAC">
        <w:rPr>
          <w:i w:val="0"/>
          <w:sz w:val="18"/>
          <w:lang w:val="es-MX"/>
        </w:rPr>
        <w:t>)</w:t>
      </w:r>
      <w:r w:rsidR="005E7C3E" w:rsidRPr="00833DAC">
        <w:rPr>
          <w:i w:val="0"/>
          <w:sz w:val="18"/>
          <w:lang w:val="es-MX"/>
        </w:rPr>
        <w:t xml:space="preserve">. </w:t>
      </w:r>
      <w:r w:rsidR="00616C6D" w:rsidRPr="00833DAC">
        <w:rPr>
          <w:i w:val="0"/>
          <w:sz w:val="18"/>
          <w:lang w:val="es-MX"/>
        </w:rPr>
        <w:t>En d</w:t>
      </w:r>
      <w:r w:rsidR="005E7C3E" w:rsidRPr="00833DAC">
        <w:rPr>
          <w:i w:val="0"/>
          <w:sz w:val="18"/>
          <w:lang w:val="es-MX"/>
        </w:rPr>
        <w:t>icho</w:t>
      </w:r>
      <w:r w:rsidR="003414EF" w:rsidRPr="00833DAC">
        <w:rPr>
          <w:i w:val="0"/>
          <w:sz w:val="18"/>
          <w:lang w:val="es-MX"/>
        </w:rPr>
        <w:t>s</w:t>
      </w:r>
      <w:r w:rsidR="005E7C3E" w:rsidRPr="00833DAC">
        <w:rPr>
          <w:i w:val="0"/>
          <w:sz w:val="18"/>
          <w:lang w:val="es-MX"/>
        </w:rPr>
        <w:t xml:space="preserve"> formato</w:t>
      </w:r>
      <w:r w:rsidR="003414EF" w:rsidRPr="00833DAC">
        <w:rPr>
          <w:i w:val="0"/>
          <w:sz w:val="18"/>
          <w:lang w:val="es-MX"/>
        </w:rPr>
        <w:t>s</w:t>
      </w:r>
      <w:r w:rsidR="00616C6D" w:rsidRPr="00833DAC">
        <w:rPr>
          <w:i w:val="0"/>
          <w:sz w:val="18"/>
          <w:lang w:val="es-MX"/>
        </w:rPr>
        <w:t xml:space="preserve"> se</w:t>
      </w:r>
      <w:r w:rsidRPr="00833DAC">
        <w:rPr>
          <w:i w:val="0"/>
          <w:sz w:val="18"/>
          <w:lang w:val="es-MX"/>
        </w:rPr>
        <w:t xml:space="preserve"> deberá registrar la información vigente a la fecha de corte sin incluir ningún tipo de proyección. Es</w:t>
      </w:r>
      <w:r w:rsidR="003414EF" w:rsidRPr="00833DAC">
        <w:rPr>
          <w:i w:val="0"/>
          <w:sz w:val="18"/>
          <w:lang w:val="es-MX"/>
        </w:rPr>
        <w:t xml:space="preserve"> decir</w:t>
      </w:r>
      <w:r w:rsidRPr="00833DAC">
        <w:rPr>
          <w:i w:val="0"/>
          <w:sz w:val="18"/>
          <w:lang w:val="es-MX"/>
        </w:rPr>
        <w:t xml:space="preserve">, </w:t>
      </w:r>
      <w:r w:rsidR="003414EF" w:rsidRPr="00833DAC">
        <w:rPr>
          <w:i w:val="0"/>
          <w:sz w:val="18"/>
          <w:lang w:val="es-MX"/>
        </w:rPr>
        <w:t xml:space="preserve">la información remitida </w:t>
      </w:r>
      <w:r w:rsidRPr="00833DAC">
        <w:rPr>
          <w:i w:val="0"/>
          <w:sz w:val="18"/>
          <w:lang w:val="es-MX"/>
        </w:rPr>
        <w:t>no deberá contener ajuste alguno por factores de comportamiento histórico o proyectado u otro tipo de factores que pretendan reflejar determinada evolución prevista del comportamiento.</w:t>
      </w:r>
    </w:p>
    <w:p w:rsidR="00396723" w:rsidRPr="00E96C5B" w:rsidRDefault="00396723" w:rsidP="00833DAC">
      <w:pPr>
        <w:pStyle w:val="Textoindependiente"/>
        <w:rPr>
          <w:sz w:val="18"/>
          <w:szCs w:val="18"/>
        </w:rPr>
      </w:pPr>
    </w:p>
    <w:p w:rsidR="00396723" w:rsidRPr="00E96C5B" w:rsidRDefault="00396723">
      <w:pPr>
        <w:pStyle w:val="Textoindependiente"/>
        <w:rPr>
          <w:i w:val="0"/>
          <w:sz w:val="18"/>
          <w:szCs w:val="18"/>
        </w:rPr>
      </w:pPr>
    </w:p>
    <w:p w:rsidR="00396723" w:rsidRPr="00E96C5B" w:rsidRDefault="00396723" w:rsidP="00EA37CF">
      <w:pPr>
        <w:pStyle w:val="Normal9pt"/>
        <w:numPr>
          <w:ilvl w:val="0"/>
          <w:numId w:val="8"/>
        </w:numPr>
        <w:rPr>
          <w:b/>
          <w:i w:val="0"/>
        </w:rPr>
      </w:pPr>
      <w:r w:rsidRPr="00E96C5B">
        <w:rPr>
          <w:b/>
          <w:i w:val="0"/>
        </w:rPr>
        <w:t>METODOLOGÍA ESTÁNDAR DE MEDICIÓN</w:t>
      </w:r>
    </w:p>
    <w:p w:rsidR="00396723" w:rsidRPr="00E96C5B" w:rsidRDefault="00396723" w:rsidP="00A117AE">
      <w:pPr>
        <w:pStyle w:val="Normal9pt"/>
        <w:numPr>
          <w:ilvl w:val="0"/>
          <w:numId w:val="0"/>
        </w:numPr>
        <w:rPr>
          <w:b/>
          <w:i w:val="0"/>
        </w:rPr>
      </w:pPr>
    </w:p>
    <w:p w:rsidR="00A117AE" w:rsidRPr="000925CD" w:rsidRDefault="00616C6D" w:rsidP="00A117AE">
      <w:pPr>
        <w:pStyle w:val="Normal9pt"/>
        <w:numPr>
          <w:ilvl w:val="0"/>
          <w:numId w:val="0"/>
        </w:numPr>
        <w:rPr>
          <w:i w:val="0"/>
        </w:rPr>
      </w:pPr>
      <w:r w:rsidRPr="000925CD">
        <w:rPr>
          <w:i w:val="0"/>
        </w:rPr>
        <w:t xml:space="preserve">El modelo estándar de </w:t>
      </w:r>
      <w:r w:rsidR="00A117AE" w:rsidRPr="000925CD">
        <w:rPr>
          <w:i w:val="0"/>
        </w:rPr>
        <w:t xml:space="preserve">cálculo del indicador de riesgo de liquidez deberá incorporar lo siguiente: </w:t>
      </w:r>
    </w:p>
    <w:p w:rsidR="002D67CD" w:rsidRPr="000925CD" w:rsidRDefault="002D67CD" w:rsidP="00A117AE">
      <w:pPr>
        <w:pStyle w:val="Normal9pt"/>
        <w:numPr>
          <w:ilvl w:val="0"/>
          <w:numId w:val="0"/>
        </w:numPr>
        <w:rPr>
          <w:b/>
          <w:i w:val="0"/>
        </w:rPr>
      </w:pPr>
    </w:p>
    <w:p w:rsidR="002D67CD" w:rsidRPr="000925CD" w:rsidRDefault="002D67CD" w:rsidP="003B32DF">
      <w:pPr>
        <w:pStyle w:val="Normal9pt"/>
        <w:numPr>
          <w:ilvl w:val="1"/>
          <w:numId w:val="8"/>
        </w:numPr>
        <w:rPr>
          <w:b/>
          <w:i w:val="0"/>
        </w:rPr>
      </w:pPr>
      <w:r w:rsidRPr="000925CD">
        <w:rPr>
          <w:b/>
          <w:i w:val="0"/>
        </w:rPr>
        <w:t>Medición de los activos líquidos (AL)</w:t>
      </w:r>
      <w:r w:rsidR="005B38BD" w:rsidRPr="000925CD">
        <w:rPr>
          <w:b/>
          <w:i w:val="0"/>
        </w:rPr>
        <w:t xml:space="preserve"> </w:t>
      </w:r>
    </w:p>
    <w:p w:rsidR="002D67CD" w:rsidRPr="000925CD" w:rsidRDefault="002D67CD" w:rsidP="002D67CD">
      <w:pPr>
        <w:pStyle w:val="Normal9pt"/>
        <w:numPr>
          <w:ilvl w:val="0"/>
          <w:numId w:val="0"/>
        </w:numPr>
        <w:rPr>
          <w:b/>
          <w:i w:val="0"/>
        </w:rPr>
      </w:pPr>
    </w:p>
    <w:p w:rsidR="00B6201F" w:rsidRPr="006F632D" w:rsidRDefault="00CF7824" w:rsidP="00833DAC">
      <w:pPr>
        <w:pStyle w:val="Normal9pt"/>
        <w:numPr>
          <w:ilvl w:val="2"/>
          <w:numId w:val="8"/>
        </w:numPr>
        <w:rPr>
          <w:i w:val="0"/>
        </w:rPr>
      </w:pPr>
      <w:r w:rsidRPr="000925CD">
        <w:rPr>
          <w:b/>
          <w:i w:val="0"/>
        </w:rPr>
        <w:t xml:space="preserve">Definición: </w:t>
      </w:r>
      <w:r w:rsidR="00F1008C" w:rsidRPr="000925CD">
        <w:rPr>
          <w:i w:val="0"/>
        </w:rPr>
        <w:t>Se consid</w:t>
      </w:r>
      <w:r w:rsidR="00F1008C" w:rsidRPr="006F632D">
        <w:rPr>
          <w:i w:val="0"/>
        </w:rPr>
        <w:t>erará</w:t>
      </w:r>
      <w:r w:rsidR="008E6391" w:rsidRPr="006F632D">
        <w:rPr>
          <w:i w:val="0"/>
        </w:rPr>
        <w:t xml:space="preserve">n activos líquidos </w:t>
      </w:r>
      <w:r w:rsidR="00605C99" w:rsidRPr="006F632D">
        <w:rPr>
          <w:i w:val="0"/>
        </w:rPr>
        <w:t>aquello</w:t>
      </w:r>
      <w:r w:rsidR="008E6391" w:rsidRPr="006F632D">
        <w:rPr>
          <w:i w:val="0"/>
        </w:rPr>
        <w:t xml:space="preserve">s </w:t>
      </w:r>
      <w:r w:rsidR="00141653" w:rsidRPr="006F632D">
        <w:rPr>
          <w:i w:val="0"/>
        </w:rPr>
        <w:t>de fácil realización</w:t>
      </w:r>
      <w:r w:rsidR="00D94701" w:rsidRPr="006F632D">
        <w:rPr>
          <w:i w:val="0"/>
        </w:rPr>
        <w:t xml:space="preserve"> que forman parte del portafolio de la entidad o </w:t>
      </w:r>
      <w:r w:rsidR="00AE328F" w:rsidRPr="006F632D">
        <w:rPr>
          <w:i w:val="0"/>
        </w:rPr>
        <w:t xml:space="preserve">aquellos </w:t>
      </w:r>
      <w:r w:rsidR="00D94701" w:rsidRPr="006F632D">
        <w:rPr>
          <w:i w:val="0"/>
        </w:rPr>
        <w:t>que hayan sido recibidos como colaterales en las operaciones activas del mercado monetario</w:t>
      </w:r>
      <w:r w:rsidR="00895CD9" w:rsidRPr="006F632D">
        <w:rPr>
          <w:i w:val="0"/>
        </w:rPr>
        <w:t>,</w:t>
      </w:r>
      <w:r w:rsidR="003978F1" w:rsidRPr="006F632D">
        <w:rPr>
          <w:i w:val="0"/>
        </w:rPr>
        <w:t xml:space="preserve"> </w:t>
      </w:r>
      <w:r w:rsidR="00625C6B" w:rsidRPr="006F632D">
        <w:rPr>
          <w:i w:val="0"/>
        </w:rPr>
        <w:t>no hayan sido utilizados posteriormente en operaciones p</w:t>
      </w:r>
      <w:r w:rsidR="00180183" w:rsidRPr="006F632D">
        <w:rPr>
          <w:i w:val="0"/>
        </w:rPr>
        <w:t xml:space="preserve">asivas en el mercado monetario y </w:t>
      </w:r>
      <w:r w:rsidR="00625C6B" w:rsidRPr="006F632D">
        <w:rPr>
          <w:i w:val="0"/>
        </w:rPr>
        <w:t>no tengan ninguna restricción de movilidad</w:t>
      </w:r>
      <w:r w:rsidR="00D94701" w:rsidRPr="006F632D">
        <w:rPr>
          <w:i w:val="0"/>
        </w:rPr>
        <w:t xml:space="preserve">. </w:t>
      </w:r>
      <w:r w:rsidR="00625C6B" w:rsidRPr="006F632D">
        <w:rPr>
          <w:i w:val="0"/>
        </w:rPr>
        <w:t>E</w:t>
      </w:r>
      <w:r w:rsidR="00D94701" w:rsidRPr="006F632D">
        <w:rPr>
          <w:i w:val="0"/>
        </w:rPr>
        <w:t>n esta categoría no se deben incluir aquellos</w:t>
      </w:r>
      <w:r w:rsidR="00625C6B" w:rsidRPr="006F632D">
        <w:rPr>
          <w:i w:val="0"/>
        </w:rPr>
        <w:t xml:space="preserve"> activos</w:t>
      </w:r>
      <w:r w:rsidR="00D94701" w:rsidRPr="006F632D">
        <w:rPr>
          <w:i w:val="0"/>
        </w:rPr>
        <w:t xml:space="preserve"> utilizados como garantías en operaciones pasivas del mercado monetario</w:t>
      </w:r>
      <w:r w:rsidR="00625C6B" w:rsidRPr="006F632D">
        <w:rPr>
          <w:i w:val="0"/>
        </w:rPr>
        <w:t xml:space="preserve"> o sujeto</w:t>
      </w:r>
      <w:r w:rsidR="00D94701" w:rsidRPr="006F632D">
        <w:rPr>
          <w:i w:val="0"/>
        </w:rPr>
        <w:t>s a cualquier tipo de gravamen, medida preventiva o de cualquier naturaleza, que impida su libre cesión o transferencia.</w:t>
      </w:r>
    </w:p>
    <w:p w:rsidR="00B6201F" w:rsidRPr="006F632D" w:rsidRDefault="00B6201F" w:rsidP="00833DAC">
      <w:pPr>
        <w:pStyle w:val="Normal9pt"/>
        <w:numPr>
          <w:ilvl w:val="0"/>
          <w:numId w:val="0"/>
        </w:numPr>
        <w:rPr>
          <w:i w:val="0"/>
        </w:rPr>
      </w:pPr>
    </w:p>
    <w:p w:rsidR="00D94701" w:rsidRPr="006F632D" w:rsidRDefault="00D94701" w:rsidP="00833DAC">
      <w:pPr>
        <w:pStyle w:val="Normal9pt"/>
        <w:numPr>
          <w:ilvl w:val="2"/>
          <w:numId w:val="8"/>
        </w:numPr>
        <w:rPr>
          <w:i w:val="0"/>
        </w:rPr>
      </w:pPr>
      <w:r w:rsidRPr="006F632D">
        <w:rPr>
          <w:i w:val="0"/>
        </w:rPr>
        <w:t xml:space="preserve">Forman parte </w:t>
      </w:r>
      <w:r w:rsidR="00422E41" w:rsidRPr="006F632D">
        <w:rPr>
          <w:i w:val="0"/>
        </w:rPr>
        <w:t>de esta categoría el disponible,</w:t>
      </w:r>
      <w:r w:rsidR="00EA37CF" w:rsidRPr="006F632D">
        <w:rPr>
          <w:i w:val="0"/>
        </w:rPr>
        <w:t xml:space="preserve"> las participaciones en </w:t>
      </w:r>
      <w:r w:rsidR="000925CD" w:rsidRPr="006F632D">
        <w:rPr>
          <w:i w:val="0"/>
        </w:rPr>
        <w:t xml:space="preserve">fondos de inversión colectiva </w:t>
      </w:r>
      <w:r w:rsidR="00EA37CF" w:rsidRPr="006F632D">
        <w:rPr>
          <w:i w:val="0"/>
        </w:rPr>
        <w:t>abiert</w:t>
      </w:r>
      <w:r w:rsidR="000925CD" w:rsidRPr="006F632D">
        <w:rPr>
          <w:i w:val="0"/>
        </w:rPr>
        <w:t>o</w:t>
      </w:r>
      <w:r w:rsidR="00EA37CF" w:rsidRPr="006F632D">
        <w:rPr>
          <w:i w:val="0"/>
        </w:rPr>
        <w:t>s sin pacto de permanencia</w:t>
      </w:r>
      <w:r w:rsidR="00431D24" w:rsidRPr="006F632D">
        <w:rPr>
          <w:i w:val="0"/>
        </w:rPr>
        <w:t>, las acciones inscritas en una bolsa de valores en Colombia</w:t>
      </w:r>
      <w:r w:rsidR="004B0E11" w:rsidRPr="006F632D">
        <w:rPr>
          <w:sz w:val="20"/>
        </w:rPr>
        <w:t xml:space="preserve"> </w:t>
      </w:r>
      <w:r w:rsidR="004B0E11" w:rsidRPr="006F632D">
        <w:rPr>
          <w:i w:val="0"/>
        </w:rPr>
        <w:t>que sean elegibles para ser objeto de operaciones reporto o repo</w:t>
      </w:r>
      <w:r w:rsidR="00D863EA" w:rsidRPr="006F632D">
        <w:rPr>
          <w:i w:val="0"/>
        </w:rPr>
        <w:t xml:space="preserve"> y </w:t>
      </w:r>
      <w:r w:rsidRPr="006F632D">
        <w:rPr>
          <w:i w:val="0"/>
        </w:rPr>
        <w:t>las inversiones negociables y disponibles para la venta en títulos de renta fija.</w:t>
      </w:r>
    </w:p>
    <w:p w:rsidR="00D94701" w:rsidRPr="00833DAC" w:rsidRDefault="00D94701" w:rsidP="00833DAC">
      <w:pPr>
        <w:pStyle w:val="Normal9pt"/>
        <w:numPr>
          <w:ilvl w:val="0"/>
          <w:numId w:val="0"/>
        </w:numPr>
        <w:rPr>
          <w:i w:val="0"/>
        </w:rPr>
      </w:pPr>
    </w:p>
    <w:p w:rsidR="00357D94" w:rsidRPr="000925CD" w:rsidRDefault="00357D94" w:rsidP="00833DAC">
      <w:pPr>
        <w:pStyle w:val="Normal9pt"/>
        <w:numPr>
          <w:ilvl w:val="2"/>
          <w:numId w:val="8"/>
        </w:numPr>
        <w:pBdr>
          <w:left w:val="single" w:sz="4" w:space="4" w:color="auto"/>
        </w:pBdr>
        <w:rPr>
          <w:i w:val="0"/>
        </w:rPr>
      </w:pPr>
      <w:proofErr w:type="spellStart"/>
      <w:r w:rsidRPr="00833DAC">
        <w:rPr>
          <w:i w:val="0"/>
        </w:rPr>
        <w:t>Haircuts</w:t>
      </w:r>
      <w:proofErr w:type="spellEnd"/>
      <w:r w:rsidRPr="00833DAC">
        <w:rPr>
          <w:i w:val="0"/>
        </w:rPr>
        <w:t xml:space="preserve"> aplicables a los activos líquidos (AL):</w:t>
      </w:r>
      <w:r w:rsidRPr="000925CD">
        <w:rPr>
          <w:b/>
          <w:i w:val="0"/>
        </w:rPr>
        <w:t xml:space="preserve"> </w:t>
      </w:r>
      <w:r w:rsidRPr="000925CD">
        <w:rPr>
          <w:i w:val="0"/>
        </w:rPr>
        <w:t>En el día de corte</w:t>
      </w:r>
      <w:r w:rsidR="004E37A4" w:rsidRPr="000925CD">
        <w:rPr>
          <w:i w:val="0"/>
        </w:rPr>
        <w:t>,</w:t>
      </w:r>
      <w:r w:rsidRPr="000925CD">
        <w:rPr>
          <w:i w:val="0"/>
        </w:rPr>
        <w:t xml:space="preserve"> a los activos anteriormente señalados, se les debe aplicar los siguientes </w:t>
      </w:r>
      <w:proofErr w:type="spellStart"/>
      <w:r w:rsidRPr="000925CD">
        <w:rPr>
          <w:i w:val="0"/>
        </w:rPr>
        <w:t>haircuts</w:t>
      </w:r>
      <w:proofErr w:type="spellEnd"/>
      <w:r w:rsidRPr="000925CD">
        <w:rPr>
          <w:i w:val="0"/>
        </w:rPr>
        <w:t xml:space="preserve"> o descuentos sobre su </w:t>
      </w:r>
      <w:r w:rsidR="00D70C12" w:rsidRPr="00D70C12">
        <w:rPr>
          <w:b/>
          <w:i w:val="0"/>
        </w:rPr>
        <w:t>valor razonable</w:t>
      </w:r>
      <w:r w:rsidRPr="000925CD">
        <w:rPr>
          <w:i w:val="0"/>
        </w:rPr>
        <w:t xml:space="preserve"> según corresponda:</w:t>
      </w:r>
    </w:p>
    <w:p w:rsidR="00357D94" w:rsidRPr="000925CD" w:rsidRDefault="00357D94" w:rsidP="00833DAC">
      <w:pPr>
        <w:pStyle w:val="Normal9pt"/>
        <w:numPr>
          <w:ilvl w:val="0"/>
          <w:numId w:val="0"/>
        </w:numPr>
        <w:rPr>
          <w:i w:val="0"/>
        </w:rPr>
      </w:pPr>
    </w:p>
    <w:p w:rsidR="00357D94" w:rsidRPr="000925CD" w:rsidRDefault="001B7CEE" w:rsidP="00833DAC">
      <w:pPr>
        <w:pStyle w:val="Normal9pt"/>
        <w:numPr>
          <w:ilvl w:val="3"/>
          <w:numId w:val="8"/>
        </w:numPr>
        <w:rPr>
          <w:i w:val="0"/>
        </w:rPr>
      </w:pPr>
      <w:r w:rsidRPr="000925CD">
        <w:rPr>
          <w:i w:val="0"/>
        </w:rPr>
        <w:t>L</w:t>
      </w:r>
      <w:r w:rsidR="00141653" w:rsidRPr="000925CD">
        <w:rPr>
          <w:i w:val="0"/>
        </w:rPr>
        <w:t xml:space="preserve">os </w:t>
      </w:r>
      <w:proofErr w:type="spellStart"/>
      <w:r w:rsidR="00141653" w:rsidRPr="000925CD">
        <w:rPr>
          <w:i w:val="0"/>
        </w:rPr>
        <w:t>haircuts</w:t>
      </w:r>
      <w:proofErr w:type="spellEnd"/>
      <w:r w:rsidR="00141653" w:rsidRPr="000925CD">
        <w:rPr>
          <w:i w:val="0"/>
        </w:rPr>
        <w:t xml:space="preserve"> </w:t>
      </w:r>
      <w:r w:rsidRPr="000925CD">
        <w:rPr>
          <w:i w:val="0"/>
        </w:rPr>
        <w:t xml:space="preserve">o descuentos </w:t>
      </w:r>
      <w:r w:rsidR="00141653" w:rsidRPr="000925CD">
        <w:rPr>
          <w:i w:val="0"/>
        </w:rPr>
        <w:t xml:space="preserve">que aplica el Banco de la República a los distintos </w:t>
      </w:r>
      <w:r w:rsidRPr="000925CD">
        <w:rPr>
          <w:i w:val="0"/>
        </w:rPr>
        <w:t>valores</w:t>
      </w:r>
      <w:r w:rsidR="00141653" w:rsidRPr="000925CD">
        <w:rPr>
          <w:i w:val="0"/>
        </w:rPr>
        <w:t xml:space="preserve"> para la realización de operaciones repo, los cuales son actualizados y publicados en la página web del Banco. </w:t>
      </w:r>
    </w:p>
    <w:p w:rsidR="00357D94" w:rsidRPr="000925CD" w:rsidRDefault="00357D94" w:rsidP="00C26DEB">
      <w:pPr>
        <w:pStyle w:val="Normal9pt"/>
        <w:numPr>
          <w:ilvl w:val="0"/>
          <w:numId w:val="0"/>
        </w:numPr>
        <w:pBdr>
          <w:left w:val="single" w:sz="4" w:space="4" w:color="auto"/>
        </w:pBdr>
        <w:rPr>
          <w:i w:val="0"/>
        </w:rPr>
      </w:pPr>
    </w:p>
    <w:p w:rsidR="00D70C12" w:rsidRPr="00D70C12" w:rsidRDefault="005B2A15" w:rsidP="00C26DEB">
      <w:pPr>
        <w:pStyle w:val="Normal9pt"/>
        <w:numPr>
          <w:ilvl w:val="3"/>
          <w:numId w:val="8"/>
        </w:numPr>
        <w:pBdr>
          <w:left w:val="single" w:sz="4" w:space="4" w:color="auto"/>
        </w:pBdr>
        <w:rPr>
          <w:b/>
          <w:i w:val="0"/>
        </w:rPr>
      </w:pPr>
      <w:r w:rsidRPr="00D70C12">
        <w:rPr>
          <w:b/>
          <w:i w:val="0"/>
        </w:rPr>
        <w:t xml:space="preserve">El </w:t>
      </w:r>
      <w:r w:rsidR="00D70C12" w:rsidRPr="00D70C12">
        <w:rPr>
          <w:b/>
          <w:i w:val="0"/>
        </w:rPr>
        <w:t>15% sobre el valor razonable de</w:t>
      </w:r>
      <w:r w:rsidR="00D70C12" w:rsidRPr="00D70C12">
        <w:rPr>
          <w:b/>
          <w:i w:val="0"/>
          <w:lang w:val="es-CO"/>
        </w:rPr>
        <w:t xml:space="preserve"> los títulos que no aparezcan en dicho informe estadístico y los fondos de inversión colectiva abiertos sin pacto de permanencia que tengan calificación crediticia AA- (o equivalente) o superior</w:t>
      </w:r>
      <w:r w:rsidR="00D70C12">
        <w:rPr>
          <w:b/>
          <w:i w:val="0"/>
          <w:lang w:val="es-CO"/>
        </w:rPr>
        <w:t>.</w:t>
      </w:r>
    </w:p>
    <w:p w:rsidR="00D70C12" w:rsidRDefault="00D70C12" w:rsidP="00D70C12">
      <w:pPr>
        <w:pStyle w:val="Prrafodelista"/>
        <w:rPr>
          <w:b/>
          <w:i w:val="0"/>
        </w:rPr>
      </w:pPr>
    </w:p>
    <w:p w:rsidR="00357D94" w:rsidRPr="00D70C12" w:rsidRDefault="00D70C12" w:rsidP="00C26DEB">
      <w:pPr>
        <w:pStyle w:val="Normal9pt"/>
        <w:numPr>
          <w:ilvl w:val="3"/>
          <w:numId w:val="8"/>
        </w:numPr>
        <w:pBdr>
          <w:left w:val="single" w:sz="4" w:space="4" w:color="auto"/>
        </w:pBdr>
        <w:rPr>
          <w:i w:val="0"/>
        </w:rPr>
      </w:pPr>
      <w:r>
        <w:rPr>
          <w:b/>
          <w:i w:val="0"/>
        </w:rPr>
        <w:t xml:space="preserve">El </w:t>
      </w:r>
      <w:r w:rsidR="005B2A15" w:rsidRPr="000925CD">
        <w:rPr>
          <w:b/>
          <w:i w:val="0"/>
        </w:rPr>
        <w:t>2</w:t>
      </w:r>
      <w:r w:rsidR="001B7CEE" w:rsidRPr="000925CD">
        <w:rPr>
          <w:b/>
          <w:i w:val="0"/>
        </w:rPr>
        <w:t>0%</w:t>
      </w:r>
      <w:r w:rsidR="001B7CEE" w:rsidRPr="000925CD">
        <w:rPr>
          <w:i w:val="0"/>
        </w:rPr>
        <w:t xml:space="preserve"> </w:t>
      </w:r>
      <w:r w:rsidRPr="00D70C12">
        <w:rPr>
          <w:b/>
          <w:i w:val="0"/>
          <w:lang w:val="es-CO"/>
        </w:rPr>
        <w:t>sobre el valor razonable de los títulos que no aparezcan en dicho informe estadístico y los fondos de inversión colectiva abiertos sin pacto de permanencia que tengan calificación crediticia entre A+ y BBB-</w:t>
      </w:r>
      <w:r>
        <w:rPr>
          <w:b/>
          <w:i w:val="0"/>
          <w:lang w:val="es-CO"/>
        </w:rPr>
        <w:t>.</w:t>
      </w:r>
    </w:p>
    <w:p w:rsidR="00D70C12" w:rsidRDefault="00D70C12" w:rsidP="00D70C12">
      <w:pPr>
        <w:pStyle w:val="Prrafodelista"/>
        <w:rPr>
          <w:i w:val="0"/>
        </w:rPr>
      </w:pPr>
    </w:p>
    <w:p w:rsidR="00D70C12" w:rsidRPr="000925CD" w:rsidRDefault="00D70C12" w:rsidP="00833DAC">
      <w:pPr>
        <w:pStyle w:val="Normal9pt"/>
        <w:numPr>
          <w:ilvl w:val="3"/>
          <w:numId w:val="8"/>
        </w:numPr>
        <w:pBdr>
          <w:left w:val="single" w:sz="4" w:space="4" w:color="auto"/>
        </w:pBdr>
        <w:rPr>
          <w:i w:val="0"/>
        </w:rPr>
      </w:pPr>
      <w:r w:rsidRPr="00D70C12">
        <w:rPr>
          <w:b/>
          <w:i w:val="0"/>
        </w:rPr>
        <w:t xml:space="preserve">El 50% </w:t>
      </w:r>
      <w:r w:rsidRPr="00D70C12">
        <w:rPr>
          <w:b/>
          <w:i w:val="0"/>
          <w:lang w:val="es-CO"/>
        </w:rPr>
        <w:t>sobre el valor razonable de los títulos que no aparezcan en dicho informe estadístico y los fondos de inversión colectiva abiertos sin pacto de permanencia que tengan calificación crediticia inferior a las mencionadas anteriormente o que no cuenten con calificación</w:t>
      </w:r>
      <w:r>
        <w:rPr>
          <w:b/>
          <w:i w:val="0"/>
          <w:lang w:val="es-CO"/>
        </w:rPr>
        <w:t>.</w:t>
      </w:r>
    </w:p>
    <w:p w:rsidR="002D2EE4" w:rsidRPr="000925CD" w:rsidRDefault="002D2EE4" w:rsidP="00833DAC">
      <w:pPr>
        <w:pStyle w:val="Prrafodelista"/>
        <w:ind w:left="0"/>
        <w:rPr>
          <w:i w:val="0"/>
          <w:sz w:val="18"/>
        </w:rPr>
      </w:pPr>
    </w:p>
    <w:p w:rsidR="007444F4" w:rsidRDefault="00136E1B" w:rsidP="00833DAC">
      <w:pPr>
        <w:pStyle w:val="Normal9pt"/>
        <w:numPr>
          <w:ilvl w:val="3"/>
          <w:numId w:val="8"/>
        </w:numPr>
        <w:rPr>
          <w:i w:val="0"/>
        </w:rPr>
        <w:sectPr w:rsidR="007444F4" w:rsidSect="00C7715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2" w:h="18722" w:code="14"/>
          <w:pgMar w:top="1701" w:right="1418" w:bottom="1418" w:left="1701" w:header="567" w:footer="1418" w:gutter="0"/>
          <w:paperSrc w:first="2" w:other="2"/>
          <w:pgNumType w:start="1"/>
          <w:cols w:space="720"/>
          <w:docGrid w:linePitch="381"/>
        </w:sectPr>
      </w:pPr>
      <w:r w:rsidRPr="00833DAC">
        <w:rPr>
          <w:i w:val="0"/>
        </w:rPr>
        <w:t>El 15</w:t>
      </w:r>
      <w:r w:rsidR="002D2EE4" w:rsidRPr="00833DAC">
        <w:rPr>
          <w:i w:val="0"/>
        </w:rPr>
        <w:t xml:space="preserve">% para las acciones </w:t>
      </w:r>
      <w:r w:rsidR="0070328D" w:rsidRPr="00833DAC">
        <w:rPr>
          <w:i w:val="0"/>
        </w:rPr>
        <w:t xml:space="preserve">inscritas en una bolsa de valores en Colombia y </w:t>
      </w:r>
      <w:r w:rsidR="00E85B53" w:rsidRPr="00833DAC">
        <w:rPr>
          <w:i w:val="0"/>
        </w:rPr>
        <w:t xml:space="preserve">que sean </w:t>
      </w:r>
      <w:r w:rsidR="006038C3" w:rsidRPr="00833DAC">
        <w:rPr>
          <w:i w:val="0"/>
        </w:rPr>
        <w:t>elegibles para ser objeto de operaciones reporto o repo y al mismo tiempo admisibles como garantía de variación</w:t>
      </w:r>
      <w:r w:rsidR="0070328D" w:rsidRPr="00833DAC">
        <w:rPr>
          <w:i w:val="0"/>
        </w:rPr>
        <w:t xml:space="preserve"> </w:t>
      </w:r>
      <w:r w:rsidR="00226CB5" w:rsidRPr="00833DAC">
        <w:rPr>
          <w:i w:val="0"/>
        </w:rPr>
        <w:t xml:space="preserve">en dichas </w:t>
      </w:r>
    </w:p>
    <w:p w:rsidR="002D2EE4" w:rsidRPr="00833DAC" w:rsidRDefault="00226CB5" w:rsidP="007444F4">
      <w:pPr>
        <w:pStyle w:val="Normal9pt"/>
        <w:numPr>
          <w:ilvl w:val="0"/>
          <w:numId w:val="0"/>
        </w:numPr>
        <w:ind w:left="720"/>
        <w:rPr>
          <w:i w:val="0"/>
        </w:rPr>
      </w:pPr>
      <w:proofErr w:type="gramStart"/>
      <w:r w:rsidRPr="00833DAC">
        <w:rPr>
          <w:i w:val="0"/>
        </w:rPr>
        <w:lastRenderedPageBreak/>
        <w:t>operaciones</w:t>
      </w:r>
      <w:proofErr w:type="gramEnd"/>
      <w:r w:rsidRPr="00833DAC">
        <w:rPr>
          <w:i w:val="0"/>
        </w:rPr>
        <w:t xml:space="preserve"> </w:t>
      </w:r>
      <w:r w:rsidR="0070328D" w:rsidRPr="00833DAC">
        <w:rPr>
          <w:i w:val="0"/>
        </w:rPr>
        <w:t>por la respectiva bolsa</w:t>
      </w:r>
      <w:r w:rsidR="00136E1B" w:rsidRPr="00833DAC">
        <w:rPr>
          <w:i w:val="0"/>
        </w:rPr>
        <w:t>. El 20</w:t>
      </w:r>
      <w:r w:rsidR="00E85B53" w:rsidRPr="00833DAC">
        <w:rPr>
          <w:i w:val="0"/>
        </w:rPr>
        <w:t xml:space="preserve">% </w:t>
      </w:r>
      <w:r w:rsidR="006038C3" w:rsidRPr="00833DAC">
        <w:rPr>
          <w:i w:val="0"/>
        </w:rPr>
        <w:t xml:space="preserve">para las </w:t>
      </w:r>
      <w:r w:rsidR="00E54559" w:rsidRPr="00833DAC">
        <w:rPr>
          <w:i w:val="0"/>
        </w:rPr>
        <w:t>acciones inscritas en</w:t>
      </w:r>
      <w:r w:rsidR="00E54559">
        <w:rPr>
          <w:b/>
          <w:i w:val="0"/>
        </w:rPr>
        <w:t xml:space="preserve"> </w:t>
      </w:r>
      <w:r w:rsidR="00E54559" w:rsidRPr="00833DAC">
        <w:rPr>
          <w:i w:val="0"/>
        </w:rPr>
        <w:t>una bolsa de valores en Colombia</w:t>
      </w:r>
      <w:r w:rsidR="004B0E11" w:rsidRPr="00833DAC">
        <w:rPr>
          <w:i w:val="0"/>
        </w:rPr>
        <w:t xml:space="preserve"> que sean elegibles para ser objeto de operaciones reporto o repo y no admisibles como garantía</w:t>
      </w:r>
      <w:r w:rsidR="002D2EE4" w:rsidRPr="00833DAC">
        <w:rPr>
          <w:i w:val="0"/>
        </w:rPr>
        <w:t>.</w:t>
      </w:r>
    </w:p>
    <w:p w:rsidR="00357D94" w:rsidRPr="00833DAC" w:rsidRDefault="00357D94" w:rsidP="00833DAC">
      <w:pPr>
        <w:rPr>
          <w:i w:val="0"/>
          <w:sz w:val="18"/>
        </w:rPr>
      </w:pPr>
    </w:p>
    <w:p w:rsidR="00141653" w:rsidRPr="00833DAC" w:rsidRDefault="001B7CEE" w:rsidP="00833DAC">
      <w:pPr>
        <w:pStyle w:val="Normal9pt"/>
        <w:numPr>
          <w:ilvl w:val="3"/>
          <w:numId w:val="8"/>
        </w:numPr>
        <w:rPr>
          <w:i w:val="0"/>
        </w:rPr>
      </w:pPr>
      <w:r w:rsidRPr="00833DAC">
        <w:rPr>
          <w:i w:val="0"/>
        </w:rPr>
        <w:t xml:space="preserve">El </w:t>
      </w:r>
      <w:r w:rsidR="00136E1B" w:rsidRPr="00833DAC">
        <w:rPr>
          <w:i w:val="0"/>
        </w:rPr>
        <w:t>5.5</w:t>
      </w:r>
      <w:r w:rsidR="004E37A4" w:rsidRPr="00833DAC">
        <w:rPr>
          <w:i w:val="0"/>
        </w:rPr>
        <w:t xml:space="preserve">% </w:t>
      </w:r>
      <w:r w:rsidR="005B2A15" w:rsidRPr="00833DAC">
        <w:rPr>
          <w:i w:val="0"/>
        </w:rPr>
        <w:t xml:space="preserve">adicional </w:t>
      </w:r>
      <w:r w:rsidRPr="00833DAC">
        <w:rPr>
          <w:i w:val="0"/>
        </w:rPr>
        <w:t>sobre el precio justo de intercambio</w:t>
      </w:r>
      <w:r w:rsidR="00141653" w:rsidRPr="00833DAC">
        <w:rPr>
          <w:i w:val="0"/>
        </w:rPr>
        <w:t xml:space="preserve"> para </w:t>
      </w:r>
      <w:r w:rsidR="00F42753" w:rsidRPr="00833DAC">
        <w:rPr>
          <w:i w:val="0"/>
        </w:rPr>
        <w:t xml:space="preserve">todos </w:t>
      </w:r>
      <w:r w:rsidRPr="00833DAC">
        <w:rPr>
          <w:i w:val="0"/>
        </w:rPr>
        <w:t>los valores</w:t>
      </w:r>
      <w:r w:rsidR="000925CD" w:rsidRPr="00833DAC">
        <w:rPr>
          <w:i w:val="0"/>
        </w:rPr>
        <w:t xml:space="preserve"> denominados en moneda extranjera</w:t>
      </w:r>
      <w:r w:rsidR="00141653" w:rsidRPr="00833DAC">
        <w:rPr>
          <w:i w:val="0"/>
        </w:rPr>
        <w:t xml:space="preserve"> </w:t>
      </w:r>
      <w:r w:rsidR="0042694D" w:rsidRPr="00833DAC">
        <w:rPr>
          <w:i w:val="0"/>
        </w:rPr>
        <w:t xml:space="preserve">que no aparezcan en el informe del Banco de la Republica </w:t>
      </w:r>
      <w:r w:rsidR="005B2A15" w:rsidRPr="00833DAC">
        <w:rPr>
          <w:i w:val="0"/>
        </w:rPr>
        <w:t xml:space="preserve">y </w:t>
      </w:r>
      <w:r w:rsidR="000925CD" w:rsidRPr="00833DAC">
        <w:rPr>
          <w:i w:val="0"/>
        </w:rPr>
        <w:t xml:space="preserve">sobre </w:t>
      </w:r>
      <w:r w:rsidR="005B2A15" w:rsidRPr="00833DAC">
        <w:rPr>
          <w:i w:val="0"/>
        </w:rPr>
        <w:t>el disponible</w:t>
      </w:r>
      <w:r w:rsidR="000925CD" w:rsidRPr="00833DAC">
        <w:rPr>
          <w:i w:val="0"/>
        </w:rPr>
        <w:t xml:space="preserve"> denominado en moneda extranjera</w:t>
      </w:r>
      <w:r w:rsidR="000853FD" w:rsidRPr="00833DAC">
        <w:rPr>
          <w:i w:val="0"/>
        </w:rPr>
        <w:t>.</w:t>
      </w:r>
    </w:p>
    <w:p w:rsidR="00D93B0F" w:rsidRPr="00833DAC" w:rsidRDefault="00D93B0F" w:rsidP="00833DAC">
      <w:pPr>
        <w:pStyle w:val="Normal9pt"/>
        <w:numPr>
          <w:ilvl w:val="0"/>
          <w:numId w:val="0"/>
        </w:numPr>
        <w:rPr>
          <w:i w:val="0"/>
        </w:rPr>
      </w:pPr>
    </w:p>
    <w:p w:rsidR="007444F4" w:rsidRDefault="00D95B12" w:rsidP="00833DAC">
      <w:pPr>
        <w:pStyle w:val="Normal9pt"/>
        <w:numPr>
          <w:ilvl w:val="2"/>
          <w:numId w:val="8"/>
        </w:numPr>
        <w:autoSpaceDE w:val="0"/>
        <w:autoSpaceDN w:val="0"/>
        <w:adjustRightInd w:val="0"/>
        <w:rPr>
          <w:i w:val="0"/>
        </w:rPr>
      </w:pPr>
      <w:r w:rsidRPr="00833DAC">
        <w:rPr>
          <w:i w:val="0"/>
        </w:rPr>
        <w:t>Activos Líquidos de Alta Calidad</w:t>
      </w:r>
      <w:r w:rsidR="00B06B18" w:rsidRPr="00833DAC">
        <w:rPr>
          <w:i w:val="0"/>
        </w:rPr>
        <w:t xml:space="preserve"> (ALAC)</w:t>
      </w:r>
      <w:r w:rsidRPr="00833DAC">
        <w:rPr>
          <w:i w:val="0"/>
        </w:rPr>
        <w:t>:</w:t>
      </w:r>
      <w:r w:rsidR="00C77157" w:rsidRPr="00833DAC">
        <w:rPr>
          <w:i w:val="0"/>
        </w:rPr>
        <w:t xml:space="preserve"> </w:t>
      </w:r>
      <w:r w:rsidR="00D94701" w:rsidRPr="00833DAC">
        <w:rPr>
          <w:i w:val="0"/>
        </w:rPr>
        <w:t xml:space="preserve">Se consideran activos líquidos de alta calidad </w:t>
      </w:r>
      <w:r w:rsidR="00895CD9" w:rsidRPr="00833DAC">
        <w:rPr>
          <w:i w:val="0"/>
        </w:rPr>
        <w:t>el</w:t>
      </w:r>
      <w:r w:rsidR="00D94701" w:rsidRPr="00833DAC">
        <w:rPr>
          <w:i w:val="0"/>
        </w:rPr>
        <w:t xml:space="preserve"> disponible </w:t>
      </w:r>
      <w:r w:rsidR="00A917CF" w:rsidRPr="00833DAC">
        <w:rPr>
          <w:i w:val="0"/>
        </w:rPr>
        <w:t xml:space="preserve">y las acciones que sean elegibles para ser objeto de operaciones reporto o repo, </w:t>
      </w:r>
      <w:r w:rsidR="00D94701" w:rsidRPr="00833DAC">
        <w:rPr>
          <w:i w:val="0"/>
        </w:rPr>
        <w:t xml:space="preserve"> </w:t>
      </w:r>
    </w:p>
    <w:p w:rsidR="009457B5" w:rsidRPr="00E96C5B" w:rsidRDefault="009457B5" w:rsidP="007444F4">
      <w:pPr>
        <w:pStyle w:val="Normal9pt"/>
        <w:numPr>
          <w:ilvl w:val="0"/>
          <w:numId w:val="0"/>
        </w:numPr>
        <w:autoSpaceDE w:val="0"/>
        <w:autoSpaceDN w:val="0"/>
        <w:adjustRightInd w:val="0"/>
        <w:rPr>
          <w:i w:val="0"/>
        </w:rPr>
      </w:pPr>
    </w:p>
    <w:sectPr w:rsidR="009457B5" w:rsidRPr="00E96C5B" w:rsidSect="00C77157">
      <w:headerReference w:type="default" r:id="rId15"/>
      <w:pgSz w:w="12242" w:h="18722" w:code="14"/>
      <w:pgMar w:top="1701" w:right="1418" w:bottom="1418" w:left="1701" w:header="567" w:footer="1418" w:gutter="0"/>
      <w:paperSrc w:first="2" w:other="2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247" w:rsidRDefault="00F96247">
      <w:r>
        <w:separator/>
      </w:r>
    </w:p>
  </w:endnote>
  <w:endnote w:type="continuationSeparator" w:id="0">
    <w:p w:rsidR="00F96247" w:rsidRDefault="00F9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243" w:rsidRDefault="00C0224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808" w:rsidRDefault="001B5808">
    <w:pPr>
      <w:pStyle w:val="Piedepgina"/>
      <w:tabs>
        <w:tab w:val="clear" w:pos="8504"/>
        <w:tab w:val="right" w:pos="9300"/>
      </w:tabs>
      <w:rPr>
        <w:rStyle w:val="Nmerodepgina"/>
        <w:rFonts w:cs="Arial"/>
        <w:b/>
        <w:bCs/>
        <w:sz w:val="20"/>
        <w:szCs w:val="20"/>
        <w:lang w:val="pt-BR"/>
      </w:rPr>
    </w:pPr>
  </w:p>
  <w:p w:rsidR="001B5808" w:rsidRDefault="001B5808" w:rsidP="00CD01DC">
    <w:pPr>
      <w:jc w:val="both"/>
      <w:outlineLvl w:val="0"/>
      <w:rPr>
        <w:rStyle w:val="Nmerodepgina"/>
        <w:rFonts w:cs="Arial"/>
        <w:b/>
        <w:bCs/>
        <w:sz w:val="20"/>
        <w:szCs w:val="20"/>
        <w:lang w:val="pt-BR"/>
      </w:rPr>
    </w:pPr>
  </w:p>
  <w:p w:rsidR="001B5808" w:rsidRDefault="001B5808" w:rsidP="00CD01DC">
    <w:pPr>
      <w:jc w:val="both"/>
      <w:outlineLvl w:val="0"/>
      <w:rPr>
        <w:rStyle w:val="Nmerodepgina"/>
        <w:rFonts w:cs="Arial"/>
        <w:b/>
        <w:bCs/>
        <w:sz w:val="20"/>
        <w:szCs w:val="20"/>
        <w:lang w:val="pt-BR"/>
      </w:rPr>
    </w:pPr>
  </w:p>
  <w:p w:rsidR="001B5808" w:rsidRPr="00FF1274" w:rsidRDefault="001B5808" w:rsidP="00066EE5">
    <w:pPr>
      <w:jc w:val="both"/>
      <w:outlineLvl w:val="0"/>
      <w:rPr>
        <w:b/>
        <w:bCs/>
        <w:i w:val="0"/>
        <w:sz w:val="18"/>
      </w:rPr>
    </w:pPr>
    <w:r w:rsidRPr="00FF1274">
      <w:rPr>
        <w:rStyle w:val="Nmerodepgina"/>
        <w:rFonts w:cs="Arial"/>
        <w:b/>
        <w:bCs/>
        <w:i w:val="0"/>
        <w:sz w:val="18"/>
      </w:rPr>
      <w:t xml:space="preserve">Anexo 2 - </w:t>
    </w:r>
    <w:r w:rsidRPr="00FF1274">
      <w:rPr>
        <w:b/>
        <w:bCs/>
        <w:i w:val="0"/>
        <w:sz w:val="18"/>
      </w:rPr>
      <w:t>Metodología para la medición y reporte estándar del riesgo de liquidez de las sociedades comisionistas de bolsa de valores</w:t>
    </w:r>
  </w:p>
  <w:p w:rsidR="001B5808" w:rsidRPr="00FF1274" w:rsidRDefault="001B5808" w:rsidP="00CD01DC">
    <w:pPr>
      <w:pStyle w:val="Piedepgina"/>
      <w:rPr>
        <w:rStyle w:val="Nmerodepgina"/>
        <w:rFonts w:cs="Arial"/>
        <w:b/>
        <w:bCs/>
        <w:i w:val="0"/>
        <w:sz w:val="18"/>
      </w:rPr>
    </w:pPr>
  </w:p>
  <w:p w:rsidR="001B5808" w:rsidRPr="00FF1274" w:rsidRDefault="001B5808" w:rsidP="00C02243">
    <w:pPr>
      <w:pStyle w:val="Piedepgina"/>
      <w:tabs>
        <w:tab w:val="clear" w:pos="8504"/>
        <w:tab w:val="right" w:pos="9300"/>
      </w:tabs>
      <w:rPr>
        <w:rStyle w:val="Nmerodepgina"/>
        <w:rFonts w:cs="Arial"/>
        <w:b/>
        <w:bCs/>
        <w:i w:val="0"/>
        <w:sz w:val="18"/>
        <w:lang w:val="pt-BR"/>
      </w:rPr>
    </w:pPr>
    <w:bookmarkStart w:id="0" w:name="_GoBack"/>
    <w:bookmarkEnd w:id="0"/>
    <w:r w:rsidRPr="00FF1274">
      <w:rPr>
        <w:rStyle w:val="Nmerodepgina"/>
        <w:rFonts w:cs="Arial"/>
        <w:b/>
        <w:bCs/>
        <w:i w:val="0"/>
        <w:sz w:val="18"/>
        <w:lang w:val="pt-BR"/>
      </w:rPr>
      <w:t xml:space="preserve">Circular Externa  </w:t>
    </w:r>
    <w:r w:rsidR="00833DAC">
      <w:rPr>
        <w:rStyle w:val="Nmerodepgina"/>
        <w:rFonts w:cs="Arial"/>
        <w:b/>
        <w:bCs/>
        <w:i w:val="0"/>
        <w:sz w:val="18"/>
        <w:lang w:val="pt-BR"/>
      </w:rPr>
      <w:t xml:space="preserve">   </w:t>
    </w:r>
    <w:r w:rsidRPr="00FF1274">
      <w:rPr>
        <w:rStyle w:val="Nmerodepgina"/>
        <w:rFonts w:cs="Arial"/>
        <w:b/>
        <w:bCs/>
        <w:i w:val="0"/>
        <w:sz w:val="18"/>
        <w:lang w:val="pt-BR"/>
      </w:rPr>
      <w:t xml:space="preserve"> </w:t>
    </w:r>
    <w:r w:rsidR="007444F4">
      <w:rPr>
        <w:rStyle w:val="Nmerodepgina"/>
        <w:rFonts w:cs="Arial"/>
        <w:b/>
        <w:bCs/>
        <w:i w:val="0"/>
        <w:sz w:val="18"/>
        <w:lang w:val="pt-BR"/>
      </w:rPr>
      <w:t xml:space="preserve">  </w:t>
    </w:r>
    <w:r w:rsidRPr="00FF1274">
      <w:rPr>
        <w:rStyle w:val="Nmerodepgina"/>
        <w:rFonts w:cs="Arial"/>
        <w:b/>
        <w:bCs/>
        <w:i w:val="0"/>
        <w:sz w:val="18"/>
        <w:lang w:val="pt-BR"/>
      </w:rPr>
      <w:t>de 201</w:t>
    </w:r>
    <w:r w:rsidR="00833DAC">
      <w:rPr>
        <w:rStyle w:val="Nmerodepgina"/>
        <w:rFonts w:cs="Arial"/>
        <w:b/>
        <w:bCs/>
        <w:i w:val="0"/>
        <w:sz w:val="18"/>
        <w:lang w:val="pt-BR"/>
      </w:rPr>
      <w:t>7</w:t>
    </w:r>
    <w:r w:rsidRPr="00FF1274">
      <w:rPr>
        <w:rStyle w:val="Nmerodepgina"/>
        <w:rFonts w:cs="Arial"/>
        <w:b/>
        <w:bCs/>
        <w:i w:val="0"/>
        <w:sz w:val="18"/>
        <w:lang w:val="pt-BR"/>
      </w:rPr>
      <w:t xml:space="preserve">       </w:t>
    </w:r>
    <w:r w:rsidR="00F90C8D">
      <w:rPr>
        <w:rStyle w:val="Nmerodepgina"/>
        <w:rFonts w:cs="Arial"/>
        <w:b/>
        <w:bCs/>
        <w:i w:val="0"/>
        <w:sz w:val="18"/>
        <w:lang w:val="pt-BR"/>
      </w:rPr>
      <w:t xml:space="preserve"> </w:t>
    </w:r>
    <w:r w:rsidRPr="00FF1274">
      <w:rPr>
        <w:rStyle w:val="Nmerodepgina"/>
        <w:rFonts w:cs="Arial"/>
        <w:b/>
        <w:bCs/>
        <w:i w:val="0"/>
        <w:sz w:val="18"/>
        <w:lang w:val="pt-BR"/>
      </w:rPr>
      <w:t xml:space="preserve"> </w:t>
    </w:r>
    <w:r w:rsidR="00A917CF" w:rsidRPr="00FF1274">
      <w:rPr>
        <w:rStyle w:val="Nmerodepgina"/>
        <w:rFonts w:cs="Arial"/>
        <w:b/>
        <w:bCs/>
        <w:i w:val="0"/>
        <w:sz w:val="18"/>
        <w:lang w:val="pt-BR"/>
      </w:rPr>
      <w:t xml:space="preserve">         </w:t>
    </w:r>
    <w:r w:rsidRPr="00FF1274">
      <w:rPr>
        <w:rStyle w:val="Nmerodepgina"/>
        <w:rFonts w:cs="Arial"/>
        <w:b/>
        <w:bCs/>
        <w:i w:val="0"/>
        <w:sz w:val="18"/>
        <w:lang w:val="pt-BR"/>
      </w:rPr>
      <w:t xml:space="preserve">                                                                            </w:t>
    </w:r>
    <w:r w:rsidR="006A52D8">
      <w:rPr>
        <w:rStyle w:val="Nmerodepgina"/>
        <w:rFonts w:cs="Arial"/>
        <w:b/>
        <w:bCs/>
        <w:i w:val="0"/>
        <w:sz w:val="18"/>
        <w:lang w:val="pt-BR"/>
      </w:rPr>
      <w:t xml:space="preserve">  </w:t>
    </w:r>
    <w:proofErr w:type="spellStart"/>
    <w:r w:rsidR="00946A40">
      <w:rPr>
        <w:rStyle w:val="Nmerodepgina"/>
        <w:rFonts w:cs="Arial"/>
        <w:b/>
        <w:bCs/>
        <w:i w:val="0"/>
        <w:sz w:val="18"/>
        <w:lang w:val="pt-BR"/>
      </w:rPr>
      <w:t>Diciembre</w:t>
    </w:r>
    <w:proofErr w:type="spellEnd"/>
    <w:r w:rsidR="009B5414" w:rsidRPr="00FF1274">
      <w:rPr>
        <w:rStyle w:val="Nmerodepgina"/>
        <w:rFonts w:cs="Arial"/>
        <w:b/>
        <w:bCs/>
        <w:i w:val="0"/>
        <w:sz w:val="18"/>
        <w:lang w:val="pt-BR"/>
      </w:rPr>
      <w:t xml:space="preserve"> </w:t>
    </w:r>
    <w:r w:rsidRPr="00FF1274">
      <w:rPr>
        <w:rStyle w:val="Nmerodepgina"/>
        <w:rFonts w:cs="Arial"/>
        <w:b/>
        <w:bCs/>
        <w:i w:val="0"/>
        <w:sz w:val="18"/>
        <w:lang w:val="pt-BR"/>
      </w:rPr>
      <w:t>de 201</w:t>
    </w:r>
    <w:r w:rsidR="00833DAC">
      <w:rPr>
        <w:rStyle w:val="Nmerodepgina"/>
        <w:rFonts w:cs="Arial"/>
        <w:b/>
        <w:bCs/>
        <w:i w:val="0"/>
        <w:sz w:val="18"/>
        <w:lang w:val="pt-BR"/>
      </w:rPr>
      <w:t>7</w:t>
    </w:r>
  </w:p>
  <w:p w:rsidR="001B5808" w:rsidRPr="00FF1274" w:rsidRDefault="001B5808">
    <w:pPr>
      <w:pStyle w:val="Piedepgina"/>
      <w:tabs>
        <w:tab w:val="clear" w:pos="8504"/>
        <w:tab w:val="right" w:pos="9300"/>
      </w:tabs>
      <w:rPr>
        <w:rStyle w:val="Nmerodepgina"/>
        <w:rFonts w:cs="Arial"/>
        <w:b/>
        <w:bCs/>
        <w:i w:val="0"/>
        <w:sz w:val="18"/>
        <w:lang w:val="pt-BR"/>
      </w:rPr>
    </w:pPr>
  </w:p>
  <w:p w:rsidR="001B5808" w:rsidRDefault="001B5808">
    <w:pPr>
      <w:pStyle w:val="Piedepgina"/>
      <w:tabs>
        <w:tab w:val="clear" w:pos="8504"/>
        <w:tab w:val="right" w:pos="9300"/>
      </w:tabs>
      <w:rPr>
        <w:b/>
        <w:bCs/>
        <w:sz w:val="20"/>
        <w:szCs w:val="20"/>
        <w:lang w:val="pt-BR"/>
      </w:rPr>
    </w:pPr>
    <w:r>
      <w:rPr>
        <w:rStyle w:val="Nmerodepgina"/>
        <w:rFonts w:cs="Arial"/>
        <w:b/>
        <w:bCs/>
        <w:sz w:val="20"/>
        <w:szCs w:val="20"/>
        <w:lang w:val="pt-BR"/>
      </w:rPr>
      <w:tab/>
    </w:r>
    <w:r>
      <w:rPr>
        <w:rStyle w:val="Nmerodepgina"/>
        <w:rFonts w:cs="Arial"/>
        <w:b/>
        <w:bCs/>
        <w:sz w:val="20"/>
        <w:szCs w:val="20"/>
        <w:lang w:val="pt-BR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808" w:rsidRDefault="001B5808">
    <w:pPr>
      <w:pStyle w:val="Piedepgina"/>
      <w:rPr>
        <w:rStyle w:val="Nmerodepgina"/>
        <w:rFonts w:cs="Arial"/>
        <w:b/>
        <w:bCs/>
        <w:sz w:val="20"/>
        <w:szCs w:val="20"/>
        <w:lang w:val="pt-BR"/>
      </w:rPr>
    </w:pPr>
  </w:p>
  <w:p w:rsidR="001B5808" w:rsidRDefault="001B5808">
    <w:pPr>
      <w:pStyle w:val="Piedepgina"/>
      <w:rPr>
        <w:rStyle w:val="Nmerodepgina"/>
        <w:rFonts w:cs="Arial"/>
        <w:b/>
        <w:bCs/>
        <w:sz w:val="20"/>
        <w:szCs w:val="20"/>
        <w:lang w:val="pt-BR"/>
      </w:rPr>
    </w:pPr>
  </w:p>
  <w:p w:rsidR="001B5808" w:rsidRPr="00044A2F" w:rsidRDefault="001B5808" w:rsidP="00CD01DC">
    <w:pPr>
      <w:jc w:val="both"/>
      <w:outlineLvl w:val="0"/>
      <w:rPr>
        <w:b/>
        <w:bCs/>
        <w:sz w:val="18"/>
      </w:rPr>
    </w:pPr>
    <w:r w:rsidRPr="00E35541">
      <w:rPr>
        <w:rStyle w:val="Nmerodepgina"/>
        <w:rFonts w:cs="Arial"/>
        <w:b/>
        <w:bCs/>
        <w:sz w:val="18"/>
      </w:rPr>
      <w:t xml:space="preserve">Anexo 2 </w:t>
    </w:r>
    <w:r w:rsidRPr="00E35541">
      <w:rPr>
        <w:rStyle w:val="Nmerodepgina"/>
        <w:rFonts w:cs="Arial"/>
        <w:b/>
        <w:bCs/>
        <w:sz w:val="20"/>
        <w:szCs w:val="20"/>
      </w:rPr>
      <w:t>- M</w:t>
    </w:r>
    <w:r w:rsidRPr="00044A2F">
      <w:rPr>
        <w:b/>
        <w:bCs/>
        <w:sz w:val="18"/>
      </w:rPr>
      <w:t xml:space="preserve">etodología para la </w:t>
    </w:r>
    <w:r>
      <w:rPr>
        <w:b/>
        <w:bCs/>
        <w:sz w:val="18"/>
      </w:rPr>
      <w:t>medición y reporte estándar</w:t>
    </w:r>
    <w:r w:rsidRPr="00044A2F">
      <w:rPr>
        <w:b/>
        <w:bCs/>
        <w:sz w:val="18"/>
      </w:rPr>
      <w:t xml:space="preserve"> del riesgo de liquidez</w:t>
    </w:r>
    <w:r>
      <w:rPr>
        <w:b/>
        <w:bCs/>
        <w:sz w:val="18"/>
      </w:rPr>
      <w:t xml:space="preserve"> en cuenta propia</w:t>
    </w:r>
    <w:r w:rsidRPr="00044A2F">
      <w:rPr>
        <w:b/>
        <w:bCs/>
        <w:sz w:val="18"/>
      </w:rPr>
      <w:t xml:space="preserve"> de </w:t>
    </w:r>
    <w:r>
      <w:rPr>
        <w:b/>
        <w:bCs/>
        <w:sz w:val="18"/>
      </w:rPr>
      <w:t>las sociedades comisionistas de bolsa de valores</w:t>
    </w:r>
  </w:p>
  <w:p w:rsidR="001B5808" w:rsidRPr="00CD01DC" w:rsidRDefault="001B5808">
    <w:pPr>
      <w:pStyle w:val="Piedepgina"/>
      <w:rPr>
        <w:rStyle w:val="Nmerodepgina"/>
        <w:rFonts w:cs="Arial"/>
        <w:b/>
        <w:bCs/>
        <w:sz w:val="20"/>
        <w:szCs w:val="20"/>
      </w:rPr>
    </w:pPr>
  </w:p>
  <w:p w:rsidR="001B5808" w:rsidRPr="00953A58" w:rsidRDefault="001B5808" w:rsidP="00CD01DC">
    <w:pPr>
      <w:pStyle w:val="Piedepgina"/>
      <w:rPr>
        <w:sz w:val="18"/>
      </w:rPr>
    </w:pPr>
    <w:r w:rsidRPr="00953A58">
      <w:rPr>
        <w:rStyle w:val="Nmerodepgina"/>
        <w:rFonts w:cs="Arial"/>
        <w:b/>
        <w:bCs/>
        <w:sz w:val="18"/>
        <w:lang w:val="pt-BR"/>
      </w:rPr>
      <w:t>Circular Externa</w:t>
    </w:r>
    <w:proofErr w:type="gramStart"/>
    <w:r>
      <w:rPr>
        <w:rStyle w:val="Nmerodepgina"/>
        <w:rFonts w:cs="Arial"/>
        <w:b/>
        <w:bCs/>
        <w:sz w:val="18"/>
        <w:lang w:val="pt-BR"/>
      </w:rPr>
      <w:t xml:space="preserve">  </w:t>
    </w:r>
    <w:proofErr w:type="gramEnd"/>
    <w:r>
      <w:rPr>
        <w:rStyle w:val="Nmerodepgina"/>
        <w:rFonts w:cs="Arial"/>
        <w:b/>
        <w:bCs/>
        <w:sz w:val="18"/>
        <w:lang w:val="pt-BR"/>
      </w:rPr>
      <w:t>007  de 2010</w:t>
    </w:r>
    <w:r w:rsidRPr="00953A58">
      <w:rPr>
        <w:rStyle w:val="Nmerodepgina"/>
        <w:rFonts w:cs="Arial"/>
        <w:b/>
        <w:bCs/>
        <w:sz w:val="18"/>
        <w:lang w:val="pt-BR"/>
      </w:rPr>
      <w:t xml:space="preserve">          </w:t>
    </w:r>
    <w:r>
      <w:rPr>
        <w:rStyle w:val="Nmerodepgina"/>
        <w:rFonts w:cs="Arial"/>
        <w:b/>
        <w:bCs/>
        <w:sz w:val="18"/>
        <w:lang w:val="pt-BR"/>
      </w:rPr>
      <w:t xml:space="preserve">                   </w:t>
    </w:r>
    <w:r w:rsidRPr="00953A58">
      <w:rPr>
        <w:rStyle w:val="Nmerodepgina"/>
        <w:rFonts w:cs="Arial"/>
        <w:b/>
        <w:bCs/>
        <w:sz w:val="18"/>
        <w:lang w:val="pt-BR"/>
      </w:rPr>
      <w:t xml:space="preserve">                                                              </w:t>
    </w:r>
    <w:r>
      <w:rPr>
        <w:rStyle w:val="Nmerodepgina"/>
        <w:rFonts w:cs="Arial"/>
        <w:b/>
        <w:bCs/>
        <w:sz w:val="18"/>
        <w:lang w:val="pt-BR"/>
      </w:rPr>
      <w:t xml:space="preserve">        MARZO 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247" w:rsidRDefault="00F96247">
      <w:r>
        <w:separator/>
      </w:r>
    </w:p>
  </w:footnote>
  <w:footnote w:type="continuationSeparator" w:id="0">
    <w:p w:rsidR="00F96247" w:rsidRDefault="00F962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243" w:rsidRDefault="00C0224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808" w:rsidRDefault="001B5808" w:rsidP="005E2936">
    <w:pPr>
      <w:pStyle w:val="Encabezado"/>
      <w:jc w:val="center"/>
      <w:rPr>
        <w:rFonts w:ascii="Arial (W1)" w:hAnsi="Arial (W1)"/>
        <w:b/>
        <w:sz w:val="24"/>
        <w:szCs w:val="24"/>
      </w:rPr>
    </w:pPr>
  </w:p>
  <w:p w:rsidR="001B5808" w:rsidRPr="0035630F" w:rsidRDefault="001B5808" w:rsidP="0035630F">
    <w:pPr>
      <w:pStyle w:val="Encabezado"/>
      <w:jc w:val="center"/>
      <w:rPr>
        <w:i w:val="0"/>
        <w:sz w:val="24"/>
        <w:szCs w:val="24"/>
      </w:rPr>
    </w:pPr>
    <w:r w:rsidRPr="0035630F">
      <w:rPr>
        <w:i w:val="0"/>
        <w:sz w:val="24"/>
        <w:szCs w:val="24"/>
      </w:rPr>
      <w:t>SUPERINTENDENCIA FINANCIERA DE COLOMBIA</w:t>
    </w:r>
  </w:p>
  <w:p w:rsidR="001B5808" w:rsidRPr="0035630F" w:rsidRDefault="001B5808" w:rsidP="0035630F">
    <w:pPr>
      <w:pStyle w:val="Encabezado"/>
      <w:jc w:val="center"/>
      <w:rPr>
        <w:rFonts w:ascii="Arial (W1)" w:hAnsi="Arial (W1)"/>
        <w:b/>
        <w:i w:val="0"/>
        <w:sz w:val="24"/>
        <w:szCs w:val="24"/>
      </w:rPr>
    </w:pPr>
  </w:p>
  <w:p w:rsidR="001B5808" w:rsidRPr="0035630F" w:rsidRDefault="001B5808" w:rsidP="0035630F">
    <w:pPr>
      <w:pStyle w:val="Encabezado"/>
      <w:jc w:val="center"/>
      <w:rPr>
        <w:rFonts w:ascii="Arial (W1)" w:hAnsi="Arial (W1)"/>
        <w:b/>
        <w:i w:val="0"/>
        <w:sz w:val="24"/>
        <w:szCs w:val="24"/>
      </w:rPr>
    </w:pPr>
  </w:p>
  <w:p w:rsidR="001B5808" w:rsidRPr="0035630F" w:rsidRDefault="001B5808" w:rsidP="0035630F">
    <w:pPr>
      <w:pStyle w:val="Encabezado"/>
      <w:jc w:val="center"/>
      <w:rPr>
        <w:rFonts w:ascii="Arial (W1)" w:hAnsi="Arial (W1)"/>
        <w:b/>
        <w:i w:val="0"/>
        <w:sz w:val="24"/>
        <w:szCs w:val="24"/>
      </w:rPr>
    </w:pPr>
  </w:p>
  <w:p w:rsidR="001B5808" w:rsidRPr="0035630F" w:rsidRDefault="001B5808" w:rsidP="0035630F">
    <w:pPr>
      <w:pStyle w:val="Encabezado"/>
      <w:ind w:right="-21"/>
      <w:rPr>
        <w:rFonts w:ascii="Arial (W1)" w:hAnsi="Arial (W1)"/>
        <w:b/>
        <w:i w:val="0"/>
      </w:rPr>
    </w:pPr>
    <w:r w:rsidRPr="0035630F">
      <w:rPr>
        <w:rFonts w:ascii="Arial (W1)" w:hAnsi="Arial (W1)"/>
        <w:b/>
        <w:i w:val="0"/>
        <w:sz w:val="18"/>
      </w:rPr>
      <w:t>CAPITULO  VI REGLAS  RELATIVAS AL SISTEMA DE ADMINISTRACIÓN DEL RIESGO DE LIQUIDEZ</w:t>
    </w:r>
  </w:p>
  <w:p w:rsidR="001B5808" w:rsidRPr="0035630F" w:rsidRDefault="001B5808" w:rsidP="0035630F">
    <w:pPr>
      <w:pStyle w:val="Encabezado"/>
      <w:jc w:val="both"/>
      <w:rPr>
        <w:rStyle w:val="Nmerodepgina"/>
        <w:rFonts w:ascii="Arial (W1)" w:hAnsi="Arial (W1)"/>
        <w:b/>
        <w:bCs/>
        <w:i w:val="0"/>
        <w:sz w:val="20"/>
      </w:rPr>
    </w:pPr>
    <w:r w:rsidRPr="0035630F">
      <w:rPr>
        <w:rFonts w:ascii="Arial (W1)" w:hAnsi="Arial (W1)"/>
        <w:b/>
        <w:i w:val="0"/>
        <w:sz w:val="20"/>
      </w:rPr>
      <w:t xml:space="preserve">Página </w:t>
    </w:r>
    <w:r w:rsidRPr="0035630F">
      <w:rPr>
        <w:rStyle w:val="Nmerodepgina"/>
        <w:rFonts w:ascii="Arial (W1)" w:hAnsi="Arial (W1)"/>
        <w:b/>
        <w:bCs/>
        <w:i w:val="0"/>
        <w:sz w:val="20"/>
      </w:rPr>
      <w:fldChar w:fldCharType="begin"/>
    </w:r>
    <w:r w:rsidRPr="0035630F">
      <w:rPr>
        <w:rStyle w:val="Nmerodepgina"/>
        <w:rFonts w:ascii="Arial (W1)" w:hAnsi="Arial (W1)"/>
        <w:b/>
        <w:bCs/>
        <w:i w:val="0"/>
        <w:sz w:val="20"/>
      </w:rPr>
      <w:instrText xml:space="preserve"> PAGE </w:instrText>
    </w:r>
    <w:r w:rsidRPr="0035630F">
      <w:rPr>
        <w:rStyle w:val="Nmerodepgina"/>
        <w:rFonts w:ascii="Arial (W1)" w:hAnsi="Arial (W1)"/>
        <w:b/>
        <w:bCs/>
        <w:i w:val="0"/>
        <w:sz w:val="20"/>
      </w:rPr>
      <w:fldChar w:fldCharType="separate"/>
    </w:r>
    <w:r w:rsidR="00C02243">
      <w:rPr>
        <w:rStyle w:val="Nmerodepgina"/>
        <w:rFonts w:ascii="Arial (W1)" w:hAnsi="Arial (W1)"/>
        <w:b/>
        <w:bCs/>
        <w:i w:val="0"/>
        <w:noProof/>
        <w:sz w:val="20"/>
      </w:rPr>
      <w:t>1</w:t>
    </w:r>
    <w:r w:rsidRPr="0035630F">
      <w:rPr>
        <w:rStyle w:val="Nmerodepgina"/>
        <w:rFonts w:ascii="Arial (W1)" w:hAnsi="Arial (W1)"/>
        <w:b/>
        <w:bCs/>
        <w:i w:val="0"/>
        <w:sz w:val="20"/>
      </w:rPr>
      <w:fldChar w:fldCharType="end"/>
    </w:r>
  </w:p>
  <w:p w:rsidR="001B5808" w:rsidRDefault="001B5808">
    <w:pPr>
      <w:pStyle w:val="Encabezado"/>
      <w:jc w:val="both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808" w:rsidRPr="005E2936" w:rsidRDefault="001B5808">
    <w:pPr>
      <w:pStyle w:val="Encabezado"/>
      <w:jc w:val="center"/>
      <w:rPr>
        <w:sz w:val="24"/>
        <w:szCs w:val="24"/>
      </w:rPr>
    </w:pPr>
  </w:p>
  <w:p w:rsidR="001B5808" w:rsidRPr="00E35541" w:rsidRDefault="001B5808">
    <w:pPr>
      <w:pStyle w:val="Encabezado"/>
      <w:jc w:val="center"/>
      <w:rPr>
        <w:sz w:val="24"/>
        <w:szCs w:val="24"/>
      </w:rPr>
    </w:pPr>
    <w:r w:rsidRPr="00E35541">
      <w:rPr>
        <w:sz w:val="24"/>
        <w:szCs w:val="24"/>
      </w:rPr>
      <w:t>SUPERINTENDENCIA FINANCIERA DE COLOMBIA</w:t>
    </w:r>
  </w:p>
  <w:p w:rsidR="001B5808" w:rsidRDefault="001B5808">
    <w:pPr>
      <w:pStyle w:val="Encabezado"/>
      <w:jc w:val="center"/>
      <w:rPr>
        <w:rFonts w:ascii="Arial (W1)" w:hAnsi="Arial (W1)"/>
        <w:b/>
        <w:sz w:val="24"/>
        <w:szCs w:val="24"/>
      </w:rPr>
    </w:pPr>
  </w:p>
  <w:p w:rsidR="001B5808" w:rsidRDefault="001B5808">
    <w:pPr>
      <w:pStyle w:val="Encabezado"/>
      <w:jc w:val="center"/>
      <w:rPr>
        <w:rFonts w:ascii="Arial (W1)" w:hAnsi="Arial (W1)"/>
        <w:b/>
        <w:sz w:val="24"/>
        <w:szCs w:val="24"/>
      </w:rPr>
    </w:pPr>
  </w:p>
  <w:p w:rsidR="001B5808" w:rsidRDefault="001B5808">
    <w:pPr>
      <w:pStyle w:val="Encabezado"/>
      <w:jc w:val="center"/>
      <w:rPr>
        <w:rFonts w:ascii="Arial (W1)" w:hAnsi="Arial (W1)"/>
        <w:b/>
        <w:sz w:val="24"/>
        <w:szCs w:val="24"/>
      </w:rPr>
    </w:pPr>
  </w:p>
  <w:p w:rsidR="001B5808" w:rsidRPr="00C0602C" w:rsidRDefault="001B5808" w:rsidP="00C0602C">
    <w:pPr>
      <w:pStyle w:val="Encabezado"/>
      <w:ind w:right="-21"/>
      <w:rPr>
        <w:rFonts w:ascii="Arial (W1)" w:hAnsi="Arial (W1)"/>
        <w:b/>
      </w:rPr>
    </w:pPr>
    <w:r>
      <w:rPr>
        <w:rFonts w:ascii="Arial (W1)" w:hAnsi="Arial (W1)"/>
        <w:b/>
        <w:sz w:val="18"/>
      </w:rPr>
      <w:t>CAPITULO</w:t>
    </w:r>
    <w:r w:rsidRPr="00C0602C">
      <w:rPr>
        <w:rFonts w:ascii="Arial (W1)" w:hAnsi="Arial (W1)"/>
        <w:b/>
        <w:sz w:val="18"/>
      </w:rPr>
      <w:t xml:space="preserve"> VI REGLAS  RELATIVAS AL SISTEMA DE ADMINISTRACIÓN DEL RIESGO DE LIQUIDEZ</w:t>
    </w:r>
  </w:p>
  <w:p w:rsidR="001B5808" w:rsidRPr="00C0602C" w:rsidRDefault="001B5808" w:rsidP="00C0602C">
    <w:pPr>
      <w:pStyle w:val="Encabezado"/>
      <w:jc w:val="both"/>
      <w:rPr>
        <w:rStyle w:val="Nmerodepgina"/>
        <w:rFonts w:ascii="Arial (W1)" w:hAnsi="Arial (W1)"/>
        <w:b/>
        <w:bCs/>
        <w:sz w:val="20"/>
      </w:rPr>
    </w:pPr>
    <w:r w:rsidRPr="00C0602C">
      <w:rPr>
        <w:rFonts w:ascii="Arial (W1)" w:hAnsi="Arial (W1)"/>
        <w:b/>
        <w:sz w:val="20"/>
      </w:rPr>
      <w:t xml:space="preserve">Página </w:t>
    </w:r>
    <w:r w:rsidRPr="00C0602C">
      <w:rPr>
        <w:rStyle w:val="Nmerodepgina"/>
        <w:rFonts w:ascii="Arial (W1)" w:hAnsi="Arial (W1)"/>
        <w:b/>
        <w:bCs/>
        <w:sz w:val="20"/>
      </w:rPr>
      <w:fldChar w:fldCharType="begin"/>
    </w:r>
    <w:r w:rsidRPr="00C0602C">
      <w:rPr>
        <w:rStyle w:val="Nmerodepgina"/>
        <w:rFonts w:ascii="Arial (W1)" w:hAnsi="Arial (W1)"/>
        <w:b/>
        <w:bCs/>
        <w:sz w:val="20"/>
      </w:rPr>
      <w:instrText xml:space="preserve"> PAGE </w:instrText>
    </w:r>
    <w:r w:rsidRPr="00C0602C">
      <w:rPr>
        <w:rStyle w:val="Nmerodepgina"/>
        <w:rFonts w:ascii="Arial (W1)" w:hAnsi="Arial (W1)"/>
        <w:b/>
        <w:bCs/>
        <w:sz w:val="20"/>
      </w:rPr>
      <w:fldChar w:fldCharType="separate"/>
    </w:r>
    <w:r>
      <w:rPr>
        <w:rStyle w:val="Nmerodepgina"/>
        <w:rFonts w:ascii="Arial (W1)" w:hAnsi="Arial (W1)"/>
        <w:b/>
        <w:bCs/>
        <w:noProof/>
        <w:sz w:val="20"/>
      </w:rPr>
      <w:t>1</w:t>
    </w:r>
    <w:r w:rsidRPr="00C0602C">
      <w:rPr>
        <w:rStyle w:val="Nmerodepgina"/>
        <w:rFonts w:ascii="Arial (W1)" w:hAnsi="Arial (W1)"/>
        <w:b/>
        <w:bCs/>
        <w:sz w:val="20"/>
      </w:rPr>
      <w:fldChar w:fldCharType="end"/>
    </w:r>
  </w:p>
  <w:p w:rsidR="001B5808" w:rsidRDefault="001B5808" w:rsidP="00C0602C">
    <w:pPr>
      <w:pStyle w:val="Encabezado"/>
      <w:jc w:val="both"/>
      <w:rPr>
        <w:rFonts w:ascii="Arial (W1)" w:hAnsi="Arial (W1)"/>
        <w:b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4F4" w:rsidRDefault="007444F4" w:rsidP="005E2936">
    <w:pPr>
      <w:pStyle w:val="Encabezado"/>
      <w:jc w:val="center"/>
      <w:rPr>
        <w:rFonts w:ascii="Arial (W1)" w:hAnsi="Arial (W1)"/>
        <w:b/>
        <w:sz w:val="24"/>
        <w:szCs w:val="24"/>
      </w:rPr>
    </w:pPr>
  </w:p>
  <w:p w:rsidR="007444F4" w:rsidRPr="0035630F" w:rsidRDefault="007444F4" w:rsidP="0035630F">
    <w:pPr>
      <w:pStyle w:val="Encabezado"/>
      <w:jc w:val="center"/>
      <w:rPr>
        <w:i w:val="0"/>
        <w:sz w:val="24"/>
        <w:szCs w:val="24"/>
      </w:rPr>
    </w:pPr>
    <w:r w:rsidRPr="0035630F">
      <w:rPr>
        <w:i w:val="0"/>
        <w:sz w:val="24"/>
        <w:szCs w:val="24"/>
      </w:rPr>
      <w:t>SUPERINTENDENCIA FINANCIERA DE COLOMBIA</w:t>
    </w:r>
  </w:p>
  <w:p w:rsidR="007444F4" w:rsidRPr="0035630F" w:rsidRDefault="007444F4" w:rsidP="0035630F">
    <w:pPr>
      <w:pStyle w:val="Encabezado"/>
      <w:jc w:val="center"/>
      <w:rPr>
        <w:rFonts w:ascii="Arial (W1)" w:hAnsi="Arial (W1)"/>
        <w:b/>
        <w:i w:val="0"/>
        <w:sz w:val="24"/>
        <w:szCs w:val="24"/>
      </w:rPr>
    </w:pPr>
  </w:p>
  <w:p w:rsidR="007444F4" w:rsidRPr="0035630F" w:rsidRDefault="007444F4" w:rsidP="0035630F">
    <w:pPr>
      <w:pStyle w:val="Encabezado"/>
      <w:jc w:val="center"/>
      <w:rPr>
        <w:rFonts w:ascii="Arial (W1)" w:hAnsi="Arial (W1)"/>
        <w:b/>
        <w:i w:val="0"/>
        <w:sz w:val="24"/>
        <w:szCs w:val="24"/>
      </w:rPr>
    </w:pPr>
  </w:p>
  <w:p w:rsidR="007444F4" w:rsidRPr="0035630F" w:rsidRDefault="007444F4" w:rsidP="0035630F">
    <w:pPr>
      <w:pStyle w:val="Encabezado"/>
      <w:jc w:val="center"/>
      <w:rPr>
        <w:rFonts w:ascii="Arial (W1)" w:hAnsi="Arial (W1)"/>
        <w:b/>
        <w:i w:val="0"/>
        <w:sz w:val="24"/>
        <w:szCs w:val="24"/>
      </w:rPr>
    </w:pPr>
  </w:p>
  <w:p w:rsidR="007444F4" w:rsidRPr="0035630F" w:rsidRDefault="007444F4" w:rsidP="0035630F">
    <w:pPr>
      <w:pStyle w:val="Encabezado"/>
      <w:ind w:right="-21"/>
      <w:rPr>
        <w:rFonts w:ascii="Arial (W1)" w:hAnsi="Arial (W1)"/>
        <w:b/>
        <w:i w:val="0"/>
      </w:rPr>
    </w:pPr>
    <w:r w:rsidRPr="0035630F">
      <w:rPr>
        <w:rFonts w:ascii="Arial (W1)" w:hAnsi="Arial (W1)"/>
        <w:b/>
        <w:i w:val="0"/>
        <w:sz w:val="18"/>
      </w:rPr>
      <w:t>CAPITULO  VI REGLAS  RELATIVAS AL SISTEMA DE ADMINISTRACIÓN DEL RIESGO DE LIQUIDEZ</w:t>
    </w:r>
  </w:p>
  <w:p w:rsidR="007444F4" w:rsidRPr="0035630F" w:rsidRDefault="007444F4" w:rsidP="0035630F">
    <w:pPr>
      <w:pStyle w:val="Encabezado"/>
      <w:jc w:val="both"/>
      <w:rPr>
        <w:rStyle w:val="Nmerodepgina"/>
        <w:rFonts w:ascii="Arial (W1)" w:hAnsi="Arial (W1)"/>
        <w:b/>
        <w:bCs/>
        <w:i w:val="0"/>
        <w:sz w:val="20"/>
      </w:rPr>
    </w:pPr>
    <w:r w:rsidRPr="0035630F">
      <w:rPr>
        <w:rFonts w:ascii="Arial (W1)" w:hAnsi="Arial (W1)"/>
        <w:b/>
        <w:i w:val="0"/>
        <w:sz w:val="20"/>
      </w:rPr>
      <w:t xml:space="preserve">Página </w:t>
    </w:r>
    <w:r w:rsidRPr="0035630F">
      <w:rPr>
        <w:rStyle w:val="Nmerodepgina"/>
        <w:rFonts w:ascii="Arial (W1)" w:hAnsi="Arial (W1)"/>
        <w:b/>
        <w:bCs/>
        <w:i w:val="0"/>
        <w:sz w:val="20"/>
      </w:rPr>
      <w:fldChar w:fldCharType="begin"/>
    </w:r>
    <w:r w:rsidRPr="0035630F">
      <w:rPr>
        <w:rStyle w:val="Nmerodepgina"/>
        <w:rFonts w:ascii="Arial (W1)" w:hAnsi="Arial (W1)"/>
        <w:b/>
        <w:bCs/>
        <w:i w:val="0"/>
        <w:sz w:val="20"/>
      </w:rPr>
      <w:instrText xml:space="preserve"> PAGE </w:instrText>
    </w:r>
    <w:r w:rsidRPr="0035630F">
      <w:rPr>
        <w:rStyle w:val="Nmerodepgina"/>
        <w:rFonts w:ascii="Arial (W1)" w:hAnsi="Arial (W1)"/>
        <w:b/>
        <w:bCs/>
        <w:i w:val="0"/>
        <w:sz w:val="20"/>
      </w:rPr>
      <w:fldChar w:fldCharType="separate"/>
    </w:r>
    <w:r w:rsidR="00C02243">
      <w:rPr>
        <w:rStyle w:val="Nmerodepgina"/>
        <w:rFonts w:ascii="Arial (W1)" w:hAnsi="Arial (W1)"/>
        <w:b/>
        <w:bCs/>
        <w:i w:val="0"/>
        <w:noProof/>
        <w:sz w:val="20"/>
      </w:rPr>
      <w:t>1</w:t>
    </w:r>
    <w:r w:rsidRPr="0035630F">
      <w:rPr>
        <w:rStyle w:val="Nmerodepgina"/>
        <w:rFonts w:ascii="Arial (W1)" w:hAnsi="Arial (W1)"/>
        <w:b/>
        <w:bCs/>
        <w:i w:val="0"/>
        <w:sz w:val="20"/>
      </w:rPr>
      <w:fldChar w:fldCharType="end"/>
    </w:r>
    <w:r>
      <w:rPr>
        <w:rStyle w:val="Nmerodepgina"/>
        <w:rFonts w:ascii="Arial (W1)" w:hAnsi="Arial (W1)"/>
        <w:b/>
        <w:bCs/>
        <w:i w:val="0"/>
        <w:sz w:val="20"/>
      </w:rPr>
      <w:t>-1</w:t>
    </w:r>
  </w:p>
  <w:p w:rsidR="007444F4" w:rsidRDefault="007444F4">
    <w:pPr>
      <w:pStyle w:val="Encabezado"/>
      <w:jc w:val="both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3500"/>
    <w:multiLevelType w:val="hybridMultilevel"/>
    <w:tmpl w:val="C1C88A16"/>
    <w:lvl w:ilvl="0" w:tplc="2A76423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867AC"/>
    <w:multiLevelType w:val="multilevel"/>
    <w:tmpl w:val="A1828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E1F4F31"/>
    <w:multiLevelType w:val="hybridMultilevel"/>
    <w:tmpl w:val="3D4886C6"/>
    <w:lvl w:ilvl="0" w:tplc="DA628EB0">
      <w:start w:val="1"/>
      <w:numFmt w:val="lowerLetter"/>
      <w:pStyle w:val="Normal9pt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D21622"/>
    <w:multiLevelType w:val="multilevel"/>
    <w:tmpl w:val="4B02E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628A2688"/>
    <w:multiLevelType w:val="hybridMultilevel"/>
    <w:tmpl w:val="4DC85F02"/>
    <w:lvl w:ilvl="0" w:tplc="7730053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69A02BC">
      <w:numFmt w:val="none"/>
      <w:lvlText w:val=""/>
      <w:lvlJc w:val="left"/>
      <w:pPr>
        <w:tabs>
          <w:tab w:val="num" w:pos="360"/>
        </w:tabs>
      </w:pPr>
    </w:lvl>
    <w:lvl w:ilvl="2" w:tplc="2C38E55E">
      <w:numFmt w:val="none"/>
      <w:lvlText w:val=""/>
      <w:lvlJc w:val="left"/>
      <w:pPr>
        <w:tabs>
          <w:tab w:val="num" w:pos="360"/>
        </w:tabs>
      </w:pPr>
    </w:lvl>
    <w:lvl w:ilvl="3" w:tplc="FF6C6FE2">
      <w:numFmt w:val="none"/>
      <w:lvlText w:val=""/>
      <w:lvlJc w:val="left"/>
      <w:pPr>
        <w:tabs>
          <w:tab w:val="num" w:pos="360"/>
        </w:tabs>
      </w:pPr>
    </w:lvl>
    <w:lvl w:ilvl="4" w:tplc="A586B800">
      <w:numFmt w:val="none"/>
      <w:lvlText w:val=""/>
      <w:lvlJc w:val="left"/>
      <w:pPr>
        <w:tabs>
          <w:tab w:val="num" w:pos="360"/>
        </w:tabs>
      </w:pPr>
    </w:lvl>
    <w:lvl w:ilvl="5" w:tplc="4BC40FC4">
      <w:numFmt w:val="none"/>
      <w:lvlText w:val=""/>
      <w:lvlJc w:val="left"/>
      <w:pPr>
        <w:tabs>
          <w:tab w:val="num" w:pos="360"/>
        </w:tabs>
      </w:pPr>
    </w:lvl>
    <w:lvl w:ilvl="6" w:tplc="5492E5B0">
      <w:numFmt w:val="none"/>
      <w:lvlText w:val=""/>
      <w:lvlJc w:val="left"/>
      <w:pPr>
        <w:tabs>
          <w:tab w:val="num" w:pos="360"/>
        </w:tabs>
      </w:pPr>
    </w:lvl>
    <w:lvl w:ilvl="7" w:tplc="3B9C4C36">
      <w:numFmt w:val="none"/>
      <w:lvlText w:val=""/>
      <w:lvlJc w:val="left"/>
      <w:pPr>
        <w:tabs>
          <w:tab w:val="num" w:pos="360"/>
        </w:tabs>
      </w:pPr>
    </w:lvl>
    <w:lvl w:ilvl="8" w:tplc="32CAC3CE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673B0CC4"/>
    <w:multiLevelType w:val="multilevel"/>
    <w:tmpl w:val="74CC27C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2"/>
  </w:num>
  <w:num w:numId="7">
    <w:abstractNumId w:val="5"/>
  </w:num>
  <w:num w:numId="8">
    <w:abstractNumId w:val="1"/>
  </w:num>
  <w:num w:numId="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E2"/>
    <w:rsid w:val="00000958"/>
    <w:rsid w:val="00001F50"/>
    <w:rsid w:val="0000462C"/>
    <w:rsid w:val="00015223"/>
    <w:rsid w:val="00021013"/>
    <w:rsid w:val="00022A28"/>
    <w:rsid w:val="000276F4"/>
    <w:rsid w:val="000322B9"/>
    <w:rsid w:val="000343AE"/>
    <w:rsid w:val="00034E60"/>
    <w:rsid w:val="00042F99"/>
    <w:rsid w:val="000430EF"/>
    <w:rsid w:val="00044A2F"/>
    <w:rsid w:val="000552D0"/>
    <w:rsid w:val="00056205"/>
    <w:rsid w:val="00066EE5"/>
    <w:rsid w:val="00071946"/>
    <w:rsid w:val="00084BBC"/>
    <w:rsid w:val="000853FD"/>
    <w:rsid w:val="000857BF"/>
    <w:rsid w:val="00090783"/>
    <w:rsid w:val="000925CD"/>
    <w:rsid w:val="000962A4"/>
    <w:rsid w:val="000A1BA1"/>
    <w:rsid w:val="000D0A3E"/>
    <w:rsid w:val="000D2965"/>
    <w:rsid w:val="000D6721"/>
    <w:rsid w:val="000E692E"/>
    <w:rsid w:val="000E7993"/>
    <w:rsid w:val="000F11E7"/>
    <w:rsid w:val="00101D2C"/>
    <w:rsid w:val="00105C96"/>
    <w:rsid w:val="00112AB7"/>
    <w:rsid w:val="00112BAE"/>
    <w:rsid w:val="0011405B"/>
    <w:rsid w:val="00116982"/>
    <w:rsid w:val="00117B97"/>
    <w:rsid w:val="00121116"/>
    <w:rsid w:val="0012653B"/>
    <w:rsid w:val="001270A7"/>
    <w:rsid w:val="001279D9"/>
    <w:rsid w:val="00131941"/>
    <w:rsid w:val="001325BA"/>
    <w:rsid w:val="00136B95"/>
    <w:rsid w:val="00136E1B"/>
    <w:rsid w:val="00141653"/>
    <w:rsid w:val="0014170D"/>
    <w:rsid w:val="00145CF7"/>
    <w:rsid w:val="00146A76"/>
    <w:rsid w:val="0015047E"/>
    <w:rsid w:val="00154DEE"/>
    <w:rsid w:val="001602B2"/>
    <w:rsid w:val="00161E8A"/>
    <w:rsid w:val="0017083D"/>
    <w:rsid w:val="001727EA"/>
    <w:rsid w:val="00173389"/>
    <w:rsid w:val="0017499A"/>
    <w:rsid w:val="00180183"/>
    <w:rsid w:val="00186255"/>
    <w:rsid w:val="00190515"/>
    <w:rsid w:val="001943C8"/>
    <w:rsid w:val="001A2984"/>
    <w:rsid w:val="001A2B7A"/>
    <w:rsid w:val="001B064B"/>
    <w:rsid w:val="001B292C"/>
    <w:rsid w:val="001B4B64"/>
    <w:rsid w:val="001B5808"/>
    <w:rsid w:val="001B7CEE"/>
    <w:rsid w:val="001C6C5A"/>
    <w:rsid w:val="001C7FBB"/>
    <w:rsid w:val="001D7EDB"/>
    <w:rsid w:val="001E0CE4"/>
    <w:rsid w:val="001E7453"/>
    <w:rsid w:val="001F2760"/>
    <w:rsid w:val="001F3415"/>
    <w:rsid w:val="001F576F"/>
    <w:rsid w:val="001F680C"/>
    <w:rsid w:val="00214B3B"/>
    <w:rsid w:val="0022168D"/>
    <w:rsid w:val="0022574F"/>
    <w:rsid w:val="0022675D"/>
    <w:rsid w:val="00226CB5"/>
    <w:rsid w:val="0022793F"/>
    <w:rsid w:val="00233E98"/>
    <w:rsid w:val="00240CCE"/>
    <w:rsid w:val="002420D3"/>
    <w:rsid w:val="00242445"/>
    <w:rsid w:val="002520BD"/>
    <w:rsid w:val="00256B8E"/>
    <w:rsid w:val="00261742"/>
    <w:rsid w:val="002626CC"/>
    <w:rsid w:val="0026403E"/>
    <w:rsid w:val="002669C6"/>
    <w:rsid w:val="002707A5"/>
    <w:rsid w:val="0028473C"/>
    <w:rsid w:val="0029260C"/>
    <w:rsid w:val="00292DEB"/>
    <w:rsid w:val="002A5A93"/>
    <w:rsid w:val="002B3223"/>
    <w:rsid w:val="002C309B"/>
    <w:rsid w:val="002C3253"/>
    <w:rsid w:val="002C54A2"/>
    <w:rsid w:val="002C7800"/>
    <w:rsid w:val="002D2D8D"/>
    <w:rsid w:val="002D2EE4"/>
    <w:rsid w:val="002D3AF9"/>
    <w:rsid w:val="002D5694"/>
    <w:rsid w:val="002D67CD"/>
    <w:rsid w:val="002F62EF"/>
    <w:rsid w:val="002F684C"/>
    <w:rsid w:val="002F7F59"/>
    <w:rsid w:val="00302166"/>
    <w:rsid w:val="0030392B"/>
    <w:rsid w:val="00306AF5"/>
    <w:rsid w:val="003119CA"/>
    <w:rsid w:val="00314D67"/>
    <w:rsid w:val="00321139"/>
    <w:rsid w:val="00321EAF"/>
    <w:rsid w:val="003234E4"/>
    <w:rsid w:val="00330948"/>
    <w:rsid w:val="003313F1"/>
    <w:rsid w:val="00331FDD"/>
    <w:rsid w:val="003326A0"/>
    <w:rsid w:val="00332871"/>
    <w:rsid w:val="00333A65"/>
    <w:rsid w:val="003347FE"/>
    <w:rsid w:val="003349FF"/>
    <w:rsid w:val="0034145D"/>
    <w:rsid w:val="003414EF"/>
    <w:rsid w:val="00343C82"/>
    <w:rsid w:val="00345086"/>
    <w:rsid w:val="003473A7"/>
    <w:rsid w:val="0035418C"/>
    <w:rsid w:val="0035630F"/>
    <w:rsid w:val="00357D94"/>
    <w:rsid w:val="0036134C"/>
    <w:rsid w:val="00367F02"/>
    <w:rsid w:val="003758D7"/>
    <w:rsid w:val="00377163"/>
    <w:rsid w:val="00381E91"/>
    <w:rsid w:val="00382361"/>
    <w:rsid w:val="0038323B"/>
    <w:rsid w:val="00394CC9"/>
    <w:rsid w:val="003961A1"/>
    <w:rsid w:val="00396723"/>
    <w:rsid w:val="003978F1"/>
    <w:rsid w:val="003A3211"/>
    <w:rsid w:val="003A4B71"/>
    <w:rsid w:val="003B08F4"/>
    <w:rsid w:val="003B32DF"/>
    <w:rsid w:val="003C3EC8"/>
    <w:rsid w:val="003C5372"/>
    <w:rsid w:val="003D0735"/>
    <w:rsid w:val="003D117B"/>
    <w:rsid w:val="003E1EFE"/>
    <w:rsid w:val="003E6994"/>
    <w:rsid w:val="003F3650"/>
    <w:rsid w:val="003F68B2"/>
    <w:rsid w:val="00401A11"/>
    <w:rsid w:val="00405E1D"/>
    <w:rsid w:val="00407467"/>
    <w:rsid w:val="004133E5"/>
    <w:rsid w:val="0041553B"/>
    <w:rsid w:val="00417815"/>
    <w:rsid w:val="004179E0"/>
    <w:rsid w:val="00422E41"/>
    <w:rsid w:val="00426346"/>
    <w:rsid w:val="0042694D"/>
    <w:rsid w:val="00431D24"/>
    <w:rsid w:val="0043242A"/>
    <w:rsid w:val="00436C60"/>
    <w:rsid w:val="0044372E"/>
    <w:rsid w:val="00451D19"/>
    <w:rsid w:val="00465F01"/>
    <w:rsid w:val="00466138"/>
    <w:rsid w:val="00470E0D"/>
    <w:rsid w:val="0047317F"/>
    <w:rsid w:val="00474A51"/>
    <w:rsid w:val="00481F7F"/>
    <w:rsid w:val="00482D34"/>
    <w:rsid w:val="00484B0F"/>
    <w:rsid w:val="004868CC"/>
    <w:rsid w:val="00487AA5"/>
    <w:rsid w:val="0049794E"/>
    <w:rsid w:val="004A2832"/>
    <w:rsid w:val="004A3C76"/>
    <w:rsid w:val="004B0E11"/>
    <w:rsid w:val="004C0161"/>
    <w:rsid w:val="004C19CE"/>
    <w:rsid w:val="004C1BE5"/>
    <w:rsid w:val="004D2C20"/>
    <w:rsid w:val="004D5757"/>
    <w:rsid w:val="004E2867"/>
    <w:rsid w:val="004E2C37"/>
    <w:rsid w:val="004E3620"/>
    <w:rsid w:val="004E37A4"/>
    <w:rsid w:val="004E55B3"/>
    <w:rsid w:val="004F123B"/>
    <w:rsid w:val="004F3B06"/>
    <w:rsid w:val="00501859"/>
    <w:rsid w:val="0050233B"/>
    <w:rsid w:val="00502347"/>
    <w:rsid w:val="00505941"/>
    <w:rsid w:val="00505D3C"/>
    <w:rsid w:val="005074BE"/>
    <w:rsid w:val="00507AEC"/>
    <w:rsid w:val="00514282"/>
    <w:rsid w:val="005202BB"/>
    <w:rsid w:val="00522838"/>
    <w:rsid w:val="005236E2"/>
    <w:rsid w:val="00523DA1"/>
    <w:rsid w:val="00542F1A"/>
    <w:rsid w:val="00543F91"/>
    <w:rsid w:val="00544302"/>
    <w:rsid w:val="005517A8"/>
    <w:rsid w:val="00561D6A"/>
    <w:rsid w:val="00566EBE"/>
    <w:rsid w:val="00572373"/>
    <w:rsid w:val="00580BC9"/>
    <w:rsid w:val="005821AC"/>
    <w:rsid w:val="0058389F"/>
    <w:rsid w:val="00584DD8"/>
    <w:rsid w:val="005959A7"/>
    <w:rsid w:val="00597DFB"/>
    <w:rsid w:val="005A229D"/>
    <w:rsid w:val="005A3DD8"/>
    <w:rsid w:val="005A4CF8"/>
    <w:rsid w:val="005A659E"/>
    <w:rsid w:val="005A6DDD"/>
    <w:rsid w:val="005B066A"/>
    <w:rsid w:val="005B196F"/>
    <w:rsid w:val="005B1C54"/>
    <w:rsid w:val="005B1DF8"/>
    <w:rsid w:val="005B2A15"/>
    <w:rsid w:val="005B38BD"/>
    <w:rsid w:val="005B58CC"/>
    <w:rsid w:val="005B69F7"/>
    <w:rsid w:val="005C08D4"/>
    <w:rsid w:val="005C28ED"/>
    <w:rsid w:val="005D7CEC"/>
    <w:rsid w:val="005E2936"/>
    <w:rsid w:val="005E2F87"/>
    <w:rsid w:val="005E4066"/>
    <w:rsid w:val="005E59FA"/>
    <w:rsid w:val="005E7C3E"/>
    <w:rsid w:val="005F3C5D"/>
    <w:rsid w:val="005F78F1"/>
    <w:rsid w:val="00601662"/>
    <w:rsid w:val="00602AFF"/>
    <w:rsid w:val="006038C3"/>
    <w:rsid w:val="00604095"/>
    <w:rsid w:val="00605A65"/>
    <w:rsid w:val="00605C99"/>
    <w:rsid w:val="006062CE"/>
    <w:rsid w:val="00616C6D"/>
    <w:rsid w:val="006231D7"/>
    <w:rsid w:val="006232F2"/>
    <w:rsid w:val="00625C6B"/>
    <w:rsid w:val="006365AD"/>
    <w:rsid w:val="0064011B"/>
    <w:rsid w:val="00641E7C"/>
    <w:rsid w:val="00645179"/>
    <w:rsid w:val="00645ADA"/>
    <w:rsid w:val="0065454C"/>
    <w:rsid w:val="00656F76"/>
    <w:rsid w:val="0066404C"/>
    <w:rsid w:val="00664633"/>
    <w:rsid w:val="006654D9"/>
    <w:rsid w:val="00665893"/>
    <w:rsid w:val="0067019B"/>
    <w:rsid w:val="0067147C"/>
    <w:rsid w:val="00682275"/>
    <w:rsid w:val="0068790C"/>
    <w:rsid w:val="006936EA"/>
    <w:rsid w:val="006A52D8"/>
    <w:rsid w:val="006B0D02"/>
    <w:rsid w:val="006B1161"/>
    <w:rsid w:val="006C3DEA"/>
    <w:rsid w:val="006C5121"/>
    <w:rsid w:val="006C6373"/>
    <w:rsid w:val="006C705D"/>
    <w:rsid w:val="006D13FB"/>
    <w:rsid w:val="006D2315"/>
    <w:rsid w:val="006D40C1"/>
    <w:rsid w:val="006D5EAD"/>
    <w:rsid w:val="006D6209"/>
    <w:rsid w:val="006D6733"/>
    <w:rsid w:val="006E52D4"/>
    <w:rsid w:val="006E7607"/>
    <w:rsid w:val="006F3EBE"/>
    <w:rsid w:val="006F632D"/>
    <w:rsid w:val="007015C7"/>
    <w:rsid w:val="00702E24"/>
    <w:rsid w:val="0070328D"/>
    <w:rsid w:val="00710021"/>
    <w:rsid w:val="00712AFF"/>
    <w:rsid w:val="007147F7"/>
    <w:rsid w:val="007148C7"/>
    <w:rsid w:val="00714C14"/>
    <w:rsid w:val="0072469D"/>
    <w:rsid w:val="00732221"/>
    <w:rsid w:val="0073246F"/>
    <w:rsid w:val="007376AD"/>
    <w:rsid w:val="007428C5"/>
    <w:rsid w:val="00742A70"/>
    <w:rsid w:val="007444F4"/>
    <w:rsid w:val="00744D56"/>
    <w:rsid w:val="00746C29"/>
    <w:rsid w:val="0076089C"/>
    <w:rsid w:val="00760AD6"/>
    <w:rsid w:val="007612B7"/>
    <w:rsid w:val="007667C5"/>
    <w:rsid w:val="007707B6"/>
    <w:rsid w:val="00773587"/>
    <w:rsid w:val="007758D9"/>
    <w:rsid w:val="007768BD"/>
    <w:rsid w:val="00786AF5"/>
    <w:rsid w:val="00793831"/>
    <w:rsid w:val="007A299F"/>
    <w:rsid w:val="007A2E02"/>
    <w:rsid w:val="007A36E8"/>
    <w:rsid w:val="007A48E5"/>
    <w:rsid w:val="007A4BEC"/>
    <w:rsid w:val="007B1B3B"/>
    <w:rsid w:val="007B4A56"/>
    <w:rsid w:val="007B6B1A"/>
    <w:rsid w:val="007C40CD"/>
    <w:rsid w:val="007D0DF7"/>
    <w:rsid w:val="007D5A55"/>
    <w:rsid w:val="007F0B60"/>
    <w:rsid w:val="007F3051"/>
    <w:rsid w:val="007F760C"/>
    <w:rsid w:val="0080340E"/>
    <w:rsid w:val="00803DD5"/>
    <w:rsid w:val="00805AC1"/>
    <w:rsid w:val="00814EF0"/>
    <w:rsid w:val="00817CF4"/>
    <w:rsid w:val="00820F8A"/>
    <w:rsid w:val="008225F3"/>
    <w:rsid w:val="008251C5"/>
    <w:rsid w:val="008252FB"/>
    <w:rsid w:val="00832083"/>
    <w:rsid w:val="00833DAC"/>
    <w:rsid w:val="00833E8D"/>
    <w:rsid w:val="00837C04"/>
    <w:rsid w:val="00840F5C"/>
    <w:rsid w:val="00867B42"/>
    <w:rsid w:val="00870242"/>
    <w:rsid w:val="008707A6"/>
    <w:rsid w:val="00874FE5"/>
    <w:rsid w:val="008766A8"/>
    <w:rsid w:val="008769BA"/>
    <w:rsid w:val="00880708"/>
    <w:rsid w:val="008813BD"/>
    <w:rsid w:val="00881C2A"/>
    <w:rsid w:val="0088292A"/>
    <w:rsid w:val="008918A3"/>
    <w:rsid w:val="00893BC5"/>
    <w:rsid w:val="00895CD9"/>
    <w:rsid w:val="008A3EBD"/>
    <w:rsid w:val="008A4C1E"/>
    <w:rsid w:val="008B1618"/>
    <w:rsid w:val="008B39CB"/>
    <w:rsid w:val="008B667B"/>
    <w:rsid w:val="008C08D1"/>
    <w:rsid w:val="008C1BF0"/>
    <w:rsid w:val="008E6391"/>
    <w:rsid w:val="008F7B84"/>
    <w:rsid w:val="00900DF4"/>
    <w:rsid w:val="00905545"/>
    <w:rsid w:val="00905C6B"/>
    <w:rsid w:val="00906CAF"/>
    <w:rsid w:val="00907051"/>
    <w:rsid w:val="00910B01"/>
    <w:rsid w:val="00913D11"/>
    <w:rsid w:val="00920CF7"/>
    <w:rsid w:val="00927BFD"/>
    <w:rsid w:val="00931805"/>
    <w:rsid w:val="00934F1A"/>
    <w:rsid w:val="00937399"/>
    <w:rsid w:val="00944539"/>
    <w:rsid w:val="009457B5"/>
    <w:rsid w:val="00946A40"/>
    <w:rsid w:val="00946F27"/>
    <w:rsid w:val="00951F4B"/>
    <w:rsid w:val="00953A58"/>
    <w:rsid w:val="009558B0"/>
    <w:rsid w:val="00963EFB"/>
    <w:rsid w:val="00966477"/>
    <w:rsid w:val="00973C3C"/>
    <w:rsid w:val="00975CE9"/>
    <w:rsid w:val="00976AAE"/>
    <w:rsid w:val="00980B90"/>
    <w:rsid w:val="009843DA"/>
    <w:rsid w:val="00984EEC"/>
    <w:rsid w:val="00986133"/>
    <w:rsid w:val="00986530"/>
    <w:rsid w:val="00995443"/>
    <w:rsid w:val="009B5414"/>
    <w:rsid w:val="009B7873"/>
    <w:rsid w:val="009D07A4"/>
    <w:rsid w:val="009D116E"/>
    <w:rsid w:val="009D1DDE"/>
    <w:rsid w:val="009D5234"/>
    <w:rsid w:val="009E37C3"/>
    <w:rsid w:val="009E3F22"/>
    <w:rsid w:val="009E68E2"/>
    <w:rsid w:val="009F0965"/>
    <w:rsid w:val="009F5357"/>
    <w:rsid w:val="009F5843"/>
    <w:rsid w:val="00A117AE"/>
    <w:rsid w:val="00A122C4"/>
    <w:rsid w:val="00A14631"/>
    <w:rsid w:val="00A15927"/>
    <w:rsid w:val="00A17CB3"/>
    <w:rsid w:val="00A26CFD"/>
    <w:rsid w:val="00A27A2C"/>
    <w:rsid w:val="00A3082C"/>
    <w:rsid w:val="00A4169B"/>
    <w:rsid w:val="00A51B6B"/>
    <w:rsid w:val="00A51E7C"/>
    <w:rsid w:val="00A52B11"/>
    <w:rsid w:val="00A54FDA"/>
    <w:rsid w:val="00A56CDB"/>
    <w:rsid w:val="00A573E7"/>
    <w:rsid w:val="00A606AD"/>
    <w:rsid w:val="00A61837"/>
    <w:rsid w:val="00A917CF"/>
    <w:rsid w:val="00A95369"/>
    <w:rsid w:val="00A955EE"/>
    <w:rsid w:val="00A9705C"/>
    <w:rsid w:val="00AA479C"/>
    <w:rsid w:val="00AA5A14"/>
    <w:rsid w:val="00AA73B4"/>
    <w:rsid w:val="00AA77EF"/>
    <w:rsid w:val="00AB1C36"/>
    <w:rsid w:val="00AC1A2B"/>
    <w:rsid w:val="00AC1EA2"/>
    <w:rsid w:val="00AC2A05"/>
    <w:rsid w:val="00AC4514"/>
    <w:rsid w:val="00AC5AD1"/>
    <w:rsid w:val="00AD152F"/>
    <w:rsid w:val="00AD3D47"/>
    <w:rsid w:val="00AE328F"/>
    <w:rsid w:val="00AE7F97"/>
    <w:rsid w:val="00AF3B19"/>
    <w:rsid w:val="00AF51D3"/>
    <w:rsid w:val="00AF58AC"/>
    <w:rsid w:val="00AF6BEA"/>
    <w:rsid w:val="00B05E0F"/>
    <w:rsid w:val="00B06B18"/>
    <w:rsid w:val="00B0765B"/>
    <w:rsid w:val="00B10D65"/>
    <w:rsid w:val="00B1297A"/>
    <w:rsid w:val="00B168ED"/>
    <w:rsid w:val="00B27A3E"/>
    <w:rsid w:val="00B345F0"/>
    <w:rsid w:val="00B34DC0"/>
    <w:rsid w:val="00B368B6"/>
    <w:rsid w:val="00B43BE6"/>
    <w:rsid w:val="00B458C3"/>
    <w:rsid w:val="00B5227E"/>
    <w:rsid w:val="00B60CFB"/>
    <w:rsid w:val="00B6201F"/>
    <w:rsid w:val="00B62876"/>
    <w:rsid w:val="00B67578"/>
    <w:rsid w:val="00B74C46"/>
    <w:rsid w:val="00B77345"/>
    <w:rsid w:val="00B80EF5"/>
    <w:rsid w:val="00BA547C"/>
    <w:rsid w:val="00BA66A0"/>
    <w:rsid w:val="00BC2C6E"/>
    <w:rsid w:val="00BC42B6"/>
    <w:rsid w:val="00BC49A9"/>
    <w:rsid w:val="00BC6720"/>
    <w:rsid w:val="00BD6DCD"/>
    <w:rsid w:val="00BE4FB2"/>
    <w:rsid w:val="00BE50B7"/>
    <w:rsid w:val="00BE574A"/>
    <w:rsid w:val="00BE7396"/>
    <w:rsid w:val="00BE7495"/>
    <w:rsid w:val="00BF152C"/>
    <w:rsid w:val="00BF319F"/>
    <w:rsid w:val="00BF5F5A"/>
    <w:rsid w:val="00C02243"/>
    <w:rsid w:val="00C032DB"/>
    <w:rsid w:val="00C050BA"/>
    <w:rsid w:val="00C059F7"/>
    <w:rsid w:val="00C0602C"/>
    <w:rsid w:val="00C06AD8"/>
    <w:rsid w:val="00C136CF"/>
    <w:rsid w:val="00C20D6D"/>
    <w:rsid w:val="00C26DEB"/>
    <w:rsid w:val="00C314F0"/>
    <w:rsid w:val="00C355DD"/>
    <w:rsid w:val="00C45B64"/>
    <w:rsid w:val="00C514FD"/>
    <w:rsid w:val="00C53121"/>
    <w:rsid w:val="00C5498A"/>
    <w:rsid w:val="00C630DB"/>
    <w:rsid w:val="00C70CF0"/>
    <w:rsid w:val="00C71C44"/>
    <w:rsid w:val="00C77157"/>
    <w:rsid w:val="00C83630"/>
    <w:rsid w:val="00C933D6"/>
    <w:rsid w:val="00CA1A44"/>
    <w:rsid w:val="00CA324F"/>
    <w:rsid w:val="00CA3359"/>
    <w:rsid w:val="00CA3A4C"/>
    <w:rsid w:val="00CB53C3"/>
    <w:rsid w:val="00CB5E41"/>
    <w:rsid w:val="00CC3029"/>
    <w:rsid w:val="00CC6980"/>
    <w:rsid w:val="00CC74B3"/>
    <w:rsid w:val="00CD01DC"/>
    <w:rsid w:val="00CE3AC4"/>
    <w:rsid w:val="00CE7405"/>
    <w:rsid w:val="00CF31C7"/>
    <w:rsid w:val="00CF7824"/>
    <w:rsid w:val="00D025F3"/>
    <w:rsid w:val="00D02DAF"/>
    <w:rsid w:val="00D10485"/>
    <w:rsid w:val="00D128AA"/>
    <w:rsid w:val="00D14357"/>
    <w:rsid w:val="00D14DD6"/>
    <w:rsid w:val="00D16DDB"/>
    <w:rsid w:val="00D2011F"/>
    <w:rsid w:val="00D20505"/>
    <w:rsid w:val="00D23789"/>
    <w:rsid w:val="00D23910"/>
    <w:rsid w:val="00D239DD"/>
    <w:rsid w:val="00D2577A"/>
    <w:rsid w:val="00D53986"/>
    <w:rsid w:val="00D57F26"/>
    <w:rsid w:val="00D66050"/>
    <w:rsid w:val="00D70C12"/>
    <w:rsid w:val="00D863EA"/>
    <w:rsid w:val="00D874A2"/>
    <w:rsid w:val="00D93B0F"/>
    <w:rsid w:val="00D94701"/>
    <w:rsid w:val="00D94F0F"/>
    <w:rsid w:val="00D95B12"/>
    <w:rsid w:val="00DA3B1F"/>
    <w:rsid w:val="00DB0D1A"/>
    <w:rsid w:val="00DB6F42"/>
    <w:rsid w:val="00DC19F4"/>
    <w:rsid w:val="00DC4682"/>
    <w:rsid w:val="00DE2EA0"/>
    <w:rsid w:val="00DE5B3E"/>
    <w:rsid w:val="00DE6E1D"/>
    <w:rsid w:val="00DF0B10"/>
    <w:rsid w:val="00DF48A8"/>
    <w:rsid w:val="00E01179"/>
    <w:rsid w:val="00E01B8A"/>
    <w:rsid w:val="00E02890"/>
    <w:rsid w:val="00E03709"/>
    <w:rsid w:val="00E13EFF"/>
    <w:rsid w:val="00E243C4"/>
    <w:rsid w:val="00E24776"/>
    <w:rsid w:val="00E31512"/>
    <w:rsid w:val="00E31683"/>
    <w:rsid w:val="00E34E0F"/>
    <w:rsid w:val="00E35541"/>
    <w:rsid w:val="00E3607D"/>
    <w:rsid w:val="00E4114A"/>
    <w:rsid w:val="00E4362B"/>
    <w:rsid w:val="00E4537A"/>
    <w:rsid w:val="00E54559"/>
    <w:rsid w:val="00E6288F"/>
    <w:rsid w:val="00E676EE"/>
    <w:rsid w:val="00E71A29"/>
    <w:rsid w:val="00E75EC3"/>
    <w:rsid w:val="00E75F0B"/>
    <w:rsid w:val="00E8392C"/>
    <w:rsid w:val="00E8478A"/>
    <w:rsid w:val="00E848EE"/>
    <w:rsid w:val="00E85AB7"/>
    <w:rsid w:val="00E85B53"/>
    <w:rsid w:val="00E946ED"/>
    <w:rsid w:val="00E95FE2"/>
    <w:rsid w:val="00E96C5B"/>
    <w:rsid w:val="00E96F88"/>
    <w:rsid w:val="00E96FC6"/>
    <w:rsid w:val="00EA37CF"/>
    <w:rsid w:val="00EA5843"/>
    <w:rsid w:val="00EA7068"/>
    <w:rsid w:val="00EB2C33"/>
    <w:rsid w:val="00EB5FF9"/>
    <w:rsid w:val="00ED57DD"/>
    <w:rsid w:val="00EE62D0"/>
    <w:rsid w:val="00F02601"/>
    <w:rsid w:val="00F07ACE"/>
    <w:rsid w:val="00F1008C"/>
    <w:rsid w:val="00F129AB"/>
    <w:rsid w:val="00F318A9"/>
    <w:rsid w:val="00F42753"/>
    <w:rsid w:val="00F43147"/>
    <w:rsid w:val="00F43CD2"/>
    <w:rsid w:val="00F44BBC"/>
    <w:rsid w:val="00F52492"/>
    <w:rsid w:val="00F55A9D"/>
    <w:rsid w:val="00F5617F"/>
    <w:rsid w:val="00F60293"/>
    <w:rsid w:val="00F61B73"/>
    <w:rsid w:val="00F6387F"/>
    <w:rsid w:val="00F70466"/>
    <w:rsid w:val="00F816BF"/>
    <w:rsid w:val="00F83956"/>
    <w:rsid w:val="00F90C8D"/>
    <w:rsid w:val="00F96247"/>
    <w:rsid w:val="00FA060B"/>
    <w:rsid w:val="00FA4D05"/>
    <w:rsid w:val="00FB409D"/>
    <w:rsid w:val="00FB4D4D"/>
    <w:rsid w:val="00FB4D7C"/>
    <w:rsid w:val="00FC0711"/>
    <w:rsid w:val="00FD1EDD"/>
    <w:rsid w:val="00FD6371"/>
    <w:rsid w:val="00FE2C6F"/>
    <w:rsid w:val="00FE45F4"/>
    <w:rsid w:val="00FF03E4"/>
    <w:rsid w:val="00FF1274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i/>
        <w:sz w:val="22"/>
        <w:szCs w:val="18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3BE6"/>
  </w:style>
  <w:style w:type="paragraph" w:styleId="Ttulo1">
    <w:name w:val="heading 1"/>
    <w:basedOn w:val="Normal"/>
    <w:next w:val="Normal"/>
    <w:qFormat/>
    <w:rsid w:val="00B43BE6"/>
    <w:pPr>
      <w:keepNext/>
      <w:outlineLvl w:val="0"/>
    </w:pPr>
    <w:rPr>
      <w:b/>
      <w:bCs/>
      <w:sz w:val="24"/>
      <w:szCs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43BE6"/>
    <w:pPr>
      <w:jc w:val="both"/>
    </w:pPr>
    <w:rPr>
      <w:sz w:val="24"/>
      <w:szCs w:val="24"/>
      <w:lang w:val="es-MX"/>
    </w:rPr>
  </w:style>
  <w:style w:type="paragraph" w:styleId="Ttulo">
    <w:name w:val="Title"/>
    <w:basedOn w:val="Normal"/>
    <w:qFormat/>
    <w:rsid w:val="00B43BE6"/>
    <w:pPr>
      <w:jc w:val="center"/>
      <w:outlineLvl w:val="0"/>
    </w:pPr>
    <w:rPr>
      <w:rFonts w:cs="Times New Roman"/>
      <w:b/>
      <w:bCs/>
      <w:szCs w:val="22"/>
      <w:lang w:val="es-MX"/>
    </w:rPr>
  </w:style>
  <w:style w:type="paragraph" w:styleId="Sangradetextonormal">
    <w:name w:val="Body Text Indent"/>
    <w:basedOn w:val="Normal"/>
    <w:rsid w:val="00B43BE6"/>
    <w:pPr>
      <w:keepNext/>
      <w:ind w:left="284" w:hanging="284"/>
      <w:jc w:val="both"/>
    </w:pPr>
    <w:rPr>
      <w:rFonts w:cs="Times New Roman"/>
      <w:sz w:val="20"/>
      <w:szCs w:val="20"/>
      <w:lang w:val="es-MX"/>
    </w:rPr>
  </w:style>
  <w:style w:type="paragraph" w:styleId="Textoindependiente3">
    <w:name w:val="Body Text 3"/>
    <w:basedOn w:val="Normal"/>
    <w:rsid w:val="00B43BE6"/>
    <w:pPr>
      <w:jc w:val="both"/>
    </w:pPr>
    <w:rPr>
      <w:rFonts w:cs="Times New Roman"/>
      <w:sz w:val="20"/>
      <w:szCs w:val="20"/>
      <w:lang w:val="es-MX"/>
    </w:rPr>
  </w:style>
  <w:style w:type="paragraph" w:styleId="Piedepgina">
    <w:name w:val="footer"/>
    <w:basedOn w:val="Normal"/>
    <w:rsid w:val="00B43BE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B43BE6"/>
    <w:rPr>
      <w:rFonts w:cs="Times New Roman"/>
    </w:rPr>
  </w:style>
  <w:style w:type="paragraph" w:styleId="Encabezado">
    <w:name w:val="header"/>
    <w:basedOn w:val="Normal"/>
    <w:rsid w:val="00B43BE6"/>
    <w:pPr>
      <w:tabs>
        <w:tab w:val="center" w:pos="4252"/>
        <w:tab w:val="right" w:pos="8504"/>
      </w:tabs>
    </w:pPr>
  </w:style>
  <w:style w:type="character" w:styleId="Refdenotaalpie">
    <w:name w:val="footnote reference"/>
    <w:basedOn w:val="Fuentedeprrafopredeter"/>
    <w:semiHidden/>
    <w:rsid w:val="00B43BE6"/>
    <w:rPr>
      <w:rFonts w:cs="Times New Roman"/>
      <w:vertAlign w:val="superscript"/>
    </w:rPr>
  </w:style>
  <w:style w:type="paragraph" w:styleId="Mapadeldocumento">
    <w:name w:val="Document Map"/>
    <w:basedOn w:val="Normal"/>
    <w:semiHidden/>
    <w:rsid w:val="00B43BE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9pt">
    <w:name w:val="Normal + 9 pt"/>
    <w:aliases w:val="Sin Expandido / Comprimido"/>
    <w:basedOn w:val="Textoindependiente"/>
    <w:rsid w:val="00B43BE6"/>
    <w:pPr>
      <w:numPr>
        <w:numId w:val="1"/>
      </w:numPr>
    </w:pPr>
    <w:rPr>
      <w:sz w:val="18"/>
      <w:szCs w:val="18"/>
    </w:rPr>
  </w:style>
  <w:style w:type="paragraph" w:styleId="Textodeglobo">
    <w:name w:val="Balloon Text"/>
    <w:basedOn w:val="Normal"/>
    <w:semiHidden/>
    <w:rsid w:val="00B43BE6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B43BE6"/>
    <w:rPr>
      <w:sz w:val="16"/>
      <w:szCs w:val="16"/>
    </w:rPr>
  </w:style>
  <w:style w:type="paragraph" w:styleId="Textocomentario">
    <w:name w:val="annotation text"/>
    <w:basedOn w:val="Normal"/>
    <w:semiHidden/>
    <w:rsid w:val="00B43BE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B43BE6"/>
    <w:rPr>
      <w:b/>
      <w:bCs/>
    </w:rPr>
  </w:style>
  <w:style w:type="paragraph" w:styleId="Textonotapie">
    <w:name w:val="footnote text"/>
    <w:basedOn w:val="Normal"/>
    <w:link w:val="TextonotapieCar"/>
    <w:semiHidden/>
    <w:rsid w:val="00E01B8A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357D94"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semiHidden/>
    <w:rsid w:val="00C77157"/>
    <w:rPr>
      <w:rFonts w:ascii="Arial" w:hAnsi="Arial" w:cs="Arial"/>
      <w:spacing w:val="20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3978F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i/>
        <w:sz w:val="22"/>
        <w:szCs w:val="18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3BE6"/>
  </w:style>
  <w:style w:type="paragraph" w:styleId="Ttulo1">
    <w:name w:val="heading 1"/>
    <w:basedOn w:val="Normal"/>
    <w:next w:val="Normal"/>
    <w:qFormat/>
    <w:rsid w:val="00B43BE6"/>
    <w:pPr>
      <w:keepNext/>
      <w:outlineLvl w:val="0"/>
    </w:pPr>
    <w:rPr>
      <w:b/>
      <w:bCs/>
      <w:sz w:val="24"/>
      <w:szCs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43BE6"/>
    <w:pPr>
      <w:jc w:val="both"/>
    </w:pPr>
    <w:rPr>
      <w:sz w:val="24"/>
      <w:szCs w:val="24"/>
      <w:lang w:val="es-MX"/>
    </w:rPr>
  </w:style>
  <w:style w:type="paragraph" w:styleId="Ttulo">
    <w:name w:val="Title"/>
    <w:basedOn w:val="Normal"/>
    <w:qFormat/>
    <w:rsid w:val="00B43BE6"/>
    <w:pPr>
      <w:jc w:val="center"/>
      <w:outlineLvl w:val="0"/>
    </w:pPr>
    <w:rPr>
      <w:rFonts w:cs="Times New Roman"/>
      <w:b/>
      <w:bCs/>
      <w:szCs w:val="22"/>
      <w:lang w:val="es-MX"/>
    </w:rPr>
  </w:style>
  <w:style w:type="paragraph" w:styleId="Sangradetextonormal">
    <w:name w:val="Body Text Indent"/>
    <w:basedOn w:val="Normal"/>
    <w:rsid w:val="00B43BE6"/>
    <w:pPr>
      <w:keepNext/>
      <w:ind w:left="284" w:hanging="284"/>
      <w:jc w:val="both"/>
    </w:pPr>
    <w:rPr>
      <w:rFonts w:cs="Times New Roman"/>
      <w:sz w:val="20"/>
      <w:szCs w:val="20"/>
      <w:lang w:val="es-MX"/>
    </w:rPr>
  </w:style>
  <w:style w:type="paragraph" w:styleId="Textoindependiente3">
    <w:name w:val="Body Text 3"/>
    <w:basedOn w:val="Normal"/>
    <w:rsid w:val="00B43BE6"/>
    <w:pPr>
      <w:jc w:val="both"/>
    </w:pPr>
    <w:rPr>
      <w:rFonts w:cs="Times New Roman"/>
      <w:sz w:val="20"/>
      <w:szCs w:val="20"/>
      <w:lang w:val="es-MX"/>
    </w:rPr>
  </w:style>
  <w:style w:type="paragraph" w:styleId="Piedepgina">
    <w:name w:val="footer"/>
    <w:basedOn w:val="Normal"/>
    <w:rsid w:val="00B43BE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B43BE6"/>
    <w:rPr>
      <w:rFonts w:cs="Times New Roman"/>
    </w:rPr>
  </w:style>
  <w:style w:type="paragraph" w:styleId="Encabezado">
    <w:name w:val="header"/>
    <w:basedOn w:val="Normal"/>
    <w:rsid w:val="00B43BE6"/>
    <w:pPr>
      <w:tabs>
        <w:tab w:val="center" w:pos="4252"/>
        <w:tab w:val="right" w:pos="8504"/>
      </w:tabs>
    </w:pPr>
  </w:style>
  <w:style w:type="character" w:styleId="Refdenotaalpie">
    <w:name w:val="footnote reference"/>
    <w:basedOn w:val="Fuentedeprrafopredeter"/>
    <w:semiHidden/>
    <w:rsid w:val="00B43BE6"/>
    <w:rPr>
      <w:rFonts w:cs="Times New Roman"/>
      <w:vertAlign w:val="superscript"/>
    </w:rPr>
  </w:style>
  <w:style w:type="paragraph" w:styleId="Mapadeldocumento">
    <w:name w:val="Document Map"/>
    <w:basedOn w:val="Normal"/>
    <w:semiHidden/>
    <w:rsid w:val="00B43BE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9pt">
    <w:name w:val="Normal + 9 pt"/>
    <w:aliases w:val="Sin Expandido / Comprimido"/>
    <w:basedOn w:val="Textoindependiente"/>
    <w:rsid w:val="00B43BE6"/>
    <w:pPr>
      <w:numPr>
        <w:numId w:val="1"/>
      </w:numPr>
    </w:pPr>
    <w:rPr>
      <w:sz w:val="18"/>
      <w:szCs w:val="18"/>
    </w:rPr>
  </w:style>
  <w:style w:type="paragraph" w:styleId="Textodeglobo">
    <w:name w:val="Balloon Text"/>
    <w:basedOn w:val="Normal"/>
    <w:semiHidden/>
    <w:rsid w:val="00B43BE6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B43BE6"/>
    <w:rPr>
      <w:sz w:val="16"/>
      <w:szCs w:val="16"/>
    </w:rPr>
  </w:style>
  <w:style w:type="paragraph" w:styleId="Textocomentario">
    <w:name w:val="annotation text"/>
    <w:basedOn w:val="Normal"/>
    <w:semiHidden/>
    <w:rsid w:val="00B43BE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B43BE6"/>
    <w:rPr>
      <w:b/>
      <w:bCs/>
    </w:rPr>
  </w:style>
  <w:style w:type="paragraph" w:styleId="Textonotapie">
    <w:name w:val="footnote text"/>
    <w:basedOn w:val="Normal"/>
    <w:link w:val="TextonotapieCar"/>
    <w:semiHidden/>
    <w:rsid w:val="00E01B8A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357D94"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semiHidden/>
    <w:rsid w:val="00C77157"/>
    <w:rPr>
      <w:rFonts w:ascii="Arial" w:hAnsi="Arial" w:cs="Arial"/>
      <w:spacing w:val="20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3978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1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09189-5EDC-4E81-988F-6E29FB0E3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630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CAPITULO XXI: REGLAS APLICABLES A LA GESTIÓN DE LOS RIESGOS DE MERCADO</vt:lpstr>
    </vt:vector>
  </TitlesOfParts>
  <Company>Superfinanciera</Company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CAPITULO XXI: REGLAS APLICABLES A LA GESTIÓN DE LOS RIESGOS DE MERCADO</dc:title>
  <dc:creator>Soporte Técnico</dc:creator>
  <cp:lastModifiedBy>SFC</cp:lastModifiedBy>
  <cp:revision>4</cp:revision>
  <cp:lastPrinted>2014-04-22T21:47:00Z</cp:lastPrinted>
  <dcterms:created xsi:type="dcterms:W3CDTF">2017-12-12T15:43:00Z</dcterms:created>
  <dcterms:modified xsi:type="dcterms:W3CDTF">2017-12-12T16:51:00Z</dcterms:modified>
</cp:coreProperties>
</file>