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9C59EC" w14:textId="1AB5349C" w:rsidR="009B50CC" w:rsidRPr="00A329B8" w:rsidRDefault="008B3049" w:rsidP="00F842CA">
      <w:pPr>
        <w:pStyle w:val="Ttulo1"/>
        <w:ind w:left="227" w:hanging="227"/>
        <w:jc w:val="center"/>
        <w:rPr>
          <w:rFonts w:cs="Arial"/>
          <w:sz w:val="22"/>
          <w:szCs w:val="22"/>
        </w:rPr>
      </w:pPr>
      <w:r w:rsidRPr="00A329B8">
        <w:rPr>
          <w:rFonts w:cs="Arial"/>
          <w:sz w:val="22"/>
          <w:szCs w:val="22"/>
        </w:rPr>
        <w:t xml:space="preserve"> </w:t>
      </w:r>
      <w:r w:rsidR="00401361" w:rsidRPr="00A329B8">
        <w:rPr>
          <w:rFonts w:cs="Arial"/>
          <w:sz w:val="22"/>
          <w:szCs w:val="22"/>
        </w:rPr>
        <w:t>CAPÍTULO XIII – 12</w:t>
      </w:r>
      <w:r w:rsidR="001E3CE2">
        <w:rPr>
          <w:rFonts w:cs="Arial"/>
          <w:sz w:val="22"/>
          <w:szCs w:val="22"/>
        </w:rPr>
        <w:t xml:space="preserve"> </w:t>
      </w:r>
      <w:r w:rsidR="001E3CE2" w:rsidRPr="00A329B8">
        <w:rPr>
          <w:rFonts w:cs="Arial"/>
          <w:sz w:val="22"/>
          <w:szCs w:val="22"/>
        </w:rPr>
        <w:t>–</w:t>
      </w:r>
      <w:r w:rsidR="001E3CE2">
        <w:rPr>
          <w:rFonts w:cs="Arial"/>
          <w:sz w:val="22"/>
          <w:szCs w:val="22"/>
        </w:rPr>
        <w:t xml:space="preserve"> 1</w:t>
      </w:r>
    </w:p>
    <w:p w14:paraId="765D6F94" w14:textId="77777777" w:rsidR="00F85CE9" w:rsidRPr="00A329B8" w:rsidRDefault="00F85CE9" w:rsidP="00EB7F18">
      <w:pPr>
        <w:rPr>
          <w:rFonts w:ascii="Arial" w:hAnsi="Arial" w:cs="Arial"/>
          <w:sz w:val="22"/>
          <w:szCs w:val="22"/>
          <w:lang w:val="es-ES_tradnl"/>
        </w:rPr>
      </w:pPr>
    </w:p>
    <w:p w14:paraId="0F8F91D8" w14:textId="1B953BE8" w:rsidR="00401361" w:rsidRPr="00A329B8" w:rsidRDefault="00401361" w:rsidP="00DF4D94">
      <w:pPr>
        <w:jc w:val="center"/>
        <w:rPr>
          <w:rFonts w:ascii="Arial" w:hAnsi="Arial" w:cs="Arial"/>
          <w:b/>
          <w:sz w:val="22"/>
          <w:szCs w:val="22"/>
          <w:lang w:val="es-ES_tradnl"/>
        </w:rPr>
      </w:pPr>
      <w:r w:rsidRPr="00A329B8">
        <w:rPr>
          <w:rFonts w:ascii="Arial" w:hAnsi="Arial" w:cs="Arial"/>
          <w:b/>
          <w:sz w:val="22"/>
          <w:szCs w:val="22"/>
          <w:lang w:val="es-ES_tradnl"/>
        </w:rPr>
        <w:t>Relación de Solvencia de las</w:t>
      </w:r>
      <w:r w:rsidR="00A25AF6" w:rsidRPr="00A329B8">
        <w:rPr>
          <w:rFonts w:ascii="Arial" w:hAnsi="Arial" w:cs="Arial"/>
          <w:b/>
          <w:sz w:val="22"/>
          <w:szCs w:val="22"/>
          <w:lang w:val="es-ES_tradnl"/>
        </w:rPr>
        <w:t xml:space="preserve"> </w:t>
      </w:r>
      <w:r w:rsidR="00A05B76" w:rsidRPr="00A329B8">
        <w:rPr>
          <w:rFonts w:ascii="Arial" w:hAnsi="Arial" w:cs="Arial"/>
          <w:b/>
          <w:sz w:val="22"/>
          <w:szCs w:val="22"/>
          <w:lang w:val="es-ES_tradnl"/>
        </w:rPr>
        <w:t>Sociedades Fiduciarias, Sociedades Administradoras de Fondos de Pensiones y Cesantías y Entidades Aseguradoras</w:t>
      </w:r>
      <w:r w:rsidR="003947C2" w:rsidRPr="00A329B8">
        <w:rPr>
          <w:rFonts w:ascii="Arial" w:hAnsi="Arial" w:cs="Arial"/>
          <w:b/>
          <w:sz w:val="22"/>
          <w:szCs w:val="22"/>
          <w:lang w:val="es-ES_tradnl"/>
        </w:rPr>
        <w:t>.</w:t>
      </w:r>
    </w:p>
    <w:p w14:paraId="0B05BE2D" w14:textId="77777777" w:rsidR="00F85CE9" w:rsidRPr="00A329B8" w:rsidRDefault="00F85CE9" w:rsidP="00F41ADC">
      <w:pPr>
        <w:rPr>
          <w:rFonts w:ascii="Arial" w:hAnsi="Arial" w:cs="Arial"/>
          <w:b/>
          <w:sz w:val="22"/>
          <w:szCs w:val="22"/>
          <w:lang w:val="es-ES_tradnl"/>
        </w:rPr>
      </w:pPr>
    </w:p>
    <w:p w14:paraId="0617C3E8" w14:textId="54F226A3" w:rsidR="00F2650B" w:rsidRDefault="00F2650B" w:rsidP="00641472">
      <w:pPr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 xml:space="preserve">Las </w:t>
      </w:r>
      <w:r w:rsidRPr="00121058">
        <w:rPr>
          <w:rFonts w:ascii="Arial" w:hAnsi="Arial" w:cs="Arial"/>
          <w:sz w:val="22"/>
          <w:szCs w:val="22"/>
          <w:lang w:val="es-ES_tradnl"/>
        </w:rPr>
        <w:t>Sociedades Fiduciarias</w:t>
      </w:r>
      <w:r w:rsidR="001E3CE2">
        <w:rPr>
          <w:rFonts w:ascii="Arial" w:hAnsi="Arial" w:cs="Arial"/>
          <w:sz w:val="22"/>
          <w:szCs w:val="22"/>
          <w:lang w:val="es-ES_tradnl"/>
        </w:rPr>
        <w:t xml:space="preserve"> y las</w:t>
      </w:r>
      <w:r w:rsidRPr="00121058">
        <w:rPr>
          <w:rFonts w:ascii="Arial" w:hAnsi="Arial" w:cs="Arial"/>
          <w:sz w:val="22"/>
          <w:szCs w:val="22"/>
          <w:lang w:val="es-ES_tradnl"/>
        </w:rPr>
        <w:t xml:space="preserve"> Sociedades Administradoras de Fondos de Pensiones y Cesantías </w:t>
      </w:r>
      <w:r w:rsidR="00614E75" w:rsidRPr="00A329B8">
        <w:rPr>
          <w:rFonts w:ascii="Arial" w:hAnsi="Arial" w:cs="Arial"/>
          <w:sz w:val="22"/>
          <w:szCs w:val="22"/>
          <w:lang w:val="es-ES_tradnl"/>
        </w:rPr>
        <w:t>debe</w:t>
      </w:r>
      <w:r w:rsidR="00641472" w:rsidRPr="00A329B8">
        <w:rPr>
          <w:rFonts w:ascii="Arial" w:hAnsi="Arial" w:cs="Arial"/>
          <w:sz w:val="22"/>
          <w:szCs w:val="22"/>
          <w:lang w:val="es-ES_tradnl"/>
        </w:rPr>
        <w:t>n acreditar diariamente el cumplimiento de las instrucciones establecidas en el Decreto 255</w:t>
      </w:r>
      <w:r w:rsidR="00614E75" w:rsidRPr="00A329B8">
        <w:rPr>
          <w:rFonts w:ascii="Arial" w:hAnsi="Arial" w:cs="Arial"/>
          <w:sz w:val="22"/>
          <w:szCs w:val="22"/>
          <w:lang w:val="es-ES_tradnl"/>
        </w:rPr>
        <w:t>5</w:t>
      </w:r>
      <w:r w:rsidR="00641472" w:rsidRPr="00A329B8">
        <w:rPr>
          <w:rFonts w:ascii="Arial" w:hAnsi="Arial" w:cs="Arial"/>
          <w:sz w:val="22"/>
          <w:szCs w:val="22"/>
          <w:lang w:val="es-ES_tradnl"/>
        </w:rPr>
        <w:t xml:space="preserve"> de 2010</w:t>
      </w:r>
      <w:r w:rsidR="00FE43AA">
        <w:rPr>
          <w:rFonts w:ascii="Arial" w:hAnsi="Arial" w:cs="Arial"/>
          <w:sz w:val="22"/>
          <w:szCs w:val="22"/>
          <w:lang w:val="es-ES_tradnl"/>
        </w:rPr>
        <w:t xml:space="preserve"> para cada una de ellas</w:t>
      </w:r>
      <w:r w:rsidR="00641472" w:rsidRPr="00A329B8">
        <w:rPr>
          <w:rFonts w:ascii="Arial" w:hAnsi="Arial" w:cs="Arial"/>
          <w:sz w:val="22"/>
          <w:szCs w:val="22"/>
          <w:lang w:val="es-ES_tradnl"/>
        </w:rPr>
        <w:t xml:space="preserve"> respecto del cálculo de la relación de solvencia.</w:t>
      </w:r>
    </w:p>
    <w:p w14:paraId="595AA702" w14:textId="77777777" w:rsidR="00F2650B" w:rsidRDefault="00F2650B" w:rsidP="0064147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3B3E362D" w14:textId="562A2A34" w:rsidR="00F2650B" w:rsidRDefault="00F2650B" w:rsidP="00F2650B">
      <w:pPr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 xml:space="preserve">Las </w:t>
      </w:r>
      <w:r w:rsidR="00121058">
        <w:rPr>
          <w:rFonts w:ascii="Arial" w:hAnsi="Arial" w:cs="Arial"/>
          <w:sz w:val="22"/>
          <w:szCs w:val="22"/>
          <w:lang w:val="es-ES_tradnl"/>
        </w:rPr>
        <w:t>E</w:t>
      </w:r>
      <w:r>
        <w:rPr>
          <w:rFonts w:ascii="Arial" w:hAnsi="Arial" w:cs="Arial"/>
          <w:sz w:val="22"/>
          <w:szCs w:val="22"/>
          <w:lang w:val="es-ES_tradnl"/>
        </w:rPr>
        <w:t xml:space="preserve">ntidades </w:t>
      </w:r>
      <w:r w:rsidR="00121058">
        <w:rPr>
          <w:rFonts w:ascii="Arial" w:hAnsi="Arial" w:cs="Arial"/>
          <w:sz w:val="22"/>
          <w:szCs w:val="22"/>
          <w:lang w:val="es-ES_tradnl"/>
        </w:rPr>
        <w:t>A</w:t>
      </w:r>
      <w:r>
        <w:rPr>
          <w:rFonts w:ascii="Arial" w:hAnsi="Arial" w:cs="Arial"/>
          <w:sz w:val="22"/>
          <w:szCs w:val="22"/>
          <w:lang w:val="es-ES_tradnl"/>
        </w:rPr>
        <w:t xml:space="preserve">seguradoras deben acreditar mensualmente el </w:t>
      </w:r>
      <w:r w:rsidRPr="00A329B8">
        <w:rPr>
          <w:rFonts w:ascii="Arial" w:hAnsi="Arial" w:cs="Arial"/>
          <w:sz w:val="22"/>
          <w:szCs w:val="22"/>
          <w:lang w:val="es-ES_tradnl"/>
        </w:rPr>
        <w:t>cumplimiento de las instrucciones establecidas en el Decreto 2555 de 2010 respecto del cálculo de la relación de solvencia.</w:t>
      </w:r>
      <w:r>
        <w:rPr>
          <w:rFonts w:ascii="Arial" w:hAnsi="Arial" w:cs="Arial"/>
          <w:sz w:val="22"/>
          <w:szCs w:val="22"/>
          <w:lang w:val="es-ES_tradnl"/>
        </w:rPr>
        <w:t xml:space="preserve"> </w:t>
      </w:r>
    </w:p>
    <w:p w14:paraId="1222E786" w14:textId="77777777" w:rsidR="00F2650B" w:rsidRDefault="00F2650B" w:rsidP="00F2650B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0728CBFD" w14:textId="2C06A7A6" w:rsidR="00F2650B" w:rsidRDefault="00F2650B" w:rsidP="00641472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A329B8">
        <w:rPr>
          <w:rFonts w:ascii="Arial" w:hAnsi="Arial" w:cs="Arial"/>
          <w:sz w:val="22"/>
          <w:szCs w:val="22"/>
          <w:lang w:val="es-ES_tradnl"/>
        </w:rPr>
        <w:t>La</w:t>
      </w:r>
      <w:r>
        <w:rPr>
          <w:rFonts w:ascii="Arial" w:hAnsi="Arial" w:cs="Arial"/>
          <w:sz w:val="22"/>
          <w:szCs w:val="22"/>
          <w:lang w:val="es-ES_tradnl"/>
        </w:rPr>
        <w:t>s entidades destinatarias del presente Capítulo deben remitir</w:t>
      </w:r>
      <w:r w:rsidRPr="00A329B8">
        <w:rPr>
          <w:rFonts w:ascii="Arial" w:hAnsi="Arial" w:cs="Arial"/>
          <w:sz w:val="22"/>
          <w:szCs w:val="22"/>
          <w:lang w:val="es-ES_tradnl"/>
        </w:rPr>
        <w:t xml:space="preserve"> </w:t>
      </w:r>
      <w:r>
        <w:rPr>
          <w:rFonts w:ascii="Arial" w:hAnsi="Arial" w:cs="Arial"/>
          <w:sz w:val="22"/>
          <w:szCs w:val="22"/>
          <w:lang w:val="es-ES_tradnl"/>
        </w:rPr>
        <w:t>la</w:t>
      </w:r>
      <w:r w:rsidRPr="00A329B8">
        <w:rPr>
          <w:rFonts w:ascii="Arial" w:hAnsi="Arial" w:cs="Arial"/>
          <w:sz w:val="22"/>
          <w:szCs w:val="22"/>
          <w:lang w:val="es-ES_tradnl"/>
        </w:rPr>
        <w:t xml:space="preserve"> información que permita verificar el cump</w:t>
      </w:r>
      <w:r>
        <w:rPr>
          <w:rFonts w:ascii="Arial" w:hAnsi="Arial" w:cs="Arial"/>
          <w:sz w:val="22"/>
          <w:szCs w:val="22"/>
          <w:lang w:val="es-ES_tradnl"/>
        </w:rPr>
        <w:t xml:space="preserve">limiento de estas instrucciones de </w:t>
      </w:r>
      <w:r w:rsidRPr="00A329B8">
        <w:rPr>
          <w:rFonts w:ascii="Arial" w:hAnsi="Arial" w:cs="Arial"/>
          <w:sz w:val="22"/>
          <w:szCs w:val="22"/>
          <w:lang w:val="es-ES_tradnl"/>
        </w:rPr>
        <w:t xml:space="preserve">acuerdo con la periodicidad definida por la </w:t>
      </w:r>
      <w:r w:rsidR="001E3CE2">
        <w:rPr>
          <w:rFonts w:ascii="Arial" w:hAnsi="Arial" w:cs="Arial"/>
          <w:sz w:val="22"/>
          <w:szCs w:val="22"/>
          <w:lang w:val="es-ES_tradnl"/>
        </w:rPr>
        <w:t>Superintendencia Financiera de Colombia (</w:t>
      </w:r>
      <w:r w:rsidRPr="00A329B8">
        <w:rPr>
          <w:rFonts w:ascii="Arial" w:hAnsi="Arial" w:cs="Arial"/>
          <w:sz w:val="22"/>
          <w:szCs w:val="22"/>
          <w:lang w:val="es-ES_tradnl"/>
        </w:rPr>
        <w:t>SFC</w:t>
      </w:r>
      <w:r w:rsidR="001E3CE2">
        <w:rPr>
          <w:rFonts w:ascii="Arial" w:hAnsi="Arial" w:cs="Arial"/>
          <w:sz w:val="22"/>
          <w:szCs w:val="22"/>
          <w:lang w:val="es-ES_tradnl"/>
        </w:rPr>
        <w:t>)</w:t>
      </w:r>
      <w:r w:rsidRPr="00A329B8">
        <w:rPr>
          <w:rFonts w:ascii="Arial" w:hAnsi="Arial" w:cs="Arial"/>
          <w:sz w:val="22"/>
          <w:szCs w:val="22"/>
          <w:lang w:val="es-ES_tradnl"/>
        </w:rPr>
        <w:t xml:space="preserve"> en los formatos e instructivos aplicables a cada tipo de entidad. En todo caso, la información base del cálculo del requerimiento de solvencia debe permanecer a disposición de la SFC, cuando </w:t>
      </w:r>
      <w:r w:rsidR="00660893">
        <w:rPr>
          <w:rFonts w:ascii="Arial" w:hAnsi="Arial" w:cs="Arial"/>
          <w:sz w:val="22"/>
          <w:szCs w:val="22"/>
          <w:lang w:val="es-ES_tradnl"/>
        </w:rPr>
        <w:t>é</w:t>
      </w:r>
      <w:r w:rsidRPr="00A329B8">
        <w:rPr>
          <w:rFonts w:ascii="Arial" w:hAnsi="Arial" w:cs="Arial"/>
          <w:sz w:val="22"/>
          <w:szCs w:val="22"/>
          <w:lang w:val="es-ES_tradnl"/>
        </w:rPr>
        <w:t xml:space="preserve">sta lo requiera.  </w:t>
      </w:r>
    </w:p>
    <w:p w14:paraId="6E90A13F" w14:textId="77777777" w:rsidR="00641472" w:rsidRPr="00A329B8" w:rsidRDefault="00641472" w:rsidP="00532539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</w:p>
    <w:p w14:paraId="3816C266" w14:textId="365E37FC" w:rsidR="00532539" w:rsidRPr="00A329B8" w:rsidRDefault="00532539" w:rsidP="00532539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A329B8">
        <w:rPr>
          <w:rFonts w:ascii="Arial" w:hAnsi="Arial" w:cs="Arial"/>
          <w:sz w:val="22"/>
          <w:szCs w:val="22"/>
        </w:rPr>
        <w:t xml:space="preserve">Para el cálculo de la relación de solvencia establecido en el Decreto 2555 de 2010, las entidades </w:t>
      </w:r>
      <w:r w:rsidR="001E3CE2">
        <w:rPr>
          <w:rFonts w:ascii="Arial" w:hAnsi="Arial" w:cs="Arial"/>
          <w:sz w:val="22"/>
          <w:szCs w:val="22"/>
        </w:rPr>
        <w:t>destinatarias del presente Capítulo</w:t>
      </w:r>
      <w:r w:rsidRPr="00A329B8">
        <w:rPr>
          <w:rFonts w:ascii="Arial" w:hAnsi="Arial" w:cs="Arial"/>
          <w:sz w:val="22"/>
          <w:szCs w:val="22"/>
        </w:rPr>
        <w:t xml:space="preserve"> deben</w:t>
      </w:r>
      <w:r w:rsidR="00641472" w:rsidRPr="00A329B8">
        <w:rPr>
          <w:rFonts w:ascii="Arial" w:hAnsi="Arial" w:cs="Arial"/>
          <w:sz w:val="22"/>
          <w:szCs w:val="22"/>
        </w:rPr>
        <w:t xml:space="preserve"> </w:t>
      </w:r>
      <w:r w:rsidRPr="00A329B8">
        <w:rPr>
          <w:rFonts w:ascii="Arial" w:hAnsi="Arial" w:cs="Arial"/>
          <w:sz w:val="22"/>
          <w:szCs w:val="22"/>
        </w:rPr>
        <w:t>atender a las siguientes instrucciones</w:t>
      </w:r>
      <w:r w:rsidR="00614E75" w:rsidRPr="00A329B8">
        <w:rPr>
          <w:rFonts w:ascii="Arial" w:hAnsi="Arial" w:cs="Arial"/>
          <w:sz w:val="22"/>
          <w:szCs w:val="22"/>
        </w:rPr>
        <w:t>:</w:t>
      </w:r>
    </w:p>
    <w:p w14:paraId="00AE48A0" w14:textId="77777777" w:rsidR="00532539" w:rsidRPr="00A329B8" w:rsidRDefault="00532539" w:rsidP="00EB7F18">
      <w:pPr>
        <w:spacing w:line="240" w:lineRule="atLeast"/>
        <w:rPr>
          <w:rFonts w:ascii="Arial" w:hAnsi="Arial" w:cs="Arial"/>
          <w:b/>
          <w:caps/>
          <w:sz w:val="22"/>
          <w:szCs w:val="22"/>
        </w:rPr>
      </w:pPr>
    </w:p>
    <w:p w14:paraId="197EF58B" w14:textId="5CFB4287" w:rsidR="00A05B76" w:rsidRPr="00A329B8" w:rsidRDefault="00092911" w:rsidP="00092911">
      <w:pPr>
        <w:pStyle w:val="Titulo2"/>
        <w:numPr>
          <w:ilvl w:val="0"/>
          <w:numId w:val="0"/>
        </w:numPr>
        <w:jc w:val="both"/>
        <w:rPr>
          <w:rFonts w:ascii="Arial" w:hAnsi="Arial" w:cs="Arial"/>
          <w:b/>
          <w:sz w:val="22"/>
          <w:szCs w:val="22"/>
        </w:rPr>
      </w:pPr>
      <w:r w:rsidRPr="00A329B8">
        <w:rPr>
          <w:rFonts w:ascii="Arial" w:hAnsi="Arial" w:cs="Arial"/>
          <w:b/>
          <w:sz w:val="22"/>
          <w:szCs w:val="22"/>
        </w:rPr>
        <w:t xml:space="preserve">1. </w:t>
      </w:r>
      <w:r w:rsidR="006565AA" w:rsidRPr="00A329B8">
        <w:rPr>
          <w:rFonts w:ascii="Arial" w:hAnsi="Arial" w:cs="Arial"/>
          <w:b/>
          <w:sz w:val="22"/>
          <w:szCs w:val="22"/>
        </w:rPr>
        <w:t>Activos Ponderados por Nivel de R</w:t>
      </w:r>
      <w:r w:rsidR="006676C7" w:rsidRPr="00A329B8">
        <w:rPr>
          <w:rFonts w:ascii="Arial" w:hAnsi="Arial" w:cs="Arial"/>
          <w:b/>
          <w:sz w:val="22"/>
          <w:szCs w:val="22"/>
        </w:rPr>
        <w:t xml:space="preserve">iesgo de las </w:t>
      </w:r>
      <w:r w:rsidR="006565AA" w:rsidRPr="00A329B8">
        <w:rPr>
          <w:rFonts w:ascii="Arial" w:hAnsi="Arial" w:cs="Arial"/>
          <w:b/>
          <w:sz w:val="22"/>
          <w:szCs w:val="22"/>
          <w:lang w:val="es-ES_tradnl"/>
        </w:rPr>
        <w:t>Sociedades Fiduciarias y</w:t>
      </w:r>
      <w:r w:rsidR="006676C7" w:rsidRPr="00A329B8">
        <w:rPr>
          <w:rFonts w:ascii="Arial" w:hAnsi="Arial" w:cs="Arial"/>
          <w:b/>
          <w:sz w:val="22"/>
          <w:szCs w:val="22"/>
          <w:lang w:val="es-ES_tradnl"/>
        </w:rPr>
        <w:t xml:space="preserve"> </w:t>
      </w:r>
      <w:r w:rsidR="001E3CE2">
        <w:rPr>
          <w:rFonts w:ascii="Arial" w:hAnsi="Arial" w:cs="Arial"/>
          <w:b/>
          <w:sz w:val="22"/>
          <w:szCs w:val="22"/>
          <w:lang w:val="es-ES_tradnl"/>
        </w:rPr>
        <w:t xml:space="preserve">de las </w:t>
      </w:r>
      <w:r w:rsidR="006676C7" w:rsidRPr="00A329B8">
        <w:rPr>
          <w:rFonts w:ascii="Arial" w:hAnsi="Arial" w:cs="Arial"/>
          <w:b/>
          <w:sz w:val="22"/>
          <w:szCs w:val="22"/>
          <w:lang w:val="es-ES_tradnl"/>
        </w:rPr>
        <w:t>Sociedades Administradoras de Fondos de Pensiones y Cesantías</w:t>
      </w:r>
    </w:p>
    <w:p w14:paraId="369EA5D2" w14:textId="77777777" w:rsidR="00A05B76" w:rsidRPr="00A329B8" w:rsidRDefault="00A05B76" w:rsidP="00EB7F18">
      <w:pPr>
        <w:pStyle w:val="Titulo"/>
        <w:numPr>
          <w:ilvl w:val="0"/>
          <w:numId w:val="0"/>
        </w:numPr>
        <w:ind w:left="360"/>
        <w:rPr>
          <w:rFonts w:ascii="Arial" w:hAnsi="Arial" w:cs="Arial"/>
          <w:b/>
          <w:sz w:val="22"/>
          <w:szCs w:val="22"/>
        </w:rPr>
      </w:pPr>
    </w:p>
    <w:p w14:paraId="7F4C3856" w14:textId="547B1D88" w:rsidR="009B50CC" w:rsidRPr="00A329B8" w:rsidRDefault="009B50CC" w:rsidP="00847CEA">
      <w:pPr>
        <w:pStyle w:val="Titulo"/>
        <w:rPr>
          <w:rFonts w:ascii="Arial" w:hAnsi="Arial" w:cs="Arial"/>
          <w:b/>
          <w:sz w:val="22"/>
          <w:szCs w:val="22"/>
        </w:rPr>
      </w:pPr>
      <w:r w:rsidRPr="00A329B8">
        <w:rPr>
          <w:rFonts w:ascii="Arial" w:hAnsi="Arial" w:cs="Arial"/>
          <w:sz w:val="22"/>
          <w:szCs w:val="22"/>
        </w:rPr>
        <w:t xml:space="preserve"> </w:t>
      </w:r>
      <w:r w:rsidR="00E43891" w:rsidRPr="00A329B8">
        <w:rPr>
          <w:rFonts w:ascii="Arial" w:hAnsi="Arial" w:cs="Arial"/>
          <w:b/>
          <w:sz w:val="22"/>
          <w:szCs w:val="22"/>
        </w:rPr>
        <w:t>Exposición al Riesgo Crediticio</w:t>
      </w:r>
    </w:p>
    <w:p w14:paraId="2A1A2D49" w14:textId="77777777" w:rsidR="009B50CC" w:rsidRPr="00A329B8" w:rsidRDefault="009B50CC" w:rsidP="009B50CC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</w:p>
    <w:p w14:paraId="49480EAE" w14:textId="3C29F571" w:rsidR="009B50CC" w:rsidRPr="00A329B8" w:rsidRDefault="009B50CC" w:rsidP="001B5AE1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A329B8">
        <w:rPr>
          <w:rFonts w:ascii="Arial" w:hAnsi="Arial" w:cs="Arial"/>
          <w:sz w:val="22"/>
          <w:szCs w:val="22"/>
        </w:rPr>
        <w:t>La clasificación de los activos de acuerdo con su ponderación de riesgo crediticio en sus respectivas categorías, tanto en moneda nacional como extranjera, se efectuará</w:t>
      </w:r>
      <w:r w:rsidR="00993753" w:rsidRPr="00A329B8">
        <w:rPr>
          <w:rFonts w:ascii="Arial" w:hAnsi="Arial" w:cs="Arial"/>
          <w:sz w:val="22"/>
          <w:szCs w:val="22"/>
        </w:rPr>
        <w:t xml:space="preserve"> </w:t>
      </w:r>
      <w:r w:rsidR="006565AA" w:rsidRPr="00A329B8">
        <w:rPr>
          <w:rFonts w:ascii="Arial" w:hAnsi="Arial" w:cs="Arial"/>
          <w:sz w:val="22"/>
          <w:szCs w:val="22"/>
        </w:rPr>
        <w:t xml:space="preserve">en los formatos de reporte de información que para el efecto se establecen, </w:t>
      </w:r>
      <w:r w:rsidR="00993753" w:rsidRPr="00A329B8">
        <w:rPr>
          <w:rFonts w:ascii="Arial" w:hAnsi="Arial" w:cs="Arial"/>
          <w:sz w:val="22"/>
          <w:szCs w:val="22"/>
        </w:rPr>
        <w:t>con</w:t>
      </w:r>
      <w:r w:rsidR="004E1D0A" w:rsidRPr="00A329B8">
        <w:rPr>
          <w:rFonts w:ascii="Arial" w:hAnsi="Arial" w:cs="Arial"/>
          <w:sz w:val="22"/>
          <w:szCs w:val="22"/>
        </w:rPr>
        <w:t xml:space="preserve"> base en lo </w:t>
      </w:r>
      <w:r w:rsidR="006565AA" w:rsidRPr="00A329B8">
        <w:rPr>
          <w:rFonts w:ascii="Arial" w:hAnsi="Arial" w:cs="Arial"/>
          <w:sz w:val="22"/>
          <w:szCs w:val="22"/>
        </w:rPr>
        <w:t>señalado</w:t>
      </w:r>
      <w:r w:rsidR="004E1D0A" w:rsidRPr="00A329B8">
        <w:rPr>
          <w:rFonts w:ascii="Arial" w:hAnsi="Arial" w:cs="Arial"/>
          <w:sz w:val="22"/>
          <w:szCs w:val="22"/>
        </w:rPr>
        <w:t xml:space="preserve"> en el </w:t>
      </w:r>
      <w:r w:rsidR="00532539" w:rsidRPr="00A329B8">
        <w:rPr>
          <w:rFonts w:ascii="Arial" w:hAnsi="Arial" w:cs="Arial"/>
          <w:sz w:val="22"/>
          <w:szCs w:val="22"/>
        </w:rPr>
        <w:t>D</w:t>
      </w:r>
      <w:r w:rsidR="004E1D0A" w:rsidRPr="00A329B8">
        <w:rPr>
          <w:rFonts w:ascii="Arial" w:hAnsi="Arial" w:cs="Arial"/>
          <w:sz w:val="22"/>
          <w:szCs w:val="22"/>
        </w:rPr>
        <w:t xml:space="preserve">ecreto 2555 de 2010 para cada una de las industrias a las que </w:t>
      </w:r>
      <w:r w:rsidR="006565AA" w:rsidRPr="00A329B8">
        <w:rPr>
          <w:rFonts w:ascii="Arial" w:hAnsi="Arial" w:cs="Arial"/>
          <w:sz w:val="22"/>
          <w:szCs w:val="22"/>
        </w:rPr>
        <w:t>se refiere</w:t>
      </w:r>
      <w:r w:rsidR="00266FBF" w:rsidRPr="00A329B8">
        <w:rPr>
          <w:rFonts w:ascii="Arial" w:hAnsi="Arial" w:cs="Arial"/>
          <w:sz w:val="22"/>
          <w:szCs w:val="22"/>
        </w:rPr>
        <w:t xml:space="preserve"> el presente numeral</w:t>
      </w:r>
      <w:r w:rsidR="004E1D0A" w:rsidRPr="00A329B8">
        <w:rPr>
          <w:rFonts w:ascii="Arial" w:hAnsi="Arial" w:cs="Arial"/>
          <w:sz w:val="22"/>
          <w:szCs w:val="22"/>
        </w:rPr>
        <w:t xml:space="preserve">. </w:t>
      </w:r>
    </w:p>
    <w:p w14:paraId="6C67F5C9" w14:textId="77777777" w:rsidR="009B50CC" w:rsidRPr="00A329B8" w:rsidRDefault="009B50CC" w:rsidP="009B50CC">
      <w:pPr>
        <w:jc w:val="both"/>
        <w:rPr>
          <w:rFonts w:ascii="Arial" w:hAnsi="Arial" w:cs="Arial"/>
          <w:b/>
          <w:sz w:val="22"/>
          <w:szCs w:val="22"/>
        </w:rPr>
      </w:pPr>
    </w:p>
    <w:p w14:paraId="6B4D1248" w14:textId="77777777" w:rsidR="009B50CC" w:rsidRPr="00A329B8" w:rsidRDefault="00E43891" w:rsidP="00E801FF">
      <w:pPr>
        <w:pStyle w:val="Titulo"/>
        <w:numPr>
          <w:ilvl w:val="2"/>
          <w:numId w:val="1"/>
        </w:numPr>
        <w:rPr>
          <w:rFonts w:ascii="Arial" w:hAnsi="Arial" w:cs="Arial"/>
          <w:b/>
          <w:sz w:val="22"/>
          <w:szCs w:val="22"/>
        </w:rPr>
      </w:pPr>
      <w:r w:rsidRPr="00A329B8">
        <w:rPr>
          <w:rFonts w:ascii="Arial" w:hAnsi="Arial" w:cs="Arial"/>
          <w:b/>
          <w:sz w:val="22"/>
          <w:szCs w:val="22"/>
        </w:rPr>
        <w:t>Ponderación de los Activos según su Nivel de Riesgo</w:t>
      </w:r>
    </w:p>
    <w:p w14:paraId="05F9F140" w14:textId="77777777" w:rsidR="00A63289" w:rsidRPr="00A329B8" w:rsidRDefault="00A63289" w:rsidP="00A63289">
      <w:pPr>
        <w:pStyle w:val="Titulo"/>
        <w:numPr>
          <w:ilvl w:val="0"/>
          <w:numId w:val="0"/>
        </w:numPr>
        <w:rPr>
          <w:rFonts w:ascii="Arial" w:hAnsi="Arial" w:cs="Arial"/>
          <w:b/>
          <w:sz w:val="22"/>
          <w:szCs w:val="22"/>
        </w:rPr>
      </w:pPr>
    </w:p>
    <w:p w14:paraId="3FAF0107" w14:textId="095B8A15" w:rsidR="00A339F1" w:rsidRPr="00A329B8" w:rsidRDefault="009B50CC" w:rsidP="00E801FF">
      <w:pPr>
        <w:pStyle w:val="Titulo"/>
        <w:numPr>
          <w:ilvl w:val="3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29B8">
        <w:rPr>
          <w:rFonts w:ascii="Arial" w:hAnsi="Arial" w:cs="Arial"/>
          <w:b/>
          <w:bCs/>
          <w:sz w:val="22"/>
          <w:szCs w:val="22"/>
        </w:rPr>
        <w:t xml:space="preserve">Inversiones en </w:t>
      </w:r>
      <w:r w:rsidR="00A05B76" w:rsidRPr="00A329B8">
        <w:rPr>
          <w:rFonts w:ascii="Arial" w:hAnsi="Arial" w:cs="Arial"/>
          <w:b/>
          <w:bCs/>
          <w:sz w:val="22"/>
          <w:szCs w:val="22"/>
        </w:rPr>
        <w:t>Acciones</w:t>
      </w:r>
    </w:p>
    <w:p w14:paraId="7CAFBE1A" w14:textId="77777777" w:rsidR="004E1D0A" w:rsidRPr="00A329B8" w:rsidRDefault="004E1D0A" w:rsidP="004E1D0A">
      <w:pPr>
        <w:jc w:val="both"/>
        <w:rPr>
          <w:rFonts w:ascii="Arial" w:hAnsi="Arial" w:cs="Arial"/>
          <w:sz w:val="22"/>
          <w:szCs w:val="22"/>
        </w:rPr>
      </w:pPr>
    </w:p>
    <w:p w14:paraId="631461A8" w14:textId="77777777" w:rsidR="001E3CE2" w:rsidRDefault="006335E9" w:rsidP="001E3CE2">
      <w:pPr>
        <w:jc w:val="both"/>
        <w:rPr>
          <w:rFonts w:ascii="Arial" w:hAnsi="Arial" w:cs="Arial"/>
          <w:sz w:val="22"/>
          <w:szCs w:val="22"/>
          <w:highlight w:val="red"/>
        </w:rPr>
      </w:pPr>
      <w:r w:rsidRPr="00A329B8">
        <w:rPr>
          <w:rFonts w:ascii="Arial" w:hAnsi="Arial" w:cs="Arial"/>
          <w:sz w:val="22"/>
          <w:szCs w:val="22"/>
        </w:rPr>
        <w:t>Las inversiones en acciones ponderarán al 50%.</w:t>
      </w:r>
      <w:r w:rsidR="00DF7635" w:rsidRPr="00A329B8">
        <w:rPr>
          <w:rFonts w:ascii="Arial" w:hAnsi="Arial" w:cs="Arial"/>
          <w:sz w:val="22"/>
          <w:szCs w:val="22"/>
        </w:rPr>
        <w:t xml:space="preserve"> </w:t>
      </w:r>
      <w:r w:rsidRPr="00A329B8">
        <w:rPr>
          <w:rFonts w:ascii="Arial" w:hAnsi="Arial" w:cs="Arial"/>
          <w:sz w:val="22"/>
          <w:szCs w:val="22"/>
        </w:rPr>
        <w:t xml:space="preserve">No obstante, cuando un emisor de acciones local revele al mercado la adopción de la totalidad de las medidas definidas en el Código de Mejores Prácticas Corporativas (Código País) y cuente con formadores de liquidez del mercado de valores, dichas </w:t>
      </w:r>
      <w:r w:rsidR="006565AA" w:rsidRPr="00A329B8">
        <w:rPr>
          <w:rFonts w:ascii="Arial" w:hAnsi="Arial" w:cs="Arial"/>
          <w:sz w:val="22"/>
          <w:szCs w:val="22"/>
        </w:rPr>
        <w:t xml:space="preserve">inversiones en </w:t>
      </w:r>
      <w:r w:rsidRPr="00A329B8">
        <w:rPr>
          <w:rFonts w:ascii="Arial" w:hAnsi="Arial" w:cs="Arial"/>
          <w:sz w:val="22"/>
          <w:szCs w:val="22"/>
        </w:rPr>
        <w:t xml:space="preserve">acciones ponderarán al 20%. Asimismo, para el caso de un emisor de acciones extranjeras listadas en sistemas de cotización de valores del extranjero, cuyo emisor cuente con códigos de gobierno corporativo y </w:t>
      </w:r>
      <w:r w:rsidR="004E1D0A" w:rsidRPr="00A329B8">
        <w:rPr>
          <w:rFonts w:ascii="Arial" w:hAnsi="Arial" w:cs="Arial"/>
          <w:sz w:val="22"/>
          <w:szCs w:val="22"/>
        </w:rPr>
        <w:t xml:space="preserve">creadores de </w:t>
      </w:r>
      <w:r w:rsidRPr="00A329B8">
        <w:rPr>
          <w:rFonts w:ascii="Arial" w:hAnsi="Arial" w:cs="Arial"/>
          <w:sz w:val="22"/>
          <w:szCs w:val="22"/>
        </w:rPr>
        <w:t>mercado de valores</w:t>
      </w:r>
      <w:r w:rsidR="004E1D0A" w:rsidRPr="00A329B8">
        <w:rPr>
          <w:rFonts w:ascii="Arial" w:hAnsi="Arial" w:cs="Arial"/>
          <w:sz w:val="22"/>
          <w:szCs w:val="22"/>
        </w:rPr>
        <w:t xml:space="preserve"> o su equivalente, </w:t>
      </w:r>
      <w:r w:rsidR="00DF7635" w:rsidRPr="00A329B8">
        <w:rPr>
          <w:rFonts w:ascii="Arial" w:hAnsi="Arial" w:cs="Arial"/>
          <w:sz w:val="22"/>
          <w:szCs w:val="22"/>
        </w:rPr>
        <w:t xml:space="preserve">las inversiones en </w:t>
      </w:r>
      <w:r w:rsidR="004E1D0A" w:rsidRPr="00A329B8">
        <w:rPr>
          <w:rFonts w:ascii="Arial" w:hAnsi="Arial" w:cs="Arial"/>
          <w:sz w:val="22"/>
          <w:szCs w:val="22"/>
        </w:rPr>
        <w:t>acciones ponderarán</w:t>
      </w:r>
      <w:r w:rsidRPr="00A329B8">
        <w:rPr>
          <w:rFonts w:ascii="Arial" w:hAnsi="Arial" w:cs="Arial"/>
          <w:sz w:val="22"/>
          <w:szCs w:val="22"/>
        </w:rPr>
        <w:t xml:space="preserve"> igualmente al 20%.  </w:t>
      </w:r>
      <w:r w:rsidR="009B50CC" w:rsidRPr="00A329B8">
        <w:rPr>
          <w:rFonts w:ascii="Arial" w:hAnsi="Arial" w:cs="Arial"/>
          <w:sz w:val="22"/>
          <w:szCs w:val="22"/>
          <w:highlight w:val="red"/>
        </w:rPr>
        <w:t xml:space="preserve"> </w:t>
      </w:r>
    </w:p>
    <w:p w14:paraId="55F20BFB" w14:textId="77777777" w:rsidR="001E3CE2" w:rsidRDefault="001E3CE2" w:rsidP="001E3CE2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bookmarkStart w:id="0" w:name="_GoBack"/>
      <w:bookmarkEnd w:id="0"/>
    </w:p>
    <w:p w14:paraId="1BA5D804" w14:textId="1FF35AE0" w:rsidR="009B50CC" w:rsidRPr="00121058" w:rsidRDefault="009B50CC" w:rsidP="001E3CE2">
      <w:pPr>
        <w:pStyle w:val="Titulo"/>
        <w:numPr>
          <w:ilvl w:val="3"/>
          <w:numId w:val="1"/>
        </w:numPr>
        <w:jc w:val="both"/>
        <w:rPr>
          <w:rFonts w:ascii="Arial" w:hAnsi="Arial" w:cs="Arial"/>
          <w:b/>
          <w:color w:val="000000"/>
          <w:spacing w:val="20"/>
          <w:sz w:val="22"/>
          <w:szCs w:val="22"/>
        </w:rPr>
      </w:pPr>
      <w:r w:rsidRPr="00A329B8">
        <w:rPr>
          <w:rFonts w:ascii="Arial" w:hAnsi="Arial" w:cs="Arial"/>
          <w:b/>
          <w:color w:val="000000"/>
          <w:sz w:val="22"/>
          <w:szCs w:val="22"/>
        </w:rPr>
        <w:t xml:space="preserve">Ponderación de Instrumentos Financieros Derivados </w:t>
      </w:r>
    </w:p>
    <w:p w14:paraId="1ED061D4" w14:textId="77777777" w:rsidR="00121058" w:rsidRDefault="00121058" w:rsidP="009B50CC">
      <w:pPr>
        <w:spacing w:line="240" w:lineRule="atLeast"/>
        <w:jc w:val="both"/>
        <w:rPr>
          <w:rFonts w:ascii="Arial" w:hAnsi="Arial" w:cs="Arial"/>
          <w:color w:val="000000"/>
          <w:sz w:val="22"/>
          <w:szCs w:val="22"/>
        </w:rPr>
      </w:pPr>
    </w:p>
    <w:p w14:paraId="36DEC5EB" w14:textId="5EBA135B" w:rsidR="009B50CC" w:rsidRPr="00A329B8" w:rsidRDefault="009B50CC" w:rsidP="009B50CC">
      <w:pPr>
        <w:spacing w:line="240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A329B8">
        <w:rPr>
          <w:rFonts w:ascii="Arial" w:hAnsi="Arial" w:cs="Arial"/>
          <w:color w:val="000000"/>
          <w:sz w:val="22"/>
          <w:szCs w:val="22"/>
        </w:rPr>
        <w:t>Independientemente de si se trata de activos o pasivos del balance, para las operaciones con instrumentos financieros deri</w:t>
      </w:r>
      <w:r w:rsidR="00E37023">
        <w:rPr>
          <w:rFonts w:ascii="Arial" w:hAnsi="Arial" w:cs="Arial"/>
          <w:color w:val="000000"/>
          <w:sz w:val="22"/>
          <w:szCs w:val="22"/>
        </w:rPr>
        <w:t>vados se deberá multiplicar la exposición crediticia por el factor de p</w:t>
      </w:r>
      <w:r w:rsidRPr="00A329B8">
        <w:rPr>
          <w:rFonts w:ascii="Arial" w:hAnsi="Arial" w:cs="Arial"/>
          <w:color w:val="000000"/>
          <w:sz w:val="22"/>
          <w:szCs w:val="22"/>
        </w:rPr>
        <w:t xml:space="preserve">onderación que corresponda. En este sentido, dichas operaciones afectarán los </w:t>
      </w:r>
      <w:r w:rsidR="00121058">
        <w:rPr>
          <w:rFonts w:ascii="Arial" w:hAnsi="Arial" w:cs="Arial"/>
          <w:color w:val="000000"/>
          <w:sz w:val="22"/>
          <w:szCs w:val="22"/>
        </w:rPr>
        <w:t>A</w:t>
      </w:r>
      <w:r w:rsidRPr="00A329B8">
        <w:rPr>
          <w:rFonts w:ascii="Arial" w:hAnsi="Arial" w:cs="Arial"/>
          <w:color w:val="000000"/>
          <w:sz w:val="22"/>
          <w:szCs w:val="22"/>
        </w:rPr>
        <w:t xml:space="preserve">ctivos </w:t>
      </w:r>
      <w:r w:rsidR="00121058">
        <w:rPr>
          <w:rFonts w:ascii="Arial" w:hAnsi="Arial" w:cs="Arial"/>
          <w:color w:val="000000"/>
          <w:sz w:val="22"/>
          <w:szCs w:val="22"/>
        </w:rPr>
        <w:t>P</w:t>
      </w:r>
      <w:r w:rsidRPr="00A329B8">
        <w:rPr>
          <w:rFonts w:ascii="Arial" w:hAnsi="Arial" w:cs="Arial"/>
          <w:color w:val="000000"/>
          <w:sz w:val="22"/>
          <w:szCs w:val="22"/>
        </w:rPr>
        <w:t xml:space="preserve">onderados por </w:t>
      </w:r>
      <w:r w:rsidR="00121058">
        <w:rPr>
          <w:rFonts w:ascii="Arial" w:hAnsi="Arial" w:cs="Arial"/>
          <w:color w:val="000000"/>
          <w:sz w:val="22"/>
          <w:szCs w:val="22"/>
        </w:rPr>
        <w:t>N</w:t>
      </w:r>
      <w:r w:rsidRPr="00A329B8">
        <w:rPr>
          <w:rFonts w:ascii="Arial" w:hAnsi="Arial" w:cs="Arial"/>
          <w:color w:val="000000"/>
          <w:sz w:val="22"/>
          <w:szCs w:val="22"/>
        </w:rPr>
        <w:t xml:space="preserve">ivel de </w:t>
      </w:r>
      <w:r w:rsidR="00121058">
        <w:rPr>
          <w:rFonts w:ascii="Arial" w:hAnsi="Arial" w:cs="Arial"/>
          <w:color w:val="000000"/>
          <w:sz w:val="22"/>
          <w:szCs w:val="22"/>
        </w:rPr>
        <w:t>R</w:t>
      </w:r>
      <w:r w:rsidRPr="00A329B8">
        <w:rPr>
          <w:rFonts w:ascii="Arial" w:hAnsi="Arial" w:cs="Arial"/>
          <w:color w:val="000000"/>
          <w:sz w:val="22"/>
          <w:szCs w:val="22"/>
        </w:rPr>
        <w:t>iesgo</w:t>
      </w:r>
      <w:r w:rsidR="00121058">
        <w:rPr>
          <w:rFonts w:ascii="Arial" w:hAnsi="Arial" w:cs="Arial"/>
          <w:color w:val="000000"/>
          <w:sz w:val="22"/>
          <w:szCs w:val="22"/>
        </w:rPr>
        <w:t xml:space="preserve"> (APNR)</w:t>
      </w:r>
      <w:r w:rsidRPr="00A329B8">
        <w:rPr>
          <w:rFonts w:ascii="Arial" w:hAnsi="Arial" w:cs="Arial"/>
          <w:color w:val="000000"/>
          <w:sz w:val="22"/>
          <w:szCs w:val="22"/>
        </w:rPr>
        <w:t xml:space="preserve">, de acuerdo con su exposición crediticia y dependiendo de la contraparte </w:t>
      </w:r>
      <w:r w:rsidR="00660893">
        <w:rPr>
          <w:rFonts w:ascii="Arial" w:hAnsi="Arial" w:cs="Arial"/>
          <w:color w:val="000000"/>
          <w:sz w:val="22"/>
          <w:szCs w:val="22"/>
        </w:rPr>
        <w:t xml:space="preserve">de </w:t>
      </w:r>
      <w:r w:rsidRPr="00A329B8">
        <w:rPr>
          <w:rFonts w:ascii="Arial" w:hAnsi="Arial" w:cs="Arial"/>
          <w:color w:val="000000"/>
          <w:sz w:val="22"/>
          <w:szCs w:val="22"/>
        </w:rPr>
        <w:t xml:space="preserve">que se trate. </w:t>
      </w:r>
    </w:p>
    <w:p w14:paraId="1B5B8F1B" w14:textId="77777777" w:rsidR="009B50CC" w:rsidRPr="00A329B8" w:rsidRDefault="009B50CC" w:rsidP="009B50CC">
      <w:pPr>
        <w:spacing w:line="240" w:lineRule="atLeast"/>
        <w:jc w:val="both"/>
        <w:rPr>
          <w:rFonts w:ascii="Arial" w:hAnsi="Arial" w:cs="Arial"/>
          <w:color w:val="000000"/>
          <w:sz w:val="22"/>
          <w:szCs w:val="22"/>
        </w:rPr>
      </w:pPr>
    </w:p>
    <w:p w14:paraId="57586849" w14:textId="77777777" w:rsidR="00121058" w:rsidRDefault="009B50CC" w:rsidP="00121058">
      <w:pPr>
        <w:jc w:val="both"/>
        <w:rPr>
          <w:rFonts w:ascii="Arial" w:hAnsi="Arial" w:cs="Arial"/>
          <w:sz w:val="22"/>
          <w:szCs w:val="22"/>
        </w:rPr>
      </w:pPr>
      <w:r w:rsidRPr="00A329B8">
        <w:rPr>
          <w:rFonts w:ascii="Arial" w:hAnsi="Arial" w:cs="Arial"/>
          <w:color w:val="000000"/>
          <w:sz w:val="22"/>
          <w:szCs w:val="22"/>
        </w:rPr>
        <w:t>Para calcular la afectación de los activos ponderados por nivel de riesgo se tendrán en cuenta los siguientes pasos:</w:t>
      </w:r>
      <w:r w:rsidR="00A329B8" w:rsidRPr="00A329B8">
        <w:rPr>
          <w:rFonts w:ascii="Arial" w:hAnsi="Arial" w:cs="Arial"/>
          <w:sz w:val="22"/>
          <w:szCs w:val="22"/>
        </w:rPr>
        <w:t xml:space="preserve"> </w:t>
      </w:r>
    </w:p>
    <w:p w14:paraId="2A9DCABC" w14:textId="77777777" w:rsidR="001E3CE2" w:rsidRDefault="001E3CE2" w:rsidP="00121058">
      <w:pPr>
        <w:rPr>
          <w:rFonts w:ascii="Arial" w:hAnsi="Arial" w:cs="Arial"/>
          <w:color w:val="000000"/>
          <w:sz w:val="22"/>
          <w:szCs w:val="22"/>
        </w:rPr>
        <w:sectPr w:rsidR="001E3CE2" w:rsidSect="008F09C6">
          <w:headerReference w:type="default" r:id="rId8"/>
          <w:footerReference w:type="default" r:id="rId9"/>
          <w:pgSz w:w="12242" w:h="18722" w:code="14"/>
          <w:pgMar w:top="1418" w:right="1701" w:bottom="1418" w:left="1701" w:header="709" w:footer="709" w:gutter="0"/>
          <w:paperSrc w:first="2" w:other="2"/>
          <w:pgNumType w:start="52"/>
          <w:cols w:space="708"/>
          <w:docGrid w:linePitch="360"/>
        </w:sectPr>
      </w:pPr>
    </w:p>
    <w:p w14:paraId="2638C084" w14:textId="10F62690" w:rsidR="00FB7024" w:rsidRPr="00A329B8" w:rsidRDefault="00121058" w:rsidP="00121058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a</w:t>
      </w:r>
      <w:r w:rsidRPr="00A329B8">
        <w:rPr>
          <w:rFonts w:ascii="Arial" w:hAnsi="Arial" w:cs="Arial"/>
          <w:color w:val="000000"/>
          <w:sz w:val="22"/>
          <w:szCs w:val="22"/>
        </w:rPr>
        <w:t>.</w:t>
      </w:r>
      <w:r w:rsidRPr="00A329B8">
        <w:rPr>
          <w:rFonts w:ascii="Arial" w:hAnsi="Arial" w:cs="Arial"/>
          <w:color w:val="000000"/>
          <w:sz w:val="22"/>
          <w:szCs w:val="22"/>
        </w:rPr>
        <w:tab/>
      </w:r>
      <w:r w:rsidR="009B50CC" w:rsidRPr="00A329B8">
        <w:rPr>
          <w:rFonts w:ascii="Arial" w:hAnsi="Arial" w:cs="Arial"/>
          <w:color w:val="000000"/>
          <w:sz w:val="22"/>
          <w:szCs w:val="22"/>
        </w:rPr>
        <w:t xml:space="preserve">Cálculo de la exposición crediticia: La exposición crediticia de un instrumento financiero derivado se calculará según lo establecido en el Anexo </w:t>
      </w:r>
      <w:r w:rsidR="00A05B76" w:rsidRPr="00A329B8">
        <w:rPr>
          <w:rFonts w:ascii="Arial" w:hAnsi="Arial" w:cs="Arial"/>
          <w:color w:val="000000"/>
          <w:sz w:val="22"/>
          <w:szCs w:val="22"/>
        </w:rPr>
        <w:t>3</w:t>
      </w:r>
      <w:r w:rsidR="009B50CC" w:rsidRPr="00A329B8">
        <w:rPr>
          <w:rFonts w:ascii="Arial" w:hAnsi="Arial" w:cs="Arial"/>
          <w:color w:val="000000"/>
          <w:sz w:val="22"/>
          <w:szCs w:val="22"/>
        </w:rPr>
        <w:t xml:space="preserve"> del Capítulo XVIII de la Circular Externa 100 de 1995 y le serán aplicables las definiciones contenidas en el artículo 2.35</w:t>
      </w:r>
      <w:r w:rsidR="00FB7024" w:rsidRPr="00A329B8">
        <w:rPr>
          <w:rFonts w:ascii="Arial" w:hAnsi="Arial" w:cs="Arial"/>
          <w:color w:val="000000"/>
          <w:sz w:val="22"/>
          <w:szCs w:val="22"/>
        </w:rPr>
        <w:t>.1.1.1 del Decreto 2555 de 2010</w:t>
      </w:r>
      <w:r w:rsidR="0035144F" w:rsidRPr="00A329B8">
        <w:rPr>
          <w:rFonts w:ascii="Arial" w:hAnsi="Arial" w:cs="Arial"/>
          <w:color w:val="000000"/>
          <w:sz w:val="22"/>
          <w:szCs w:val="22"/>
        </w:rPr>
        <w:t>.</w:t>
      </w:r>
    </w:p>
    <w:p w14:paraId="75FB3D43" w14:textId="77777777" w:rsidR="00FB7024" w:rsidRPr="00A329B8" w:rsidRDefault="00FB7024" w:rsidP="00FB7024">
      <w:pPr>
        <w:pStyle w:val="Titulo2"/>
        <w:numPr>
          <w:ilvl w:val="0"/>
          <w:numId w:val="0"/>
        </w:numPr>
        <w:jc w:val="both"/>
        <w:rPr>
          <w:rFonts w:ascii="Arial" w:hAnsi="Arial" w:cs="Arial"/>
          <w:color w:val="000000"/>
          <w:sz w:val="22"/>
          <w:szCs w:val="22"/>
        </w:rPr>
      </w:pPr>
    </w:p>
    <w:p w14:paraId="552823DA" w14:textId="5E5B2603" w:rsidR="009B50CC" w:rsidRPr="00A329B8" w:rsidRDefault="009B50CC" w:rsidP="00FB7024">
      <w:pPr>
        <w:pStyle w:val="Titulo2"/>
        <w:numPr>
          <w:ilvl w:val="0"/>
          <w:numId w:val="0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A329B8">
        <w:rPr>
          <w:rFonts w:ascii="Arial" w:hAnsi="Arial" w:cs="Arial"/>
          <w:color w:val="000000"/>
          <w:sz w:val="22"/>
          <w:szCs w:val="22"/>
        </w:rPr>
        <w:t>b.</w:t>
      </w:r>
      <w:r w:rsidRPr="00A329B8">
        <w:rPr>
          <w:rFonts w:ascii="Arial" w:hAnsi="Arial" w:cs="Arial"/>
          <w:color w:val="000000"/>
          <w:sz w:val="22"/>
          <w:szCs w:val="22"/>
        </w:rPr>
        <w:tab/>
        <w:t>Incorporación al cálculo de los activos ponderados por nivel de riesgo: Una vez calculada la exposición crediticia, se deberá determinar su contribución a los APNR, de la siguiente manera:</w:t>
      </w:r>
    </w:p>
    <w:p w14:paraId="7FF45821" w14:textId="77777777" w:rsidR="009B50CC" w:rsidRPr="00A329B8" w:rsidRDefault="009B50CC" w:rsidP="009B50CC">
      <w:pPr>
        <w:spacing w:line="240" w:lineRule="atLeast"/>
        <w:jc w:val="center"/>
        <w:rPr>
          <w:rFonts w:ascii="Arial" w:hAnsi="Arial" w:cs="Arial"/>
          <w:color w:val="000000"/>
          <w:sz w:val="22"/>
          <w:szCs w:val="22"/>
        </w:rPr>
      </w:pPr>
    </w:p>
    <w:p w14:paraId="5BE5E671" w14:textId="77777777" w:rsidR="009B50CC" w:rsidRPr="00A329B8" w:rsidRDefault="0000420D" w:rsidP="009B50CC">
      <w:pPr>
        <w:spacing w:line="240" w:lineRule="atLeast"/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A329B8">
        <w:rPr>
          <w:rFonts w:ascii="Arial" w:hAnsi="Arial" w:cs="Arial"/>
          <w:b/>
          <w:color w:val="000000"/>
          <w:position w:val="-10"/>
          <w:sz w:val="22"/>
          <w:szCs w:val="22"/>
          <w:u w:val="single"/>
        </w:rPr>
        <w:object w:dxaOrig="1840" w:dyaOrig="320" w14:anchorId="629455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3.75pt;height:21pt" o:ole="" fillcolor="window">
            <v:imagedata r:id="rId10" o:title=""/>
          </v:shape>
          <o:OLEObject Type="Embed" ProgID="Equation.3" ShapeID="_x0000_i1025" DrawAspect="Content" ObjectID="_1620205719" r:id="rId11"/>
        </w:object>
      </w:r>
      <w:r w:rsidR="009B50CC" w:rsidRPr="00A329B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   </w:t>
      </w:r>
    </w:p>
    <w:p w14:paraId="1DC67204" w14:textId="77777777" w:rsidR="009B50CC" w:rsidRPr="00A329B8" w:rsidRDefault="009B50CC" w:rsidP="009B50CC">
      <w:pPr>
        <w:spacing w:line="240" w:lineRule="atLeast"/>
        <w:jc w:val="center"/>
        <w:rPr>
          <w:rFonts w:ascii="Arial" w:hAnsi="Arial" w:cs="Arial"/>
          <w:color w:val="000000"/>
          <w:sz w:val="22"/>
          <w:szCs w:val="22"/>
        </w:rPr>
      </w:pPr>
    </w:p>
    <w:p w14:paraId="6110CBAF" w14:textId="517B4670" w:rsidR="009B50CC" w:rsidRPr="00A329B8" w:rsidRDefault="006F3323" w:rsidP="009B50CC">
      <w:pPr>
        <w:spacing w:line="24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donde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Wj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corresponde al factor de p</w:t>
      </w:r>
      <w:r w:rsidR="003B6FCD">
        <w:rPr>
          <w:rFonts w:ascii="Arial" w:hAnsi="Arial" w:cs="Arial"/>
          <w:color w:val="000000"/>
          <w:sz w:val="22"/>
          <w:szCs w:val="22"/>
        </w:rPr>
        <w:t xml:space="preserve">onderación </w:t>
      </w:r>
      <w:r w:rsidR="009B50CC" w:rsidRPr="00A329B8">
        <w:rPr>
          <w:rFonts w:ascii="Arial" w:hAnsi="Arial" w:cs="Arial"/>
          <w:color w:val="000000"/>
          <w:sz w:val="22"/>
          <w:szCs w:val="22"/>
        </w:rPr>
        <w:t>asignado según la categoría que corresponda a la contraparte, de</w:t>
      </w:r>
      <w:r w:rsidR="001E1ED4" w:rsidRPr="00A329B8">
        <w:rPr>
          <w:rFonts w:ascii="Arial" w:hAnsi="Arial" w:cs="Arial"/>
          <w:color w:val="000000"/>
          <w:sz w:val="22"/>
          <w:szCs w:val="22"/>
        </w:rPr>
        <w:t xml:space="preserve"> acuerdo con lo dispuesto en los </w:t>
      </w:r>
      <w:r w:rsidR="00705FF4" w:rsidRPr="00A329B8">
        <w:rPr>
          <w:rFonts w:ascii="Arial" w:hAnsi="Arial" w:cs="Arial"/>
          <w:color w:val="000000"/>
          <w:sz w:val="22"/>
          <w:szCs w:val="22"/>
        </w:rPr>
        <w:t>artículo</w:t>
      </w:r>
      <w:r w:rsidR="001E1ED4" w:rsidRPr="00A329B8">
        <w:rPr>
          <w:rFonts w:ascii="Arial" w:hAnsi="Arial" w:cs="Arial"/>
          <w:color w:val="000000"/>
          <w:sz w:val="22"/>
          <w:szCs w:val="22"/>
        </w:rPr>
        <w:t>s</w:t>
      </w:r>
      <w:r w:rsidR="00705FF4" w:rsidRPr="00A329B8">
        <w:rPr>
          <w:rFonts w:ascii="Arial" w:hAnsi="Arial" w:cs="Arial"/>
          <w:color w:val="000000"/>
          <w:sz w:val="22"/>
          <w:szCs w:val="22"/>
        </w:rPr>
        <w:t xml:space="preserve"> </w:t>
      </w:r>
      <w:r w:rsidR="001E1ED4" w:rsidRPr="00A329B8">
        <w:rPr>
          <w:rFonts w:ascii="Arial" w:hAnsi="Arial" w:cs="Arial"/>
          <w:color w:val="000000"/>
          <w:sz w:val="22"/>
          <w:szCs w:val="22"/>
        </w:rPr>
        <w:t>2.5.3.1.6 y 2.6.1.1.10</w:t>
      </w:r>
      <w:r w:rsidR="009B50CC" w:rsidRPr="00A329B8">
        <w:rPr>
          <w:rFonts w:ascii="Arial" w:hAnsi="Arial" w:cs="Arial"/>
          <w:color w:val="000000"/>
          <w:sz w:val="22"/>
          <w:szCs w:val="22"/>
        </w:rPr>
        <w:t xml:space="preserve"> del Decreto 2555 de 2010.</w:t>
      </w:r>
    </w:p>
    <w:p w14:paraId="5C62D64F" w14:textId="77777777" w:rsidR="009B50CC" w:rsidRPr="00A329B8" w:rsidRDefault="009B50CC" w:rsidP="009B50CC">
      <w:pPr>
        <w:spacing w:line="240" w:lineRule="atLeast"/>
        <w:jc w:val="both"/>
        <w:rPr>
          <w:rFonts w:ascii="Arial" w:hAnsi="Arial" w:cs="Arial"/>
          <w:color w:val="3366FF"/>
          <w:sz w:val="22"/>
          <w:szCs w:val="22"/>
        </w:rPr>
      </w:pPr>
    </w:p>
    <w:p w14:paraId="56C47774" w14:textId="1445C5C6" w:rsidR="009B50CC" w:rsidRPr="00A329B8" w:rsidRDefault="009B50CC" w:rsidP="009B50CC">
      <w:pPr>
        <w:spacing w:line="240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A329B8">
        <w:rPr>
          <w:rFonts w:ascii="Arial" w:hAnsi="Arial" w:cs="Arial"/>
          <w:color w:val="000000"/>
          <w:sz w:val="22"/>
          <w:szCs w:val="22"/>
        </w:rPr>
        <w:t xml:space="preserve">Las garantías que se entregan con ocasión de la realización de operaciones con instrumentos financieros derivados, compensadas y liquidadas en una Cámara de Riesgo Central de Contraparte en las cuales dicha Cámara se haya interpuesto como contraparte, deben ponderar al </w:t>
      </w:r>
      <w:r w:rsidR="006565AA" w:rsidRPr="00A329B8">
        <w:rPr>
          <w:rFonts w:ascii="Arial" w:hAnsi="Arial" w:cs="Arial"/>
          <w:color w:val="000000"/>
          <w:sz w:val="22"/>
          <w:szCs w:val="22"/>
        </w:rPr>
        <w:t>0%</w:t>
      </w:r>
      <w:r w:rsidRPr="00A329B8">
        <w:rPr>
          <w:rFonts w:ascii="Arial" w:hAnsi="Arial" w:cs="Arial"/>
          <w:color w:val="000000"/>
          <w:sz w:val="22"/>
          <w:szCs w:val="22"/>
        </w:rPr>
        <w:t xml:space="preserve">, siempre que se trate de títulos o valores de la Nación, del Banco de la República o emitidos para el cumplimiento de inversiones obligatorias. </w:t>
      </w:r>
    </w:p>
    <w:p w14:paraId="17ADEA1A" w14:textId="77777777" w:rsidR="00FA73D9" w:rsidRPr="00A329B8" w:rsidRDefault="00FA73D9" w:rsidP="009B50CC">
      <w:pPr>
        <w:spacing w:line="240" w:lineRule="atLeast"/>
        <w:jc w:val="both"/>
        <w:rPr>
          <w:rFonts w:ascii="Arial" w:hAnsi="Arial" w:cs="Arial"/>
          <w:color w:val="000000"/>
          <w:sz w:val="22"/>
          <w:szCs w:val="22"/>
        </w:rPr>
      </w:pPr>
    </w:p>
    <w:p w14:paraId="4E5180AD" w14:textId="238ED76A" w:rsidR="00697007" w:rsidRPr="00A329B8" w:rsidRDefault="00092911" w:rsidP="00092911">
      <w:pPr>
        <w:pStyle w:val="Titulo2"/>
        <w:numPr>
          <w:ilvl w:val="0"/>
          <w:numId w:val="0"/>
        </w:numPr>
        <w:jc w:val="both"/>
        <w:rPr>
          <w:rFonts w:ascii="Arial" w:hAnsi="Arial" w:cs="Arial"/>
          <w:b/>
          <w:sz w:val="22"/>
          <w:szCs w:val="22"/>
        </w:rPr>
      </w:pPr>
      <w:r w:rsidRPr="00A329B8">
        <w:rPr>
          <w:rFonts w:ascii="Arial" w:hAnsi="Arial" w:cs="Arial"/>
          <w:b/>
          <w:sz w:val="22"/>
          <w:szCs w:val="22"/>
        </w:rPr>
        <w:t xml:space="preserve">2. </w:t>
      </w:r>
      <w:r w:rsidR="006C3416" w:rsidRPr="00A329B8">
        <w:rPr>
          <w:rFonts w:ascii="Arial" w:hAnsi="Arial" w:cs="Arial"/>
          <w:b/>
          <w:sz w:val="22"/>
          <w:szCs w:val="22"/>
        </w:rPr>
        <w:t>R</w:t>
      </w:r>
      <w:r w:rsidR="00EC1378" w:rsidRPr="00A329B8">
        <w:rPr>
          <w:rFonts w:ascii="Arial" w:hAnsi="Arial" w:cs="Arial"/>
          <w:b/>
          <w:sz w:val="22"/>
          <w:szCs w:val="22"/>
        </w:rPr>
        <w:t xml:space="preserve">iesgo Operacional de las </w:t>
      </w:r>
      <w:r w:rsidR="00EC1378" w:rsidRPr="00A329B8">
        <w:rPr>
          <w:rFonts w:ascii="Arial" w:hAnsi="Arial" w:cs="Arial"/>
          <w:b/>
          <w:sz w:val="22"/>
          <w:szCs w:val="22"/>
          <w:lang w:val="es-ES_tradnl"/>
        </w:rPr>
        <w:t>Sociedades Fiduciarias, Socied</w:t>
      </w:r>
      <w:r w:rsidR="006565AA" w:rsidRPr="00A329B8">
        <w:rPr>
          <w:rFonts w:ascii="Arial" w:hAnsi="Arial" w:cs="Arial"/>
          <w:b/>
          <w:sz w:val="22"/>
          <w:szCs w:val="22"/>
          <w:lang w:val="es-ES_tradnl"/>
        </w:rPr>
        <w:t>ades Administradoras de Fondos d</w:t>
      </w:r>
      <w:r w:rsidR="00EC1378" w:rsidRPr="00A329B8">
        <w:rPr>
          <w:rFonts w:ascii="Arial" w:hAnsi="Arial" w:cs="Arial"/>
          <w:b/>
          <w:sz w:val="22"/>
          <w:szCs w:val="22"/>
          <w:lang w:val="es-ES_tradnl"/>
        </w:rPr>
        <w:t xml:space="preserve">e Pensiones y Cesantías y Entidades Aseguradoras </w:t>
      </w:r>
      <w:r w:rsidR="00660893">
        <w:rPr>
          <w:rFonts w:ascii="Arial" w:hAnsi="Arial" w:cs="Arial"/>
          <w:b/>
          <w:sz w:val="22"/>
          <w:szCs w:val="22"/>
          <w:lang w:val="es-ES_tradnl"/>
        </w:rPr>
        <w:t xml:space="preserve">que administren recursos </w:t>
      </w:r>
      <w:r w:rsidR="00EC1378" w:rsidRPr="00A329B8">
        <w:rPr>
          <w:rFonts w:ascii="Arial" w:hAnsi="Arial" w:cs="Arial"/>
          <w:b/>
          <w:sz w:val="22"/>
          <w:szCs w:val="22"/>
          <w:lang w:val="es-ES_tradnl"/>
        </w:rPr>
        <w:t>mediante Patrimonios Autónomos</w:t>
      </w:r>
    </w:p>
    <w:p w14:paraId="5B4ECEEF" w14:textId="7CC83075" w:rsidR="00396367" w:rsidRPr="00A329B8" w:rsidRDefault="00396367" w:rsidP="006C3416">
      <w:pPr>
        <w:pStyle w:val="Titulo"/>
        <w:numPr>
          <w:ilvl w:val="0"/>
          <w:numId w:val="0"/>
        </w:numPr>
        <w:jc w:val="both"/>
        <w:rPr>
          <w:rFonts w:ascii="Arial" w:hAnsi="Arial" w:cs="Arial"/>
          <w:snapToGrid w:val="0"/>
          <w:sz w:val="22"/>
          <w:szCs w:val="22"/>
          <w:lang w:val="es-ES_tradnl"/>
        </w:rPr>
      </w:pPr>
    </w:p>
    <w:p w14:paraId="4D0669A7" w14:textId="77777777" w:rsidR="001E3CE2" w:rsidRDefault="006C3416" w:rsidP="001E3CE2">
      <w:pPr>
        <w:pStyle w:val="Titulo"/>
        <w:numPr>
          <w:ilvl w:val="0"/>
          <w:numId w:val="0"/>
        </w:numPr>
        <w:rPr>
          <w:rFonts w:ascii="Arial" w:hAnsi="Arial" w:cs="Arial"/>
          <w:sz w:val="22"/>
          <w:szCs w:val="22"/>
        </w:rPr>
      </w:pPr>
      <w:r w:rsidRPr="00A329B8">
        <w:rPr>
          <w:rFonts w:ascii="Arial" w:hAnsi="Arial" w:cs="Arial"/>
          <w:sz w:val="22"/>
          <w:szCs w:val="22"/>
        </w:rPr>
        <w:t xml:space="preserve">Para </w:t>
      </w:r>
      <w:r w:rsidR="00AB6989" w:rsidRPr="00A329B8">
        <w:rPr>
          <w:rFonts w:ascii="Arial" w:hAnsi="Arial" w:cs="Arial"/>
          <w:sz w:val="22"/>
          <w:szCs w:val="22"/>
        </w:rPr>
        <w:t xml:space="preserve">el </w:t>
      </w:r>
      <w:r w:rsidRPr="00A329B8">
        <w:rPr>
          <w:rFonts w:ascii="Arial" w:hAnsi="Arial" w:cs="Arial"/>
          <w:sz w:val="22"/>
          <w:szCs w:val="22"/>
        </w:rPr>
        <w:t>c</w:t>
      </w:r>
      <w:r w:rsidR="00AB6989" w:rsidRPr="00A329B8">
        <w:rPr>
          <w:rFonts w:ascii="Arial" w:hAnsi="Arial" w:cs="Arial"/>
          <w:sz w:val="22"/>
          <w:szCs w:val="22"/>
        </w:rPr>
        <w:t>á</w:t>
      </w:r>
      <w:r w:rsidRPr="00A329B8">
        <w:rPr>
          <w:rFonts w:ascii="Arial" w:hAnsi="Arial" w:cs="Arial"/>
          <w:sz w:val="22"/>
          <w:szCs w:val="22"/>
        </w:rPr>
        <w:t>lcul</w:t>
      </w:r>
      <w:r w:rsidR="00AB6989" w:rsidRPr="00A329B8">
        <w:rPr>
          <w:rFonts w:ascii="Arial" w:hAnsi="Arial" w:cs="Arial"/>
          <w:sz w:val="22"/>
          <w:szCs w:val="22"/>
        </w:rPr>
        <w:t>o</w:t>
      </w:r>
      <w:r w:rsidRPr="00A329B8">
        <w:rPr>
          <w:rFonts w:ascii="Arial" w:hAnsi="Arial" w:cs="Arial"/>
          <w:sz w:val="22"/>
          <w:szCs w:val="22"/>
        </w:rPr>
        <w:t xml:space="preserve"> de la exposición al riesgo operacional debe atenderse las instrucciones del Decreto 2555 de 2010. </w:t>
      </w:r>
    </w:p>
    <w:p w14:paraId="2496138E" w14:textId="77777777" w:rsidR="001E3CE2" w:rsidRDefault="001E3CE2" w:rsidP="001E3CE2">
      <w:pPr>
        <w:pStyle w:val="Titulo"/>
        <w:numPr>
          <w:ilvl w:val="0"/>
          <w:numId w:val="0"/>
        </w:numPr>
        <w:rPr>
          <w:rFonts w:ascii="Arial" w:hAnsi="Arial" w:cs="Arial"/>
          <w:b/>
          <w:sz w:val="22"/>
          <w:szCs w:val="22"/>
        </w:rPr>
      </w:pPr>
    </w:p>
    <w:p w14:paraId="7E60E283" w14:textId="0A100B81" w:rsidR="006C3416" w:rsidRPr="00A329B8" w:rsidRDefault="00D03A33" w:rsidP="001E3CE2">
      <w:pPr>
        <w:pStyle w:val="Titulo"/>
        <w:numPr>
          <w:ilvl w:val="0"/>
          <w:numId w:val="0"/>
        </w:numPr>
        <w:jc w:val="both"/>
        <w:rPr>
          <w:rFonts w:ascii="Arial" w:hAnsi="Arial" w:cs="Arial"/>
          <w:b/>
          <w:sz w:val="22"/>
          <w:szCs w:val="22"/>
        </w:rPr>
      </w:pPr>
      <w:r w:rsidRPr="00A329B8">
        <w:rPr>
          <w:rFonts w:ascii="Arial" w:hAnsi="Arial" w:cs="Arial"/>
          <w:b/>
          <w:sz w:val="22"/>
          <w:szCs w:val="22"/>
        </w:rPr>
        <w:t xml:space="preserve">2.1 </w:t>
      </w:r>
      <w:r w:rsidR="006C3416" w:rsidRPr="00A329B8">
        <w:rPr>
          <w:rFonts w:ascii="Arial" w:hAnsi="Arial" w:cs="Arial"/>
          <w:b/>
          <w:sz w:val="22"/>
          <w:szCs w:val="22"/>
        </w:rPr>
        <w:t xml:space="preserve">Cálculo del cociente de ingresos y gastos por comisiones para los nuevos administradores o entidades con información </w:t>
      </w:r>
      <w:r w:rsidR="006565AA" w:rsidRPr="00A329B8">
        <w:rPr>
          <w:rFonts w:ascii="Arial" w:hAnsi="Arial" w:cs="Arial"/>
          <w:b/>
          <w:sz w:val="22"/>
          <w:szCs w:val="22"/>
        </w:rPr>
        <w:t>insuficiente</w:t>
      </w:r>
    </w:p>
    <w:p w14:paraId="2C8066DA" w14:textId="77777777" w:rsidR="006C3416" w:rsidRPr="00A329B8" w:rsidRDefault="006C3416" w:rsidP="006C3416">
      <w:pPr>
        <w:pStyle w:val="Titulo"/>
        <w:numPr>
          <w:ilvl w:val="0"/>
          <w:numId w:val="0"/>
        </w:numPr>
        <w:tabs>
          <w:tab w:val="num" w:pos="426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14:paraId="23CBE9C7" w14:textId="77777777" w:rsidR="001E3CE2" w:rsidRDefault="006570C4" w:rsidP="001E3CE2">
      <w:pPr>
        <w:pStyle w:val="Titulo"/>
        <w:numPr>
          <w:ilvl w:val="0"/>
          <w:numId w:val="0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A329B8">
        <w:rPr>
          <w:rFonts w:ascii="Arial" w:hAnsi="Arial" w:cs="Arial"/>
          <w:color w:val="000000"/>
          <w:sz w:val="22"/>
          <w:szCs w:val="22"/>
        </w:rPr>
        <w:t>Para los nuevos administradores o para aquellos que no tengan información para los 3</w:t>
      </w:r>
      <w:r w:rsidR="004D2DA9" w:rsidRPr="00A329B8">
        <w:rPr>
          <w:rFonts w:ascii="Arial" w:hAnsi="Arial" w:cs="Arial"/>
          <w:color w:val="000000"/>
          <w:sz w:val="22"/>
          <w:szCs w:val="22"/>
        </w:rPr>
        <w:t>6</w:t>
      </w:r>
      <w:r w:rsidRPr="00A329B8">
        <w:rPr>
          <w:rFonts w:ascii="Arial" w:hAnsi="Arial" w:cs="Arial"/>
          <w:color w:val="000000"/>
          <w:sz w:val="22"/>
          <w:szCs w:val="22"/>
        </w:rPr>
        <w:t xml:space="preserve"> </w:t>
      </w:r>
      <w:r w:rsidR="004D2DA9" w:rsidRPr="00A329B8">
        <w:rPr>
          <w:rFonts w:ascii="Arial" w:hAnsi="Arial" w:cs="Arial"/>
          <w:color w:val="000000"/>
          <w:sz w:val="22"/>
          <w:szCs w:val="22"/>
        </w:rPr>
        <w:t>meses</w:t>
      </w:r>
      <w:r w:rsidR="00D03A33" w:rsidRPr="00A329B8">
        <w:rPr>
          <w:rFonts w:ascii="Arial" w:hAnsi="Arial" w:cs="Arial"/>
          <w:color w:val="000000"/>
          <w:sz w:val="22"/>
          <w:szCs w:val="22"/>
        </w:rPr>
        <w:t xml:space="preserve"> anteriores</w:t>
      </w:r>
      <w:r w:rsidRPr="00A329B8">
        <w:rPr>
          <w:rFonts w:ascii="Arial" w:hAnsi="Arial" w:cs="Arial"/>
          <w:color w:val="000000"/>
          <w:sz w:val="22"/>
          <w:szCs w:val="22"/>
        </w:rPr>
        <w:t xml:space="preserve"> a la fecha de </w:t>
      </w:r>
      <w:r w:rsidR="008738F0" w:rsidRPr="00A329B8">
        <w:rPr>
          <w:rFonts w:ascii="Arial" w:hAnsi="Arial" w:cs="Arial"/>
          <w:color w:val="000000"/>
          <w:sz w:val="22"/>
          <w:szCs w:val="22"/>
        </w:rPr>
        <w:t xml:space="preserve">cálculo, </w:t>
      </w:r>
      <w:r w:rsidRPr="00A329B8">
        <w:rPr>
          <w:rFonts w:ascii="Arial" w:hAnsi="Arial" w:cs="Arial"/>
          <w:color w:val="000000"/>
          <w:sz w:val="22"/>
          <w:szCs w:val="22"/>
        </w:rPr>
        <w:t>la SFC</w:t>
      </w:r>
      <w:r w:rsidR="003B6FCD">
        <w:rPr>
          <w:rFonts w:ascii="Arial" w:hAnsi="Arial" w:cs="Arial"/>
          <w:color w:val="000000"/>
          <w:sz w:val="22"/>
          <w:szCs w:val="22"/>
        </w:rPr>
        <w:t>,</w:t>
      </w:r>
      <w:r w:rsidR="007E0C7B">
        <w:rPr>
          <w:rFonts w:ascii="Arial" w:hAnsi="Arial" w:cs="Arial"/>
          <w:color w:val="000000"/>
          <w:sz w:val="22"/>
          <w:szCs w:val="22"/>
        </w:rPr>
        <w:t xml:space="preserve"> </w:t>
      </w:r>
      <w:r w:rsidR="004D2DA9" w:rsidRPr="00A329B8">
        <w:rPr>
          <w:rFonts w:ascii="Arial" w:hAnsi="Arial" w:cs="Arial"/>
          <w:color w:val="000000"/>
          <w:sz w:val="22"/>
          <w:szCs w:val="22"/>
        </w:rPr>
        <w:t>previa solicitud de la entidad</w:t>
      </w:r>
      <w:r w:rsidR="007E0C7B">
        <w:rPr>
          <w:rFonts w:ascii="Arial" w:hAnsi="Arial" w:cs="Arial"/>
          <w:color w:val="000000"/>
          <w:sz w:val="22"/>
          <w:szCs w:val="22"/>
        </w:rPr>
        <w:t xml:space="preserve"> o de </w:t>
      </w:r>
      <w:r w:rsidR="00264735">
        <w:rPr>
          <w:rFonts w:ascii="Arial" w:hAnsi="Arial" w:cs="Arial"/>
          <w:color w:val="000000"/>
          <w:sz w:val="22"/>
          <w:szCs w:val="22"/>
        </w:rPr>
        <w:t>considerarlo</w:t>
      </w:r>
      <w:r w:rsidR="007E0C7B">
        <w:rPr>
          <w:rFonts w:ascii="Arial" w:hAnsi="Arial" w:cs="Arial"/>
          <w:color w:val="000000"/>
          <w:sz w:val="22"/>
          <w:szCs w:val="22"/>
        </w:rPr>
        <w:t xml:space="preserve"> necesario</w:t>
      </w:r>
      <w:r w:rsidR="00D03A33" w:rsidRPr="00A329B8">
        <w:rPr>
          <w:rFonts w:ascii="Arial" w:hAnsi="Arial" w:cs="Arial"/>
          <w:color w:val="000000"/>
          <w:sz w:val="22"/>
          <w:szCs w:val="22"/>
        </w:rPr>
        <w:t>,</w:t>
      </w:r>
      <w:r w:rsidR="00777C01" w:rsidRPr="00A329B8">
        <w:rPr>
          <w:rFonts w:ascii="Arial" w:hAnsi="Arial" w:cs="Arial"/>
          <w:color w:val="000000"/>
          <w:sz w:val="22"/>
          <w:szCs w:val="22"/>
        </w:rPr>
        <w:t xml:space="preserve"> </w:t>
      </w:r>
      <w:r w:rsidR="006565AA" w:rsidRPr="00A329B8">
        <w:rPr>
          <w:rFonts w:ascii="Arial" w:hAnsi="Arial" w:cs="Arial"/>
          <w:color w:val="000000"/>
          <w:sz w:val="22"/>
          <w:szCs w:val="22"/>
        </w:rPr>
        <w:t xml:space="preserve">publicará mensualmente </w:t>
      </w:r>
      <w:r w:rsidR="00396367" w:rsidRPr="00A329B8">
        <w:rPr>
          <w:rFonts w:ascii="Arial" w:hAnsi="Arial" w:cs="Arial"/>
          <w:color w:val="000000"/>
          <w:sz w:val="22"/>
          <w:szCs w:val="22"/>
        </w:rPr>
        <w:t>el cociente de ingresos</w:t>
      </w:r>
      <w:r w:rsidR="009A6E10" w:rsidRPr="00A329B8">
        <w:rPr>
          <w:rFonts w:ascii="Arial" w:hAnsi="Arial" w:cs="Arial"/>
          <w:color w:val="000000"/>
          <w:sz w:val="22"/>
          <w:szCs w:val="22"/>
        </w:rPr>
        <w:t xml:space="preserve"> y gastos</w:t>
      </w:r>
      <w:r w:rsidR="00396367" w:rsidRPr="00A329B8">
        <w:rPr>
          <w:rFonts w:ascii="Arial" w:hAnsi="Arial" w:cs="Arial"/>
          <w:color w:val="000000"/>
          <w:sz w:val="22"/>
          <w:szCs w:val="22"/>
        </w:rPr>
        <w:t xml:space="preserve"> por comisiones de administración, dependiendo </w:t>
      </w:r>
      <w:r w:rsidR="003B1071" w:rsidRPr="00A329B8">
        <w:rPr>
          <w:rFonts w:ascii="Arial" w:hAnsi="Arial" w:cs="Arial"/>
          <w:color w:val="000000"/>
          <w:sz w:val="22"/>
          <w:szCs w:val="22"/>
        </w:rPr>
        <w:t>del tipo de entidad y de</w:t>
      </w:r>
      <w:r w:rsidR="00396367" w:rsidRPr="00A329B8">
        <w:rPr>
          <w:rFonts w:ascii="Arial" w:hAnsi="Arial" w:cs="Arial"/>
          <w:color w:val="000000"/>
          <w:sz w:val="22"/>
          <w:szCs w:val="22"/>
        </w:rPr>
        <w:t xml:space="preserve"> actividad</w:t>
      </w:r>
      <w:r w:rsidR="00443AA1" w:rsidRPr="00A329B8">
        <w:rPr>
          <w:rFonts w:ascii="Arial" w:hAnsi="Arial" w:cs="Arial"/>
          <w:color w:val="000000"/>
          <w:sz w:val="22"/>
          <w:szCs w:val="22"/>
        </w:rPr>
        <w:t>,</w:t>
      </w:r>
      <w:r w:rsidR="00396367" w:rsidRPr="00A329B8">
        <w:rPr>
          <w:rFonts w:ascii="Arial" w:hAnsi="Arial" w:cs="Arial"/>
          <w:color w:val="000000"/>
          <w:sz w:val="22"/>
          <w:szCs w:val="22"/>
        </w:rPr>
        <w:t xml:space="preserve"> según sea el caso</w:t>
      </w:r>
      <w:r w:rsidRPr="00A329B8">
        <w:rPr>
          <w:rFonts w:ascii="Arial" w:hAnsi="Arial" w:cs="Arial"/>
          <w:color w:val="000000"/>
          <w:sz w:val="22"/>
          <w:szCs w:val="22"/>
        </w:rPr>
        <w:t>.</w:t>
      </w:r>
      <w:r w:rsidR="004D2DA9" w:rsidRPr="00A329B8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4BCEFBCF" w14:textId="77777777" w:rsidR="001E3CE2" w:rsidRDefault="001E3CE2" w:rsidP="001E3CE2">
      <w:pPr>
        <w:pStyle w:val="Titulo"/>
        <w:numPr>
          <w:ilvl w:val="0"/>
          <w:numId w:val="0"/>
        </w:numPr>
        <w:jc w:val="both"/>
        <w:rPr>
          <w:rFonts w:ascii="Arial" w:hAnsi="Arial" w:cs="Arial"/>
          <w:bCs/>
          <w:snapToGrid w:val="0"/>
          <w:sz w:val="22"/>
          <w:szCs w:val="22"/>
        </w:rPr>
      </w:pPr>
    </w:p>
    <w:p w14:paraId="0CEB5AC7" w14:textId="60D44E5C" w:rsidR="00981BBA" w:rsidRDefault="00653A3B" w:rsidP="001E3CE2">
      <w:pPr>
        <w:pStyle w:val="Titulo"/>
        <w:numPr>
          <w:ilvl w:val="0"/>
          <w:numId w:val="0"/>
        </w:numPr>
        <w:jc w:val="both"/>
        <w:rPr>
          <w:rFonts w:ascii="Arial" w:hAnsi="Arial" w:cs="Arial"/>
          <w:bCs/>
          <w:snapToGrid w:val="0"/>
          <w:sz w:val="22"/>
          <w:szCs w:val="22"/>
          <w:lang w:val="es-MX"/>
        </w:rPr>
      </w:pPr>
      <w:r w:rsidRPr="00A329B8">
        <w:rPr>
          <w:rFonts w:ascii="Arial" w:hAnsi="Arial" w:cs="Arial"/>
          <w:bCs/>
          <w:snapToGrid w:val="0"/>
          <w:sz w:val="22"/>
          <w:szCs w:val="22"/>
          <w:lang w:val="es-MX"/>
        </w:rPr>
        <w:t xml:space="preserve">El </w:t>
      </w:r>
      <w:r w:rsidR="00FA1B95" w:rsidRPr="00A329B8">
        <w:rPr>
          <w:rFonts w:ascii="Arial" w:hAnsi="Arial" w:cs="Arial"/>
          <w:bCs/>
          <w:snapToGrid w:val="0"/>
          <w:sz w:val="22"/>
          <w:szCs w:val="22"/>
          <w:lang w:val="es-MX"/>
        </w:rPr>
        <w:t>cálculo del cociente de ingreso</w:t>
      </w:r>
      <w:r w:rsidR="006565AA" w:rsidRPr="00A329B8">
        <w:rPr>
          <w:rFonts w:ascii="Arial" w:hAnsi="Arial" w:cs="Arial"/>
          <w:bCs/>
          <w:snapToGrid w:val="0"/>
          <w:sz w:val="22"/>
          <w:szCs w:val="22"/>
          <w:lang w:val="es-MX"/>
        </w:rPr>
        <w:t>s</w:t>
      </w:r>
      <w:r w:rsidR="00FA1B95" w:rsidRPr="00A329B8">
        <w:rPr>
          <w:rFonts w:ascii="Arial" w:hAnsi="Arial" w:cs="Arial"/>
          <w:bCs/>
          <w:snapToGrid w:val="0"/>
          <w:sz w:val="22"/>
          <w:szCs w:val="22"/>
          <w:lang w:val="es-MX"/>
        </w:rPr>
        <w:t xml:space="preserve"> </w:t>
      </w:r>
      <w:r w:rsidR="006951C4" w:rsidRPr="00A329B8">
        <w:rPr>
          <w:rFonts w:ascii="Arial" w:hAnsi="Arial" w:cs="Arial"/>
          <w:bCs/>
          <w:snapToGrid w:val="0"/>
          <w:sz w:val="22"/>
          <w:szCs w:val="22"/>
          <w:lang w:val="es-MX"/>
        </w:rPr>
        <w:t xml:space="preserve">y gastos </w:t>
      </w:r>
      <w:r w:rsidR="00FA1B95" w:rsidRPr="00A329B8">
        <w:rPr>
          <w:rFonts w:ascii="Arial" w:hAnsi="Arial" w:cs="Arial"/>
          <w:bCs/>
          <w:snapToGrid w:val="0"/>
          <w:sz w:val="22"/>
          <w:szCs w:val="22"/>
          <w:lang w:val="es-MX"/>
        </w:rPr>
        <w:t>por comisiones de los contratos administrados</w:t>
      </w:r>
      <w:r w:rsidR="00443AA1" w:rsidRPr="00A329B8">
        <w:rPr>
          <w:rFonts w:ascii="Arial" w:hAnsi="Arial" w:cs="Arial"/>
          <w:bCs/>
          <w:snapToGrid w:val="0"/>
          <w:sz w:val="22"/>
          <w:szCs w:val="22"/>
          <w:lang w:val="es-MX"/>
        </w:rPr>
        <w:t xml:space="preserve"> para aquellas entidades</w:t>
      </w:r>
      <w:r w:rsidR="00FA1B95" w:rsidRPr="00A329B8">
        <w:rPr>
          <w:rFonts w:ascii="Arial" w:hAnsi="Arial" w:cs="Arial"/>
          <w:bCs/>
          <w:snapToGrid w:val="0"/>
          <w:sz w:val="22"/>
          <w:szCs w:val="22"/>
          <w:lang w:val="es-MX"/>
        </w:rPr>
        <w:t xml:space="preserve"> que no tengan información para los 3</w:t>
      </w:r>
      <w:r w:rsidR="008179CA" w:rsidRPr="00A329B8">
        <w:rPr>
          <w:rFonts w:ascii="Arial" w:hAnsi="Arial" w:cs="Arial"/>
          <w:bCs/>
          <w:snapToGrid w:val="0"/>
          <w:sz w:val="22"/>
          <w:szCs w:val="22"/>
          <w:lang w:val="es-MX"/>
        </w:rPr>
        <w:t xml:space="preserve">6 </w:t>
      </w:r>
      <w:r w:rsidR="006951C4" w:rsidRPr="00A329B8">
        <w:rPr>
          <w:rFonts w:ascii="Arial" w:hAnsi="Arial" w:cs="Arial"/>
          <w:bCs/>
          <w:snapToGrid w:val="0"/>
          <w:sz w:val="22"/>
          <w:szCs w:val="22"/>
          <w:lang w:val="es-MX"/>
        </w:rPr>
        <w:t xml:space="preserve">últimos </w:t>
      </w:r>
      <w:proofErr w:type="gramStart"/>
      <w:r w:rsidR="008179CA" w:rsidRPr="00A329B8">
        <w:rPr>
          <w:rFonts w:ascii="Arial" w:hAnsi="Arial" w:cs="Arial"/>
          <w:bCs/>
          <w:snapToGrid w:val="0"/>
          <w:sz w:val="22"/>
          <w:szCs w:val="22"/>
          <w:lang w:val="es-MX"/>
        </w:rPr>
        <w:t>meses</w:t>
      </w:r>
      <w:r w:rsidR="006951C4" w:rsidRPr="00A329B8">
        <w:rPr>
          <w:rFonts w:ascii="Arial" w:hAnsi="Arial" w:cs="Arial"/>
          <w:bCs/>
          <w:snapToGrid w:val="0"/>
          <w:sz w:val="22"/>
          <w:szCs w:val="22"/>
          <w:lang w:val="es-MX"/>
        </w:rPr>
        <w:t>,</w:t>
      </w:r>
      <w:proofErr w:type="gramEnd"/>
      <w:r w:rsidR="006951C4" w:rsidRPr="00A329B8">
        <w:rPr>
          <w:rFonts w:ascii="Arial" w:hAnsi="Arial" w:cs="Arial"/>
          <w:bCs/>
          <w:snapToGrid w:val="0"/>
          <w:sz w:val="22"/>
          <w:szCs w:val="22"/>
          <w:lang w:val="es-MX"/>
        </w:rPr>
        <w:t xml:space="preserve"> </w:t>
      </w:r>
      <w:r w:rsidR="001E1ED4" w:rsidRPr="00A329B8">
        <w:rPr>
          <w:rFonts w:ascii="Arial" w:hAnsi="Arial" w:cs="Arial"/>
          <w:bCs/>
          <w:snapToGrid w:val="0"/>
          <w:sz w:val="22"/>
          <w:szCs w:val="22"/>
          <w:lang w:val="es-MX"/>
        </w:rPr>
        <w:t>se realizará</w:t>
      </w:r>
      <w:r w:rsidR="00FA1B95" w:rsidRPr="00A329B8">
        <w:rPr>
          <w:rFonts w:ascii="Arial" w:hAnsi="Arial" w:cs="Arial"/>
          <w:bCs/>
          <w:snapToGrid w:val="0"/>
          <w:sz w:val="22"/>
          <w:szCs w:val="22"/>
          <w:lang w:val="es-MX"/>
        </w:rPr>
        <w:t xml:space="preserve"> de la siguiente manera:</w:t>
      </w:r>
    </w:p>
    <w:p w14:paraId="03153F5A" w14:textId="77777777" w:rsidR="00981BBA" w:rsidRPr="00A329B8" w:rsidRDefault="00981BBA" w:rsidP="00FA1B95">
      <w:pPr>
        <w:jc w:val="both"/>
        <w:rPr>
          <w:rFonts w:ascii="Arial" w:hAnsi="Arial" w:cs="Arial"/>
          <w:bCs/>
          <w:snapToGrid w:val="0"/>
          <w:sz w:val="22"/>
          <w:szCs w:val="22"/>
          <w:lang w:val="es-MX"/>
        </w:rPr>
      </w:pPr>
    </w:p>
    <w:p w14:paraId="0791FAB6" w14:textId="6F8CB7F5" w:rsidR="00FA1B95" w:rsidRPr="00A329B8" w:rsidRDefault="00FA1B95" w:rsidP="00FA1B95">
      <w:pPr>
        <w:pStyle w:val="Default"/>
        <w:jc w:val="both"/>
        <w:rPr>
          <w:bCs/>
          <w:snapToGrid w:val="0"/>
          <w:color w:val="auto"/>
          <w:sz w:val="22"/>
          <w:szCs w:val="22"/>
          <w:lang w:val="en-US" w:eastAsia="es-ES"/>
        </w:rPr>
      </w:pPr>
      <w:r w:rsidRPr="00A329B8">
        <w:rPr>
          <w:bCs/>
          <w:snapToGrid w:val="0"/>
          <w:color w:val="auto"/>
          <w:sz w:val="22"/>
          <w:szCs w:val="22"/>
          <w:lang w:val="en-US" w:eastAsia="es-ES"/>
        </w:rPr>
        <w:t>C I</w:t>
      </w:r>
      <w:r w:rsidR="00D35466" w:rsidRPr="00A329B8">
        <w:rPr>
          <w:bCs/>
          <w:snapToGrid w:val="0"/>
          <w:color w:val="auto"/>
          <w:sz w:val="22"/>
          <w:szCs w:val="22"/>
          <w:lang w:val="en-US" w:eastAsia="es-ES"/>
        </w:rPr>
        <w:t xml:space="preserve"> G</w:t>
      </w:r>
      <w:r w:rsidRPr="00A329B8">
        <w:rPr>
          <w:bCs/>
          <w:snapToGrid w:val="0"/>
          <w:color w:val="auto"/>
          <w:sz w:val="22"/>
          <w:szCs w:val="22"/>
          <w:lang w:val="en-US" w:eastAsia="es-ES"/>
        </w:rPr>
        <w:t xml:space="preserve"> = PAI</w:t>
      </w:r>
      <w:r w:rsidR="00D35466" w:rsidRPr="00A329B8">
        <w:rPr>
          <w:bCs/>
          <w:snapToGrid w:val="0"/>
          <w:color w:val="auto"/>
          <w:sz w:val="22"/>
          <w:szCs w:val="22"/>
          <w:lang w:val="en-US" w:eastAsia="es-ES"/>
        </w:rPr>
        <w:t>G</w:t>
      </w:r>
      <w:r w:rsidRPr="00A329B8">
        <w:rPr>
          <w:bCs/>
          <w:snapToGrid w:val="0"/>
          <w:color w:val="auto"/>
          <w:sz w:val="22"/>
          <w:szCs w:val="22"/>
          <w:lang w:val="en-US" w:eastAsia="es-ES"/>
        </w:rPr>
        <w:t xml:space="preserve"> / PMA</w:t>
      </w:r>
    </w:p>
    <w:p w14:paraId="064BDA5C" w14:textId="77777777" w:rsidR="00FA1B95" w:rsidRPr="00A329B8" w:rsidRDefault="00FA1B95" w:rsidP="00FA1B95">
      <w:pPr>
        <w:pStyle w:val="Default"/>
        <w:jc w:val="both"/>
        <w:rPr>
          <w:bCs/>
          <w:snapToGrid w:val="0"/>
          <w:color w:val="auto"/>
          <w:sz w:val="22"/>
          <w:szCs w:val="22"/>
          <w:lang w:val="en-US" w:eastAsia="es-ES"/>
        </w:rPr>
      </w:pPr>
    </w:p>
    <w:p w14:paraId="27049E6A" w14:textId="77777777" w:rsidR="00FA1B95" w:rsidRPr="00A329B8" w:rsidRDefault="00FA1B95" w:rsidP="00FA1B95">
      <w:pPr>
        <w:pStyle w:val="Default"/>
        <w:jc w:val="both"/>
        <w:rPr>
          <w:bCs/>
          <w:snapToGrid w:val="0"/>
          <w:color w:val="auto"/>
          <w:sz w:val="22"/>
          <w:szCs w:val="22"/>
          <w:lang w:val="en-US" w:eastAsia="es-ES"/>
        </w:rPr>
      </w:pPr>
      <w:proofErr w:type="spellStart"/>
      <w:r w:rsidRPr="00A329B8">
        <w:rPr>
          <w:bCs/>
          <w:snapToGrid w:val="0"/>
          <w:color w:val="auto"/>
          <w:sz w:val="22"/>
          <w:szCs w:val="22"/>
          <w:lang w:val="en-US" w:eastAsia="es-ES"/>
        </w:rPr>
        <w:t>Donde</w:t>
      </w:r>
      <w:proofErr w:type="spellEnd"/>
      <w:r w:rsidRPr="00A329B8">
        <w:rPr>
          <w:bCs/>
          <w:snapToGrid w:val="0"/>
          <w:color w:val="auto"/>
          <w:sz w:val="22"/>
          <w:szCs w:val="22"/>
          <w:lang w:val="en-US" w:eastAsia="es-ES"/>
        </w:rPr>
        <w:t xml:space="preserve">: </w:t>
      </w:r>
    </w:p>
    <w:p w14:paraId="773E1BAD" w14:textId="77777777" w:rsidR="00FA1B95" w:rsidRPr="00A329B8" w:rsidRDefault="00FA1B95" w:rsidP="00FA1B95">
      <w:pPr>
        <w:pStyle w:val="Default"/>
        <w:jc w:val="both"/>
        <w:rPr>
          <w:bCs/>
          <w:snapToGrid w:val="0"/>
          <w:color w:val="auto"/>
          <w:sz w:val="22"/>
          <w:szCs w:val="22"/>
          <w:lang w:val="en-US" w:eastAsia="es-ES"/>
        </w:rPr>
      </w:pPr>
    </w:p>
    <w:p w14:paraId="24B8AD84" w14:textId="7BC2DB22" w:rsidR="00FA1B95" w:rsidRPr="00A329B8" w:rsidRDefault="00FA1B95" w:rsidP="00FA1B95">
      <w:pPr>
        <w:pStyle w:val="Default"/>
        <w:ind w:left="851" w:hanging="851"/>
        <w:jc w:val="both"/>
        <w:rPr>
          <w:bCs/>
          <w:snapToGrid w:val="0"/>
          <w:color w:val="auto"/>
          <w:sz w:val="22"/>
          <w:szCs w:val="22"/>
          <w:lang w:val="es-MX" w:eastAsia="es-ES"/>
        </w:rPr>
      </w:pPr>
      <w:r w:rsidRPr="00A329B8">
        <w:rPr>
          <w:bCs/>
          <w:snapToGrid w:val="0"/>
          <w:color w:val="auto"/>
          <w:sz w:val="22"/>
          <w:szCs w:val="22"/>
          <w:lang w:val="es-MX" w:eastAsia="es-ES"/>
        </w:rPr>
        <w:t>CI</w:t>
      </w:r>
      <w:r w:rsidR="00D35466" w:rsidRPr="00A329B8">
        <w:rPr>
          <w:bCs/>
          <w:snapToGrid w:val="0"/>
          <w:color w:val="auto"/>
          <w:sz w:val="22"/>
          <w:szCs w:val="22"/>
          <w:lang w:val="es-MX" w:eastAsia="es-ES"/>
        </w:rPr>
        <w:t>G</w:t>
      </w:r>
      <w:r w:rsidRPr="00A329B8">
        <w:rPr>
          <w:bCs/>
          <w:snapToGrid w:val="0"/>
          <w:color w:val="auto"/>
          <w:sz w:val="22"/>
          <w:szCs w:val="22"/>
          <w:lang w:val="es-MX" w:eastAsia="es-ES"/>
        </w:rPr>
        <w:t>=</w:t>
      </w:r>
      <w:r w:rsidRPr="00A329B8">
        <w:rPr>
          <w:bCs/>
          <w:snapToGrid w:val="0"/>
          <w:color w:val="auto"/>
          <w:sz w:val="22"/>
          <w:szCs w:val="22"/>
          <w:lang w:val="es-MX" w:eastAsia="es-ES"/>
        </w:rPr>
        <w:tab/>
        <w:t>Cociente de ingresos</w:t>
      </w:r>
      <w:r w:rsidR="00D35466" w:rsidRPr="00A329B8">
        <w:rPr>
          <w:bCs/>
          <w:snapToGrid w:val="0"/>
          <w:color w:val="auto"/>
          <w:sz w:val="22"/>
          <w:szCs w:val="22"/>
          <w:lang w:val="es-MX" w:eastAsia="es-ES"/>
        </w:rPr>
        <w:t xml:space="preserve"> y </w:t>
      </w:r>
      <w:r w:rsidR="00056CD5" w:rsidRPr="00A329B8">
        <w:rPr>
          <w:bCs/>
          <w:snapToGrid w:val="0"/>
          <w:color w:val="auto"/>
          <w:sz w:val="22"/>
          <w:szCs w:val="22"/>
          <w:lang w:val="es-MX" w:eastAsia="es-ES"/>
        </w:rPr>
        <w:t>gastos</w:t>
      </w:r>
      <w:r w:rsidRPr="00A329B8">
        <w:rPr>
          <w:bCs/>
          <w:snapToGrid w:val="0"/>
          <w:color w:val="auto"/>
          <w:sz w:val="22"/>
          <w:szCs w:val="22"/>
          <w:lang w:val="es-MX" w:eastAsia="es-ES"/>
        </w:rPr>
        <w:t xml:space="preserve"> por comisiones de administración de operaciones.</w:t>
      </w:r>
    </w:p>
    <w:p w14:paraId="0C50B74E" w14:textId="77777777" w:rsidR="00121058" w:rsidRDefault="00121058" w:rsidP="00FA1B95">
      <w:pPr>
        <w:pStyle w:val="Default"/>
        <w:jc w:val="both"/>
        <w:rPr>
          <w:bCs/>
          <w:snapToGrid w:val="0"/>
          <w:color w:val="auto"/>
          <w:sz w:val="22"/>
          <w:szCs w:val="22"/>
          <w:lang w:val="es-MX" w:eastAsia="es-ES"/>
        </w:rPr>
      </w:pPr>
    </w:p>
    <w:p w14:paraId="0B0F6D2B" w14:textId="421007FA" w:rsidR="00FA1B95" w:rsidRPr="00A329B8" w:rsidRDefault="00FA1B95" w:rsidP="00D35466">
      <w:pPr>
        <w:pStyle w:val="Default"/>
        <w:ind w:left="851" w:hanging="851"/>
        <w:jc w:val="both"/>
        <w:rPr>
          <w:bCs/>
          <w:snapToGrid w:val="0"/>
          <w:color w:val="auto"/>
          <w:sz w:val="22"/>
          <w:szCs w:val="22"/>
          <w:lang w:val="es-MX" w:eastAsia="es-ES"/>
        </w:rPr>
      </w:pPr>
      <w:r w:rsidRPr="00A329B8">
        <w:rPr>
          <w:bCs/>
          <w:snapToGrid w:val="0"/>
          <w:color w:val="auto"/>
          <w:sz w:val="22"/>
          <w:szCs w:val="22"/>
          <w:lang w:val="es-MX" w:eastAsia="es-ES"/>
        </w:rPr>
        <w:t>PAI</w:t>
      </w:r>
      <w:r w:rsidR="00D35466" w:rsidRPr="00A329B8">
        <w:rPr>
          <w:bCs/>
          <w:snapToGrid w:val="0"/>
          <w:color w:val="auto"/>
          <w:sz w:val="22"/>
          <w:szCs w:val="22"/>
          <w:lang w:val="es-MX" w:eastAsia="es-ES"/>
        </w:rPr>
        <w:t>G</w:t>
      </w:r>
      <w:r w:rsidRPr="00A329B8">
        <w:rPr>
          <w:bCs/>
          <w:snapToGrid w:val="0"/>
          <w:color w:val="auto"/>
          <w:sz w:val="22"/>
          <w:szCs w:val="22"/>
          <w:lang w:val="es-MX" w:eastAsia="es-ES"/>
        </w:rPr>
        <w:t xml:space="preserve">=  </w:t>
      </w:r>
      <w:r w:rsidRPr="00A329B8">
        <w:rPr>
          <w:bCs/>
          <w:snapToGrid w:val="0"/>
          <w:color w:val="auto"/>
          <w:sz w:val="22"/>
          <w:szCs w:val="22"/>
          <w:lang w:val="es-MX" w:eastAsia="es-ES"/>
        </w:rPr>
        <w:tab/>
        <w:t xml:space="preserve">Promedio </w:t>
      </w:r>
      <w:r w:rsidR="0035144F" w:rsidRPr="00A329B8">
        <w:rPr>
          <w:bCs/>
          <w:snapToGrid w:val="0"/>
          <w:color w:val="auto"/>
          <w:sz w:val="22"/>
          <w:szCs w:val="22"/>
          <w:lang w:val="es-MX" w:eastAsia="es-ES"/>
        </w:rPr>
        <w:t>anual</w:t>
      </w:r>
      <w:r w:rsidR="00777C01" w:rsidRPr="00A329B8">
        <w:rPr>
          <w:bCs/>
          <w:snapToGrid w:val="0"/>
          <w:color w:val="auto"/>
          <w:sz w:val="22"/>
          <w:szCs w:val="22"/>
          <w:lang w:val="es-MX" w:eastAsia="es-ES"/>
        </w:rPr>
        <w:t xml:space="preserve"> </w:t>
      </w:r>
      <w:r w:rsidRPr="00A329B8">
        <w:rPr>
          <w:bCs/>
          <w:snapToGrid w:val="0"/>
          <w:color w:val="auto"/>
          <w:sz w:val="22"/>
          <w:szCs w:val="22"/>
          <w:lang w:val="es-MX" w:eastAsia="es-ES"/>
        </w:rPr>
        <w:t>de los últimos 3</w:t>
      </w:r>
      <w:r w:rsidR="00CA4CA0" w:rsidRPr="00A329B8">
        <w:rPr>
          <w:bCs/>
          <w:snapToGrid w:val="0"/>
          <w:color w:val="auto"/>
          <w:sz w:val="22"/>
          <w:szCs w:val="22"/>
          <w:lang w:val="es-MX" w:eastAsia="es-ES"/>
        </w:rPr>
        <w:t>6</w:t>
      </w:r>
      <w:r w:rsidRPr="00A329B8">
        <w:rPr>
          <w:bCs/>
          <w:snapToGrid w:val="0"/>
          <w:color w:val="auto"/>
          <w:sz w:val="22"/>
          <w:szCs w:val="22"/>
          <w:lang w:val="es-MX" w:eastAsia="es-ES"/>
        </w:rPr>
        <w:t xml:space="preserve"> </w:t>
      </w:r>
      <w:r w:rsidR="00CA4CA0" w:rsidRPr="00A329B8">
        <w:rPr>
          <w:bCs/>
          <w:snapToGrid w:val="0"/>
          <w:color w:val="auto"/>
          <w:sz w:val="22"/>
          <w:szCs w:val="22"/>
          <w:lang w:val="es-MX" w:eastAsia="es-ES"/>
        </w:rPr>
        <w:t>meses</w:t>
      </w:r>
      <w:r w:rsidRPr="00A329B8">
        <w:rPr>
          <w:bCs/>
          <w:snapToGrid w:val="0"/>
          <w:color w:val="auto"/>
          <w:sz w:val="22"/>
          <w:szCs w:val="22"/>
          <w:lang w:val="es-MX" w:eastAsia="es-ES"/>
        </w:rPr>
        <w:t xml:space="preserve"> de los ingresos por comisi</w:t>
      </w:r>
      <w:r w:rsidR="00056CD5" w:rsidRPr="00A329B8">
        <w:rPr>
          <w:bCs/>
          <w:snapToGrid w:val="0"/>
          <w:color w:val="auto"/>
          <w:sz w:val="22"/>
          <w:szCs w:val="22"/>
          <w:lang w:val="es-MX" w:eastAsia="es-ES"/>
        </w:rPr>
        <w:t>ones</w:t>
      </w:r>
      <w:r w:rsidRPr="00A329B8">
        <w:rPr>
          <w:bCs/>
          <w:snapToGrid w:val="0"/>
          <w:color w:val="auto"/>
          <w:sz w:val="22"/>
          <w:szCs w:val="22"/>
          <w:lang w:val="es-MX" w:eastAsia="es-ES"/>
        </w:rPr>
        <w:t xml:space="preserve"> de los contratos administrados</w:t>
      </w:r>
      <w:r w:rsidR="00056CD5" w:rsidRPr="00A329B8">
        <w:rPr>
          <w:bCs/>
          <w:snapToGrid w:val="0"/>
          <w:color w:val="auto"/>
          <w:sz w:val="22"/>
          <w:szCs w:val="22"/>
          <w:lang w:val="es-MX" w:eastAsia="es-ES"/>
        </w:rPr>
        <w:t xml:space="preserve"> menos los gastos por </w:t>
      </w:r>
      <w:r w:rsidR="00EB6865" w:rsidRPr="00A329B8">
        <w:rPr>
          <w:bCs/>
          <w:snapToGrid w:val="0"/>
          <w:color w:val="auto"/>
          <w:sz w:val="22"/>
          <w:szCs w:val="22"/>
          <w:lang w:val="es-MX" w:eastAsia="es-ES"/>
        </w:rPr>
        <w:t>concepto de custodia de valores</w:t>
      </w:r>
      <w:r w:rsidR="00D35466" w:rsidRPr="00A329B8">
        <w:rPr>
          <w:bCs/>
          <w:snapToGrid w:val="0"/>
          <w:color w:val="auto"/>
          <w:sz w:val="22"/>
          <w:szCs w:val="22"/>
          <w:lang w:val="es-MX" w:eastAsia="es-ES"/>
        </w:rPr>
        <w:t>.</w:t>
      </w:r>
    </w:p>
    <w:p w14:paraId="69DBB268" w14:textId="77777777" w:rsidR="00FA1B95" w:rsidRPr="00A329B8" w:rsidRDefault="00FA1B95" w:rsidP="00FA1B95">
      <w:pPr>
        <w:pStyle w:val="Default"/>
        <w:ind w:left="720" w:hanging="720"/>
        <w:jc w:val="both"/>
        <w:rPr>
          <w:bCs/>
          <w:snapToGrid w:val="0"/>
          <w:color w:val="auto"/>
          <w:sz w:val="22"/>
          <w:szCs w:val="22"/>
          <w:lang w:val="es-MX" w:eastAsia="es-ES"/>
        </w:rPr>
      </w:pPr>
    </w:p>
    <w:p w14:paraId="2C582AEE" w14:textId="043C9EAE" w:rsidR="00FA1B95" w:rsidRPr="00A329B8" w:rsidRDefault="0035144F" w:rsidP="00FA1B95">
      <w:pPr>
        <w:pStyle w:val="Default"/>
        <w:ind w:left="851" w:hanging="851"/>
        <w:jc w:val="both"/>
        <w:rPr>
          <w:bCs/>
          <w:snapToGrid w:val="0"/>
          <w:color w:val="auto"/>
          <w:sz w:val="22"/>
          <w:szCs w:val="22"/>
          <w:lang w:val="es-MX" w:eastAsia="es-ES"/>
        </w:rPr>
      </w:pPr>
      <w:r w:rsidRPr="00A329B8">
        <w:rPr>
          <w:bCs/>
          <w:snapToGrid w:val="0"/>
          <w:color w:val="auto"/>
          <w:sz w:val="22"/>
          <w:szCs w:val="22"/>
          <w:lang w:val="es-MX" w:eastAsia="es-ES"/>
        </w:rPr>
        <w:t xml:space="preserve">PMA=  </w:t>
      </w:r>
      <w:r w:rsidRPr="00A329B8">
        <w:rPr>
          <w:bCs/>
          <w:snapToGrid w:val="0"/>
          <w:color w:val="auto"/>
          <w:sz w:val="22"/>
          <w:szCs w:val="22"/>
          <w:lang w:val="es-MX" w:eastAsia="es-ES"/>
        </w:rPr>
        <w:tab/>
        <w:t>Promedio mensual</w:t>
      </w:r>
      <w:r w:rsidR="00FA1B95" w:rsidRPr="00A329B8">
        <w:rPr>
          <w:bCs/>
          <w:snapToGrid w:val="0"/>
          <w:color w:val="auto"/>
          <w:sz w:val="22"/>
          <w:szCs w:val="22"/>
          <w:lang w:val="es-MX" w:eastAsia="es-ES"/>
        </w:rPr>
        <w:t xml:space="preserve"> de los últimos 3</w:t>
      </w:r>
      <w:r w:rsidR="00CA4CA0" w:rsidRPr="00A329B8">
        <w:rPr>
          <w:bCs/>
          <w:snapToGrid w:val="0"/>
          <w:color w:val="auto"/>
          <w:sz w:val="22"/>
          <w:szCs w:val="22"/>
          <w:lang w:val="es-MX" w:eastAsia="es-ES"/>
        </w:rPr>
        <w:t>6</w:t>
      </w:r>
      <w:r w:rsidR="008E406E" w:rsidRPr="00A329B8">
        <w:rPr>
          <w:bCs/>
          <w:snapToGrid w:val="0"/>
          <w:color w:val="auto"/>
          <w:sz w:val="22"/>
          <w:szCs w:val="22"/>
          <w:lang w:val="es-MX" w:eastAsia="es-ES"/>
        </w:rPr>
        <w:t xml:space="preserve"> meses</w:t>
      </w:r>
      <w:r w:rsidR="00777C01" w:rsidRPr="00A329B8">
        <w:rPr>
          <w:bCs/>
          <w:snapToGrid w:val="0"/>
          <w:color w:val="auto"/>
          <w:sz w:val="22"/>
          <w:szCs w:val="22"/>
          <w:lang w:val="es-MX" w:eastAsia="es-ES"/>
        </w:rPr>
        <w:t xml:space="preserve"> </w:t>
      </w:r>
      <w:r w:rsidR="00FA1B95" w:rsidRPr="00A329B8">
        <w:rPr>
          <w:bCs/>
          <w:snapToGrid w:val="0"/>
          <w:color w:val="auto"/>
          <w:sz w:val="22"/>
          <w:szCs w:val="22"/>
          <w:lang w:val="es-MX" w:eastAsia="es-ES"/>
        </w:rPr>
        <w:t>de los activos de los contratos administrados</w:t>
      </w:r>
      <w:r w:rsidR="00D35466" w:rsidRPr="00A329B8">
        <w:rPr>
          <w:bCs/>
          <w:snapToGrid w:val="0"/>
          <w:color w:val="auto"/>
          <w:sz w:val="22"/>
          <w:szCs w:val="22"/>
          <w:lang w:val="es-MX" w:eastAsia="es-ES"/>
        </w:rPr>
        <w:t>.</w:t>
      </w:r>
    </w:p>
    <w:p w14:paraId="4D73BC8F" w14:textId="77777777" w:rsidR="00FA1B95" w:rsidRPr="00A329B8" w:rsidRDefault="00FA1B95" w:rsidP="00FA1B95">
      <w:pPr>
        <w:pStyle w:val="Default"/>
        <w:jc w:val="both"/>
        <w:rPr>
          <w:bCs/>
          <w:snapToGrid w:val="0"/>
          <w:color w:val="auto"/>
          <w:sz w:val="22"/>
          <w:szCs w:val="22"/>
          <w:lang w:val="es-MX" w:eastAsia="es-ES"/>
        </w:rPr>
      </w:pPr>
    </w:p>
    <w:p w14:paraId="059A0D81" w14:textId="77777777" w:rsidR="00981BBA" w:rsidRDefault="00D35466" w:rsidP="00FA1B95">
      <w:pPr>
        <w:pStyle w:val="Default"/>
        <w:jc w:val="both"/>
        <w:rPr>
          <w:bCs/>
          <w:snapToGrid w:val="0"/>
          <w:color w:val="auto"/>
          <w:sz w:val="22"/>
          <w:szCs w:val="22"/>
          <w:lang w:val="es-MX" w:eastAsia="es-ES"/>
        </w:rPr>
      </w:pPr>
      <w:r w:rsidRPr="00A329B8">
        <w:rPr>
          <w:bCs/>
          <w:snapToGrid w:val="0"/>
          <w:color w:val="auto"/>
          <w:sz w:val="22"/>
          <w:szCs w:val="22"/>
          <w:lang w:val="es-MX" w:eastAsia="es-ES"/>
        </w:rPr>
        <w:t xml:space="preserve">Los activos, ingresos y gastos corresponden a los </w:t>
      </w:r>
      <w:r w:rsidR="00443AA1" w:rsidRPr="00A329B8">
        <w:rPr>
          <w:bCs/>
          <w:snapToGrid w:val="0"/>
          <w:color w:val="auto"/>
          <w:sz w:val="22"/>
          <w:szCs w:val="22"/>
          <w:lang w:val="es-MX" w:eastAsia="es-ES"/>
        </w:rPr>
        <w:t>reportados por</w:t>
      </w:r>
      <w:r w:rsidRPr="00A329B8">
        <w:rPr>
          <w:bCs/>
          <w:snapToGrid w:val="0"/>
          <w:color w:val="auto"/>
          <w:sz w:val="22"/>
          <w:szCs w:val="22"/>
          <w:lang w:val="es-MX" w:eastAsia="es-ES"/>
        </w:rPr>
        <w:t xml:space="preserve"> </w:t>
      </w:r>
      <w:r w:rsidR="00443AA1" w:rsidRPr="00A329B8">
        <w:rPr>
          <w:bCs/>
          <w:snapToGrid w:val="0"/>
          <w:color w:val="auto"/>
          <w:sz w:val="22"/>
          <w:szCs w:val="22"/>
          <w:lang w:val="es-MX" w:eastAsia="es-ES"/>
        </w:rPr>
        <w:t xml:space="preserve">los administradores </w:t>
      </w:r>
      <w:r w:rsidRPr="00A329B8">
        <w:rPr>
          <w:bCs/>
          <w:snapToGrid w:val="0"/>
          <w:color w:val="auto"/>
          <w:sz w:val="22"/>
          <w:szCs w:val="22"/>
          <w:lang w:val="es-MX" w:eastAsia="es-ES"/>
        </w:rPr>
        <w:t xml:space="preserve">en los últimos </w:t>
      </w:r>
      <w:r w:rsidR="00CB400C" w:rsidRPr="00A329B8">
        <w:rPr>
          <w:bCs/>
          <w:snapToGrid w:val="0"/>
          <w:color w:val="auto"/>
          <w:sz w:val="22"/>
          <w:szCs w:val="22"/>
          <w:lang w:val="es-MX" w:eastAsia="es-ES"/>
        </w:rPr>
        <w:t>36</w:t>
      </w:r>
      <w:r w:rsidRPr="00A329B8">
        <w:rPr>
          <w:bCs/>
          <w:snapToGrid w:val="0"/>
          <w:color w:val="auto"/>
          <w:sz w:val="22"/>
          <w:szCs w:val="22"/>
          <w:lang w:val="es-MX" w:eastAsia="es-ES"/>
        </w:rPr>
        <w:t xml:space="preserve"> </w:t>
      </w:r>
      <w:r w:rsidR="00CB400C" w:rsidRPr="00A329B8">
        <w:rPr>
          <w:bCs/>
          <w:snapToGrid w:val="0"/>
          <w:color w:val="auto"/>
          <w:sz w:val="22"/>
          <w:szCs w:val="22"/>
          <w:lang w:val="es-MX" w:eastAsia="es-ES"/>
        </w:rPr>
        <w:t>meses.</w:t>
      </w:r>
      <w:r w:rsidR="00981BBA" w:rsidRPr="00981BBA">
        <w:rPr>
          <w:bCs/>
          <w:snapToGrid w:val="0"/>
          <w:color w:val="auto"/>
          <w:sz w:val="22"/>
          <w:szCs w:val="22"/>
          <w:lang w:val="es-MX" w:eastAsia="es-ES"/>
        </w:rPr>
        <w:t xml:space="preserve"> </w:t>
      </w:r>
    </w:p>
    <w:p w14:paraId="0D7F6101" w14:textId="77777777" w:rsidR="00981BBA" w:rsidRDefault="00981BBA" w:rsidP="00FA1B95">
      <w:pPr>
        <w:pStyle w:val="Default"/>
        <w:jc w:val="both"/>
        <w:rPr>
          <w:bCs/>
          <w:snapToGrid w:val="0"/>
          <w:color w:val="auto"/>
          <w:sz w:val="22"/>
          <w:szCs w:val="22"/>
          <w:lang w:val="es-MX" w:eastAsia="es-ES"/>
        </w:rPr>
      </w:pPr>
    </w:p>
    <w:p w14:paraId="16B3C9C4" w14:textId="77777777" w:rsidR="001E3CE2" w:rsidRDefault="00981BBA" w:rsidP="00121058">
      <w:pPr>
        <w:pStyle w:val="Default"/>
        <w:jc w:val="both"/>
        <w:rPr>
          <w:bCs/>
          <w:snapToGrid w:val="0"/>
          <w:color w:val="auto"/>
          <w:sz w:val="22"/>
          <w:szCs w:val="22"/>
          <w:lang w:val="es-MX" w:eastAsia="es-ES"/>
        </w:rPr>
        <w:sectPr w:rsidR="001E3CE2" w:rsidSect="008F09C6">
          <w:headerReference w:type="default" r:id="rId12"/>
          <w:pgSz w:w="12242" w:h="18722" w:code="14"/>
          <w:pgMar w:top="1418" w:right="1701" w:bottom="1418" w:left="1701" w:header="709" w:footer="709" w:gutter="0"/>
          <w:paperSrc w:first="2" w:other="2"/>
          <w:pgNumType w:start="52"/>
          <w:cols w:space="708"/>
          <w:docGrid w:linePitch="360"/>
        </w:sectPr>
      </w:pPr>
      <w:r>
        <w:rPr>
          <w:bCs/>
          <w:snapToGrid w:val="0"/>
          <w:color w:val="auto"/>
          <w:sz w:val="22"/>
          <w:szCs w:val="22"/>
          <w:lang w:val="es-MX" w:eastAsia="es-ES"/>
        </w:rPr>
        <w:t>El cociente de ingresos y gastos por comisiones de administración</w:t>
      </w:r>
      <w:r w:rsidRPr="00981BBA">
        <w:rPr>
          <w:bCs/>
          <w:snapToGrid w:val="0"/>
          <w:color w:val="auto"/>
          <w:sz w:val="22"/>
          <w:szCs w:val="22"/>
          <w:lang w:val="es-MX" w:eastAsia="es-ES"/>
        </w:rPr>
        <w:t xml:space="preserve"> </w:t>
      </w:r>
      <w:r w:rsidRPr="00A329B8">
        <w:rPr>
          <w:bCs/>
          <w:snapToGrid w:val="0"/>
          <w:color w:val="auto"/>
          <w:sz w:val="22"/>
          <w:szCs w:val="22"/>
          <w:lang w:val="es-MX" w:eastAsia="es-ES"/>
        </w:rPr>
        <w:t>de operaciones</w:t>
      </w:r>
      <w:r>
        <w:rPr>
          <w:bCs/>
          <w:snapToGrid w:val="0"/>
          <w:color w:val="auto"/>
          <w:sz w:val="22"/>
          <w:szCs w:val="22"/>
          <w:lang w:val="es-MX" w:eastAsia="es-ES"/>
        </w:rPr>
        <w:t xml:space="preserve"> (CIG) será calculado respecto de cada actividad o tipo de contrato, independientemente de la entidad que lo realice.</w:t>
      </w:r>
    </w:p>
    <w:p w14:paraId="7E240F8A" w14:textId="1E695B39" w:rsidR="00FB7024" w:rsidRPr="00A329B8" w:rsidRDefault="00981BBA" w:rsidP="00121058">
      <w:pPr>
        <w:pStyle w:val="Default"/>
        <w:jc w:val="both"/>
        <w:rPr>
          <w:sz w:val="22"/>
          <w:szCs w:val="22"/>
        </w:rPr>
      </w:pPr>
      <w:r>
        <w:rPr>
          <w:bCs/>
          <w:snapToGrid w:val="0"/>
          <w:sz w:val="22"/>
          <w:szCs w:val="22"/>
          <w:lang w:val="es-MX"/>
        </w:rPr>
        <w:lastRenderedPageBreak/>
        <w:t>P</w:t>
      </w:r>
      <w:r w:rsidR="00FA1B95" w:rsidRPr="00A329B8">
        <w:rPr>
          <w:bCs/>
          <w:snapToGrid w:val="0"/>
          <w:sz w:val="22"/>
          <w:szCs w:val="22"/>
          <w:lang w:val="es-MX"/>
        </w:rPr>
        <w:t xml:space="preserve">ara las Sociedades Fiduciarias </w:t>
      </w:r>
      <w:r w:rsidR="00121058">
        <w:rPr>
          <w:bCs/>
          <w:snapToGrid w:val="0"/>
          <w:sz w:val="22"/>
          <w:szCs w:val="22"/>
          <w:lang w:val="es-MX"/>
        </w:rPr>
        <w:t xml:space="preserve">se deben </w:t>
      </w:r>
      <w:r w:rsidR="00075C6A">
        <w:rPr>
          <w:bCs/>
          <w:snapToGrid w:val="0"/>
          <w:sz w:val="22"/>
          <w:szCs w:val="22"/>
          <w:lang w:val="es-MX"/>
        </w:rPr>
        <w:t xml:space="preserve">sumar los ingresos por comisiones provenientes de la administración de activos que se realice a través de </w:t>
      </w:r>
      <w:r>
        <w:rPr>
          <w:bCs/>
          <w:snapToGrid w:val="0"/>
          <w:sz w:val="22"/>
          <w:szCs w:val="22"/>
          <w:lang w:val="es-MX"/>
        </w:rPr>
        <w:t>contrato</w:t>
      </w:r>
      <w:r w:rsidR="00075C6A">
        <w:rPr>
          <w:bCs/>
          <w:snapToGrid w:val="0"/>
          <w:sz w:val="22"/>
          <w:szCs w:val="22"/>
          <w:lang w:val="es-MX"/>
        </w:rPr>
        <w:t>s</w:t>
      </w:r>
      <w:r>
        <w:rPr>
          <w:bCs/>
          <w:snapToGrid w:val="0"/>
          <w:sz w:val="22"/>
          <w:szCs w:val="22"/>
          <w:lang w:val="es-MX"/>
        </w:rPr>
        <w:t xml:space="preserve"> </w:t>
      </w:r>
      <w:r w:rsidRPr="00981BBA">
        <w:rPr>
          <w:bCs/>
          <w:snapToGrid w:val="0"/>
          <w:sz w:val="22"/>
          <w:szCs w:val="22"/>
          <w:lang w:val="es-MX"/>
        </w:rPr>
        <w:t xml:space="preserve">de </w:t>
      </w:r>
      <w:r w:rsidR="00F842CA" w:rsidRPr="00A329B8">
        <w:rPr>
          <w:bCs/>
          <w:snapToGrid w:val="0"/>
          <w:sz w:val="22"/>
          <w:szCs w:val="22"/>
          <w:lang w:val="es-MX"/>
        </w:rPr>
        <w:t xml:space="preserve">fiducia de inversión, </w:t>
      </w:r>
      <w:r w:rsidR="000846A6" w:rsidRPr="00A329B8">
        <w:rPr>
          <w:bCs/>
          <w:snapToGrid w:val="0"/>
          <w:sz w:val="22"/>
          <w:szCs w:val="22"/>
          <w:lang w:val="es-MX"/>
        </w:rPr>
        <w:t xml:space="preserve">fiducia inmobiliaria, </w:t>
      </w:r>
      <w:r w:rsidR="00F842CA" w:rsidRPr="00A329B8">
        <w:rPr>
          <w:bCs/>
          <w:snapToGrid w:val="0"/>
          <w:sz w:val="22"/>
          <w:szCs w:val="22"/>
          <w:lang w:val="es-MX"/>
        </w:rPr>
        <w:t>fiducia de administración, f</w:t>
      </w:r>
      <w:r w:rsidR="00FA1B95" w:rsidRPr="00A329B8">
        <w:rPr>
          <w:bCs/>
          <w:snapToGrid w:val="0"/>
          <w:sz w:val="22"/>
          <w:szCs w:val="22"/>
          <w:lang w:val="es-MX"/>
        </w:rPr>
        <w:t>iducia en g</w:t>
      </w:r>
      <w:r w:rsidR="0035144F" w:rsidRPr="00A329B8">
        <w:rPr>
          <w:bCs/>
          <w:snapToGrid w:val="0"/>
          <w:sz w:val="22"/>
          <w:szCs w:val="22"/>
          <w:lang w:val="es-MX"/>
        </w:rPr>
        <w:t xml:space="preserve">arantía, </w:t>
      </w:r>
      <w:r w:rsidR="00F842CA" w:rsidRPr="00A329B8">
        <w:rPr>
          <w:bCs/>
          <w:snapToGrid w:val="0"/>
          <w:sz w:val="22"/>
          <w:szCs w:val="22"/>
          <w:lang w:val="es-MX"/>
        </w:rPr>
        <w:t>f</w:t>
      </w:r>
      <w:r w:rsidR="00FA1B95" w:rsidRPr="00A329B8">
        <w:rPr>
          <w:bCs/>
          <w:snapToGrid w:val="0"/>
          <w:sz w:val="22"/>
          <w:szCs w:val="22"/>
          <w:lang w:val="es-MX"/>
        </w:rPr>
        <w:t>ondos de inversión colectiva,</w:t>
      </w:r>
      <w:r w:rsidR="00417641" w:rsidRPr="00A329B8">
        <w:rPr>
          <w:bCs/>
          <w:snapToGrid w:val="0"/>
          <w:sz w:val="22"/>
          <w:szCs w:val="22"/>
          <w:lang w:val="es-MX"/>
        </w:rPr>
        <w:t xml:space="preserve"> </w:t>
      </w:r>
      <w:r w:rsidR="00F842CA" w:rsidRPr="00A329B8">
        <w:rPr>
          <w:bCs/>
          <w:snapToGrid w:val="0"/>
          <w:sz w:val="22"/>
          <w:szCs w:val="22"/>
          <w:lang w:val="es-MX"/>
        </w:rPr>
        <w:t>f</w:t>
      </w:r>
      <w:r w:rsidR="0035144F" w:rsidRPr="00A329B8">
        <w:rPr>
          <w:bCs/>
          <w:snapToGrid w:val="0"/>
          <w:sz w:val="22"/>
          <w:szCs w:val="22"/>
          <w:lang w:val="es-MX"/>
        </w:rPr>
        <w:t>ondos de pensiones v</w:t>
      </w:r>
      <w:r w:rsidR="00417641" w:rsidRPr="00A329B8">
        <w:rPr>
          <w:bCs/>
          <w:snapToGrid w:val="0"/>
          <w:sz w:val="22"/>
          <w:szCs w:val="22"/>
          <w:lang w:val="es-MX"/>
        </w:rPr>
        <w:t xml:space="preserve">oluntarias, Fondo Nacional de Pensiones de las Entidades </w:t>
      </w:r>
      <w:r w:rsidR="006E43B2" w:rsidRPr="00A329B8">
        <w:rPr>
          <w:bCs/>
          <w:snapToGrid w:val="0"/>
          <w:sz w:val="22"/>
          <w:szCs w:val="22"/>
          <w:lang w:val="es-MX"/>
        </w:rPr>
        <w:t>Territoriales – FONPET, y</w:t>
      </w:r>
      <w:r w:rsidR="00417641" w:rsidRPr="00A329B8">
        <w:rPr>
          <w:bCs/>
          <w:snapToGrid w:val="0"/>
          <w:sz w:val="22"/>
          <w:szCs w:val="22"/>
          <w:lang w:val="es-MX"/>
        </w:rPr>
        <w:t xml:space="preserve"> </w:t>
      </w:r>
      <w:r w:rsidR="000846A6" w:rsidRPr="00A329B8">
        <w:rPr>
          <w:bCs/>
          <w:snapToGrid w:val="0"/>
          <w:sz w:val="22"/>
          <w:szCs w:val="22"/>
          <w:lang w:val="es-MX"/>
        </w:rPr>
        <w:t xml:space="preserve">los demás negocios fiduciarios </w:t>
      </w:r>
      <w:r w:rsidR="0035144F" w:rsidRPr="00A329B8">
        <w:rPr>
          <w:bCs/>
          <w:snapToGrid w:val="0"/>
          <w:sz w:val="22"/>
          <w:szCs w:val="22"/>
          <w:lang w:val="es-MX"/>
        </w:rPr>
        <w:t xml:space="preserve">de la seguridad social </w:t>
      </w:r>
      <w:r w:rsidR="00ED595A" w:rsidRPr="00A329B8">
        <w:rPr>
          <w:bCs/>
          <w:snapToGrid w:val="0"/>
          <w:sz w:val="22"/>
          <w:szCs w:val="22"/>
          <w:lang w:val="es-MX"/>
        </w:rPr>
        <w:t xml:space="preserve">y </w:t>
      </w:r>
      <w:r w:rsidR="00417641" w:rsidRPr="00A329B8">
        <w:rPr>
          <w:bCs/>
          <w:snapToGrid w:val="0"/>
          <w:sz w:val="22"/>
          <w:szCs w:val="22"/>
          <w:lang w:val="es-MX"/>
        </w:rPr>
        <w:t>custodia de valores</w:t>
      </w:r>
      <w:r w:rsidR="00ED595A" w:rsidRPr="00981BBA">
        <w:rPr>
          <w:bCs/>
          <w:snapToGrid w:val="0"/>
          <w:sz w:val="22"/>
          <w:szCs w:val="22"/>
          <w:lang w:val="es-MX"/>
        </w:rPr>
        <w:t>.</w:t>
      </w:r>
    </w:p>
    <w:p w14:paraId="3203B1E4" w14:textId="77777777" w:rsidR="00FA1B95" w:rsidRPr="00A329B8" w:rsidRDefault="00FA1B95" w:rsidP="00FA1B95">
      <w:pPr>
        <w:pStyle w:val="Default"/>
        <w:jc w:val="both"/>
        <w:rPr>
          <w:b/>
          <w:bCs/>
          <w:snapToGrid w:val="0"/>
          <w:color w:val="auto"/>
          <w:sz w:val="22"/>
          <w:szCs w:val="22"/>
          <w:highlight w:val="yellow"/>
          <w:lang w:val="es-MX" w:eastAsia="es-ES"/>
        </w:rPr>
      </w:pPr>
    </w:p>
    <w:p w14:paraId="52CC3C16" w14:textId="2A08D1AA" w:rsidR="00FA1B95" w:rsidRPr="00A329B8" w:rsidRDefault="00FA1B95" w:rsidP="00FA1B95">
      <w:pPr>
        <w:pStyle w:val="Default"/>
        <w:jc w:val="both"/>
        <w:rPr>
          <w:bCs/>
          <w:snapToGrid w:val="0"/>
          <w:color w:val="auto"/>
          <w:sz w:val="22"/>
          <w:szCs w:val="22"/>
          <w:lang w:val="es-MX" w:eastAsia="es-ES"/>
        </w:rPr>
      </w:pPr>
      <w:r w:rsidRPr="00A329B8">
        <w:rPr>
          <w:bCs/>
          <w:snapToGrid w:val="0"/>
          <w:color w:val="auto"/>
          <w:sz w:val="22"/>
          <w:szCs w:val="22"/>
          <w:lang w:val="es-MX" w:eastAsia="es-ES"/>
        </w:rPr>
        <w:t>Para las Sociedades Administradoras de Fondos de Pensiones y Cesantías</w:t>
      </w:r>
      <w:r w:rsidR="00121058" w:rsidRPr="00121058">
        <w:rPr>
          <w:bCs/>
          <w:snapToGrid w:val="0"/>
          <w:sz w:val="22"/>
          <w:szCs w:val="22"/>
          <w:lang w:val="es-MX"/>
        </w:rPr>
        <w:t xml:space="preserve"> </w:t>
      </w:r>
      <w:r w:rsidR="00121058">
        <w:rPr>
          <w:bCs/>
          <w:snapToGrid w:val="0"/>
          <w:sz w:val="22"/>
          <w:szCs w:val="22"/>
          <w:lang w:val="es-MX"/>
        </w:rPr>
        <w:t>se deben</w:t>
      </w:r>
      <w:r w:rsidRPr="00A329B8">
        <w:rPr>
          <w:bCs/>
          <w:snapToGrid w:val="0"/>
          <w:color w:val="auto"/>
          <w:sz w:val="22"/>
          <w:szCs w:val="22"/>
          <w:lang w:val="es-MX" w:eastAsia="es-ES"/>
        </w:rPr>
        <w:t xml:space="preserve"> </w:t>
      </w:r>
      <w:r w:rsidR="00075C6A" w:rsidRPr="00075C6A">
        <w:rPr>
          <w:bCs/>
          <w:snapToGrid w:val="0"/>
          <w:color w:val="auto"/>
          <w:sz w:val="22"/>
          <w:szCs w:val="22"/>
          <w:lang w:val="es-MX" w:eastAsia="es-ES"/>
        </w:rPr>
        <w:t xml:space="preserve">sumar los ingresos por comisiones provenientes de la administración de activos que se realice a través de </w:t>
      </w:r>
      <w:r w:rsidR="00075C6A" w:rsidRPr="00075C6A">
        <w:rPr>
          <w:bCs/>
          <w:snapToGrid w:val="0"/>
          <w:sz w:val="22"/>
          <w:szCs w:val="22"/>
          <w:lang w:val="es-MX"/>
        </w:rPr>
        <w:t xml:space="preserve">contratos </w:t>
      </w:r>
      <w:r w:rsidRPr="00A329B8">
        <w:rPr>
          <w:bCs/>
          <w:snapToGrid w:val="0"/>
          <w:color w:val="auto"/>
          <w:sz w:val="22"/>
          <w:szCs w:val="22"/>
          <w:lang w:val="es-MX" w:eastAsia="es-ES"/>
        </w:rPr>
        <w:t xml:space="preserve">fondos de pensiones obligatorias, fondos de cesantías, fondos de pensiones voluntarias y </w:t>
      </w:r>
      <w:r w:rsidR="001B4BD3" w:rsidRPr="00A329B8">
        <w:rPr>
          <w:bCs/>
          <w:snapToGrid w:val="0"/>
          <w:color w:val="auto"/>
          <w:sz w:val="22"/>
          <w:szCs w:val="22"/>
          <w:lang w:val="es-MX" w:eastAsia="es-ES"/>
        </w:rPr>
        <w:t>patrimonios autónomos</w:t>
      </w:r>
      <w:r w:rsidRPr="00A329B8">
        <w:rPr>
          <w:bCs/>
          <w:snapToGrid w:val="0"/>
          <w:color w:val="auto"/>
          <w:sz w:val="22"/>
          <w:szCs w:val="22"/>
          <w:lang w:val="es-MX" w:eastAsia="es-ES"/>
        </w:rPr>
        <w:t xml:space="preserve"> sobre pasivos pensionales</w:t>
      </w:r>
      <w:r w:rsidR="00417641" w:rsidRPr="00A329B8">
        <w:rPr>
          <w:bCs/>
          <w:snapToGrid w:val="0"/>
          <w:color w:val="auto"/>
          <w:sz w:val="22"/>
          <w:szCs w:val="22"/>
          <w:lang w:val="es-MX" w:eastAsia="es-ES"/>
        </w:rPr>
        <w:t xml:space="preserve"> y Fondo Nacional de Pensiones de las Entidades Territoriales – FONPET</w:t>
      </w:r>
      <w:r w:rsidRPr="00A329B8">
        <w:rPr>
          <w:bCs/>
          <w:snapToGrid w:val="0"/>
          <w:color w:val="auto"/>
          <w:sz w:val="22"/>
          <w:szCs w:val="22"/>
          <w:lang w:val="es-MX" w:eastAsia="es-ES"/>
        </w:rPr>
        <w:t xml:space="preserve">. </w:t>
      </w:r>
    </w:p>
    <w:p w14:paraId="721FADED" w14:textId="77777777" w:rsidR="00C06865" w:rsidRPr="00A329B8" w:rsidRDefault="00C06865" w:rsidP="00FA1B95">
      <w:pPr>
        <w:pStyle w:val="Default"/>
        <w:jc w:val="both"/>
        <w:rPr>
          <w:bCs/>
          <w:snapToGrid w:val="0"/>
          <w:color w:val="auto"/>
          <w:sz w:val="22"/>
          <w:szCs w:val="22"/>
          <w:lang w:val="es-MX" w:eastAsia="es-ES"/>
        </w:rPr>
      </w:pPr>
    </w:p>
    <w:p w14:paraId="44605761" w14:textId="4FED68A7" w:rsidR="00C06865" w:rsidRPr="00A329B8" w:rsidRDefault="00C06865" w:rsidP="00FA1B95">
      <w:pPr>
        <w:pStyle w:val="Default"/>
        <w:jc w:val="both"/>
        <w:rPr>
          <w:bCs/>
          <w:snapToGrid w:val="0"/>
          <w:color w:val="auto"/>
          <w:sz w:val="22"/>
          <w:szCs w:val="22"/>
          <w:lang w:val="es-MX" w:eastAsia="es-ES"/>
        </w:rPr>
      </w:pPr>
      <w:r w:rsidRPr="00A329B8">
        <w:rPr>
          <w:bCs/>
          <w:snapToGrid w:val="0"/>
          <w:color w:val="auto"/>
          <w:sz w:val="22"/>
          <w:szCs w:val="22"/>
          <w:lang w:val="es-MX" w:eastAsia="es-ES"/>
        </w:rPr>
        <w:t>Para las Entidades Aseguradoras</w:t>
      </w:r>
      <w:r w:rsidR="00CB400C" w:rsidRPr="00A329B8">
        <w:rPr>
          <w:bCs/>
          <w:snapToGrid w:val="0"/>
          <w:color w:val="auto"/>
          <w:sz w:val="22"/>
          <w:szCs w:val="22"/>
          <w:lang w:val="es-MX" w:eastAsia="es-ES"/>
        </w:rPr>
        <w:t xml:space="preserve"> </w:t>
      </w:r>
      <w:r w:rsidR="00121058">
        <w:rPr>
          <w:bCs/>
          <w:snapToGrid w:val="0"/>
          <w:sz w:val="22"/>
          <w:szCs w:val="22"/>
          <w:lang w:val="es-MX"/>
        </w:rPr>
        <w:t>se deben</w:t>
      </w:r>
      <w:r w:rsidR="00121058" w:rsidRPr="00A329B8">
        <w:rPr>
          <w:bCs/>
          <w:snapToGrid w:val="0"/>
          <w:color w:val="auto"/>
          <w:sz w:val="22"/>
          <w:szCs w:val="22"/>
          <w:lang w:val="es-MX" w:eastAsia="es-ES"/>
        </w:rPr>
        <w:t xml:space="preserve"> </w:t>
      </w:r>
      <w:r w:rsidR="00075C6A" w:rsidRPr="00075C6A">
        <w:rPr>
          <w:bCs/>
          <w:snapToGrid w:val="0"/>
          <w:color w:val="auto"/>
          <w:sz w:val="22"/>
          <w:szCs w:val="22"/>
          <w:lang w:val="es-MX" w:eastAsia="es-ES"/>
        </w:rPr>
        <w:t xml:space="preserve">sumar los ingresos por comisiones provenientes de la administración de activos que se realice a través de </w:t>
      </w:r>
      <w:r w:rsidRPr="00A329B8">
        <w:rPr>
          <w:bCs/>
          <w:snapToGrid w:val="0"/>
          <w:color w:val="auto"/>
          <w:sz w:val="22"/>
          <w:szCs w:val="22"/>
          <w:lang w:val="es-MX" w:eastAsia="es-ES"/>
        </w:rPr>
        <w:t xml:space="preserve">patrimonios autónomos con recursos del Fondo Nacional de Pensiones de las Entidades Territoriales –FONPET, </w:t>
      </w:r>
      <w:r w:rsidR="00856CE9" w:rsidRPr="00A329B8">
        <w:rPr>
          <w:bCs/>
          <w:snapToGrid w:val="0"/>
          <w:color w:val="auto"/>
          <w:sz w:val="22"/>
          <w:szCs w:val="22"/>
          <w:lang w:val="es-MX" w:eastAsia="es-ES"/>
        </w:rPr>
        <w:t xml:space="preserve">contratos de </w:t>
      </w:r>
      <w:r w:rsidRPr="00A329B8">
        <w:rPr>
          <w:bCs/>
          <w:snapToGrid w:val="0"/>
          <w:color w:val="auto"/>
          <w:sz w:val="22"/>
          <w:szCs w:val="22"/>
          <w:lang w:val="es-MX" w:eastAsia="es-ES"/>
        </w:rPr>
        <w:t>fondos de pensiones voluntarias y patrimonios autónomos sobre pasivos pensionales</w:t>
      </w:r>
      <w:r w:rsidR="00856CE9" w:rsidRPr="00A329B8">
        <w:rPr>
          <w:bCs/>
          <w:snapToGrid w:val="0"/>
          <w:color w:val="auto"/>
          <w:sz w:val="22"/>
          <w:szCs w:val="22"/>
          <w:lang w:val="es-MX" w:eastAsia="es-ES"/>
        </w:rPr>
        <w:t>.</w:t>
      </w:r>
      <w:r w:rsidRPr="00A329B8">
        <w:rPr>
          <w:bCs/>
          <w:snapToGrid w:val="0"/>
          <w:color w:val="auto"/>
          <w:sz w:val="22"/>
          <w:szCs w:val="22"/>
          <w:lang w:val="es-MX" w:eastAsia="es-ES"/>
        </w:rPr>
        <w:t xml:space="preserve"> </w:t>
      </w:r>
    </w:p>
    <w:p w14:paraId="002A040B" w14:textId="77777777" w:rsidR="00FA1B95" w:rsidRPr="00A329B8" w:rsidRDefault="00FA1B95" w:rsidP="00FA1B95">
      <w:pPr>
        <w:pStyle w:val="Default"/>
        <w:jc w:val="both"/>
        <w:rPr>
          <w:b/>
          <w:bCs/>
          <w:snapToGrid w:val="0"/>
          <w:color w:val="auto"/>
          <w:sz w:val="22"/>
          <w:szCs w:val="22"/>
          <w:lang w:val="es-MX" w:eastAsia="es-ES"/>
        </w:rPr>
      </w:pPr>
    </w:p>
    <w:p w14:paraId="6CB4A7C7" w14:textId="04A01031" w:rsidR="00563C27" w:rsidRPr="00A329B8" w:rsidRDefault="00563C27" w:rsidP="00296F90">
      <w:pPr>
        <w:jc w:val="both"/>
        <w:rPr>
          <w:rFonts w:ascii="Arial" w:hAnsi="Arial" w:cs="Arial"/>
          <w:b/>
          <w:sz w:val="22"/>
          <w:szCs w:val="22"/>
          <w:highlight w:val="green"/>
        </w:rPr>
      </w:pPr>
    </w:p>
    <w:p w14:paraId="7EC308C1" w14:textId="77777777" w:rsidR="00205199" w:rsidRPr="00A329B8" w:rsidRDefault="00205199" w:rsidP="00296F90">
      <w:pPr>
        <w:jc w:val="both"/>
        <w:rPr>
          <w:rFonts w:ascii="Arial" w:hAnsi="Arial" w:cs="Arial"/>
          <w:b/>
          <w:sz w:val="22"/>
          <w:szCs w:val="22"/>
          <w:highlight w:val="green"/>
        </w:rPr>
      </w:pPr>
    </w:p>
    <w:p w14:paraId="7779910F" w14:textId="1D5FFC18" w:rsidR="00205199" w:rsidRPr="00A329B8" w:rsidRDefault="00205199" w:rsidP="00296F90">
      <w:pPr>
        <w:jc w:val="both"/>
        <w:rPr>
          <w:rFonts w:ascii="Arial" w:hAnsi="Arial" w:cs="Arial"/>
          <w:b/>
          <w:sz w:val="22"/>
          <w:szCs w:val="22"/>
          <w:highlight w:val="green"/>
        </w:rPr>
      </w:pPr>
      <w:r w:rsidRPr="00A329B8">
        <w:rPr>
          <w:rFonts w:ascii="Arial" w:hAnsi="Arial" w:cs="Arial"/>
          <w:b/>
          <w:sz w:val="22"/>
          <w:szCs w:val="22"/>
          <w:highlight w:val="green"/>
        </w:rPr>
        <w:t xml:space="preserve"> </w:t>
      </w:r>
    </w:p>
    <w:sectPr w:rsidR="00205199" w:rsidRPr="00A329B8" w:rsidSect="008F09C6">
      <w:headerReference w:type="default" r:id="rId13"/>
      <w:pgSz w:w="12242" w:h="18722" w:code="14"/>
      <w:pgMar w:top="1418" w:right="1701" w:bottom="1418" w:left="1701" w:header="709" w:footer="709" w:gutter="0"/>
      <w:paperSrc w:first="2" w:other="2"/>
      <w:pgNumType w:start="5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49805E" w14:textId="77777777" w:rsidR="00F3546E" w:rsidRDefault="00F3546E">
      <w:r>
        <w:separator/>
      </w:r>
    </w:p>
  </w:endnote>
  <w:endnote w:type="continuationSeparator" w:id="0">
    <w:p w14:paraId="42547B71" w14:textId="77777777" w:rsidR="00F3546E" w:rsidRDefault="00F35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C3D1F8" w14:textId="773912A5" w:rsidR="00861F08" w:rsidRDefault="00861F08">
    <w:pPr>
      <w:pStyle w:val="Piedepgina"/>
    </w:pPr>
    <w:r w:rsidRPr="00A339F1">
      <w:rPr>
        <w:rFonts w:ascii="Arial" w:hAnsi="Arial"/>
        <w:b/>
        <w:sz w:val="20"/>
        <w:szCs w:val="20"/>
      </w:rPr>
      <w:t>C</w:t>
    </w:r>
    <w:r>
      <w:rPr>
        <w:rFonts w:ascii="Arial" w:hAnsi="Arial"/>
        <w:b/>
        <w:sz w:val="20"/>
        <w:szCs w:val="20"/>
      </w:rPr>
      <w:t xml:space="preserve">ircular Externa </w:t>
    </w:r>
    <w:r w:rsidR="00955919">
      <w:rPr>
        <w:rFonts w:ascii="Arial" w:hAnsi="Arial"/>
        <w:b/>
        <w:sz w:val="20"/>
        <w:szCs w:val="20"/>
      </w:rPr>
      <w:t>010</w:t>
    </w:r>
    <w:r>
      <w:rPr>
        <w:rFonts w:ascii="Arial" w:hAnsi="Arial"/>
        <w:b/>
        <w:sz w:val="20"/>
        <w:szCs w:val="20"/>
      </w:rPr>
      <w:t xml:space="preserve"> de 2019</w:t>
    </w:r>
    <w:r w:rsidRPr="00A339F1">
      <w:rPr>
        <w:rFonts w:ascii="Arial" w:hAnsi="Arial"/>
        <w:b/>
        <w:sz w:val="20"/>
        <w:szCs w:val="20"/>
      </w:rPr>
      <w:tab/>
    </w:r>
    <w:r>
      <w:rPr>
        <w:rFonts w:ascii="Arial" w:hAnsi="Arial"/>
        <w:b/>
        <w:sz w:val="20"/>
        <w:szCs w:val="20"/>
      </w:rPr>
      <w:tab/>
    </w:r>
    <w:proofErr w:type="gramStart"/>
    <w:r>
      <w:rPr>
        <w:rFonts w:ascii="Arial" w:hAnsi="Arial"/>
        <w:b/>
        <w:sz w:val="20"/>
        <w:szCs w:val="20"/>
      </w:rPr>
      <w:t>Mayo</w:t>
    </w:r>
    <w:proofErr w:type="gramEnd"/>
    <w:r w:rsidRPr="00A339F1">
      <w:rPr>
        <w:rFonts w:ascii="Arial" w:hAnsi="Arial"/>
        <w:b/>
        <w:sz w:val="20"/>
        <w:szCs w:val="20"/>
      </w:rPr>
      <w:t xml:space="preserve"> de </w:t>
    </w:r>
    <w:r>
      <w:rPr>
        <w:rFonts w:ascii="Arial" w:hAnsi="Arial"/>
        <w:b/>
        <w:sz w:val="20"/>
        <w:szCs w:val="20"/>
      </w:rPr>
      <w:t>2019</w:t>
    </w:r>
  </w:p>
  <w:p w14:paraId="073AF608" w14:textId="77777777" w:rsidR="00861F08" w:rsidRDefault="00861F0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CE41B8" w14:textId="77777777" w:rsidR="00F3546E" w:rsidRDefault="00F3546E">
      <w:r>
        <w:separator/>
      </w:r>
    </w:p>
  </w:footnote>
  <w:footnote w:type="continuationSeparator" w:id="0">
    <w:p w14:paraId="0B989294" w14:textId="77777777" w:rsidR="00F3546E" w:rsidRDefault="00F354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7B642" w14:textId="77777777" w:rsidR="00121058" w:rsidRPr="0036718E" w:rsidRDefault="00121058" w:rsidP="00A339F1">
    <w:pPr>
      <w:pStyle w:val="Encabezado"/>
      <w:jc w:val="center"/>
      <w:rPr>
        <w:rFonts w:ascii="Arial" w:hAnsi="Arial"/>
        <w:b/>
        <w:sz w:val="22"/>
        <w:szCs w:val="22"/>
      </w:rPr>
    </w:pPr>
    <w:r w:rsidRPr="0036718E">
      <w:rPr>
        <w:rFonts w:ascii="Arial" w:hAnsi="Arial"/>
        <w:b/>
        <w:sz w:val="22"/>
        <w:szCs w:val="22"/>
      </w:rPr>
      <w:t>SUPERINTENDENCIA FINANCIERA DE COLOMBIA</w:t>
    </w:r>
  </w:p>
  <w:p w14:paraId="7787EC26" w14:textId="77777777" w:rsidR="00121058" w:rsidRPr="0036718E" w:rsidRDefault="00121058" w:rsidP="00A339F1">
    <w:pPr>
      <w:pStyle w:val="Encabezado"/>
      <w:rPr>
        <w:rFonts w:ascii="Arial" w:hAnsi="Arial"/>
        <w:b/>
        <w:sz w:val="22"/>
        <w:szCs w:val="22"/>
      </w:rPr>
    </w:pPr>
  </w:p>
  <w:p w14:paraId="347B567B" w14:textId="77777777" w:rsidR="00121058" w:rsidRPr="0036718E" w:rsidRDefault="00121058" w:rsidP="00A339F1">
    <w:pPr>
      <w:pStyle w:val="Encabezado"/>
      <w:rPr>
        <w:rFonts w:ascii="Arial" w:hAnsi="Arial"/>
        <w:b/>
        <w:sz w:val="22"/>
        <w:szCs w:val="22"/>
      </w:rPr>
    </w:pPr>
    <w:r w:rsidRPr="0036718E">
      <w:rPr>
        <w:rFonts w:ascii="Arial" w:hAnsi="Arial"/>
        <w:b/>
        <w:sz w:val="22"/>
        <w:szCs w:val="22"/>
      </w:rPr>
      <w:t>CAPITULO XIII - CONTROLES DE LEY</w:t>
    </w:r>
  </w:p>
  <w:p w14:paraId="7AB17D14" w14:textId="27D5208A" w:rsidR="00121058" w:rsidRPr="0036718E" w:rsidRDefault="00121058" w:rsidP="00A339F1">
    <w:pPr>
      <w:pStyle w:val="Encabezado"/>
      <w:rPr>
        <w:sz w:val="22"/>
        <w:szCs w:val="22"/>
      </w:rPr>
    </w:pPr>
    <w:r w:rsidRPr="0036718E">
      <w:rPr>
        <w:rFonts w:ascii="Arial" w:hAnsi="Arial"/>
        <w:b/>
        <w:sz w:val="22"/>
        <w:szCs w:val="22"/>
      </w:rPr>
      <w:t xml:space="preserve">Página </w:t>
    </w:r>
    <w:r w:rsidR="001E3CE2">
      <w:rPr>
        <w:rStyle w:val="Nmerodepgina"/>
        <w:rFonts w:ascii="Arial" w:hAnsi="Arial" w:cs="Arial"/>
        <w:b/>
        <w:sz w:val="22"/>
        <w:szCs w:val="22"/>
      </w:rPr>
      <w:t>60-1</w:t>
    </w:r>
  </w:p>
  <w:p w14:paraId="061864A7" w14:textId="77777777" w:rsidR="00121058" w:rsidRDefault="0012105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D9E4B" w14:textId="77777777" w:rsidR="001E3CE2" w:rsidRPr="0036718E" w:rsidRDefault="001E3CE2" w:rsidP="00A339F1">
    <w:pPr>
      <w:pStyle w:val="Encabezado"/>
      <w:jc w:val="center"/>
      <w:rPr>
        <w:rFonts w:ascii="Arial" w:hAnsi="Arial"/>
        <w:b/>
        <w:sz w:val="22"/>
        <w:szCs w:val="22"/>
      </w:rPr>
    </w:pPr>
    <w:r w:rsidRPr="0036718E">
      <w:rPr>
        <w:rFonts w:ascii="Arial" w:hAnsi="Arial"/>
        <w:b/>
        <w:sz w:val="22"/>
        <w:szCs w:val="22"/>
      </w:rPr>
      <w:t>SUPERINTENDENCIA FINANCIERA DE COLOMBIA</w:t>
    </w:r>
  </w:p>
  <w:p w14:paraId="32FE8EB2" w14:textId="77777777" w:rsidR="001E3CE2" w:rsidRPr="0036718E" w:rsidRDefault="001E3CE2" w:rsidP="00A339F1">
    <w:pPr>
      <w:pStyle w:val="Encabezado"/>
      <w:rPr>
        <w:rFonts w:ascii="Arial" w:hAnsi="Arial"/>
        <w:b/>
        <w:sz w:val="22"/>
        <w:szCs w:val="22"/>
      </w:rPr>
    </w:pPr>
  </w:p>
  <w:p w14:paraId="6AB5086C" w14:textId="77777777" w:rsidR="001E3CE2" w:rsidRPr="0036718E" w:rsidRDefault="001E3CE2" w:rsidP="00A339F1">
    <w:pPr>
      <w:pStyle w:val="Encabezado"/>
      <w:rPr>
        <w:rFonts w:ascii="Arial" w:hAnsi="Arial"/>
        <w:b/>
        <w:sz w:val="22"/>
        <w:szCs w:val="22"/>
      </w:rPr>
    </w:pPr>
    <w:r w:rsidRPr="0036718E">
      <w:rPr>
        <w:rFonts w:ascii="Arial" w:hAnsi="Arial"/>
        <w:b/>
        <w:sz w:val="22"/>
        <w:szCs w:val="22"/>
      </w:rPr>
      <w:t>CAPITULO XIII - CONTROLES DE LEY</w:t>
    </w:r>
  </w:p>
  <w:p w14:paraId="3E10F532" w14:textId="5DC89D0B" w:rsidR="001E3CE2" w:rsidRPr="0036718E" w:rsidRDefault="001E3CE2" w:rsidP="00A339F1">
    <w:pPr>
      <w:pStyle w:val="Encabezado"/>
      <w:rPr>
        <w:sz w:val="22"/>
        <w:szCs w:val="22"/>
      </w:rPr>
    </w:pPr>
    <w:r w:rsidRPr="0036718E">
      <w:rPr>
        <w:rFonts w:ascii="Arial" w:hAnsi="Arial"/>
        <w:b/>
        <w:sz w:val="22"/>
        <w:szCs w:val="22"/>
      </w:rPr>
      <w:t xml:space="preserve">Página </w:t>
    </w:r>
    <w:r>
      <w:rPr>
        <w:rStyle w:val="Nmerodepgina"/>
        <w:rFonts w:ascii="Arial" w:hAnsi="Arial" w:cs="Arial"/>
        <w:b/>
        <w:sz w:val="22"/>
        <w:szCs w:val="22"/>
      </w:rPr>
      <w:t>60-2</w:t>
    </w:r>
  </w:p>
  <w:p w14:paraId="2B9B5076" w14:textId="77777777" w:rsidR="001E3CE2" w:rsidRDefault="001E3CE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C9E88" w14:textId="77777777" w:rsidR="001E3CE2" w:rsidRPr="0036718E" w:rsidRDefault="001E3CE2" w:rsidP="00A339F1">
    <w:pPr>
      <w:pStyle w:val="Encabezado"/>
      <w:jc w:val="center"/>
      <w:rPr>
        <w:rFonts w:ascii="Arial" w:hAnsi="Arial"/>
        <w:b/>
        <w:sz w:val="22"/>
        <w:szCs w:val="22"/>
      </w:rPr>
    </w:pPr>
    <w:r w:rsidRPr="0036718E">
      <w:rPr>
        <w:rFonts w:ascii="Arial" w:hAnsi="Arial"/>
        <w:b/>
        <w:sz w:val="22"/>
        <w:szCs w:val="22"/>
      </w:rPr>
      <w:t>SUPERINTENDENCIA FINANCIERA DE COLOMBIA</w:t>
    </w:r>
  </w:p>
  <w:p w14:paraId="322AABE3" w14:textId="77777777" w:rsidR="001E3CE2" w:rsidRPr="0036718E" w:rsidRDefault="001E3CE2" w:rsidP="00A339F1">
    <w:pPr>
      <w:pStyle w:val="Encabezado"/>
      <w:rPr>
        <w:rFonts w:ascii="Arial" w:hAnsi="Arial"/>
        <w:b/>
        <w:sz w:val="22"/>
        <w:szCs w:val="22"/>
      </w:rPr>
    </w:pPr>
  </w:p>
  <w:p w14:paraId="2A10ED32" w14:textId="77777777" w:rsidR="001E3CE2" w:rsidRPr="0036718E" w:rsidRDefault="001E3CE2" w:rsidP="00A339F1">
    <w:pPr>
      <w:pStyle w:val="Encabezado"/>
      <w:rPr>
        <w:rFonts w:ascii="Arial" w:hAnsi="Arial"/>
        <w:b/>
        <w:sz w:val="22"/>
        <w:szCs w:val="22"/>
      </w:rPr>
    </w:pPr>
    <w:r w:rsidRPr="0036718E">
      <w:rPr>
        <w:rFonts w:ascii="Arial" w:hAnsi="Arial"/>
        <w:b/>
        <w:sz w:val="22"/>
        <w:szCs w:val="22"/>
      </w:rPr>
      <w:t>CAPITULO XIII - CONTROLES DE LEY</w:t>
    </w:r>
  </w:p>
  <w:p w14:paraId="666866D0" w14:textId="77777777" w:rsidR="001E3CE2" w:rsidRPr="0036718E" w:rsidRDefault="001E3CE2" w:rsidP="00A339F1">
    <w:pPr>
      <w:pStyle w:val="Encabezado"/>
      <w:rPr>
        <w:sz w:val="22"/>
        <w:szCs w:val="22"/>
      </w:rPr>
    </w:pPr>
    <w:r w:rsidRPr="0036718E">
      <w:rPr>
        <w:rFonts w:ascii="Arial" w:hAnsi="Arial"/>
        <w:b/>
        <w:sz w:val="22"/>
        <w:szCs w:val="22"/>
      </w:rPr>
      <w:t xml:space="preserve">Página </w:t>
    </w:r>
    <w:r>
      <w:rPr>
        <w:rStyle w:val="Nmerodepgina"/>
        <w:rFonts w:ascii="Arial" w:hAnsi="Arial" w:cs="Arial"/>
        <w:b/>
        <w:sz w:val="22"/>
        <w:szCs w:val="22"/>
      </w:rPr>
      <w:t>60-3</w:t>
    </w:r>
  </w:p>
  <w:p w14:paraId="4E3D169F" w14:textId="77777777" w:rsidR="001E3CE2" w:rsidRDefault="001E3CE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E50353"/>
    <w:multiLevelType w:val="multilevel"/>
    <w:tmpl w:val="830CF1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9382455"/>
    <w:multiLevelType w:val="hybridMultilevel"/>
    <w:tmpl w:val="20968F40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0B4EF4"/>
    <w:multiLevelType w:val="hybridMultilevel"/>
    <w:tmpl w:val="A8E8424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8F7611"/>
    <w:multiLevelType w:val="multilevel"/>
    <w:tmpl w:val="91ACE516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cs="Arial" w:hint="default"/>
        <w:sz w:val="22"/>
      </w:rPr>
    </w:lvl>
  </w:abstractNum>
  <w:abstractNum w:abstractNumId="4" w15:restartNumberingAfterBreak="0">
    <w:nsid w:val="5B1D30CA"/>
    <w:multiLevelType w:val="multilevel"/>
    <w:tmpl w:val="B3F2EB70"/>
    <w:lvl w:ilvl="0">
      <w:start w:val="1"/>
      <w:numFmt w:val="decimal"/>
      <w:pStyle w:val="Titulo2"/>
      <w:lvlText w:val="%1."/>
      <w:lvlJc w:val="left"/>
      <w:pPr>
        <w:tabs>
          <w:tab w:val="num" w:pos="786"/>
        </w:tabs>
        <w:ind w:left="426" w:firstLine="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Titulo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 w15:restartNumberingAfterBreak="0">
    <w:nsid w:val="6F9C7541"/>
    <w:multiLevelType w:val="hybridMultilevel"/>
    <w:tmpl w:val="C97E919E"/>
    <w:lvl w:ilvl="0" w:tplc="FEAEEC3A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2"/>
    </w:lvlOverride>
    <w:lvlOverride w:ilvl="1">
      <w:startOverride w:val="2"/>
    </w:lvlOverride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5"/>
  </w:num>
  <w:num w:numId="8">
    <w:abstractNumId w:val="3"/>
  </w:num>
  <w:num w:numId="9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0CC"/>
    <w:rsid w:val="0000420D"/>
    <w:rsid w:val="00012466"/>
    <w:rsid w:val="00012C1F"/>
    <w:rsid w:val="000273CB"/>
    <w:rsid w:val="00035CC5"/>
    <w:rsid w:val="000367F8"/>
    <w:rsid w:val="00056CD5"/>
    <w:rsid w:val="00075C6A"/>
    <w:rsid w:val="000846A6"/>
    <w:rsid w:val="00092911"/>
    <w:rsid w:val="00093C5F"/>
    <w:rsid w:val="00094306"/>
    <w:rsid w:val="000B194D"/>
    <w:rsid w:val="000C1734"/>
    <w:rsid w:val="000C464F"/>
    <w:rsid w:val="000C6884"/>
    <w:rsid w:val="000D3775"/>
    <w:rsid w:val="000E735C"/>
    <w:rsid w:val="00107B86"/>
    <w:rsid w:val="00107F7F"/>
    <w:rsid w:val="001106B5"/>
    <w:rsid w:val="00120A20"/>
    <w:rsid w:val="00121058"/>
    <w:rsid w:val="001219C0"/>
    <w:rsid w:val="00123389"/>
    <w:rsid w:val="00133B5D"/>
    <w:rsid w:val="00137A0F"/>
    <w:rsid w:val="0014120F"/>
    <w:rsid w:val="00141ED8"/>
    <w:rsid w:val="00147CB1"/>
    <w:rsid w:val="001573D6"/>
    <w:rsid w:val="001738F0"/>
    <w:rsid w:val="00183E1E"/>
    <w:rsid w:val="001877BF"/>
    <w:rsid w:val="00192D21"/>
    <w:rsid w:val="001932F5"/>
    <w:rsid w:val="0019713C"/>
    <w:rsid w:val="001B025F"/>
    <w:rsid w:val="001B2633"/>
    <w:rsid w:val="001B4BD3"/>
    <w:rsid w:val="001B5AE1"/>
    <w:rsid w:val="001C6FA1"/>
    <w:rsid w:val="001D04E6"/>
    <w:rsid w:val="001E1ED4"/>
    <w:rsid w:val="001E3CE2"/>
    <w:rsid w:val="001E7C83"/>
    <w:rsid w:val="002038A8"/>
    <w:rsid w:val="00205199"/>
    <w:rsid w:val="00207FA6"/>
    <w:rsid w:val="00261D75"/>
    <w:rsid w:val="00264735"/>
    <w:rsid w:val="00266FBF"/>
    <w:rsid w:val="00270B2D"/>
    <w:rsid w:val="00271B7F"/>
    <w:rsid w:val="0029189E"/>
    <w:rsid w:val="00292AF4"/>
    <w:rsid w:val="00296F90"/>
    <w:rsid w:val="002C2AA2"/>
    <w:rsid w:val="002C6DA0"/>
    <w:rsid w:val="002D1425"/>
    <w:rsid w:val="002F1B70"/>
    <w:rsid w:val="003018E2"/>
    <w:rsid w:val="003027AD"/>
    <w:rsid w:val="00305817"/>
    <w:rsid w:val="00312B16"/>
    <w:rsid w:val="0031775B"/>
    <w:rsid w:val="00320F43"/>
    <w:rsid w:val="003451B5"/>
    <w:rsid w:val="0035144F"/>
    <w:rsid w:val="003521FA"/>
    <w:rsid w:val="0036718E"/>
    <w:rsid w:val="00373B9F"/>
    <w:rsid w:val="00381C7F"/>
    <w:rsid w:val="003831A3"/>
    <w:rsid w:val="00386A86"/>
    <w:rsid w:val="003947C2"/>
    <w:rsid w:val="00396367"/>
    <w:rsid w:val="00397B00"/>
    <w:rsid w:val="003A0276"/>
    <w:rsid w:val="003A3217"/>
    <w:rsid w:val="003B1071"/>
    <w:rsid w:val="003B6FCD"/>
    <w:rsid w:val="0040073C"/>
    <w:rsid w:val="00401361"/>
    <w:rsid w:val="00401A67"/>
    <w:rsid w:val="00406EEE"/>
    <w:rsid w:val="004148E1"/>
    <w:rsid w:val="004167A9"/>
    <w:rsid w:val="00417641"/>
    <w:rsid w:val="004205A2"/>
    <w:rsid w:val="004216E8"/>
    <w:rsid w:val="00427AD9"/>
    <w:rsid w:val="00434F19"/>
    <w:rsid w:val="004412E8"/>
    <w:rsid w:val="00443573"/>
    <w:rsid w:val="00443AA1"/>
    <w:rsid w:val="00444061"/>
    <w:rsid w:val="0045252B"/>
    <w:rsid w:val="00455B60"/>
    <w:rsid w:val="0046158F"/>
    <w:rsid w:val="00474AE5"/>
    <w:rsid w:val="0048575A"/>
    <w:rsid w:val="0049270F"/>
    <w:rsid w:val="004A3E15"/>
    <w:rsid w:val="004A67EB"/>
    <w:rsid w:val="004B6836"/>
    <w:rsid w:val="004B7BE7"/>
    <w:rsid w:val="004C572E"/>
    <w:rsid w:val="004C760C"/>
    <w:rsid w:val="004C7D6E"/>
    <w:rsid w:val="004D0EA0"/>
    <w:rsid w:val="004D2DA9"/>
    <w:rsid w:val="004E1D0A"/>
    <w:rsid w:val="004F1BD9"/>
    <w:rsid w:val="004F4C54"/>
    <w:rsid w:val="005131C6"/>
    <w:rsid w:val="0051491D"/>
    <w:rsid w:val="00516A3B"/>
    <w:rsid w:val="005209D0"/>
    <w:rsid w:val="005229BE"/>
    <w:rsid w:val="00526D58"/>
    <w:rsid w:val="00530076"/>
    <w:rsid w:val="00532539"/>
    <w:rsid w:val="00537E1D"/>
    <w:rsid w:val="005525BB"/>
    <w:rsid w:val="005532C7"/>
    <w:rsid w:val="005556CB"/>
    <w:rsid w:val="00556A42"/>
    <w:rsid w:val="0056043A"/>
    <w:rsid w:val="00563C27"/>
    <w:rsid w:val="00564954"/>
    <w:rsid w:val="00565A88"/>
    <w:rsid w:val="00572C5B"/>
    <w:rsid w:val="005755A9"/>
    <w:rsid w:val="00584321"/>
    <w:rsid w:val="00590D09"/>
    <w:rsid w:val="00596C20"/>
    <w:rsid w:val="005A47AA"/>
    <w:rsid w:val="005B31D0"/>
    <w:rsid w:val="005C0FA5"/>
    <w:rsid w:val="005C1114"/>
    <w:rsid w:val="005C5C5E"/>
    <w:rsid w:val="005D24CD"/>
    <w:rsid w:val="005D391A"/>
    <w:rsid w:val="005D6123"/>
    <w:rsid w:val="005E2FFF"/>
    <w:rsid w:val="005E636D"/>
    <w:rsid w:val="005F3FA9"/>
    <w:rsid w:val="005F4639"/>
    <w:rsid w:val="00603974"/>
    <w:rsid w:val="00614E75"/>
    <w:rsid w:val="00623583"/>
    <w:rsid w:val="00624AA9"/>
    <w:rsid w:val="006335E9"/>
    <w:rsid w:val="006403EE"/>
    <w:rsid w:val="00641472"/>
    <w:rsid w:val="00650E77"/>
    <w:rsid w:val="00653A3B"/>
    <w:rsid w:val="006555C3"/>
    <w:rsid w:val="0065592B"/>
    <w:rsid w:val="006565AA"/>
    <w:rsid w:val="006570C4"/>
    <w:rsid w:val="00660548"/>
    <w:rsid w:val="00660893"/>
    <w:rsid w:val="0066426B"/>
    <w:rsid w:val="006676C7"/>
    <w:rsid w:val="00677927"/>
    <w:rsid w:val="00694564"/>
    <w:rsid w:val="006951C4"/>
    <w:rsid w:val="00697007"/>
    <w:rsid w:val="006A5E1B"/>
    <w:rsid w:val="006B3638"/>
    <w:rsid w:val="006B39BE"/>
    <w:rsid w:val="006C3416"/>
    <w:rsid w:val="006D401B"/>
    <w:rsid w:val="006E43B2"/>
    <w:rsid w:val="006E7447"/>
    <w:rsid w:val="006F127B"/>
    <w:rsid w:val="006F3323"/>
    <w:rsid w:val="006F3BA3"/>
    <w:rsid w:val="006F5EA7"/>
    <w:rsid w:val="00703FC3"/>
    <w:rsid w:val="00705FF4"/>
    <w:rsid w:val="00711A83"/>
    <w:rsid w:val="0071760D"/>
    <w:rsid w:val="00726159"/>
    <w:rsid w:val="00732E2C"/>
    <w:rsid w:val="00734E60"/>
    <w:rsid w:val="0073722F"/>
    <w:rsid w:val="00740D8B"/>
    <w:rsid w:val="00741E90"/>
    <w:rsid w:val="0074415D"/>
    <w:rsid w:val="00762275"/>
    <w:rsid w:val="00764F3B"/>
    <w:rsid w:val="00777C01"/>
    <w:rsid w:val="007856FF"/>
    <w:rsid w:val="007A0A3B"/>
    <w:rsid w:val="007A3F1B"/>
    <w:rsid w:val="007B3B5B"/>
    <w:rsid w:val="007B664E"/>
    <w:rsid w:val="007C0B30"/>
    <w:rsid w:val="007D6923"/>
    <w:rsid w:val="007E0C7B"/>
    <w:rsid w:val="007F4907"/>
    <w:rsid w:val="007F5B3B"/>
    <w:rsid w:val="008110AE"/>
    <w:rsid w:val="008179CA"/>
    <w:rsid w:val="00826966"/>
    <w:rsid w:val="00833A11"/>
    <w:rsid w:val="008367CF"/>
    <w:rsid w:val="008372C8"/>
    <w:rsid w:val="00847CEA"/>
    <w:rsid w:val="008519C3"/>
    <w:rsid w:val="00853A99"/>
    <w:rsid w:val="00854038"/>
    <w:rsid w:val="00856CE9"/>
    <w:rsid w:val="00861F08"/>
    <w:rsid w:val="008636DD"/>
    <w:rsid w:val="0086699E"/>
    <w:rsid w:val="008738F0"/>
    <w:rsid w:val="00896850"/>
    <w:rsid w:val="008B3049"/>
    <w:rsid w:val="008E406E"/>
    <w:rsid w:val="008F09C6"/>
    <w:rsid w:val="008F29FF"/>
    <w:rsid w:val="008F6046"/>
    <w:rsid w:val="00901333"/>
    <w:rsid w:val="00910402"/>
    <w:rsid w:val="009252FE"/>
    <w:rsid w:val="00955919"/>
    <w:rsid w:val="00962299"/>
    <w:rsid w:val="00974B13"/>
    <w:rsid w:val="00977195"/>
    <w:rsid w:val="00981BBA"/>
    <w:rsid w:val="00993753"/>
    <w:rsid w:val="009A5F25"/>
    <w:rsid w:val="009A6E10"/>
    <w:rsid w:val="009B50CC"/>
    <w:rsid w:val="009D4A07"/>
    <w:rsid w:val="009E040E"/>
    <w:rsid w:val="009E5968"/>
    <w:rsid w:val="009F3F19"/>
    <w:rsid w:val="00A048DC"/>
    <w:rsid w:val="00A05B76"/>
    <w:rsid w:val="00A068DB"/>
    <w:rsid w:val="00A06F1A"/>
    <w:rsid w:val="00A20692"/>
    <w:rsid w:val="00A23F24"/>
    <w:rsid w:val="00A25AF6"/>
    <w:rsid w:val="00A329B8"/>
    <w:rsid w:val="00A333E2"/>
    <w:rsid w:val="00A339F1"/>
    <w:rsid w:val="00A36F0C"/>
    <w:rsid w:val="00A52187"/>
    <w:rsid w:val="00A63289"/>
    <w:rsid w:val="00A6412A"/>
    <w:rsid w:val="00A9425A"/>
    <w:rsid w:val="00AB04AD"/>
    <w:rsid w:val="00AB14E7"/>
    <w:rsid w:val="00AB1D09"/>
    <w:rsid w:val="00AB355E"/>
    <w:rsid w:val="00AB6989"/>
    <w:rsid w:val="00AE3F65"/>
    <w:rsid w:val="00AE5702"/>
    <w:rsid w:val="00B01BC4"/>
    <w:rsid w:val="00B1435D"/>
    <w:rsid w:val="00B154D8"/>
    <w:rsid w:val="00B16B53"/>
    <w:rsid w:val="00B279F2"/>
    <w:rsid w:val="00B434FF"/>
    <w:rsid w:val="00B46D97"/>
    <w:rsid w:val="00B552F5"/>
    <w:rsid w:val="00B5744D"/>
    <w:rsid w:val="00B652D8"/>
    <w:rsid w:val="00B67C90"/>
    <w:rsid w:val="00B80A8B"/>
    <w:rsid w:val="00B8316A"/>
    <w:rsid w:val="00B87206"/>
    <w:rsid w:val="00B875A2"/>
    <w:rsid w:val="00B87A55"/>
    <w:rsid w:val="00B930C3"/>
    <w:rsid w:val="00BA7AFB"/>
    <w:rsid w:val="00BC1812"/>
    <w:rsid w:val="00BC2B71"/>
    <w:rsid w:val="00BC54DA"/>
    <w:rsid w:val="00BC5981"/>
    <w:rsid w:val="00BE0C5E"/>
    <w:rsid w:val="00BF5948"/>
    <w:rsid w:val="00C00B53"/>
    <w:rsid w:val="00C0555B"/>
    <w:rsid w:val="00C06865"/>
    <w:rsid w:val="00C12CEC"/>
    <w:rsid w:val="00C23715"/>
    <w:rsid w:val="00C32AEE"/>
    <w:rsid w:val="00C4103E"/>
    <w:rsid w:val="00C43057"/>
    <w:rsid w:val="00C51631"/>
    <w:rsid w:val="00C558C0"/>
    <w:rsid w:val="00C70652"/>
    <w:rsid w:val="00C87C3E"/>
    <w:rsid w:val="00C930BF"/>
    <w:rsid w:val="00C9350D"/>
    <w:rsid w:val="00C96D3D"/>
    <w:rsid w:val="00CA4CA0"/>
    <w:rsid w:val="00CA7885"/>
    <w:rsid w:val="00CB400C"/>
    <w:rsid w:val="00CE4AA5"/>
    <w:rsid w:val="00CE64BF"/>
    <w:rsid w:val="00D030BC"/>
    <w:rsid w:val="00D03A33"/>
    <w:rsid w:val="00D15B7F"/>
    <w:rsid w:val="00D16E0D"/>
    <w:rsid w:val="00D313AA"/>
    <w:rsid w:val="00D35466"/>
    <w:rsid w:val="00D40C4A"/>
    <w:rsid w:val="00D53DCC"/>
    <w:rsid w:val="00D65355"/>
    <w:rsid w:val="00D74B51"/>
    <w:rsid w:val="00D84C0B"/>
    <w:rsid w:val="00DA5CC0"/>
    <w:rsid w:val="00DC37BF"/>
    <w:rsid w:val="00DC5553"/>
    <w:rsid w:val="00DD170E"/>
    <w:rsid w:val="00DD18CB"/>
    <w:rsid w:val="00DF38CB"/>
    <w:rsid w:val="00DF4D94"/>
    <w:rsid w:val="00DF7635"/>
    <w:rsid w:val="00E152B0"/>
    <w:rsid w:val="00E228CF"/>
    <w:rsid w:val="00E23523"/>
    <w:rsid w:val="00E2466A"/>
    <w:rsid w:val="00E37023"/>
    <w:rsid w:val="00E37D16"/>
    <w:rsid w:val="00E43891"/>
    <w:rsid w:val="00E438A3"/>
    <w:rsid w:val="00E4698C"/>
    <w:rsid w:val="00E6166F"/>
    <w:rsid w:val="00E65A96"/>
    <w:rsid w:val="00E65DFA"/>
    <w:rsid w:val="00E723BE"/>
    <w:rsid w:val="00E801FF"/>
    <w:rsid w:val="00E86CE9"/>
    <w:rsid w:val="00E913B4"/>
    <w:rsid w:val="00E928EB"/>
    <w:rsid w:val="00E94E21"/>
    <w:rsid w:val="00EA72E1"/>
    <w:rsid w:val="00EB6865"/>
    <w:rsid w:val="00EB7F18"/>
    <w:rsid w:val="00EC1378"/>
    <w:rsid w:val="00EC2A7D"/>
    <w:rsid w:val="00EC5C09"/>
    <w:rsid w:val="00ED31E9"/>
    <w:rsid w:val="00ED595A"/>
    <w:rsid w:val="00EF22BC"/>
    <w:rsid w:val="00EF433F"/>
    <w:rsid w:val="00EF64B0"/>
    <w:rsid w:val="00F1749F"/>
    <w:rsid w:val="00F2650B"/>
    <w:rsid w:val="00F300FE"/>
    <w:rsid w:val="00F32DEE"/>
    <w:rsid w:val="00F3546E"/>
    <w:rsid w:val="00F41ADC"/>
    <w:rsid w:val="00F43D9E"/>
    <w:rsid w:val="00F70FB0"/>
    <w:rsid w:val="00F714F2"/>
    <w:rsid w:val="00F842CA"/>
    <w:rsid w:val="00F85CE9"/>
    <w:rsid w:val="00F87C53"/>
    <w:rsid w:val="00F903DE"/>
    <w:rsid w:val="00F96C13"/>
    <w:rsid w:val="00FA1B95"/>
    <w:rsid w:val="00FA4FE5"/>
    <w:rsid w:val="00FA73D9"/>
    <w:rsid w:val="00FB7024"/>
    <w:rsid w:val="00FC2A5C"/>
    <w:rsid w:val="00FD1AC4"/>
    <w:rsid w:val="00FD2BD8"/>
    <w:rsid w:val="00FD5283"/>
    <w:rsid w:val="00FE43AA"/>
    <w:rsid w:val="00FE73EA"/>
    <w:rsid w:val="00FE750C"/>
    <w:rsid w:val="00FF6E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974532"/>
  <w15:docId w15:val="{A5570DD7-9982-44E2-AD4F-F4FA1EF7B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B50C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9B50CC"/>
    <w:pPr>
      <w:keepNext/>
      <w:jc w:val="both"/>
      <w:outlineLvl w:val="0"/>
    </w:pPr>
    <w:rPr>
      <w:rFonts w:ascii="Arial" w:hAnsi="Arial"/>
      <w:b/>
      <w:sz w:val="23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9B50CC"/>
    <w:pPr>
      <w:spacing w:line="240" w:lineRule="atLeast"/>
      <w:jc w:val="both"/>
    </w:pPr>
    <w:rPr>
      <w:rFonts w:ascii="Arial" w:hAnsi="Arial"/>
      <w:spacing w:val="20"/>
      <w:sz w:val="16"/>
      <w:szCs w:val="20"/>
      <w:lang w:val="es-ES_tradnl"/>
    </w:rPr>
  </w:style>
  <w:style w:type="paragraph" w:styleId="Sangra2detindependiente">
    <w:name w:val="Body Text Indent 2"/>
    <w:basedOn w:val="Normal"/>
    <w:rsid w:val="009B50CC"/>
    <w:pPr>
      <w:tabs>
        <w:tab w:val="left" w:pos="-720"/>
        <w:tab w:val="left" w:pos="7371"/>
      </w:tabs>
      <w:suppressAutoHyphens/>
      <w:ind w:left="1418" w:hanging="1418"/>
    </w:pPr>
    <w:rPr>
      <w:sz w:val="23"/>
      <w:szCs w:val="20"/>
    </w:rPr>
  </w:style>
  <w:style w:type="paragraph" w:styleId="Ttulo">
    <w:name w:val="Title"/>
    <w:basedOn w:val="Normal"/>
    <w:qFormat/>
    <w:rsid w:val="009B50CC"/>
    <w:pPr>
      <w:spacing w:before="20" w:after="20"/>
      <w:jc w:val="both"/>
      <w:outlineLvl w:val="0"/>
    </w:pPr>
    <w:rPr>
      <w:rFonts w:ascii="Arial" w:hAnsi="Arial"/>
      <w:b/>
      <w:kern w:val="24"/>
      <w:szCs w:val="20"/>
      <w:lang w:val="es-CO"/>
    </w:rPr>
  </w:style>
  <w:style w:type="paragraph" w:styleId="Textoindependiente2">
    <w:name w:val="Body Text 2"/>
    <w:basedOn w:val="Normal"/>
    <w:rsid w:val="009B50CC"/>
    <w:pPr>
      <w:jc w:val="both"/>
    </w:pPr>
    <w:rPr>
      <w:color w:val="FF0000"/>
      <w:sz w:val="20"/>
      <w:szCs w:val="20"/>
      <w:lang w:val="es-MX"/>
    </w:rPr>
  </w:style>
  <w:style w:type="paragraph" w:styleId="Textoindependiente3">
    <w:name w:val="Body Text 3"/>
    <w:basedOn w:val="Normal"/>
    <w:rsid w:val="009B50CC"/>
    <w:pPr>
      <w:jc w:val="both"/>
    </w:pPr>
    <w:rPr>
      <w:spacing w:val="20"/>
      <w:sz w:val="20"/>
      <w:szCs w:val="20"/>
      <w:lang w:val="es-MX"/>
    </w:rPr>
  </w:style>
  <w:style w:type="paragraph" w:styleId="NormalWeb">
    <w:name w:val="Normal (Web)"/>
    <w:basedOn w:val="Normal"/>
    <w:rsid w:val="009B50C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styleId="Textodeglobo">
    <w:name w:val="Balloon Text"/>
    <w:basedOn w:val="Normal"/>
    <w:semiHidden/>
    <w:rsid w:val="009B50CC"/>
    <w:rPr>
      <w:rFonts w:ascii="Tahoma" w:hAnsi="Tahoma" w:cs="Tahoma"/>
      <w:sz w:val="16"/>
      <w:szCs w:val="16"/>
    </w:rPr>
  </w:style>
  <w:style w:type="character" w:styleId="Refdecomentario">
    <w:name w:val="annotation reference"/>
    <w:semiHidden/>
    <w:rsid w:val="009B50CC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9B50CC"/>
    <w:rPr>
      <w:sz w:val="20"/>
      <w:szCs w:val="20"/>
    </w:rPr>
  </w:style>
  <w:style w:type="paragraph" w:styleId="Encabezado">
    <w:name w:val="header"/>
    <w:basedOn w:val="Normal"/>
    <w:link w:val="EncabezadoCar"/>
    <w:uiPriority w:val="99"/>
    <w:rsid w:val="00A339F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A339F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339F1"/>
  </w:style>
  <w:style w:type="paragraph" w:customStyle="1" w:styleId="Titulo2">
    <w:name w:val="Titulo 2"/>
    <w:basedOn w:val="Normal"/>
    <w:rsid w:val="00A339F1"/>
    <w:pPr>
      <w:numPr>
        <w:numId w:val="1"/>
      </w:numPr>
    </w:pPr>
  </w:style>
  <w:style w:type="paragraph" w:customStyle="1" w:styleId="Titulo">
    <w:name w:val="Titulo"/>
    <w:basedOn w:val="Normal"/>
    <w:rsid w:val="00A339F1"/>
    <w:pPr>
      <w:numPr>
        <w:ilvl w:val="1"/>
        <w:numId w:val="1"/>
      </w:numPr>
    </w:pPr>
  </w:style>
  <w:style w:type="paragraph" w:styleId="Asuntodelcomentario">
    <w:name w:val="annotation subject"/>
    <w:basedOn w:val="Textocomentario"/>
    <w:next w:val="Textocomentario"/>
    <w:link w:val="AsuntodelcomentarioCar"/>
    <w:rsid w:val="00381C7F"/>
    <w:rPr>
      <w:b/>
      <w:bCs/>
    </w:rPr>
  </w:style>
  <w:style w:type="character" w:customStyle="1" w:styleId="TextocomentarioCar">
    <w:name w:val="Texto comentario Car"/>
    <w:link w:val="Textocomentario"/>
    <w:uiPriority w:val="99"/>
    <w:semiHidden/>
    <w:rsid w:val="00381C7F"/>
    <w:rPr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rsid w:val="00381C7F"/>
    <w:rPr>
      <w:lang w:val="es-ES" w:eastAsia="es-ES"/>
    </w:rPr>
  </w:style>
  <w:style w:type="character" w:styleId="nfasis">
    <w:name w:val="Emphasis"/>
    <w:basedOn w:val="Fuentedeprrafopredeter"/>
    <w:qFormat/>
    <w:rsid w:val="00AB355E"/>
    <w:rPr>
      <w:i/>
      <w:iCs/>
    </w:rPr>
  </w:style>
  <w:style w:type="paragraph" w:styleId="Prrafodelista">
    <w:name w:val="List Paragraph"/>
    <w:basedOn w:val="Normal"/>
    <w:uiPriority w:val="34"/>
    <w:qFormat/>
    <w:rsid w:val="00A05B76"/>
    <w:pPr>
      <w:ind w:left="720"/>
      <w:contextualSpacing/>
    </w:pPr>
  </w:style>
  <w:style w:type="paragraph" w:customStyle="1" w:styleId="Default">
    <w:name w:val="Default"/>
    <w:uiPriority w:val="99"/>
    <w:rsid w:val="00A05B7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in">
    <w:name w:val="Revision"/>
    <w:hidden/>
    <w:uiPriority w:val="99"/>
    <w:semiHidden/>
    <w:rsid w:val="00DF7635"/>
    <w:rPr>
      <w:sz w:val="24"/>
      <w:szCs w:val="24"/>
      <w:lang w:val="es-ES" w:eastAsia="es-ES"/>
    </w:rPr>
  </w:style>
  <w:style w:type="character" w:styleId="Hipervnculo">
    <w:name w:val="Hyperlink"/>
    <w:basedOn w:val="Fuentedeprrafopredeter"/>
    <w:unhideWhenUsed/>
    <w:rsid w:val="00205199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semiHidden/>
    <w:unhideWhenUsed/>
    <w:rsid w:val="00205199"/>
    <w:rPr>
      <w:color w:val="800080" w:themeColor="followedHyperlink"/>
      <w:u w:val="single"/>
    </w:rPr>
  </w:style>
  <w:style w:type="character" w:customStyle="1" w:styleId="EncabezadoCar">
    <w:name w:val="Encabezado Car"/>
    <w:basedOn w:val="Fuentedeprrafopredeter"/>
    <w:link w:val="Encabezado"/>
    <w:uiPriority w:val="99"/>
    <w:rsid w:val="00A329B8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21058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33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8596D-9C54-400F-9717-7473803FB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1101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CAPÍTULO PRIMERO</vt:lpstr>
    </vt:vector>
  </TitlesOfParts>
  <Company>SUPERFINANCIERA</Company>
  <LinksUpToDate>false</LinksUpToDate>
  <CharactersWithSpaces>7143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CAPÍTULO PRIMERO</dc:title>
  <dc:creator>pasante512</dc:creator>
  <cp:lastModifiedBy>Gabriel Armando Ospina Garcia</cp:lastModifiedBy>
  <cp:revision>4</cp:revision>
  <cp:lastPrinted>2018-05-28T13:07:00Z</cp:lastPrinted>
  <dcterms:created xsi:type="dcterms:W3CDTF">2019-05-24T16:58:00Z</dcterms:created>
  <dcterms:modified xsi:type="dcterms:W3CDTF">2019-05-24T17:22:00Z</dcterms:modified>
</cp:coreProperties>
</file>