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F7156" w14:textId="5A1CC211" w:rsidR="00151AB4" w:rsidRDefault="00CB7C0C" w:rsidP="00E45D7A">
      <w:pPr>
        <w:tabs>
          <w:tab w:val="left" w:pos="-720"/>
        </w:tabs>
        <w:suppressAutoHyphens/>
        <w:spacing w:after="0" w:line="240" w:lineRule="auto"/>
        <w:jc w:val="center"/>
        <w:rPr>
          <w:rFonts w:ascii="Arial" w:hAnsi="Arial" w:cs="Arial"/>
          <w:b/>
          <w:spacing w:val="-3"/>
          <w:sz w:val="16"/>
          <w:szCs w:val="16"/>
        </w:rPr>
      </w:pPr>
      <w:r w:rsidRPr="00BA261B">
        <w:rPr>
          <w:rFonts w:ascii="Arial" w:hAnsi="Arial" w:cs="Arial"/>
          <w:b/>
          <w:spacing w:val="-3"/>
          <w:sz w:val="16"/>
          <w:szCs w:val="16"/>
        </w:rPr>
        <w:t xml:space="preserve">ANEXO 13: METODOLOGÍA </w:t>
      </w:r>
      <w:r w:rsidR="00CE4023" w:rsidRPr="00BA261B">
        <w:rPr>
          <w:rFonts w:ascii="Arial" w:hAnsi="Arial" w:cs="Arial"/>
          <w:b/>
          <w:spacing w:val="-3"/>
          <w:sz w:val="16"/>
          <w:szCs w:val="16"/>
        </w:rPr>
        <w:t xml:space="preserve">DE CÁLCULO </w:t>
      </w:r>
      <w:r w:rsidRPr="00BA261B">
        <w:rPr>
          <w:rFonts w:ascii="Arial" w:hAnsi="Arial" w:cs="Arial"/>
          <w:b/>
          <w:spacing w:val="-3"/>
          <w:sz w:val="16"/>
          <w:szCs w:val="16"/>
        </w:rPr>
        <w:t>DE</w:t>
      </w:r>
      <w:r w:rsidR="00CE4023" w:rsidRPr="00BA261B">
        <w:rPr>
          <w:rFonts w:ascii="Arial" w:hAnsi="Arial" w:cs="Arial"/>
          <w:b/>
          <w:spacing w:val="-3"/>
          <w:sz w:val="16"/>
          <w:szCs w:val="16"/>
        </w:rPr>
        <w:t xml:space="preserve"> LA</w:t>
      </w:r>
      <w:r w:rsidRPr="00BA261B">
        <w:rPr>
          <w:rFonts w:ascii="Arial" w:hAnsi="Arial" w:cs="Arial"/>
          <w:b/>
          <w:spacing w:val="-3"/>
          <w:sz w:val="16"/>
          <w:szCs w:val="16"/>
        </w:rPr>
        <w:t xml:space="preserve"> RESERVA </w:t>
      </w:r>
      <w:r w:rsidR="007D7ED0" w:rsidRPr="00BA261B">
        <w:rPr>
          <w:rFonts w:ascii="Arial" w:hAnsi="Arial" w:cs="Arial"/>
          <w:b/>
          <w:spacing w:val="-3"/>
          <w:sz w:val="16"/>
          <w:szCs w:val="16"/>
        </w:rPr>
        <w:t>POR</w:t>
      </w:r>
      <w:r w:rsidRPr="00BA261B">
        <w:rPr>
          <w:rFonts w:ascii="Arial" w:hAnsi="Arial" w:cs="Arial"/>
          <w:b/>
          <w:spacing w:val="-3"/>
          <w:sz w:val="16"/>
          <w:szCs w:val="16"/>
        </w:rPr>
        <w:t xml:space="preserve"> INSUFICIENCIA DE ACTIVOS</w:t>
      </w:r>
    </w:p>
    <w:p w14:paraId="1C4DEACF" w14:textId="77777777" w:rsidR="00E45D7A" w:rsidRPr="00BA261B" w:rsidRDefault="00E45D7A" w:rsidP="00E45D7A">
      <w:pPr>
        <w:tabs>
          <w:tab w:val="left" w:pos="-720"/>
        </w:tabs>
        <w:suppressAutoHyphens/>
        <w:spacing w:after="0" w:line="240" w:lineRule="auto"/>
        <w:jc w:val="center"/>
        <w:rPr>
          <w:rFonts w:ascii="Arial" w:hAnsi="Arial" w:cs="Arial"/>
          <w:b/>
          <w:spacing w:val="-3"/>
          <w:sz w:val="16"/>
          <w:szCs w:val="16"/>
        </w:rPr>
      </w:pPr>
    </w:p>
    <w:p w14:paraId="3BDF7159" w14:textId="7435B880" w:rsidR="00CB7C0C" w:rsidRDefault="007573A5" w:rsidP="00E45D7A">
      <w:pPr>
        <w:pStyle w:val="Prrafodelista"/>
        <w:numPr>
          <w:ilvl w:val="0"/>
          <w:numId w:val="2"/>
        </w:numPr>
        <w:tabs>
          <w:tab w:val="left" w:pos="-720"/>
        </w:tabs>
        <w:suppressAutoHyphens/>
        <w:spacing w:after="0" w:line="240" w:lineRule="auto"/>
        <w:jc w:val="both"/>
        <w:rPr>
          <w:rFonts w:ascii="Arial" w:hAnsi="Arial" w:cs="Arial"/>
          <w:b/>
          <w:spacing w:val="-3"/>
          <w:sz w:val="16"/>
          <w:szCs w:val="16"/>
        </w:rPr>
      </w:pPr>
      <w:r w:rsidRPr="00BA261B">
        <w:rPr>
          <w:rFonts w:ascii="Arial" w:hAnsi="Arial" w:cs="Arial"/>
          <w:b/>
          <w:spacing w:val="-3"/>
          <w:sz w:val="16"/>
          <w:szCs w:val="16"/>
        </w:rPr>
        <w:t>Consideraciones generales</w:t>
      </w:r>
    </w:p>
    <w:p w14:paraId="4BF3F445" w14:textId="77777777" w:rsidR="00E45D7A" w:rsidRPr="00BA261B" w:rsidRDefault="00E45D7A" w:rsidP="00E45D7A">
      <w:pPr>
        <w:pStyle w:val="Prrafodelista"/>
        <w:tabs>
          <w:tab w:val="left" w:pos="-720"/>
        </w:tabs>
        <w:suppressAutoHyphens/>
        <w:spacing w:after="0" w:line="240" w:lineRule="auto"/>
        <w:ind w:left="360"/>
        <w:jc w:val="both"/>
        <w:rPr>
          <w:rFonts w:ascii="Arial" w:hAnsi="Arial" w:cs="Arial"/>
          <w:b/>
          <w:spacing w:val="-3"/>
          <w:sz w:val="16"/>
          <w:szCs w:val="16"/>
        </w:rPr>
      </w:pPr>
    </w:p>
    <w:p w14:paraId="3BDF715A" w14:textId="307B5521" w:rsidR="007E7CA9" w:rsidRDefault="007E7CA9" w:rsidP="00E45D7A">
      <w:pPr>
        <w:tabs>
          <w:tab w:val="left" w:pos="-720"/>
        </w:tabs>
        <w:suppressAutoHyphens/>
        <w:spacing w:after="0" w:line="240" w:lineRule="auto"/>
        <w:jc w:val="both"/>
        <w:rPr>
          <w:rFonts w:ascii="Arial" w:hAnsi="Arial" w:cs="Arial"/>
          <w:spacing w:val="-3"/>
          <w:sz w:val="16"/>
          <w:szCs w:val="16"/>
        </w:rPr>
      </w:pPr>
      <w:r w:rsidRPr="00926E4B">
        <w:rPr>
          <w:rFonts w:ascii="Arial" w:hAnsi="Arial" w:cs="Arial"/>
          <w:spacing w:val="-3"/>
          <w:sz w:val="16"/>
          <w:szCs w:val="16"/>
        </w:rPr>
        <w:t xml:space="preserve">En el presente Anexo se establece el </w:t>
      </w:r>
      <w:r w:rsidR="00CF3E7F" w:rsidRPr="00926E4B">
        <w:rPr>
          <w:rFonts w:ascii="Arial" w:hAnsi="Arial" w:cs="Arial"/>
          <w:spacing w:val="-3"/>
          <w:sz w:val="16"/>
          <w:szCs w:val="16"/>
        </w:rPr>
        <w:t>procedimiento</w:t>
      </w:r>
      <w:r w:rsidRPr="00926E4B">
        <w:rPr>
          <w:rFonts w:ascii="Arial" w:hAnsi="Arial" w:cs="Arial"/>
          <w:spacing w:val="-3"/>
          <w:sz w:val="16"/>
          <w:szCs w:val="16"/>
        </w:rPr>
        <w:t xml:space="preserve"> </w:t>
      </w:r>
      <w:r w:rsidR="00CF3E7F" w:rsidRPr="00926E4B">
        <w:rPr>
          <w:rFonts w:ascii="Arial" w:hAnsi="Arial" w:cs="Arial"/>
          <w:spacing w:val="-3"/>
          <w:sz w:val="16"/>
          <w:szCs w:val="16"/>
        </w:rPr>
        <w:t>de</w:t>
      </w:r>
      <w:r w:rsidRPr="00926E4B">
        <w:rPr>
          <w:rFonts w:ascii="Arial" w:hAnsi="Arial" w:cs="Arial"/>
          <w:spacing w:val="-3"/>
          <w:sz w:val="16"/>
          <w:szCs w:val="16"/>
        </w:rPr>
        <w:t xml:space="preserve"> cálculo de la Reserva </w:t>
      </w:r>
      <w:r w:rsidR="007D7ED0" w:rsidRPr="00926E4B">
        <w:rPr>
          <w:rFonts w:ascii="Arial" w:hAnsi="Arial" w:cs="Arial"/>
          <w:spacing w:val="-3"/>
          <w:sz w:val="16"/>
          <w:szCs w:val="16"/>
        </w:rPr>
        <w:t>por</w:t>
      </w:r>
      <w:r w:rsidRPr="00926E4B">
        <w:rPr>
          <w:rFonts w:ascii="Arial" w:hAnsi="Arial" w:cs="Arial"/>
          <w:spacing w:val="-3"/>
          <w:sz w:val="16"/>
          <w:szCs w:val="16"/>
        </w:rPr>
        <w:t xml:space="preserve"> Insuficiencia de Activos (RIA) adoptado por la SFC, el cual deben emplear las entidades aseguradoras para cada uno de los ramos </w:t>
      </w:r>
      <w:r w:rsidR="00151AB4" w:rsidRPr="00926E4B">
        <w:rPr>
          <w:rFonts w:ascii="Arial" w:hAnsi="Arial" w:cs="Arial"/>
          <w:spacing w:val="-3"/>
          <w:sz w:val="16"/>
          <w:szCs w:val="16"/>
        </w:rPr>
        <w:t xml:space="preserve">referidos </w:t>
      </w:r>
      <w:r w:rsidRPr="00926E4B">
        <w:rPr>
          <w:rFonts w:ascii="Arial" w:hAnsi="Arial" w:cs="Arial"/>
          <w:spacing w:val="-3"/>
          <w:sz w:val="16"/>
          <w:szCs w:val="16"/>
        </w:rPr>
        <w:t xml:space="preserve">en </w:t>
      </w:r>
      <w:r w:rsidR="007D7ED0" w:rsidRPr="00926E4B">
        <w:rPr>
          <w:rFonts w:ascii="Arial" w:hAnsi="Arial" w:cs="Arial"/>
          <w:spacing w:val="-3"/>
          <w:sz w:val="16"/>
          <w:szCs w:val="16"/>
        </w:rPr>
        <w:t>el</w:t>
      </w:r>
      <w:r w:rsidR="00151AB4" w:rsidRPr="00926E4B">
        <w:rPr>
          <w:rFonts w:ascii="Arial" w:hAnsi="Arial" w:cs="Arial"/>
          <w:spacing w:val="-3"/>
          <w:sz w:val="16"/>
          <w:szCs w:val="16"/>
        </w:rPr>
        <w:t xml:space="preserve"> sub</w:t>
      </w:r>
      <w:r w:rsidR="007D7ED0" w:rsidRPr="00926E4B">
        <w:rPr>
          <w:rFonts w:ascii="Arial" w:hAnsi="Arial" w:cs="Arial"/>
          <w:spacing w:val="-3"/>
          <w:sz w:val="16"/>
          <w:szCs w:val="16"/>
        </w:rPr>
        <w:t xml:space="preserve"> numeral 2.2.3.1 del Capítulo II, Título IV, Parte II de la CBJ</w:t>
      </w:r>
      <w:r w:rsidR="00984134" w:rsidRPr="00926E4B">
        <w:rPr>
          <w:rFonts w:ascii="Arial" w:hAnsi="Arial" w:cs="Arial"/>
          <w:spacing w:val="-3"/>
          <w:sz w:val="16"/>
          <w:szCs w:val="16"/>
        </w:rPr>
        <w:t>, individualmente</w:t>
      </w:r>
      <w:r w:rsidR="007D7ED0" w:rsidRPr="00926E4B">
        <w:rPr>
          <w:rFonts w:ascii="Arial" w:hAnsi="Arial" w:cs="Arial"/>
          <w:spacing w:val="-3"/>
          <w:sz w:val="16"/>
          <w:szCs w:val="16"/>
        </w:rPr>
        <w:t>.</w:t>
      </w:r>
    </w:p>
    <w:p w14:paraId="067D8F16" w14:textId="77777777" w:rsidR="00E45D7A" w:rsidRPr="00926E4B" w:rsidRDefault="00E45D7A" w:rsidP="00E45D7A">
      <w:pPr>
        <w:tabs>
          <w:tab w:val="left" w:pos="-720"/>
        </w:tabs>
        <w:suppressAutoHyphens/>
        <w:spacing w:after="0" w:line="240" w:lineRule="auto"/>
        <w:jc w:val="both"/>
        <w:rPr>
          <w:rFonts w:ascii="Arial" w:hAnsi="Arial" w:cs="Arial"/>
          <w:spacing w:val="-3"/>
          <w:sz w:val="16"/>
          <w:szCs w:val="16"/>
        </w:rPr>
      </w:pPr>
    </w:p>
    <w:p w14:paraId="3BDF715B" w14:textId="19E6E608" w:rsidR="00984134" w:rsidRDefault="007D7ED0" w:rsidP="00E45D7A">
      <w:pPr>
        <w:tabs>
          <w:tab w:val="left" w:pos="-720"/>
        </w:tabs>
        <w:suppressAutoHyphens/>
        <w:spacing w:after="0" w:line="240" w:lineRule="auto"/>
        <w:jc w:val="both"/>
        <w:rPr>
          <w:rFonts w:ascii="Arial" w:hAnsi="Arial" w:cs="Arial"/>
          <w:spacing w:val="-3"/>
          <w:sz w:val="16"/>
          <w:szCs w:val="16"/>
        </w:rPr>
      </w:pPr>
      <w:r w:rsidRPr="00926E4B">
        <w:rPr>
          <w:rFonts w:ascii="Arial" w:hAnsi="Arial" w:cs="Arial"/>
          <w:spacing w:val="-3"/>
          <w:sz w:val="16"/>
          <w:szCs w:val="16"/>
        </w:rPr>
        <w:t xml:space="preserve">La </w:t>
      </w:r>
      <w:r w:rsidR="0043621A" w:rsidRPr="00926E4B">
        <w:rPr>
          <w:rFonts w:ascii="Arial" w:hAnsi="Arial" w:cs="Arial"/>
          <w:spacing w:val="-3"/>
          <w:sz w:val="16"/>
          <w:szCs w:val="16"/>
        </w:rPr>
        <w:t xml:space="preserve">RIA se define como </w:t>
      </w:r>
      <w:r w:rsidR="00984134" w:rsidRPr="00926E4B">
        <w:rPr>
          <w:rFonts w:ascii="Arial" w:hAnsi="Arial" w:cs="Arial"/>
          <w:spacing w:val="-3"/>
          <w:sz w:val="16"/>
          <w:szCs w:val="16"/>
        </w:rPr>
        <w:t>aquella reserva que se constituye para compensar la insuficiencia que puede surgir</w:t>
      </w:r>
      <w:r w:rsidR="00151AB4" w:rsidRPr="00926E4B">
        <w:rPr>
          <w:rFonts w:ascii="Arial" w:hAnsi="Arial" w:cs="Arial"/>
          <w:spacing w:val="-3"/>
          <w:sz w:val="16"/>
          <w:szCs w:val="16"/>
        </w:rPr>
        <w:t xml:space="preserve"> </w:t>
      </w:r>
      <w:r w:rsidR="00984134" w:rsidRPr="00926E4B">
        <w:rPr>
          <w:rFonts w:ascii="Arial" w:hAnsi="Arial" w:cs="Arial"/>
          <w:spacing w:val="-3"/>
          <w:sz w:val="16"/>
          <w:szCs w:val="16"/>
        </w:rPr>
        <w:t xml:space="preserve">al cubrir los flujos de pasivos esperados que conforman la reserva matemática con los flujos de activos de la entidad aseguradora. </w:t>
      </w:r>
    </w:p>
    <w:p w14:paraId="4A138CBC" w14:textId="77777777" w:rsidR="00E45D7A" w:rsidRPr="00926E4B" w:rsidRDefault="00E45D7A" w:rsidP="00E45D7A">
      <w:pPr>
        <w:tabs>
          <w:tab w:val="left" w:pos="-720"/>
        </w:tabs>
        <w:suppressAutoHyphens/>
        <w:spacing w:after="0" w:line="240" w:lineRule="auto"/>
        <w:jc w:val="both"/>
        <w:rPr>
          <w:rFonts w:ascii="Arial" w:hAnsi="Arial" w:cs="Arial"/>
          <w:spacing w:val="-3"/>
          <w:sz w:val="16"/>
          <w:szCs w:val="16"/>
        </w:rPr>
      </w:pPr>
    </w:p>
    <w:p w14:paraId="3BDF715C" w14:textId="6B0ADB3D" w:rsidR="00CE4023" w:rsidRDefault="00984134" w:rsidP="00E45D7A">
      <w:pPr>
        <w:tabs>
          <w:tab w:val="left" w:pos="-720"/>
        </w:tabs>
        <w:suppressAutoHyphens/>
        <w:spacing w:after="0" w:line="240" w:lineRule="auto"/>
        <w:jc w:val="both"/>
        <w:rPr>
          <w:rFonts w:ascii="Arial" w:hAnsi="Arial" w:cs="Arial"/>
          <w:spacing w:val="-3"/>
          <w:sz w:val="16"/>
          <w:szCs w:val="16"/>
        </w:rPr>
      </w:pPr>
      <w:r w:rsidRPr="00926E4B">
        <w:rPr>
          <w:rFonts w:ascii="Arial" w:hAnsi="Arial" w:cs="Arial"/>
          <w:spacing w:val="-3"/>
          <w:sz w:val="16"/>
          <w:szCs w:val="16"/>
        </w:rPr>
        <w:t xml:space="preserve">El monto de </w:t>
      </w:r>
      <w:r w:rsidR="00151AB4" w:rsidRPr="00926E4B">
        <w:rPr>
          <w:rFonts w:ascii="Arial" w:hAnsi="Arial" w:cs="Arial"/>
          <w:spacing w:val="-3"/>
          <w:sz w:val="16"/>
          <w:szCs w:val="16"/>
        </w:rPr>
        <w:t>la RIA</w:t>
      </w:r>
      <w:r w:rsidRPr="00926E4B">
        <w:rPr>
          <w:rFonts w:ascii="Arial" w:hAnsi="Arial" w:cs="Arial"/>
          <w:spacing w:val="-3"/>
          <w:sz w:val="16"/>
          <w:szCs w:val="16"/>
        </w:rPr>
        <w:t xml:space="preserve"> </w:t>
      </w:r>
      <w:r w:rsidR="00911790" w:rsidRPr="00926E4B">
        <w:rPr>
          <w:rFonts w:ascii="Arial" w:hAnsi="Arial" w:cs="Arial"/>
          <w:spacing w:val="-3"/>
          <w:sz w:val="16"/>
          <w:szCs w:val="16"/>
        </w:rPr>
        <w:t xml:space="preserve">se calcula para cada ramo y </w:t>
      </w:r>
      <w:r w:rsidRPr="00926E4B">
        <w:rPr>
          <w:rFonts w:ascii="Arial" w:hAnsi="Arial" w:cs="Arial"/>
          <w:spacing w:val="-3"/>
          <w:sz w:val="16"/>
          <w:szCs w:val="16"/>
        </w:rPr>
        <w:t>corresponde a</w:t>
      </w:r>
      <w:r w:rsidR="0043621A" w:rsidRPr="00926E4B">
        <w:rPr>
          <w:rFonts w:ascii="Arial" w:hAnsi="Arial" w:cs="Arial"/>
          <w:spacing w:val="-3"/>
          <w:sz w:val="16"/>
          <w:szCs w:val="16"/>
        </w:rPr>
        <w:t>l valor presente de las insuficiencias de activos</w:t>
      </w:r>
      <w:r w:rsidR="007E7CA9" w:rsidRPr="00926E4B">
        <w:rPr>
          <w:rFonts w:ascii="Arial" w:hAnsi="Arial" w:cs="Arial"/>
          <w:spacing w:val="-3"/>
          <w:sz w:val="16"/>
          <w:szCs w:val="16"/>
        </w:rPr>
        <w:t xml:space="preserve"> </w:t>
      </w:r>
      <w:r w:rsidR="00911790" w:rsidRPr="00926E4B">
        <w:rPr>
          <w:rFonts w:ascii="Arial" w:hAnsi="Arial" w:cs="Arial"/>
          <w:spacing w:val="-3"/>
          <w:sz w:val="16"/>
          <w:szCs w:val="16"/>
        </w:rPr>
        <w:t xml:space="preserve">por tramos establecidos según la </w:t>
      </w:r>
      <w:r w:rsidR="00403A38" w:rsidRPr="00926E4B">
        <w:rPr>
          <w:rFonts w:ascii="Arial" w:hAnsi="Arial" w:cs="Arial"/>
          <w:spacing w:val="-3"/>
          <w:sz w:val="16"/>
          <w:szCs w:val="16"/>
        </w:rPr>
        <w:t>maduración</w:t>
      </w:r>
      <w:r w:rsidR="00911790" w:rsidRPr="00926E4B">
        <w:rPr>
          <w:rFonts w:ascii="Arial" w:hAnsi="Arial" w:cs="Arial"/>
          <w:spacing w:val="-3"/>
          <w:sz w:val="16"/>
          <w:szCs w:val="16"/>
        </w:rPr>
        <w:t xml:space="preserve"> de los activos y los pasivos a lo largo del tiempo</w:t>
      </w:r>
      <w:r w:rsidR="0043621A" w:rsidRPr="00926E4B">
        <w:rPr>
          <w:rFonts w:ascii="Arial" w:hAnsi="Arial" w:cs="Arial"/>
          <w:spacing w:val="-3"/>
          <w:sz w:val="16"/>
          <w:szCs w:val="16"/>
        </w:rPr>
        <w:t>.</w:t>
      </w:r>
      <w:r w:rsidR="00CE4023" w:rsidRPr="00926E4B">
        <w:rPr>
          <w:rFonts w:ascii="Arial" w:hAnsi="Arial" w:cs="Arial"/>
          <w:spacing w:val="-3"/>
          <w:sz w:val="16"/>
          <w:szCs w:val="16"/>
        </w:rPr>
        <w:t xml:space="preserve"> </w:t>
      </w:r>
      <w:r w:rsidR="00CF3E7F" w:rsidRPr="00926E4B">
        <w:rPr>
          <w:rFonts w:ascii="Arial" w:hAnsi="Arial" w:cs="Arial"/>
          <w:spacing w:val="-3"/>
          <w:sz w:val="16"/>
          <w:szCs w:val="16"/>
        </w:rPr>
        <w:t>La insuficiencia en cada tramo se calculará como la diferencia entre el flujo de los pasivos y los activos.</w:t>
      </w:r>
    </w:p>
    <w:p w14:paraId="1A89B64A" w14:textId="77777777" w:rsidR="00E45D7A" w:rsidRPr="00926E4B" w:rsidRDefault="00E45D7A" w:rsidP="00E45D7A">
      <w:pPr>
        <w:tabs>
          <w:tab w:val="left" w:pos="-720"/>
        </w:tabs>
        <w:suppressAutoHyphens/>
        <w:spacing w:after="0" w:line="240" w:lineRule="auto"/>
        <w:jc w:val="both"/>
        <w:rPr>
          <w:rFonts w:ascii="Arial" w:hAnsi="Arial" w:cs="Arial"/>
          <w:spacing w:val="-3"/>
          <w:sz w:val="16"/>
          <w:szCs w:val="16"/>
        </w:rPr>
      </w:pPr>
    </w:p>
    <w:p w14:paraId="3BDF715D" w14:textId="3022E390" w:rsidR="00CB7C0C" w:rsidRDefault="00CB7C0C" w:rsidP="00E45D7A">
      <w:pPr>
        <w:spacing w:after="0" w:line="240" w:lineRule="auto"/>
        <w:jc w:val="both"/>
        <w:rPr>
          <w:rFonts w:ascii="Arial" w:hAnsi="Arial" w:cs="Arial"/>
          <w:spacing w:val="-3"/>
          <w:sz w:val="16"/>
          <w:szCs w:val="16"/>
        </w:rPr>
      </w:pPr>
      <w:r w:rsidRPr="00926E4B">
        <w:rPr>
          <w:rFonts w:ascii="Arial" w:hAnsi="Arial" w:cs="Arial"/>
          <w:spacing w:val="-3"/>
          <w:sz w:val="16"/>
          <w:szCs w:val="16"/>
        </w:rPr>
        <w:t>De acuerdo con las instrucciones del sub</w:t>
      </w:r>
      <w:r w:rsidR="00151AB4" w:rsidRPr="00926E4B">
        <w:rPr>
          <w:rFonts w:ascii="Arial" w:hAnsi="Arial" w:cs="Arial"/>
          <w:spacing w:val="-3"/>
          <w:sz w:val="16"/>
          <w:szCs w:val="16"/>
        </w:rPr>
        <w:t xml:space="preserve"> </w:t>
      </w:r>
      <w:r w:rsidRPr="00926E4B">
        <w:rPr>
          <w:rFonts w:ascii="Arial" w:hAnsi="Arial" w:cs="Arial"/>
          <w:spacing w:val="-3"/>
          <w:sz w:val="16"/>
          <w:szCs w:val="16"/>
        </w:rPr>
        <w:t>numeral 2.2.3 del Capítulo II, Título IV, Pa</w:t>
      </w:r>
      <w:r w:rsidR="008A509F" w:rsidRPr="00926E4B">
        <w:rPr>
          <w:rFonts w:ascii="Arial" w:hAnsi="Arial" w:cs="Arial"/>
          <w:spacing w:val="-3"/>
          <w:sz w:val="16"/>
          <w:szCs w:val="16"/>
        </w:rPr>
        <w:t xml:space="preserve">rte II de la CBJ, las entidades </w:t>
      </w:r>
      <w:r w:rsidRPr="00926E4B">
        <w:rPr>
          <w:rFonts w:ascii="Arial" w:hAnsi="Arial" w:cs="Arial"/>
          <w:spacing w:val="-3"/>
          <w:sz w:val="16"/>
          <w:szCs w:val="16"/>
        </w:rPr>
        <w:t xml:space="preserve">aseguradoras </w:t>
      </w:r>
      <w:r w:rsidRPr="00C75678">
        <w:rPr>
          <w:rFonts w:ascii="Arial" w:hAnsi="Arial" w:cs="Arial"/>
          <w:sz w:val="16"/>
          <w:szCs w:val="16"/>
          <w:lang w:val="es-ES_tradnl"/>
        </w:rPr>
        <w:t>deben</w:t>
      </w:r>
      <w:r w:rsidRPr="00926E4B">
        <w:rPr>
          <w:rFonts w:ascii="Arial" w:hAnsi="Arial" w:cs="Arial"/>
          <w:spacing w:val="-3"/>
          <w:sz w:val="16"/>
          <w:szCs w:val="16"/>
        </w:rPr>
        <w:t xml:space="preserve"> emplear la metodología contenida en este anexo para el cálculo de la</w:t>
      </w:r>
      <w:r w:rsidR="0043621A" w:rsidRPr="00926E4B">
        <w:rPr>
          <w:rFonts w:ascii="Arial" w:hAnsi="Arial" w:cs="Arial"/>
          <w:spacing w:val="-3"/>
          <w:sz w:val="16"/>
          <w:szCs w:val="16"/>
        </w:rPr>
        <w:t xml:space="preserve"> </w:t>
      </w:r>
      <w:r w:rsidR="007D7ED0" w:rsidRPr="00926E4B">
        <w:rPr>
          <w:rFonts w:ascii="Arial" w:hAnsi="Arial" w:cs="Arial"/>
          <w:spacing w:val="-3"/>
          <w:sz w:val="16"/>
          <w:szCs w:val="16"/>
        </w:rPr>
        <w:t>RIA</w:t>
      </w:r>
      <w:r w:rsidRPr="00926E4B">
        <w:rPr>
          <w:rFonts w:ascii="Arial" w:hAnsi="Arial" w:cs="Arial"/>
          <w:spacing w:val="-3"/>
          <w:sz w:val="16"/>
          <w:szCs w:val="16"/>
        </w:rPr>
        <w:t>.</w:t>
      </w:r>
    </w:p>
    <w:p w14:paraId="4580EB5F" w14:textId="77777777" w:rsidR="00E45D7A" w:rsidRDefault="00E45D7A" w:rsidP="00E45D7A">
      <w:pPr>
        <w:spacing w:after="0" w:line="240" w:lineRule="auto"/>
        <w:jc w:val="both"/>
        <w:rPr>
          <w:rFonts w:ascii="Arial" w:hAnsi="Arial" w:cs="Arial"/>
          <w:spacing w:val="-3"/>
          <w:sz w:val="16"/>
          <w:szCs w:val="16"/>
        </w:rPr>
      </w:pPr>
    </w:p>
    <w:p w14:paraId="3BDF7160" w14:textId="7DD2701A" w:rsidR="009F04B1" w:rsidRDefault="0043621A" w:rsidP="00E45D7A">
      <w:pPr>
        <w:pStyle w:val="Prrafodelista"/>
        <w:numPr>
          <w:ilvl w:val="0"/>
          <w:numId w:val="2"/>
        </w:numPr>
        <w:tabs>
          <w:tab w:val="left" w:pos="-720"/>
        </w:tabs>
        <w:suppressAutoHyphens/>
        <w:spacing w:after="0" w:line="240" w:lineRule="auto"/>
        <w:ind w:left="357" w:hanging="357"/>
        <w:contextualSpacing w:val="0"/>
        <w:jc w:val="both"/>
        <w:rPr>
          <w:rFonts w:ascii="Arial" w:hAnsi="Arial" w:cs="Arial"/>
          <w:b/>
          <w:spacing w:val="-3"/>
          <w:sz w:val="16"/>
          <w:szCs w:val="16"/>
        </w:rPr>
      </w:pPr>
      <w:r w:rsidRPr="00BA261B">
        <w:rPr>
          <w:rFonts w:ascii="Arial" w:hAnsi="Arial" w:cs="Arial"/>
          <w:b/>
          <w:spacing w:val="-3"/>
          <w:sz w:val="16"/>
          <w:szCs w:val="16"/>
        </w:rPr>
        <w:t>Identificación y tratamiento de lo</w:t>
      </w:r>
      <w:r w:rsidR="00CE4023" w:rsidRPr="00BA261B">
        <w:rPr>
          <w:rFonts w:ascii="Arial" w:hAnsi="Arial" w:cs="Arial"/>
          <w:b/>
          <w:spacing w:val="-3"/>
          <w:sz w:val="16"/>
          <w:szCs w:val="16"/>
        </w:rPr>
        <w:t>s</w:t>
      </w:r>
      <w:r w:rsidRPr="00BA261B">
        <w:rPr>
          <w:rFonts w:ascii="Arial" w:hAnsi="Arial" w:cs="Arial"/>
          <w:b/>
          <w:spacing w:val="-3"/>
          <w:sz w:val="16"/>
          <w:szCs w:val="16"/>
        </w:rPr>
        <w:t xml:space="preserve"> pasivos</w:t>
      </w:r>
    </w:p>
    <w:p w14:paraId="0D23986C" w14:textId="77777777" w:rsidR="00E45D7A" w:rsidRPr="00E45D7A" w:rsidRDefault="00E45D7A" w:rsidP="00E45D7A">
      <w:pPr>
        <w:tabs>
          <w:tab w:val="left" w:pos="-720"/>
        </w:tabs>
        <w:suppressAutoHyphens/>
        <w:spacing w:after="0" w:line="240" w:lineRule="auto"/>
        <w:jc w:val="both"/>
        <w:rPr>
          <w:rFonts w:ascii="Arial" w:hAnsi="Arial" w:cs="Arial"/>
          <w:b/>
          <w:spacing w:val="-3"/>
          <w:sz w:val="16"/>
          <w:szCs w:val="16"/>
        </w:rPr>
      </w:pPr>
    </w:p>
    <w:p w14:paraId="3BDF7162" w14:textId="2F214B2C" w:rsidR="00CE4023" w:rsidRDefault="00CE4023" w:rsidP="00E45D7A">
      <w:pPr>
        <w:pStyle w:val="Prrafodelista"/>
        <w:numPr>
          <w:ilvl w:val="1"/>
          <w:numId w:val="2"/>
        </w:numPr>
        <w:tabs>
          <w:tab w:val="left" w:pos="-720"/>
        </w:tabs>
        <w:suppressAutoHyphens/>
        <w:spacing w:after="0" w:line="240" w:lineRule="auto"/>
        <w:jc w:val="both"/>
        <w:rPr>
          <w:rFonts w:ascii="Arial" w:hAnsi="Arial" w:cs="Arial"/>
          <w:b/>
          <w:spacing w:val="-3"/>
          <w:sz w:val="16"/>
          <w:szCs w:val="16"/>
        </w:rPr>
      </w:pPr>
      <w:r w:rsidRPr="00BA261B">
        <w:rPr>
          <w:rFonts w:ascii="Arial" w:hAnsi="Arial" w:cs="Arial"/>
          <w:b/>
          <w:spacing w:val="-3"/>
          <w:sz w:val="16"/>
          <w:szCs w:val="16"/>
        </w:rPr>
        <w:t>Identificación de los pasivos</w:t>
      </w:r>
    </w:p>
    <w:p w14:paraId="2B4DAC54" w14:textId="77777777" w:rsidR="00E45D7A" w:rsidRPr="00E45D7A" w:rsidRDefault="00E45D7A" w:rsidP="00E45D7A">
      <w:pPr>
        <w:tabs>
          <w:tab w:val="left" w:pos="-720"/>
        </w:tabs>
        <w:suppressAutoHyphens/>
        <w:spacing w:after="0" w:line="240" w:lineRule="auto"/>
        <w:jc w:val="both"/>
        <w:rPr>
          <w:rFonts w:ascii="Arial" w:hAnsi="Arial" w:cs="Arial"/>
          <w:b/>
          <w:spacing w:val="-3"/>
          <w:sz w:val="16"/>
          <w:szCs w:val="16"/>
        </w:rPr>
      </w:pPr>
    </w:p>
    <w:p w14:paraId="3BDF7163" w14:textId="2ED6B3BC" w:rsidR="00114459" w:rsidRDefault="00911790"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identificar los flujos </w:t>
      </w:r>
      <w:r w:rsidR="003D405D" w:rsidRPr="00BA261B">
        <w:rPr>
          <w:rFonts w:ascii="Arial" w:hAnsi="Arial" w:cs="Arial"/>
          <w:spacing w:val="-3"/>
          <w:sz w:val="16"/>
          <w:szCs w:val="16"/>
        </w:rPr>
        <w:t xml:space="preserve">futuros </w:t>
      </w:r>
      <w:r w:rsidRPr="00BA261B">
        <w:rPr>
          <w:rFonts w:ascii="Arial" w:hAnsi="Arial" w:cs="Arial"/>
          <w:spacing w:val="-3"/>
          <w:sz w:val="16"/>
          <w:szCs w:val="16"/>
        </w:rPr>
        <w:t>de pasivos</w:t>
      </w:r>
      <w:r w:rsidR="00114459">
        <w:rPr>
          <w:rFonts w:ascii="Arial" w:hAnsi="Arial" w:cs="Arial"/>
          <w:spacing w:val="-3"/>
          <w:sz w:val="16"/>
          <w:szCs w:val="16"/>
        </w:rPr>
        <w:t>, netos de las contingencias a cargo de reaseguradoras</w:t>
      </w:r>
      <w:r w:rsidR="00114459" w:rsidRPr="00114459">
        <w:rPr>
          <w:rFonts w:ascii="Arial" w:hAnsi="Arial" w:cs="Arial"/>
          <w:spacing w:val="-3"/>
          <w:sz w:val="16"/>
          <w:szCs w:val="16"/>
        </w:rPr>
        <w:t xml:space="preserve"> </w:t>
      </w:r>
      <w:r w:rsidR="00114459" w:rsidRPr="00BA261B">
        <w:rPr>
          <w:rFonts w:ascii="Arial" w:hAnsi="Arial" w:cs="Arial"/>
          <w:spacing w:val="-3"/>
          <w:sz w:val="16"/>
          <w:szCs w:val="16"/>
        </w:rPr>
        <w:t>en línea con las directrices del Capítulo II, Título IV, Parte II de la CBJ</w:t>
      </w:r>
      <w:r w:rsidR="00114459">
        <w:rPr>
          <w:rFonts w:ascii="Arial" w:hAnsi="Arial" w:cs="Arial"/>
          <w:spacing w:val="-3"/>
          <w:sz w:val="16"/>
          <w:szCs w:val="16"/>
        </w:rPr>
        <w:t>,</w:t>
      </w:r>
      <w:r w:rsidRPr="00BA261B">
        <w:rPr>
          <w:rFonts w:ascii="Arial" w:hAnsi="Arial" w:cs="Arial"/>
          <w:spacing w:val="-3"/>
          <w:sz w:val="16"/>
          <w:szCs w:val="16"/>
        </w:rPr>
        <w:t xml:space="preserve"> del ramo correspondiente</w:t>
      </w:r>
      <w:r w:rsidR="003D405D" w:rsidRPr="00BA261B">
        <w:rPr>
          <w:rFonts w:ascii="Arial" w:hAnsi="Arial" w:cs="Arial"/>
          <w:spacing w:val="-3"/>
          <w:sz w:val="16"/>
          <w:szCs w:val="16"/>
        </w:rPr>
        <w:t xml:space="preserve"> al cálculo de la RIA</w:t>
      </w:r>
      <w:r w:rsidRPr="00BA261B">
        <w:rPr>
          <w:rFonts w:ascii="Arial" w:hAnsi="Arial" w:cs="Arial"/>
          <w:spacing w:val="-3"/>
          <w:sz w:val="16"/>
          <w:szCs w:val="16"/>
        </w:rPr>
        <w:t xml:space="preserve">. </w:t>
      </w:r>
      <w:r w:rsidR="003D405D" w:rsidRPr="00BA261B">
        <w:rPr>
          <w:rFonts w:ascii="Arial" w:hAnsi="Arial" w:cs="Arial"/>
          <w:spacing w:val="-3"/>
          <w:sz w:val="16"/>
          <w:szCs w:val="16"/>
        </w:rPr>
        <w:t xml:space="preserve">Estos </w:t>
      </w:r>
      <w:r w:rsidR="00CE4023" w:rsidRPr="00BA261B">
        <w:rPr>
          <w:rFonts w:ascii="Arial" w:hAnsi="Arial" w:cs="Arial"/>
          <w:spacing w:val="-3"/>
          <w:sz w:val="16"/>
          <w:szCs w:val="16"/>
        </w:rPr>
        <w:t xml:space="preserve">corresponden a los flujos futuros esperados de las pólizas emitidas de acuerdo con </w:t>
      </w:r>
      <w:r w:rsidR="00902B85" w:rsidRPr="00BA261B">
        <w:rPr>
          <w:rFonts w:ascii="Arial" w:hAnsi="Arial" w:cs="Arial"/>
          <w:spacing w:val="-3"/>
          <w:sz w:val="16"/>
          <w:szCs w:val="16"/>
        </w:rPr>
        <w:t xml:space="preserve">las </w:t>
      </w:r>
      <w:r w:rsidR="00CE4023" w:rsidRPr="00BA261B">
        <w:rPr>
          <w:rFonts w:ascii="Arial" w:hAnsi="Arial" w:cs="Arial"/>
          <w:spacing w:val="-3"/>
          <w:sz w:val="16"/>
          <w:szCs w:val="16"/>
        </w:rPr>
        <w:t xml:space="preserve">notas técnicas </w:t>
      </w:r>
      <w:r w:rsidR="00A456B3" w:rsidRPr="00BA261B">
        <w:rPr>
          <w:rFonts w:ascii="Arial" w:hAnsi="Arial" w:cs="Arial"/>
          <w:spacing w:val="-3"/>
          <w:sz w:val="16"/>
          <w:szCs w:val="16"/>
        </w:rPr>
        <w:t>depositadas en</w:t>
      </w:r>
      <w:r w:rsidR="003D405D" w:rsidRPr="00BA261B">
        <w:rPr>
          <w:rFonts w:ascii="Arial" w:hAnsi="Arial" w:cs="Arial"/>
          <w:spacing w:val="-3"/>
          <w:sz w:val="16"/>
          <w:szCs w:val="16"/>
        </w:rPr>
        <w:t xml:space="preserve"> la SFC</w:t>
      </w:r>
      <w:r w:rsidR="00CE4023" w:rsidRPr="00BA261B">
        <w:rPr>
          <w:rFonts w:ascii="Arial" w:hAnsi="Arial" w:cs="Arial"/>
          <w:spacing w:val="-3"/>
          <w:sz w:val="16"/>
          <w:szCs w:val="16"/>
        </w:rPr>
        <w:t xml:space="preserve"> para el cálculo de la reserva matemática de cada </w:t>
      </w:r>
      <w:r w:rsidR="00902B85" w:rsidRPr="00BA261B">
        <w:rPr>
          <w:rFonts w:ascii="Arial" w:hAnsi="Arial" w:cs="Arial"/>
          <w:spacing w:val="-3"/>
          <w:sz w:val="16"/>
          <w:szCs w:val="16"/>
        </w:rPr>
        <w:t>uno de los ramos</w:t>
      </w:r>
      <w:r w:rsidR="00C174C2">
        <w:rPr>
          <w:rFonts w:ascii="Arial" w:hAnsi="Arial" w:cs="Arial"/>
          <w:spacing w:val="-3"/>
          <w:sz w:val="16"/>
          <w:szCs w:val="16"/>
        </w:rPr>
        <w:t>.</w:t>
      </w:r>
    </w:p>
    <w:p w14:paraId="7DBA0411"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64" w14:textId="52B43F5D" w:rsidR="00CE4023" w:rsidRDefault="00C174C2"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Para el ramo de vida individual</w:t>
      </w:r>
      <w:r w:rsidRPr="00C174C2">
        <w:rPr>
          <w:rFonts w:ascii="Arial" w:hAnsi="Arial" w:cs="Arial"/>
          <w:spacing w:val="-3"/>
          <w:sz w:val="16"/>
          <w:szCs w:val="16"/>
        </w:rPr>
        <w:t xml:space="preserve"> </w:t>
      </w:r>
      <w:r w:rsidRPr="00BA261B">
        <w:rPr>
          <w:rFonts w:ascii="Arial" w:hAnsi="Arial" w:cs="Arial"/>
          <w:spacing w:val="-3"/>
          <w:sz w:val="16"/>
          <w:szCs w:val="16"/>
        </w:rPr>
        <w:t>los flujos de pasivos</w:t>
      </w:r>
      <w:r w:rsidRPr="00C174C2">
        <w:rPr>
          <w:rFonts w:ascii="Arial" w:hAnsi="Arial" w:cs="Arial"/>
          <w:spacing w:val="-3"/>
          <w:sz w:val="16"/>
          <w:szCs w:val="16"/>
        </w:rPr>
        <w:t xml:space="preserve"> </w:t>
      </w:r>
      <w:r w:rsidRPr="00BA261B">
        <w:rPr>
          <w:rFonts w:ascii="Arial" w:hAnsi="Arial" w:cs="Arial"/>
          <w:spacing w:val="-3"/>
          <w:sz w:val="16"/>
          <w:szCs w:val="16"/>
        </w:rPr>
        <w:t>corresponden a los flujos futuros esperados de las pólizas emitidas</w:t>
      </w:r>
      <w:r>
        <w:rPr>
          <w:rFonts w:ascii="Arial" w:hAnsi="Arial" w:cs="Arial"/>
          <w:spacing w:val="-3"/>
          <w:sz w:val="16"/>
          <w:szCs w:val="16"/>
        </w:rPr>
        <w:t>, para lo cual las entidades aseguradoras podrán ajustar sus flujos de acuerdo con las estimaciones de renovaciones y terminaciones de los contratos de seguros. Las metodologías para estimar dichas renovaciones y terminaciones deben estar a disposición de la SFC.</w:t>
      </w:r>
    </w:p>
    <w:p w14:paraId="01818CCD" w14:textId="77777777" w:rsidR="00126DDB" w:rsidRPr="00AB3764" w:rsidRDefault="00126DDB" w:rsidP="00E45D7A">
      <w:pPr>
        <w:tabs>
          <w:tab w:val="left" w:pos="-720"/>
        </w:tabs>
        <w:suppressAutoHyphens/>
        <w:spacing w:after="0" w:line="240" w:lineRule="auto"/>
        <w:jc w:val="both"/>
        <w:rPr>
          <w:rFonts w:ascii="Arial" w:hAnsi="Arial" w:cs="Arial"/>
          <w:b/>
          <w:bCs/>
          <w:spacing w:val="-3"/>
          <w:sz w:val="16"/>
          <w:szCs w:val="16"/>
        </w:rPr>
      </w:pPr>
    </w:p>
    <w:p w14:paraId="67EFB3AA" w14:textId="5AC8276C" w:rsidR="00DD70D8" w:rsidRDefault="00DD70D8" w:rsidP="00E45D7A">
      <w:pPr>
        <w:pBdr>
          <w:left w:val="single" w:sz="4" w:space="4" w:color="auto"/>
        </w:pBdr>
        <w:tabs>
          <w:tab w:val="left" w:pos="-720"/>
        </w:tabs>
        <w:suppressAutoHyphens/>
        <w:spacing w:after="0" w:line="240" w:lineRule="auto"/>
        <w:jc w:val="both"/>
        <w:rPr>
          <w:rFonts w:ascii="Arial" w:hAnsi="Arial" w:cs="Arial"/>
          <w:b/>
          <w:bCs/>
          <w:spacing w:val="-3"/>
          <w:sz w:val="16"/>
          <w:szCs w:val="16"/>
        </w:rPr>
      </w:pPr>
      <w:r w:rsidRPr="00AB3764">
        <w:rPr>
          <w:rFonts w:ascii="Arial" w:hAnsi="Arial" w:cs="Arial"/>
          <w:b/>
          <w:bCs/>
          <w:spacing w:val="-3"/>
          <w:sz w:val="16"/>
          <w:szCs w:val="16"/>
        </w:rPr>
        <w:t>Para el ramo de rentas voluntarias, las entidades aseguradoras podrán ajustar sus flujos de acuerdo con las estimaciones de retracto en los contratos de seguros de renta vitalicia inmobiliaria. Las metodologías para estimar dichos retractos deben estar a disposición de la SFC</w:t>
      </w:r>
      <w:r w:rsidR="00D10841" w:rsidRPr="00AB3764">
        <w:rPr>
          <w:rFonts w:ascii="Arial" w:hAnsi="Arial" w:cs="Arial"/>
          <w:b/>
          <w:bCs/>
          <w:spacing w:val="-3"/>
          <w:sz w:val="16"/>
          <w:szCs w:val="16"/>
        </w:rPr>
        <w:t xml:space="preserve"> para su consulta en cualquier momento</w:t>
      </w:r>
      <w:r w:rsidRPr="00AB3764">
        <w:rPr>
          <w:rFonts w:ascii="Arial" w:hAnsi="Arial" w:cs="Arial"/>
          <w:b/>
          <w:bCs/>
          <w:spacing w:val="-3"/>
          <w:sz w:val="16"/>
          <w:szCs w:val="16"/>
        </w:rPr>
        <w:t>.</w:t>
      </w:r>
    </w:p>
    <w:p w14:paraId="34AC72C7" w14:textId="77777777" w:rsidR="00126DDB" w:rsidRPr="00126DDB" w:rsidRDefault="00126DDB" w:rsidP="00E45D7A">
      <w:pPr>
        <w:tabs>
          <w:tab w:val="left" w:pos="-720"/>
        </w:tabs>
        <w:suppressAutoHyphens/>
        <w:spacing w:after="0" w:line="240" w:lineRule="auto"/>
        <w:jc w:val="both"/>
        <w:rPr>
          <w:rFonts w:ascii="Arial" w:hAnsi="Arial" w:cs="Arial"/>
          <w:b/>
          <w:bCs/>
          <w:spacing w:val="-3"/>
          <w:sz w:val="16"/>
          <w:szCs w:val="16"/>
        </w:rPr>
      </w:pPr>
    </w:p>
    <w:p w14:paraId="3BDF7165" w14:textId="6B9441CA" w:rsidR="00CE4023" w:rsidRDefault="00CE4023" w:rsidP="00E45D7A">
      <w:pPr>
        <w:pStyle w:val="Prrafodelista"/>
        <w:numPr>
          <w:ilvl w:val="1"/>
          <w:numId w:val="2"/>
        </w:numPr>
        <w:tabs>
          <w:tab w:val="left" w:pos="-720"/>
        </w:tabs>
        <w:suppressAutoHyphens/>
        <w:spacing w:after="0" w:line="240" w:lineRule="auto"/>
        <w:jc w:val="both"/>
        <w:rPr>
          <w:rFonts w:ascii="Arial" w:hAnsi="Arial" w:cs="Arial"/>
          <w:b/>
          <w:spacing w:val="-3"/>
          <w:sz w:val="16"/>
          <w:szCs w:val="16"/>
        </w:rPr>
      </w:pPr>
      <w:r w:rsidRPr="00BA261B">
        <w:rPr>
          <w:rFonts w:ascii="Arial" w:hAnsi="Arial" w:cs="Arial"/>
          <w:b/>
          <w:spacing w:val="-3"/>
          <w:sz w:val="16"/>
          <w:szCs w:val="16"/>
        </w:rPr>
        <w:t>Tratamiento de los pasivos</w:t>
      </w:r>
    </w:p>
    <w:p w14:paraId="31ACC357" w14:textId="77777777" w:rsidR="00602151" w:rsidRPr="00BA261B" w:rsidRDefault="00602151" w:rsidP="00E45D7A">
      <w:pPr>
        <w:pStyle w:val="Prrafodelista"/>
        <w:tabs>
          <w:tab w:val="left" w:pos="-720"/>
        </w:tabs>
        <w:suppressAutoHyphens/>
        <w:spacing w:after="0" w:line="240" w:lineRule="auto"/>
        <w:ind w:left="360"/>
        <w:jc w:val="both"/>
        <w:rPr>
          <w:rFonts w:ascii="Arial" w:hAnsi="Arial" w:cs="Arial"/>
          <w:b/>
          <w:spacing w:val="-3"/>
          <w:sz w:val="16"/>
          <w:szCs w:val="16"/>
        </w:rPr>
      </w:pPr>
    </w:p>
    <w:p w14:paraId="3BDF7166" w14:textId="643AF909"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Para cada ramo, l</w:t>
      </w:r>
      <w:r w:rsidR="00CE4023" w:rsidRPr="00BA261B">
        <w:rPr>
          <w:rFonts w:ascii="Arial" w:hAnsi="Arial" w:cs="Arial"/>
          <w:spacing w:val="-3"/>
          <w:sz w:val="16"/>
          <w:szCs w:val="16"/>
        </w:rPr>
        <w:t xml:space="preserve">os flujos </w:t>
      </w:r>
      <w:r w:rsidR="007E7CA9" w:rsidRPr="00BA261B">
        <w:rPr>
          <w:rFonts w:ascii="Arial" w:hAnsi="Arial" w:cs="Arial"/>
          <w:spacing w:val="-3"/>
          <w:sz w:val="16"/>
          <w:szCs w:val="16"/>
        </w:rPr>
        <w:t xml:space="preserve">futuros esperados </w:t>
      </w:r>
      <w:r w:rsidR="00CE4023" w:rsidRPr="00BA261B">
        <w:rPr>
          <w:rFonts w:ascii="Arial" w:hAnsi="Arial" w:cs="Arial"/>
          <w:spacing w:val="-3"/>
          <w:sz w:val="16"/>
          <w:szCs w:val="16"/>
        </w:rPr>
        <w:t xml:space="preserve">de los pasivos se </w:t>
      </w:r>
      <w:r w:rsidRPr="00BA261B">
        <w:rPr>
          <w:rFonts w:ascii="Arial" w:hAnsi="Arial" w:cs="Arial"/>
          <w:spacing w:val="-3"/>
          <w:sz w:val="16"/>
          <w:szCs w:val="16"/>
        </w:rPr>
        <w:t xml:space="preserve">tomarán en pesos y </w:t>
      </w:r>
      <w:r w:rsidR="00C6188D">
        <w:rPr>
          <w:rFonts w:ascii="Arial" w:hAnsi="Arial" w:cs="Arial"/>
          <w:spacing w:val="-3"/>
          <w:sz w:val="16"/>
          <w:szCs w:val="16"/>
        </w:rPr>
        <w:t xml:space="preserve">en términos reales, para lo cual </w:t>
      </w:r>
      <w:r w:rsidR="009C44FB">
        <w:rPr>
          <w:rFonts w:ascii="Arial" w:hAnsi="Arial" w:cs="Arial"/>
          <w:spacing w:val="-3"/>
          <w:sz w:val="16"/>
          <w:szCs w:val="16"/>
        </w:rPr>
        <w:t>se deben proyectar los flujos sin inflación. Cuando se requiera deflactar los flujos se debe</w:t>
      </w:r>
      <w:r w:rsidR="00C6188D">
        <w:rPr>
          <w:rFonts w:ascii="Arial" w:hAnsi="Arial" w:cs="Arial"/>
          <w:spacing w:val="-3"/>
          <w:sz w:val="16"/>
          <w:szCs w:val="16"/>
        </w:rPr>
        <w:t xml:space="preserve"> utilizar </w:t>
      </w:r>
      <w:r w:rsidR="00024446">
        <w:rPr>
          <w:rFonts w:ascii="Arial" w:hAnsi="Arial" w:cs="Arial"/>
          <w:spacing w:val="-3"/>
          <w:sz w:val="16"/>
          <w:szCs w:val="16"/>
        </w:rPr>
        <w:t xml:space="preserve">la tasa spot dada por </w:t>
      </w:r>
      <w:r w:rsidR="00C6188D" w:rsidRPr="00BA261B">
        <w:rPr>
          <w:rFonts w:ascii="Arial" w:hAnsi="Arial" w:cs="Arial"/>
          <w:spacing w:val="-3"/>
          <w:sz w:val="16"/>
          <w:szCs w:val="16"/>
        </w:rPr>
        <w:t xml:space="preserve">el vector de inflación implícita que </w:t>
      </w:r>
      <w:r w:rsidR="00C6188D">
        <w:rPr>
          <w:rFonts w:ascii="Arial" w:hAnsi="Arial" w:cs="Arial"/>
          <w:spacing w:val="-3"/>
          <w:sz w:val="16"/>
          <w:szCs w:val="16"/>
        </w:rPr>
        <w:t>la SFC publicará trimestralmente</w:t>
      </w:r>
      <w:r w:rsidR="00CE4023" w:rsidRPr="00BA261B">
        <w:rPr>
          <w:rFonts w:ascii="Arial" w:hAnsi="Arial" w:cs="Arial"/>
          <w:spacing w:val="-3"/>
          <w:sz w:val="16"/>
          <w:szCs w:val="16"/>
        </w:rPr>
        <w:t xml:space="preserve">. </w:t>
      </w:r>
      <w:r w:rsidRPr="00BA261B">
        <w:rPr>
          <w:rFonts w:ascii="Arial" w:hAnsi="Arial" w:cs="Arial"/>
          <w:spacing w:val="-3"/>
          <w:sz w:val="16"/>
          <w:szCs w:val="16"/>
        </w:rPr>
        <w:t>Los flujos que no estén indexados a la inflación debe</w:t>
      </w:r>
      <w:r w:rsidR="003D405D" w:rsidRPr="00BA261B">
        <w:rPr>
          <w:rFonts w:ascii="Arial" w:hAnsi="Arial" w:cs="Arial"/>
          <w:spacing w:val="-3"/>
          <w:sz w:val="16"/>
          <w:szCs w:val="16"/>
        </w:rPr>
        <w:t>n</w:t>
      </w:r>
      <w:r w:rsidRPr="00BA261B">
        <w:rPr>
          <w:rFonts w:ascii="Arial" w:hAnsi="Arial" w:cs="Arial"/>
          <w:spacing w:val="-3"/>
          <w:sz w:val="16"/>
          <w:szCs w:val="16"/>
        </w:rPr>
        <w:t xml:space="preserve"> </w:t>
      </w:r>
      <w:r w:rsidR="003D405D" w:rsidRPr="00BA261B">
        <w:rPr>
          <w:rFonts w:ascii="Arial" w:hAnsi="Arial" w:cs="Arial"/>
          <w:spacing w:val="-3"/>
          <w:sz w:val="16"/>
          <w:szCs w:val="16"/>
        </w:rPr>
        <w:t>convertirse</w:t>
      </w:r>
      <w:r w:rsidRPr="00BA261B">
        <w:rPr>
          <w:rFonts w:ascii="Arial" w:hAnsi="Arial" w:cs="Arial"/>
          <w:spacing w:val="-3"/>
          <w:sz w:val="16"/>
          <w:szCs w:val="16"/>
        </w:rPr>
        <w:t xml:space="preserve"> a términos reales con base</w:t>
      </w:r>
      <w:r w:rsidR="00CB5691">
        <w:rPr>
          <w:rFonts w:ascii="Arial" w:hAnsi="Arial" w:cs="Arial"/>
          <w:spacing w:val="-3"/>
          <w:sz w:val="16"/>
          <w:szCs w:val="16"/>
        </w:rPr>
        <w:t xml:space="preserve"> en</w:t>
      </w:r>
      <w:r w:rsidRPr="00BA261B">
        <w:rPr>
          <w:rFonts w:ascii="Arial" w:hAnsi="Arial" w:cs="Arial"/>
          <w:spacing w:val="-3"/>
          <w:sz w:val="16"/>
          <w:szCs w:val="16"/>
        </w:rPr>
        <w:t xml:space="preserve"> </w:t>
      </w:r>
      <w:r w:rsidR="00C6188D">
        <w:rPr>
          <w:rFonts w:ascii="Arial" w:hAnsi="Arial" w:cs="Arial"/>
          <w:spacing w:val="-3"/>
          <w:sz w:val="16"/>
          <w:szCs w:val="16"/>
        </w:rPr>
        <w:t>dicho vector</w:t>
      </w:r>
      <w:r w:rsidR="007708CC" w:rsidRPr="00BA261B">
        <w:rPr>
          <w:rFonts w:ascii="Arial" w:hAnsi="Arial" w:cs="Arial"/>
          <w:spacing w:val="-3"/>
          <w:sz w:val="16"/>
          <w:szCs w:val="16"/>
        </w:rPr>
        <w:t xml:space="preserve"> de </w:t>
      </w:r>
      <w:r w:rsidR="007E7CA9" w:rsidRPr="00BA261B">
        <w:rPr>
          <w:rFonts w:ascii="Arial" w:hAnsi="Arial" w:cs="Arial"/>
          <w:spacing w:val="-3"/>
          <w:sz w:val="16"/>
          <w:szCs w:val="16"/>
        </w:rPr>
        <w:t>inflación implícita</w:t>
      </w:r>
      <w:r w:rsidR="00BC4281">
        <w:rPr>
          <w:rFonts w:ascii="Arial" w:hAnsi="Arial" w:cs="Arial"/>
          <w:spacing w:val="-3"/>
          <w:sz w:val="16"/>
          <w:szCs w:val="16"/>
        </w:rPr>
        <w:t>.</w:t>
      </w:r>
    </w:p>
    <w:p w14:paraId="4570A7A9"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67" w14:textId="000082EF" w:rsidR="00BC4281"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Los flujos que estén expresados en UVR deberán ser convertidos a pesos, proyectando la UVR con base en </w:t>
      </w:r>
      <w:r w:rsidR="007E7CA9" w:rsidRPr="00BA261B">
        <w:rPr>
          <w:rFonts w:ascii="Arial" w:hAnsi="Arial" w:cs="Arial"/>
          <w:spacing w:val="-3"/>
          <w:sz w:val="16"/>
          <w:szCs w:val="16"/>
        </w:rPr>
        <w:t>la</w:t>
      </w:r>
      <w:r w:rsidRPr="00BA261B">
        <w:rPr>
          <w:rFonts w:ascii="Arial" w:hAnsi="Arial" w:cs="Arial"/>
          <w:spacing w:val="-3"/>
          <w:sz w:val="16"/>
          <w:szCs w:val="16"/>
        </w:rPr>
        <w:t xml:space="preserve"> </w:t>
      </w:r>
      <w:r w:rsidR="007E7CA9" w:rsidRPr="00BA261B">
        <w:rPr>
          <w:rFonts w:ascii="Arial" w:hAnsi="Arial" w:cs="Arial"/>
          <w:spacing w:val="-3"/>
          <w:sz w:val="16"/>
          <w:szCs w:val="16"/>
        </w:rPr>
        <w:t>inflación implícita</w:t>
      </w:r>
      <w:r w:rsidR="00BC4281">
        <w:rPr>
          <w:rFonts w:ascii="Arial" w:hAnsi="Arial" w:cs="Arial"/>
          <w:spacing w:val="-3"/>
          <w:sz w:val="16"/>
          <w:szCs w:val="16"/>
        </w:rPr>
        <w:t xml:space="preserve"> </w:t>
      </w:r>
      <w:r w:rsidR="00BC4281" w:rsidRPr="00BA261B">
        <w:rPr>
          <w:rFonts w:ascii="Arial" w:hAnsi="Arial" w:cs="Arial"/>
          <w:spacing w:val="-3"/>
          <w:sz w:val="16"/>
          <w:szCs w:val="16"/>
        </w:rPr>
        <w:t>y los flujos en moneda extranjera se convertirán a pesos tomando la tasa de cambio del último día calendario del trimestre de cálculo.</w:t>
      </w:r>
    </w:p>
    <w:p w14:paraId="2EABC558"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68" w14:textId="0DDCCCA0" w:rsidR="00114459" w:rsidRDefault="00BC4281"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Los flujos de títulos indexados a una tasa variable deben proyectarse con base en el valor de dicha tasa, aplicable al último día calendario del trimestre de cálculo.</w:t>
      </w:r>
    </w:p>
    <w:p w14:paraId="6AA2BB83"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6C" w14:textId="0EBE957E" w:rsidR="0043621A" w:rsidRDefault="0043621A" w:rsidP="00E45D7A">
      <w:pPr>
        <w:pStyle w:val="Prrafodelista"/>
        <w:numPr>
          <w:ilvl w:val="0"/>
          <w:numId w:val="2"/>
        </w:numPr>
        <w:tabs>
          <w:tab w:val="left" w:pos="-720"/>
        </w:tabs>
        <w:suppressAutoHyphens/>
        <w:spacing w:after="0" w:line="240" w:lineRule="auto"/>
        <w:ind w:left="357" w:hanging="357"/>
        <w:contextualSpacing w:val="0"/>
        <w:jc w:val="both"/>
        <w:rPr>
          <w:rFonts w:ascii="Arial" w:hAnsi="Arial" w:cs="Arial"/>
          <w:b/>
          <w:spacing w:val="-3"/>
          <w:sz w:val="16"/>
          <w:szCs w:val="16"/>
        </w:rPr>
      </w:pPr>
      <w:r w:rsidRPr="00BA261B">
        <w:rPr>
          <w:rFonts w:ascii="Arial" w:hAnsi="Arial" w:cs="Arial"/>
          <w:b/>
          <w:spacing w:val="-3"/>
          <w:sz w:val="16"/>
          <w:szCs w:val="16"/>
        </w:rPr>
        <w:t>Identificación y tratamiento de los activos</w:t>
      </w:r>
    </w:p>
    <w:p w14:paraId="4079BFD7" w14:textId="77777777" w:rsidR="00E45D7A" w:rsidRPr="00E45D7A" w:rsidRDefault="00E45D7A" w:rsidP="00E45D7A">
      <w:pPr>
        <w:tabs>
          <w:tab w:val="left" w:pos="-720"/>
        </w:tabs>
        <w:suppressAutoHyphens/>
        <w:spacing w:after="0" w:line="240" w:lineRule="auto"/>
        <w:jc w:val="both"/>
        <w:rPr>
          <w:rFonts w:ascii="Arial" w:hAnsi="Arial" w:cs="Arial"/>
          <w:b/>
          <w:spacing w:val="-3"/>
          <w:sz w:val="16"/>
          <w:szCs w:val="16"/>
        </w:rPr>
      </w:pPr>
    </w:p>
    <w:p w14:paraId="3BDF716E" w14:textId="19C1765F" w:rsidR="00CB7C0C" w:rsidRDefault="001C4DC4" w:rsidP="00E45D7A">
      <w:pPr>
        <w:pStyle w:val="Prrafodelista"/>
        <w:numPr>
          <w:ilvl w:val="1"/>
          <w:numId w:val="2"/>
        </w:numPr>
        <w:tabs>
          <w:tab w:val="left" w:pos="-720"/>
        </w:tabs>
        <w:suppressAutoHyphens/>
        <w:spacing w:after="0" w:line="240" w:lineRule="auto"/>
        <w:jc w:val="both"/>
        <w:rPr>
          <w:rFonts w:ascii="Arial" w:hAnsi="Arial" w:cs="Arial"/>
          <w:b/>
          <w:spacing w:val="-3"/>
          <w:sz w:val="16"/>
          <w:szCs w:val="16"/>
        </w:rPr>
      </w:pPr>
      <w:r w:rsidRPr="00BA261B">
        <w:rPr>
          <w:rFonts w:ascii="Arial" w:hAnsi="Arial" w:cs="Arial"/>
          <w:b/>
          <w:spacing w:val="-3"/>
          <w:sz w:val="16"/>
          <w:szCs w:val="16"/>
        </w:rPr>
        <w:t>Identificación de los activos</w:t>
      </w:r>
    </w:p>
    <w:p w14:paraId="2DE6D721" w14:textId="77777777" w:rsidR="00E45D7A" w:rsidRPr="00E45D7A" w:rsidRDefault="00E45D7A" w:rsidP="00E45D7A">
      <w:pPr>
        <w:tabs>
          <w:tab w:val="left" w:pos="-720"/>
        </w:tabs>
        <w:suppressAutoHyphens/>
        <w:spacing w:after="0" w:line="240" w:lineRule="auto"/>
        <w:jc w:val="both"/>
        <w:rPr>
          <w:rFonts w:ascii="Arial" w:hAnsi="Arial" w:cs="Arial"/>
          <w:b/>
          <w:spacing w:val="-3"/>
          <w:sz w:val="16"/>
          <w:szCs w:val="16"/>
        </w:rPr>
      </w:pPr>
    </w:p>
    <w:p w14:paraId="3BDF716F" w14:textId="35E6EA4A" w:rsidR="001C4DC4" w:rsidRDefault="003D405D"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identificar los flujos futuros </w:t>
      </w:r>
      <w:r w:rsidR="00380DE7">
        <w:rPr>
          <w:rFonts w:ascii="Arial" w:hAnsi="Arial" w:cs="Arial"/>
          <w:spacing w:val="-3"/>
          <w:sz w:val="16"/>
          <w:szCs w:val="16"/>
        </w:rPr>
        <w:t xml:space="preserve">tanto </w:t>
      </w:r>
      <w:r w:rsidRPr="00BA261B">
        <w:rPr>
          <w:rFonts w:ascii="Arial" w:hAnsi="Arial" w:cs="Arial"/>
          <w:spacing w:val="-3"/>
          <w:sz w:val="16"/>
          <w:szCs w:val="16"/>
        </w:rPr>
        <w:t xml:space="preserve">de </w:t>
      </w:r>
      <w:r w:rsidR="00380DE7">
        <w:rPr>
          <w:rFonts w:ascii="Arial" w:hAnsi="Arial" w:cs="Arial"/>
          <w:spacing w:val="-3"/>
          <w:sz w:val="16"/>
          <w:szCs w:val="16"/>
        </w:rPr>
        <w:t xml:space="preserve">los </w:t>
      </w:r>
      <w:r w:rsidRPr="00BA261B">
        <w:rPr>
          <w:rFonts w:ascii="Arial" w:hAnsi="Arial" w:cs="Arial"/>
          <w:spacing w:val="-3"/>
          <w:sz w:val="16"/>
          <w:szCs w:val="16"/>
        </w:rPr>
        <w:t xml:space="preserve">activos </w:t>
      </w:r>
      <w:r w:rsidR="00D70AF1" w:rsidRPr="00BA261B">
        <w:rPr>
          <w:rFonts w:ascii="Arial" w:hAnsi="Arial" w:cs="Arial"/>
          <w:spacing w:val="-3"/>
          <w:sz w:val="16"/>
          <w:szCs w:val="16"/>
        </w:rPr>
        <w:t>que respaldan la reserva matemática</w:t>
      </w:r>
      <w:r w:rsidR="00380DE7">
        <w:rPr>
          <w:rFonts w:ascii="Arial" w:hAnsi="Arial" w:cs="Arial"/>
          <w:spacing w:val="-3"/>
          <w:sz w:val="16"/>
          <w:szCs w:val="16"/>
        </w:rPr>
        <w:t>, como de aquellos que respaldan la RIA del ramo correspondiente</w:t>
      </w:r>
      <w:r w:rsidRPr="00BA261B">
        <w:rPr>
          <w:rFonts w:ascii="Arial" w:hAnsi="Arial" w:cs="Arial"/>
          <w:spacing w:val="-3"/>
          <w:sz w:val="16"/>
          <w:szCs w:val="16"/>
        </w:rPr>
        <w:t xml:space="preserve">. </w:t>
      </w:r>
      <w:r w:rsidR="001C4DC4" w:rsidRPr="00BA261B">
        <w:rPr>
          <w:rFonts w:ascii="Arial" w:hAnsi="Arial" w:cs="Arial"/>
          <w:spacing w:val="-3"/>
          <w:sz w:val="16"/>
          <w:szCs w:val="16"/>
        </w:rPr>
        <w:t xml:space="preserve">Para cada ramo, los flujos de activos serán los flujos de las inversiones admisibles de las reservas técnicas establecidas en el artículo 2.31.3.1.2 del Decreto 2555 de 2010, que respaldan las reservas </w:t>
      </w:r>
      <w:r w:rsidR="00380DE7">
        <w:rPr>
          <w:rFonts w:ascii="Arial" w:hAnsi="Arial" w:cs="Arial"/>
          <w:spacing w:val="-3"/>
          <w:sz w:val="16"/>
          <w:szCs w:val="16"/>
        </w:rPr>
        <w:t>antes mencionadas</w:t>
      </w:r>
      <w:r w:rsidR="001C4DC4" w:rsidRPr="00BA261B">
        <w:rPr>
          <w:rFonts w:ascii="Arial" w:hAnsi="Arial" w:cs="Arial"/>
          <w:spacing w:val="-3"/>
          <w:sz w:val="16"/>
          <w:szCs w:val="16"/>
        </w:rPr>
        <w:t>.</w:t>
      </w:r>
    </w:p>
    <w:p w14:paraId="76B6D7AB"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0" w14:textId="5F7CC390" w:rsidR="001C4DC4" w:rsidRDefault="001C4DC4" w:rsidP="00E45D7A">
      <w:pPr>
        <w:pStyle w:val="Prrafodelista"/>
        <w:numPr>
          <w:ilvl w:val="1"/>
          <w:numId w:val="2"/>
        </w:numPr>
        <w:tabs>
          <w:tab w:val="left" w:pos="-720"/>
        </w:tabs>
        <w:suppressAutoHyphens/>
        <w:spacing w:after="0" w:line="240" w:lineRule="auto"/>
        <w:jc w:val="both"/>
        <w:rPr>
          <w:rFonts w:ascii="Arial" w:hAnsi="Arial" w:cs="Arial"/>
          <w:b/>
          <w:spacing w:val="-3"/>
          <w:sz w:val="16"/>
          <w:szCs w:val="16"/>
        </w:rPr>
      </w:pPr>
      <w:r w:rsidRPr="00BA261B">
        <w:rPr>
          <w:rFonts w:ascii="Arial" w:hAnsi="Arial" w:cs="Arial"/>
          <w:b/>
          <w:spacing w:val="-3"/>
          <w:sz w:val="16"/>
          <w:szCs w:val="16"/>
        </w:rPr>
        <w:t>Tratamiento de los activos</w:t>
      </w:r>
    </w:p>
    <w:p w14:paraId="506762AC" w14:textId="77777777" w:rsidR="00E45D7A" w:rsidRPr="00E45D7A" w:rsidRDefault="00E45D7A" w:rsidP="00E45D7A">
      <w:pPr>
        <w:tabs>
          <w:tab w:val="left" w:pos="-720"/>
        </w:tabs>
        <w:suppressAutoHyphens/>
        <w:spacing w:after="0" w:line="240" w:lineRule="auto"/>
        <w:jc w:val="both"/>
        <w:rPr>
          <w:rFonts w:ascii="Arial" w:hAnsi="Arial" w:cs="Arial"/>
          <w:b/>
          <w:spacing w:val="-3"/>
          <w:sz w:val="16"/>
          <w:szCs w:val="16"/>
        </w:rPr>
      </w:pPr>
    </w:p>
    <w:p w14:paraId="3BDF7171" w14:textId="5D4E15C8" w:rsidR="004E46DD"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Para cada ramo, los flujos </w:t>
      </w:r>
      <w:r w:rsidR="009C44FB">
        <w:rPr>
          <w:rFonts w:ascii="Arial" w:hAnsi="Arial" w:cs="Arial"/>
          <w:spacing w:val="-3"/>
          <w:sz w:val="16"/>
          <w:szCs w:val="16"/>
        </w:rPr>
        <w:t xml:space="preserve">futuros </w:t>
      </w:r>
      <w:r w:rsidRPr="00BA261B">
        <w:rPr>
          <w:rFonts w:ascii="Arial" w:hAnsi="Arial" w:cs="Arial"/>
          <w:spacing w:val="-3"/>
          <w:sz w:val="16"/>
          <w:szCs w:val="16"/>
        </w:rPr>
        <w:t xml:space="preserve">de los activos se tomarán en pesos </w:t>
      </w:r>
      <w:r w:rsidR="00C6188D" w:rsidRPr="00BA261B">
        <w:rPr>
          <w:rFonts w:ascii="Arial" w:hAnsi="Arial" w:cs="Arial"/>
          <w:spacing w:val="-3"/>
          <w:sz w:val="16"/>
          <w:szCs w:val="16"/>
        </w:rPr>
        <w:t xml:space="preserve">y </w:t>
      </w:r>
      <w:r w:rsidR="00C6188D">
        <w:rPr>
          <w:rFonts w:ascii="Arial" w:hAnsi="Arial" w:cs="Arial"/>
          <w:spacing w:val="-3"/>
          <w:sz w:val="16"/>
          <w:szCs w:val="16"/>
        </w:rPr>
        <w:t>en términos reales, para lo cual se debe</w:t>
      </w:r>
      <w:r w:rsidR="009C44FB">
        <w:rPr>
          <w:rFonts w:ascii="Arial" w:hAnsi="Arial" w:cs="Arial"/>
          <w:spacing w:val="-3"/>
          <w:sz w:val="16"/>
          <w:szCs w:val="16"/>
        </w:rPr>
        <w:t>n proyectar los flujos sin inflación. Cuando se requiera deflactar los flujos se debe</w:t>
      </w:r>
      <w:r w:rsidR="00C6188D">
        <w:rPr>
          <w:rFonts w:ascii="Arial" w:hAnsi="Arial" w:cs="Arial"/>
          <w:spacing w:val="-3"/>
          <w:sz w:val="16"/>
          <w:szCs w:val="16"/>
        </w:rPr>
        <w:t xml:space="preserve"> utilizar</w:t>
      </w:r>
      <w:r w:rsidR="00024446">
        <w:rPr>
          <w:rFonts w:ascii="Arial" w:hAnsi="Arial" w:cs="Arial"/>
          <w:spacing w:val="-3"/>
          <w:sz w:val="16"/>
          <w:szCs w:val="16"/>
        </w:rPr>
        <w:t xml:space="preserve"> la tasa spot dada por</w:t>
      </w:r>
      <w:r w:rsidR="00C6188D">
        <w:rPr>
          <w:rFonts w:ascii="Arial" w:hAnsi="Arial" w:cs="Arial"/>
          <w:spacing w:val="-3"/>
          <w:sz w:val="16"/>
          <w:szCs w:val="16"/>
        </w:rPr>
        <w:t xml:space="preserve"> </w:t>
      </w:r>
      <w:r w:rsidR="00C6188D" w:rsidRPr="00BA261B">
        <w:rPr>
          <w:rFonts w:ascii="Arial" w:hAnsi="Arial" w:cs="Arial"/>
          <w:spacing w:val="-3"/>
          <w:sz w:val="16"/>
          <w:szCs w:val="16"/>
        </w:rPr>
        <w:t xml:space="preserve">el vector de inflación implícita que </w:t>
      </w:r>
      <w:r w:rsidR="00C6188D">
        <w:rPr>
          <w:rFonts w:ascii="Arial" w:hAnsi="Arial" w:cs="Arial"/>
          <w:spacing w:val="-3"/>
          <w:sz w:val="16"/>
          <w:szCs w:val="16"/>
        </w:rPr>
        <w:t>la SFC publicará trimestralmente</w:t>
      </w:r>
      <w:r w:rsidR="00C6188D" w:rsidRPr="00BA261B">
        <w:rPr>
          <w:rFonts w:ascii="Arial" w:hAnsi="Arial" w:cs="Arial"/>
          <w:spacing w:val="-3"/>
          <w:sz w:val="16"/>
          <w:szCs w:val="16"/>
        </w:rPr>
        <w:t>.</w:t>
      </w:r>
      <w:r w:rsidRPr="00BA261B">
        <w:rPr>
          <w:rFonts w:ascii="Arial" w:hAnsi="Arial" w:cs="Arial"/>
          <w:spacing w:val="-3"/>
          <w:sz w:val="16"/>
          <w:szCs w:val="16"/>
        </w:rPr>
        <w:t xml:space="preserve"> Los flujos que no estén indexados a la inflación deberán ser convertidos a términos reales con base en </w:t>
      </w:r>
      <w:r w:rsidR="00CB5691">
        <w:rPr>
          <w:rFonts w:ascii="Arial" w:hAnsi="Arial" w:cs="Arial"/>
          <w:spacing w:val="-3"/>
          <w:sz w:val="16"/>
          <w:szCs w:val="16"/>
        </w:rPr>
        <w:t xml:space="preserve">el </w:t>
      </w:r>
      <w:r w:rsidR="00C6188D">
        <w:rPr>
          <w:rFonts w:ascii="Arial" w:hAnsi="Arial" w:cs="Arial"/>
          <w:spacing w:val="-3"/>
          <w:sz w:val="16"/>
          <w:szCs w:val="16"/>
        </w:rPr>
        <w:t>vector</w:t>
      </w:r>
      <w:r w:rsidR="007708CC" w:rsidRPr="00BA261B">
        <w:rPr>
          <w:rFonts w:ascii="Arial" w:hAnsi="Arial" w:cs="Arial"/>
          <w:spacing w:val="-3"/>
          <w:sz w:val="16"/>
          <w:szCs w:val="16"/>
        </w:rPr>
        <w:t xml:space="preserve"> de </w:t>
      </w:r>
      <w:r w:rsidR="007E7CA9" w:rsidRPr="00BA261B">
        <w:rPr>
          <w:rFonts w:ascii="Arial" w:hAnsi="Arial" w:cs="Arial"/>
          <w:spacing w:val="-3"/>
          <w:sz w:val="16"/>
          <w:szCs w:val="16"/>
        </w:rPr>
        <w:t>inflación implícita</w:t>
      </w:r>
      <w:r w:rsidR="001C4DC4" w:rsidRPr="00BA261B">
        <w:rPr>
          <w:rFonts w:ascii="Arial" w:hAnsi="Arial" w:cs="Arial"/>
          <w:spacing w:val="-3"/>
          <w:sz w:val="16"/>
          <w:szCs w:val="16"/>
        </w:rPr>
        <w:t>.</w:t>
      </w:r>
      <w:r w:rsidR="004E46DD" w:rsidRPr="00BA261B">
        <w:rPr>
          <w:rFonts w:ascii="Arial" w:hAnsi="Arial" w:cs="Arial"/>
          <w:spacing w:val="-3"/>
          <w:sz w:val="16"/>
          <w:szCs w:val="16"/>
        </w:rPr>
        <w:t xml:space="preserve"> </w:t>
      </w:r>
      <w:r w:rsidR="009F27FF" w:rsidRPr="00BA261B">
        <w:rPr>
          <w:rFonts w:ascii="Arial" w:hAnsi="Arial" w:cs="Arial"/>
          <w:spacing w:val="-3"/>
          <w:sz w:val="16"/>
          <w:szCs w:val="16"/>
        </w:rPr>
        <w:t>Siguiendo lo anterior,</w:t>
      </w:r>
      <w:r w:rsidR="004E46DD" w:rsidRPr="00BA261B">
        <w:rPr>
          <w:rFonts w:ascii="Arial" w:hAnsi="Arial" w:cs="Arial"/>
          <w:spacing w:val="-3"/>
          <w:sz w:val="16"/>
          <w:szCs w:val="16"/>
        </w:rPr>
        <w:t xml:space="preserve"> los flujos que estén en</w:t>
      </w:r>
      <w:r w:rsidR="009F27FF" w:rsidRPr="00BA261B">
        <w:rPr>
          <w:rFonts w:ascii="Arial" w:hAnsi="Arial" w:cs="Arial"/>
          <w:spacing w:val="-3"/>
          <w:sz w:val="16"/>
          <w:szCs w:val="16"/>
        </w:rPr>
        <w:t xml:space="preserve"> términos de</w:t>
      </w:r>
      <w:r w:rsidR="004E46DD" w:rsidRPr="00BA261B">
        <w:rPr>
          <w:rFonts w:ascii="Arial" w:hAnsi="Arial" w:cs="Arial"/>
          <w:spacing w:val="-3"/>
          <w:sz w:val="16"/>
          <w:szCs w:val="16"/>
        </w:rPr>
        <w:t xml:space="preserve"> UVR</w:t>
      </w:r>
      <w:r w:rsidR="009F27FF" w:rsidRPr="00BA261B">
        <w:rPr>
          <w:rFonts w:ascii="Arial" w:hAnsi="Arial" w:cs="Arial"/>
          <w:spacing w:val="-3"/>
          <w:sz w:val="16"/>
          <w:szCs w:val="16"/>
        </w:rPr>
        <w:t xml:space="preserve"> se convertirán a pesos </w:t>
      </w:r>
      <w:r w:rsidR="000006DA">
        <w:rPr>
          <w:rFonts w:ascii="Arial" w:hAnsi="Arial" w:cs="Arial"/>
          <w:spacing w:val="-3"/>
          <w:sz w:val="16"/>
          <w:szCs w:val="16"/>
        </w:rPr>
        <w:t xml:space="preserve">en términos reales, con base en </w:t>
      </w:r>
      <w:r w:rsidR="004E46DD" w:rsidRPr="00BA261B">
        <w:rPr>
          <w:rFonts w:ascii="Arial" w:hAnsi="Arial" w:cs="Arial"/>
          <w:spacing w:val="-3"/>
          <w:sz w:val="16"/>
          <w:szCs w:val="16"/>
        </w:rPr>
        <w:t xml:space="preserve">la UVR </w:t>
      </w:r>
      <w:r w:rsidR="000006DA">
        <w:rPr>
          <w:rFonts w:ascii="Arial" w:hAnsi="Arial" w:cs="Arial"/>
          <w:spacing w:val="-3"/>
          <w:sz w:val="16"/>
          <w:szCs w:val="16"/>
        </w:rPr>
        <w:t>de la fecha de corte de la información de los activos. L</w:t>
      </w:r>
      <w:r w:rsidR="009F27FF" w:rsidRPr="00BA261B">
        <w:rPr>
          <w:rFonts w:ascii="Arial" w:hAnsi="Arial" w:cs="Arial"/>
          <w:spacing w:val="-3"/>
          <w:sz w:val="16"/>
          <w:szCs w:val="16"/>
        </w:rPr>
        <w:t xml:space="preserve">os flujos en moneda extranjera se </w:t>
      </w:r>
      <w:r w:rsidRPr="00BA261B">
        <w:rPr>
          <w:rFonts w:ascii="Arial" w:hAnsi="Arial" w:cs="Arial"/>
          <w:spacing w:val="-3"/>
          <w:sz w:val="16"/>
          <w:szCs w:val="16"/>
        </w:rPr>
        <w:t>convertirán</w:t>
      </w:r>
      <w:r w:rsidR="009F27FF" w:rsidRPr="00BA261B">
        <w:rPr>
          <w:rFonts w:ascii="Arial" w:hAnsi="Arial" w:cs="Arial"/>
          <w:spacing w:val="-3"/>
          <w:sz w:val="16"/>
          <w:szCs w:val="16"/>
        </w:rPr>
        <w:t xml:space="preserve"> a pesos</w:t>
      </w:r>
      <w:r w:rsidR="004E46DD" w:rsidRPr="00BA261B">
        <w:rPr>
          <w:rFonts w:ascii="Arial" w:hAnsi="Arial" w:cs="Arial"/>
          <w:spacing w:val="-3"/>
          <w:sz w:val="16"/>
          <w:szCs w:val="16"/>
        </w:rPr>
        <w:t xml:space="preserve"> </w:t>
      </w:r>
      <w:r w:rsidRPr="00BA261B">
        <w:rPr>
          <w:rFonts w:ascii="Arial" w:hAnsi="Arial" w:cs="Arial"/>
          <w:spacing w:val="-3"/>
          <w:sz w:val="16"/>
          <w:szCs w:val="16"/>
        </w:rPr>
        <w:t>tomando</w:t>
      </w:r>
      <w:r w:rsidR="004E46DD" w:rsidRPr="00BA261B">
        <w:rPr>
          <w:rFonts w:ascii="Arial" w:hAnsi="Arial" w:cs="Arial"/>
          <w:spacing w:val="-3"/>
          <w:sz w:val="16"/>
          <w:szCs w:val="16"/>
        </w:rPr>
        <w:t xml:space="preserve"> </w:t>
      </w:r>
      <w:r w:rsidRPr="00BA261B">
        <w:rPr>
          <w:rFonts w:ascii="Arial" w:hAnsi="Arial" w:cs="Arial"/>
          <w:spacing w:val="-3"/>
          <w:sz w:val="16"/>
          <w:szCs w:val="16"/>
        </w:rPr>
        <w:t xml:space="preserve">la </w:t>
      </w:r>
      <w:r w:rsidR="00D70AF1" w:rsidRPr="00BA261B">
        <w:rPr>
          <w:rFonts w:ascii="Arial" w:hAnsi="Arial" w:cs="Arial"/>
          <w:spacing w:val="-3"/>
          <w:sz w:val="16"/>
          <w:szCs w:val="16"/>
        </w:rPr>
        <w:t xml:space="preserve">tasa de cambio </w:t>
      </w:r>
      <w:r w:rsidR="00B06692">
        <w:rPr>
          <w:rFonts w:ascii="Arial" w:hAnsi="Arial" w:cs="Arial"/>
          <w:spacing w:val="-3"/>
          <w:sz w:val="16"/>
          <w:szCs w:val="16"/>
        </w:rPr>
        <w:t>de la fecha de corte de la información de los activos</w:t>
      </w:r>
      <w:r w:rsidR="007708CC" w:rsidRPr="00BA261B">
        <w:rPr>
          <w:rFonts w:ascii="Arial" w:hAnsi="Arial" w:cs="Arial"/>
          <w:spacing w:val="-3"/>
          <w:sz w:val="16"/>
          <w:szCs w:val="16"/>
        </w:rPr>
        <w:t>.</w:t>
      </w:r>
    </w:p>
    <w:p w14:paraId="17A67034"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72" w14:textId="672B267F" w:rsidR="007708CC" w:rsidRDefault="007708CC"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Los flujos de títulos indexados a una tasa variable deben proyectarse con base en el valor de dicha tasa, aplicable </w:t>
      </w:r>
      <w:r w:rsidR="00B06692">
        <w:rPr>
          <w:rFonts w:ascii="Arial" w:hAnsi="Arial" w:cs="Arial"/>
          <w:spacing w:val="-3"/>
          <w:sz w:val="16"/>
          <w:szCs w:val="16"/>
        </w:rPr>
        <w:t>a</w:t>
      </w:r>
      <w:r w:rsidR="00230F08">
        <w:rPr>
          <w:rFonts w:ascii="Arial" w:hAnsi="Arial" w:cs="Arial"/>
          <w:spacing w:val="-3"/>
          <w:sz w:val="16"/>
          <w:szCs w:val="16"/>
        </w:rPr>
        <w:t xml:space="preserve"> la fec</w:t>
      </w:r>
      <w:r w:rsidR="00B06692">
        <w:rPr>
          <w:rFonts w:ascii="Arial" w:hAnsi="Arial" w:cs="Arial"/>
          <w:spacing w:val="-3"/>
          <w:sz w:val="16"/>
          <w:szCs w:val="16"/>
        </w:rPr>
        <w:t>ha de corte de la información de los activos</w:t>
      </w:r>
      <w:r w:rsidRPr="00BA261B">
        <w:rPr>
          <w:rFonts w:ascii="Arial" w:hAnsi="Arial" w:cs="Arial"/>
          <w:spacing w:val="-3"/>
          <w:sz w:val="16"/>
          <w:szCs w:val="16"/>
        </w:rPr>
        <w:t>.</w:t>
      </w:r>
    </w:p>
    <w:p w14:paraId="7D70CB65"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73" w14:textId="6B37EC28" w:rsidR="00B06692" w:rsidRDefault="00B06692" w:rsidP="00E45D7A">
      <w:pPr>
        <w:tabs>
          <w:tab w:val="left" w:pos="-720"/>
        </w:tabs>
        <w:suppressAutoHyphens/>
        <w:spacing w:after="0" w:line="240" w:lineRule="auto"/>
        <w:jc w:val="both"/>
        <w:rPr>
          <w:rFonts w:ascii="Arial" w:hAnsi="Arial" w:cs="Arial"/>
          <w:spacing w:val="-3"/>
          <w:sz w:val="16"/>
          <w:szCs w:val="16"/>
        </w:rPr>
      </w:pPr>
      <w:r w:rsidRPr="00CC0704">
        <w:rPr>
          <w:rFonts w:ascii="Arial" w:hAnsi="Arial" w:cs="Arial"/>
          <w:spacing w:val="-3"/>
          <w:sz w:val="16"/>
          <w:szCs w:val="16"/>
        </w:rPr>
        <w:t>La fecha de corte de la información de los activos corresponde al mes siguiente al corte trimestral de los pasivos. Por ejemplo, en el corte de los pasivos de marzo, se debe tomar abril como fecha de corte de información de los activos.</w:t>
      </w:r>
    </w:p>
    <w:p w14:paraId="5B6BAE25"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4" w14:textId="4D04A5C5" w:rsidR="00426ACA" w:rsidRDefault="00426ACA"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Los activos se clasificarán según </w:t>
      </w:r>
      <w:r w:rsidR="002A6990" w:rsidRPr="00BA261B">
        <w:rPr>
          <w:rFonts w:ascii="Arial" w:hAnsi="Arial" w:cs="Arial"/>
          <w:spacing w:val="-3"/>
          <w:sz w:val="16"/>
          <w:szCs w:val="16"/>
        </w:rPr>
        <w:t>se conozcan o no los</w:t>
      </w:r>
      <w:r w:rsidRPr="00BA261B">
        <w:rPr>
          <w:rFonts w:ascii="Arial" w:hAnsi="Arial" w:cs="Arial"/>
          <w:spacing w:val="-3"/>
          <w:sz w:val="16"/>
          <w:szCs w:val="16"/>
        </w:rPr>
        <w:t xml:space="preserve"> flujos futuros</w:t>
      </w:r>
      <w:r w:rsidR="00102A92" w:rsidRPr="00BA261B">
        <w:rPr>
          <w:rFonts w:ascii="Arial" w:hAnsi="Arial" w:cs="Arial"/>
          <w:spacing w:val="-3"/>
          <w:sz w:val="16"/>
          <w:szCs w:val="16"/>
        </w:rPr>
        <w:t xml:space="preserve"> derivados de los mismos</w:t>
      </w:r>
      <w:r w:rsidRPr="00BA261B">
        <w:rPr>
          <w:rFonts w:ascii="Arial" w:hAnsi="Arial" w:cs="Arial"/>
          <w:spacing w:val="-3"/>
          <w:sz w:val="16"/>
          <w:szCs w:val="16"/>
        </w:rPr>
        <w:t xml:space="preserve">. </w:t>
      </w:r>
      <w:r w:rsidR="00102A92" w:rsidRPr="00BA261B">
        <w:rPr>
          <w:rFonts w:ascii="Arial" w:hAnsi="Arial" w:cs="Arial"/>
          <w:spacing w:val="-3"/>
          <w:sz w:val="16"/>
          <w:szCs w:val="16"/>
        </w:rPr>
        <w:t>Se considera que l</w:t>
      </w:r>
      <w:r w:rsidRPr="00BA261B">
        <w:rPr>
          <w:rFonts w:ascii="Arial" w:hAnsi="Arial" w:cs="Arial"/>
          <w:spacing w:val="-3"/>
          <w:sz w:val="16"/>
          <w:szCs w:val="16"/>
        </w:rPr>
        <w:t>os flujos futuros s</w:t>
      </w:r>
      <w:r w:rsidR="00102A92" w:rsidRPr="00BA261B">
        <w:rPr>
          <w:rFonts w:ascii="Arial" w:hAnsi="Arial" w:cs="Arial"/>
          <w:spacing w:val="-3"/>
          <w:sz w:val="16"/>
          <w:szCs w:val="16"/>
        </w:rPr>
        <w:t>on</w:t>
      </w:r>
      <w:r w:rsidRPr="00BA261B">
        <w:rPr>
          <w:rFonts w:ascii="Arial" w:hAnsi="Arial" w:cs="Arial"/>
          <w:spacing w:val="-3"/>
          <w:sz w:val="16"/>
          <w:szCs w:val="16"/>
        </w:rPr>
        <w:t xml:space="preserve"> conocidos cuando son determinados o determinables </w:t>
      </w:r>
      <w:r w:rsidR="00603C8C" w:rsidRPr="00BA261B">
        <w:rPr>
          <w:rFonts w:ascii="Arial" w:hAnsi="Arial" w:cs="Arial"/>
          <w:spacing w:val="-3"/>
          <w:sz w:val="16"/>
          <w:szCs w:val="16"/>
        </w:rPr>
        <w:t xml:space="preserve">contractualmente </w:t>
      </w:r>
      <w:r w:rsidRPr="00BA261B">
        <w:rPr>
          <w:rFonts w:ascii="Arial" w:hAnsi="Arial" w:cs="Arial"/>
          <w:spacing w:val="-3"/>
          <w:sz w:val="16"/>
          <w:szCs w:val="16"/>
        </w:rPr>
        <w:t xml:space="preserve">desde </w:t>
      </w:r>
      <w:r w:rsidR="002A6990" w:rsidRPr="00BA261B">
        <w:rPr>
          <w:rFonts w:ascii="Arial" w:hAnsi="Arial" w:cs="Arial"/>
          <w:spacing w:val="-3"/>
          <w:sz w:val="16"/>
          <w:szCs w:val="16"/>
        </w:rPr>
        <w:t>el momento en que se calcula la RIA.</w:t>
      </w:r>
      <w:r w:rsidR="00B06692">
        <w:rPr>
          <w:rFonts w:ascii="Arial" w:hAnsi="Arial" w:cs="Arial"/>
          <w:spacing w:val="-3"/>
          <w:sz w:val="16"/>
          <w:szCs w:val="16"/>
        </w:rPr>
        <w:t xml:space="preserve"> Los flujos de los activos deben proyectarse netos de coberturas realizadas mediante instrumentos derivados (incluyendo swaps).</w:t>
      </w:r>
    </w:p>
    <w:p w14:paraId="465858B9"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6" w14:textId="46508919" w:rsidR="001C4DC4" w:rsidRDefault="001C4DC4"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A </w:t>
      </w:r>
      <w:r w:rsidR="00CB5691" w:rsidRPr="00BA261B">
        <w:rPr>
          <w:rFonts w:ascii="Arial" w:hAnsi="Arial" w:cs="Arial"/>
          <w:spacing w:val="-3"/>
          <w:sz w:val="16"/>
          <w:szCs w:val="16"/>
        </w:rPr>
        <w:t>continuación,</w:t>
      </w:r>
      <w:r w:rsidRPr="00BA261B">
        <w:rPr>
          <w:rFonts w:ascii="Arial" w:hAnsi="Arial" w:cs="Arial"/>
          <w:spacing w:val="-3"/>
          <w:sz w:val="16"/>
          <w:szCs w:val="16"/>
        </w:rPr>
        <w:t xml:space="preserve"> se </w:t>
      </w:r>
      <w:r w:rsidR="00426ACA" w:rsidRPr="00BA261B">
        <w:rPr>
          <w:rFonts w:ascii="Arial" w:hAnsi="Arial" w:cs="Arial"/>
          <w:spacing w:val="-3"/>
          <w:sz w:val="16"/>
          <w:szCs w:val="16"/>
        </w:rPr>
        <w:t>listan</w:t>
      </w:r>
      <w:r w:rsidRPr="00BA261B">
        <w:rPr>
          <w:rFonts w:ascii="Arial" w:hAnsi="Arial" w:cs="Arial"/>
          <w:spacing w:val="-3"/>
          <w:sz w:val="16"/>
          <w:szCs w:val="16"/>
        </w:rPr>
        <w:t xml:space="preserve"> los activos </w:t>
      </w:r>
      <w:proofErr w:type="gramStart"/>
      <w:r w:rsidRPr="00BA261B">
        <w:rPr>
          <w:rFonts w:ascii="Arial" w:hAnsi="Arial" w:cs="Arial"/>
          <w:spacing w:val="-3"/>
          <w:sz w:val="16"/>
          <w:szCs w:val="16"/>
        </w:rPr>
        <w:t>a</w:t>
      </w:r>
      <w:proofErr w:type="gramEnd"/>
      <w:r w:rsidRPr="00BA261B">
        <w:rPr>
          <w:rFonts w:ascii="Arial" w:hAnsi="Arial" w:cs="Arial"/>
          <w:spacing w:val="-3"/>
          <w:sz w:val="16"/>
          <w:szCs w:val="16"/>
        </w:rPr>
        <w:t xml:space="preserve"> tener en cuenta par</w:t>
      </w:r>
      <w:r w:rsidR="00902B85" w:rsidRPr="00BA261B">
        <w:rPr>
          <w:rFonts w:ascii="Arial" w:hAnsi="Arial" w:cs="Arial"/>
          <w:spacing w:val="-3"/>
          <w:sz w:val="16"/>
          <w:szCs w:val="16"/>
        </w:rPr>
        <w:t>a efectos del cálculo de la RIA y su respectivo tratamiento</w:t>
      </w:r>
      <w:r w:rsidRPr="00BA261B">
        <w:rPr>
          <w:rFonts w:ascii="Arial" w:hAnsi="Arial" w:cs="Arial"/>
          <w:spacing w:val="-3"/>
          <w:sz w:val="16"/>
          <w:szCs w:val="16"/>
        </w:rPr>
        <w:t>:</w:t>
      </w:r>
    </w:p>
    <w:p w14:paraId="1AA86065"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7" w14:textId="4886D423"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 Activos con flujos futuros conocidos:</w:t>
      </w:r>
    </w:p>
    <w:p w14:paraId="77852D8F"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8" w14:textId="4B31C7E7"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Cada uno de los flujos de los activos relacionados a continuación se clasificará dentro del tramo que corresponda según su plazo al vencimiento:</w:t>
      </w:r>
    </w:p>
    <w:p w14:paraId="4FCEB39F"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9" w14:textId="47CDB846"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3.2.1.1. Tít</w:t>
      </w:r>
      <w:r w:rsidR="002A6990" w:rsidRPr="00BA261B">
        <w:rPr>
          <w:rFonts w:ascii="Arial" w:hAnsi="Arial" w:cs="Arial"/>
          <w:spacing w:val="-3"/>
          <w:sz w:val="16"/>
          <w:szCs w:val="16"/>
        </w:rPr>
        <w:t>ulos de renta fija.</w:t>
      </w:r>
      <w:r w:rsidR="001C4DC4" w:rsidRPr="00BA261B">
        <w:rPr>
          <w:rFonts w:ascii="Arial" w:hAnsi="Arial" w:cs="Arial"/>
          <w:spacing w:val="-3"/>
          <w:sz w:val="16"/>
          <w:szCs w:val="16"/>
        </w:rPr>
        <w:t xml:space="preserve"> </w:t>
      </w:r>
    </w:p>
    <w:p w14:paraId="3A232348"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A" w14:textId="77777777" w:rsidR="00902B85" w:rsidRPr="00BA261B"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w:t>
      </w:r>
      <w:r w:rsidR="002A6990" w:rsidRPr="00BA261B">
        <w:rPr>
          <w:rFonts w:ascii="Arial" w:hAnsi="Arial" w:cs="Arial"/>
          <w:spacing w:val="-3"/>
          <w:sz w:val="16"/>
          <w:szCs w:val="16"/>
        </w:rPr>
        <w:t>2</w:t>
      </w:r>
      <w:r w:rsidRPr="00BA261B">
        <w:rPr>
          <w:rFonts w:ascii="Arial" w:hAnsi="Arial" w:cs="Arial"/>
          <w:spacing w:val="-3"/>
          <w:sz w:val="16"/>
          <w:szCs w:val="16"/>
        </w:rPr>
        <w:t xml:space="preserve">. </w:t>
      </w:r>
      <w:r w:rsidR="00EF223D" w:rsidRPr="00BA261B">
        <w:rPr>
          <w:rFonts w:ascii="Arial" w:hAnsi="Arial" w:cs="Arial"/>
          <w:spacing w:val="-3"/>
          <w:sz w:val="16"/>
          <w:szCs w:val="16"/>
        </w:rPr>
        <w:t>Contratos de f</w:t>
      </w:r>
      <w:r w:rsidRPr="00BA261B">
        <w:rPr>
          <w:rFonts w:ascii="Arial" w:hAnsi="Arial" w:cs="Arial"/>
          <w:spacing w:val="-3"/>
          <w:sz w:val="16"/>
          <w:szCs w:val="16"/>
        </w:rPr>
        <w:t xml:space="preserve">uturos y </w:t>
      </w:r>
      <w:r w:rsidR="00EF223D" w:rsidRPr="00BA261B">
        <w:rPr>
          <w:rFonts w:ascii="Arial" w:hAnsi="Arial" w:cs="Arial"/>
          <w:spacing w:val="-3"/>
          <w:sz w:val="16"/>
          <w:szCs w:val="16"/>
        </w:rPr>
        <w:t>f</w:t>
      </w:r>
      <w:r w:rsidRPr="00BA261B">
        <w:rPr>
          <w:rFonts w:ascii="Arial" w:hAnsi="Arial" w:cs="Arial"/>
          <w:spacing w:val="-3"/>
          <w:sz w:val="16"/>
          <w:szCs w:val="16"/>
        </w:rPr>
        <w:t>orwards.</w:t>
      </w:r>
    </w:p>
    <w:p w14:paraId="3BDF717B" w14:textId="710D506D" w:rsidR="00EF223D" w:rsidRDefault="002A6990"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lastRenderedPageBreak/>
        <w:t>3.2.1.3</w:t>
      </w:r>
      <w:r w:rsidR="00EF223D" w:rsidRPr="00BA261B">
        <w:rPr>
          <w:rFonts w:ascii="Arial" w:hAnsi="Arial" w:cs="Arial"/>
          <w:spacing w:val="-3"/>
          <w:sz w:val="16"/>
          <w:szCs w:val="16"/>
        </w:rPr>
        <w:t xml:space="preserve">. Productos estructurados de capital protegido: los flujos correspondientes a la garantía de capital garantizado protegido tendrán un tratamiento similar a un bono </w:t>
      </w:r>
      <w:proofErr w:type="gramStart"/>
      <w:r w:rsidR="00EF223D" w:rsidRPr="00BA261B">
        <w:rPr>
          <w:rFonts w:ascii="Arial" w:hAnsi="Arial" w:cs="Arial"/>
          <w:spacing w:val="-3"/>
          <w:sz w:val="16"/>
          <w:szCs w:val="16"/>
        </w:rPr>
        <w:t>cero cupón</w:t>
      </w:r>
      <w:proofErr w:type="gramEnd"/>
      <w:r w:rsidR="00EF223D" w:rsidRPr="00BA261B">
        <w:rPr>
          <w:rFonts w:ascii="Arial" w:hAnsi="Arial" w:cs="Arial"/>
          <w:spacing w:val="-3"/>
          <w:sz w:val="16"/>
          <w:szCs w:val="16"/>
        </w:rPr>
        <w:t>.</w:t>
      </w:r>
    </w:p>
    <w:p w14:paraId="26D36C8C"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C" w14:textId="17F7EF95" w:rsidR="00EF223D" w:rsidRDefault="002A6990"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3.2.1.4</w:t>
      </w:r>
      <w:r w:rsidR="00EF223D" w:rsidRPr="00BA261B">
        <w:rPr>
          <w:rFonts w:ascii="Arial" w:hAnsi="Arial" w:cs="Arial"/>
          <w:spacing w:val="-3"/>
          <w:sz w:val="16"/>
          <w:szCs w:val="16"/>
        </w:rPr>
        <w:t>. Los préstamos con garantía en las pólizas de seguro de vida o títulos de capitalización siempre que no exista mora en el pago de las cuotas.</w:t>
      </w:r>
    </w:p>
    <w:p w14:paraId="1DAEEDDD"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D" w14:textId="5AE7FCBE" w:rsidR="00EF223D" w:rsidRDefault="002A6990"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w:t>
      </w:r>
      <w:r w:rsidR="007920E9">
        <w:rPr>
          <w:rFonts w:ascii="Arial" w:hAnsi="Arial" w:cs="Arial"/>
          <w:spacing w:val="-3"/>
          <w:sz w:val="16"/>
          <w:szCs w:val="16"/>
        </w:rPr>
        <w:t>5</w:t>
      </w:r>
      <w:r w:rsidR="00EF223D" w:rsidRPr="00BA261B">
        <w:rPr>
          <w:rFonts w:ascii="Arial" w:hAnsi="Arial" w:cs="Arial"/>
          <w:spacing w:val="-3"/>
          <w:sz w:val="16"/>
          <w:szCs w:val="16"/>
        </w:rPr>
        <w:t>. Bienes raíces productivos localizados en territorio colombiano</w:t>
      </w:r>
      <w:r w:rsidR="00220F50" w:rsidRPr="00BA261B">
        <w:rPr>
          <w:rFonts w:ascii="Arial" w:hAnsi="Arial" w:cs="Arial"/>
          <w:spacing w:val="-3"/>
          <w:sz w:val="16"/>
          <w:szCs w:val="16"/>
        </w:rPr>
        <w:t xml:space="preserve"> con contrato de arrendamiento vigente</w:t>
      </w:r>
      <w:r w:rsidRPr="00BA261B">
        <w:rPr>
          <w:rFonts w:ascii="Arial" w:hAnsi="Arial" w:cs="Arial"/>
          <w:spacing w:val="-3"/>
          <w:sz w:val="16"/>
          <w:szCs w:val="16"/>
        </w:rPr>
        <w:t>. L</w:t>
      </w:r>
      <w:r w:rsidR="00EF223D" w:rsidRPr="00BA261B">
        <w:rPr>
          <w:rFonts w:ascii="Arial" w:hAnsi="Arial" w:cs="Arial"/>
          <w:spacing w:val="-3"/>
          <w:sz w:val="16"/>
          <w:szCs w:val="16"/>
        </w:rPr>
        <w:t>os flujos correspondientes a los arriendos serán tenidos en cuenta hasta el momento del vencimiento del contrato y a partir del vencimiento del contrato se</w:t>
      </w:r>
      <w:r w:rsidR="001C6D5C" w:rsidRPr="00BA261B">
        <w:rPr>
          <w:rFonts w:ascii="Arial" w:hAnsi="Arial" w:cs="Arial"/>
          <w:spacing w:val="-3"/>
          <w:sz w:val="16"/>
          <w:szCs w:val="16"/>
        </w:rPr>
        <w:t xml:space="preserve"> incorporará</w:t>
      </w:r>
      <w:r w:rsidR="00EF223D" w:rsidRPr="00BA261B">
        <w:rPr>
          <w:rFonts w:ascii="Arial" w:hAnsi="Arial" w:cs="Arial"/>
          <w:spacing w:val="-3"/>
          <w:sz w:val="16"/>
          <w:szCs w:val="16"/>
        </w:rPr>
        <w:t xml:space="preserve"> el </w:t>
      </w:r>
      <w:r w:rsidR="00220F50" w:rsidRPr="00BA261B">
        <w:rPr>
          <w:rFonts w:ascii="Arial" w:hAnsi="Arial" w:cs="Arial"/>
          <w:spacing w:val="-3"/>
          <w:sz w:val="16"/>
          <w:szCs w:val="16"/>
        </w:rPr>
        <w:t>valor razonable del inmueble como un flujo en el respectivo tramo.</w:t>
      </w:r>
    </w:p>
    <w:p w14:paraId="10D7ED7A"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7E" w14:textId="46BE1CBD" w:rsidR="00102A92" w:rsidRDefault="00102A92"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3.2.1.</w:t>
      </w:r>
      <w:r w:rsidR="007920E9">
        <w:rPr>
          <w:rFonts w:ascii="Arial" w:hAnsi="Arial" w:cs="Arial"/>
          <w:spacing w:val="-3"/>
          <w:sz w:val="16"/>
          <w:szCs w:val="16"/>
        </w:rPr>
        <w:t>6</w:t>
      </w:r>
      <w:r w:rsidRPr="00BA261B">
        <w:rPr>
          <w:rFonts w:ascii="Arial" w:hAnsi="Arial" w:cs="Arial"/>
          <w:spacing w:val="-3"/>
          <w:sz w:val="16"/>
          <w:szCs w:val="16"/>
        </w:rPr>
        <w:t xml:space="preserve">. </w:t>
      </w:r>
      <w:r w:rsidR="00074519" w:rsidRPr="00BA261B">
        <w:rPr>
          <w:rFonts w:ascii="Arial" w:hAnsi="Arial" w:cs="Arial"/>
          <w:spacing w:val="-3"/>
          <w:sz w:val="16"/>
          <w:szCs w:val="16"/>
        </w:rPr>
        <w:t>Operaciones repo activas, operaciones simultáneas activas y operaciones de transferencia temporal de valores.</w:t>
      </w:r>
    </w:p>
    <w:p w14:paraId="06615A14"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7F" w14:textId="5FC95574" w:rsidR="00CC2F2B" w:rsidRDefault="00CC2F2B"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3.2.1.7. Inversiones en fondos de capital privado cuya estimación de flujos futuros a favor de la entidad aseguradora como inversionista sea acreditada por su gerente o gestor profesional.</w:t>
      </w:r>
    </w:p>
    <w:p w14:paraId="49E03914"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80" w14:textId="39FA8A5C" w:rsidR="00102A92" w:rsidRDefault="00CC2F2B"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 xml:space="preserve">3.2.1.8. </w:t>
      </w:r>
      <w:r w:rsidRPr="00BA261B">
        <w:rPr>
          <w:rFonts w:ascii="Arial" w:hAnsi="Arial" w:cs="Arial"/>
          <w:spacing w:val="-3"/>
          <w:sz w:val="16"/>
          <w:szCs w:val="16"/>
        </w:rPr>
        <w:t>Participaciones en fondos de inversión colectiva inmobiliarios y esquemas de inversión colectiva que en su prospecto o reglamento tengan por objeto principal invertir en activos de naturaleza inmobiliaria</w:t>
      </w:r>
      <w:r>
        <w:rPr>
          <w:rFonts w:ascii="Arial" w:hAnsi="Arial" w:cs="Arial"/>
          <w:spacing w:val="-3"/>
          <w:sz w:val="16"/>
          <w:szCs w:val="16"/>
        </w:rPr>
        <w:t>, cuya estimación de flujos futuros a favor de la entidad aseguradora como inversionista sea acreditada por su sociedad administradora</w:t>
      </w:r>
      <w:r w:rsidRPr="00BA261B">
        <w:rPr>
          <w:rFonts w:ascii="Arial" w:hAnsi="Arial" w:cs="Arial"/>
          <w:spacing w:val="-3"/>
          <w:sz w:val="16"/>
          <w:szCs w:val="16"/>
        </w:rPr>
        <w:t>.</w:t>
      </w:r>
      <w:r>
        <w:rPr>
          <w:rFonts w:ascii="Arial" w:hAnsi="Arial" w:cs="Arial"/>
          <w:spacing w:val="-3"/>
          <w:sz w:val="16"/>
          <w:szCs w:val="16"/>
        </w:rPr>
        <w:t xml:space="preserve"> </w:t>
      </w:r>
    </w:p>
    <w:p w14:paraId="5B9AB9F2"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81" w14:textId="59DC608A" w:rsidR="00553DD9" w:rsidRDefault="00553DD9"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3.2.1.9. Títulos de contenido crediticio, participativos o mixtos derivados de procesos de titularización cuyos activos subyacentes sean de naturaleza inmobiliaria, cuya estimación de flujos futuros a favor de la entidad aseguradora como inversionista sea acreditada por su sociedad administradora</w:t>
      </w:r>
      <w:r w:rsidRPr="00BA261B">
        <w:rPr>
          <w:rFonts w:ascii="Arial" w:hAnsi="Arial" w:cs="Arial"/>
          <w:spacing w:val="-3"/>
          <w:sz w:val="16"/>
          <w:szCs w:val="16"/>
        </w:rPr>
        <w:t>.</w:t>
      </w:r>
      <w:r>
        <w:rPr>
          <w:rFonts w:ascii="Arial" w:hAnsi="Arial" w:cs="Arial"/>
          <w:spacing w:val="-3"/>
          <w:sz w:val="16"/>
          <w:szCs w:val="16"/>
        </w:rPr>
        <w:t xml:space="preserve"> </w:t>
      </w:r>
    </w:p>
    <w:p w14:paraId="76706FFC"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82" w14:textId="52851F4A"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3.2.2. Activos sin flujos futuros conocidos:</w:t>
      </w:r>
    </w:p>
    <w:p w14:paraId="580E46C1"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3" w14:textId="36BD3108" w:rsidR="00902B85" w:rsidRDefault="00902B85" w:rsidP="00E45D7A">
      <w:pPr>
        <w:pBdr>
          <w:left w:val="single" w:sz="4" w:space="4" w:color="auto"/>
        </w:pBd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Los activos relacionados </w:t>
      </w:r>
      <w:r w:rsidR="00EA3D95" w:rsidRPr="00D932B4">
        <w:rPr>
          <w:rFonts w:ascii="Arial" w:hAnsi="Arial" w:cs="Arial"/>
          <w:b/>
          <w:bCs/>
          <w:spacing w:val="-3"/>
          <w:sz w:val="16"/>
          <w:szCs w:val="16"/>
        </w:rPr>
        <w:t xml:space="preserve">en los </w:t>
      </w:r>
      <w:proofErr w:type="spellStart"/>
      <w:r w:rsidR="00EA3D95" w:rsidRPr="00D932B4">
        <w:rPr>
          <w:rFonts w:ascii="Arial" w:hAnsi="Arial" w:cs="Arial"/>
          <w:b/>
          <w:bCs/>
          <w:spacing w:val="-3"/>
          <w:sz w:val="16"/>
          <w:szCs w:val="16"/>
        </w:rPr>
        <w:t>subnumerales</w:t>
      </w:r>
      <w:proofErr w:type="spellEnd"/>
      <w:r w:rsidR="00EA3D95" w:rsidRPr="00D932B4">
        <w:rPr>
          <w:rFonts w:ascii="Arial" w:hAnsi="Arial" w:cs="Arial"/>
          <w:b/>
          <w:bCs/>
          <w:spacing w:val="-3"/>
          <w:sz w:val="16"/>
          <w:szCs w:val="16"/>
        </w:rPr>
        <w:t xml:space="preserve"> 3.2.2.1 al 3.2.2.8</w:t>
      </w:r>
      <w:r w:rsidR="00EA3D95">
        <w:rPr>
          <w:rFonts w:ascii="Arial" w:hAnsi="Arial" w:cs="Arial"/>
          <w:spacing w:val="-3"/>
          <w:sz w:val="16"/>
          <w:szCs w:val="16"/>
        </w:rPr>
        <w:t>,</w:t>
      </w:r>
      <w:r w:rsidRPr="00BA261B">
        <w:rPr>
          <w:rFonts w:ascii="Arial" w:hAnsi="Arial" w:cs="Arial"/>
          <w:spacing w:val="-3"/>
          <w:sz w:val="16"/>
          <w:szCs w:val="16"/>
        </w:rPr>
        <w:t xml:space="preserve"> que no tienen flujos futuros conocidos</w:t>
      </w:r>
      <w:r w:rsidR="00EA3D95">
        <w:rPr>
          <w:rFonts w:ascii="Arial" w:hAnsi="Arial" w:cs="Arial"/>
          <w:spacing w:val="-3"/>
          <w:sz w:val="16"/>
          <w:szCs w:val="16"/>
        </w:rPr>
        <w:t>,</w:t>
      </w:r>
      <w:r w:rsidRPr="00BA261B">
        <w:rPr>
          <w:rFonts w:ascii="Arial" w:hAnsi="Arial" w:cs="Arial"/>
          <w:spacing w:val="-3"/>
          <w:sz w:val="16"/>
          <w:szCs w:val="16"/>
        </w:rPr>
        <w:t xml:space="preserve"> deberán ser considerados por su </w:t>
      </w:r>
      <w:r w:rsidR="00EF223D" w:rsidRPr="00BA261B">
        <w:rPr>
          <w:rFonts w:ascii="Arial" w:hAnsi="Arial" w:cs="Arial"/>
          <w:spacing w:val="-3"/>
          <w:sz w:val="16"/>
          <w:szCs w:val="16"/>
        </w:rPr>
        <w:t xml:space="preserve">valor razonable </w:t>
      </w:r>
      <w:r w:rsidRPr="00BA261B">
        <w:rPr>
          <w:rFonts w:ascii="Arial" w:hAnsi="Arial" w:cs="Arial"/>
          <w:spacing w:val="-3"/>
          <w:sz w:val="16"/>
          <w:szCs w:val="16"/>
        </w:rPr>
        <w:t xml:space="preserve">como un </w:t>
      </w:r>
      <w:r w:rsidR="00603C8C" w:rsidRPr="00BA261B">
        <w:rPr>
          <w:rFonts w:ascii="Arial" w:hAnsi="Arial" w:cs="Arial"/>
          <w:spacing w:val="-3"/>
          <w:sz w:val="16"/>
          <w:szCs w:val="16"/>
        </w:rPr>
        <w:t xml:space="preserve">único </w:t>
      </w:r>
      <w:r w:rsidRPr="00BA261B">
        <w:rPr>
          <w:rFonts w:ascii="Arial" w:hAnsi="Arial" w:cs="Arial"/>
          <w:spacing w:val="-3"/>
          <w:sz w:val="16"/>
          <w:szCs w:val="16"/>
        </w:rPr>
        <w:t>flujo en el primer tramo</w:t>
      </w:r>
      <w:r w:rsidR="000A3597">
        <w:rPr>
          <w:rFonts w:ascii="Arial" w:hAnsi="Arial" w:cs="Arial"/>
          <w:spacing w:val="-3"/>
          <w:sz w:val="16"/>
          <w:szCs w:val="16"/>
        </w:rPr>
        <w:t xml:space="preserve"> (en valor presente)</w:t>
      </w:r>
      <w:r w:rsidRPr="00BA261B">
        <w:rPr>
          <w:rFonts w:ascii="Arial" w:hAnsi="Arial" w:cs="Arial"/>
          <w:spacing w:val="-3"/>
          <w:sz w:val="16"/>
          <w:szCs w:val="16"/>
        </w:rPr>
        <w:t>:</w:t>
      </w:r>
    </w:p>
    <w:p w14:paraId="130ECE5C"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4" w14:textId="3A0F59B7"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3.2.2.1. Depósitos a la vista.</w:t>
      </w:r>
    </w:p>
    <w:p w14:paraId="79F1A774"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5" w14:textId="46B21583"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3.2.2.2. </w:t>
      </w:r>
      <w:r w:rsidR="001C4DC4" w:rsidRPr="00BA261B">
        <w:rPr>
          <w:rFonts w:ascii="Arial" w:hAnsi="Arial" w:cs="Arial"/>
          <w:spacing w:val="-3"/>
          <w:sz w:val="16"/>
          <w:szCs w:val="16"/>
        </w:rPr>
        <w:t>Tít</w:t>
      </w:r>
      <w:r w:rsidRPr="00BA261B">
        <w:rPr>
          <w:rFonts w:ascii="Arial" w:hAnsi="Arial" w:cs="Arial"/>
          <w:spacing w:val="-3"/>
          <w:sz w:val="16"/>
          <w:szCs w:val="16"/>
        </w:rPr>
        <w:t>ulos y/o valores participativos:</w:t>
      </w:r>
      <w:r w:rsidR="001C4DC4" w:rsidRPr="00BA261B">
        <w:rPr>
          <w:rFonts w:ascii="Arial" w:hAnsi="Arial" w:cs="Arial"/>
          <w:spacing w:val="-3"/>
          <w:sz w:val="16"/>
          <w:szCs w:val="16"/>
        </w:rPr>
        <w:t xml:space="preserve"> </w:t>
      </w:r>
      <w:r w:rsidRPr="00BA261B">
        <w:rPr>
          <w:rFonts w:ascii="Arial" w:hAnsi="Arial" w:cs="Arial"/>
          <w:spacing w:val="-3"/>
          <w:sz w:val="16"/>
          <w:szCs w:val="16"/>
        </w:rPr>
        <w:t xml:space="preserve">acciones, </w:t>
      </w:r>
      <w:r w:rsidR="001C4DC4" w:rsidRPr="00BA261B">
        <w:rPr>
          <w:rFonts w:ascii="Arial" w:hAnsi="Arial" w:cs="Arial"/>
          <w:spacing w:val="-3"/>
          <w:sz w:val="16"/>
          <w:szCs w:val="16"/>
        </w:rPr>
        <w:t xml:space="preserve">participaciones en fondos de inversión colectiva, </w:t>
      </w:r>
      <w:r w:rsidRPr="00BA261B">
        <w:rPr>
          <w:rFonts w:ascii="Arial" w:hAnsi="Arial" w:cs="Arial"/>
          <w:spacing w:val="-3"/>
          <w:sz w:val="16"/>
          <w:szCs w:val="16"/>
        </w:rPr>
        <w:t xml:space="preserve">títulos participativos o mixtos derivados de procesos de titularización cuyos activos subyacentes sean distintos a </w:t>
      </w:r>
      <w:r w:rsidR="00C75678">
        <w:rPr>
          <w:rFonts w:ascii="Arial" w:hAnsi="Arial" w:cs="Arial"/>
          <w:spacing w:val="-3"/>
          <w:sz w:val="16"/>
          <w:szCs w:val="16"/>
        </w:rPr>
        <w:t>aquellos de naturaleza inmobiliaria</w:t>
      </w:r>
      <w:r w:rsidRPr="00BA261B">
        <w:rPr>
          <w:rFonts w:ascii="Arial" w:hAnsi="Arial" w:cs="Arial"/>
          <w:spacing w:val="-3"/>
          <w:sz w:val="16"/>
          <w:szCs w:val="16"/>
        </w:rPr>
        <w:t>.</w:t>
      </w:r>
      <w:r w:rsidR="001C4DC4" w:rsidRPr="00BA261B">
        <w:rPr>
          <w:rFonts w:ascii="Arial" w:hAnsi="Arial" w:cs="Arial"/>
          <w:spacing w:val="-3"/>
          <w:sz w:val="16"/>
          <w:szCs w:val="16"/>
        </w:rPr>
        <w:t xml:space="preserve"> </w:t>
      </w:r>
    </w:p>
    <w:p w14:paraId="38F00C8B"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6" w14:textId="6C1E150C"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3.2.2.3. Inversiones en fondos de capital privado</w:t>
      </w:r>
      <w:r w:rsidR="00CC2F2B">
        <w:rPr>
          <w:rFonts w:ascii="Arial" w:hAnsi="Arial" w:cs="Arial"/>
          <w:spacing w:val="-3"/>
          <w:sz w:val="16"/>
          <w:szCs w:val="16"/>
        </w:rPr>
        <w:t xml:space="preserve"> cuya estimación de flujos futuros a favor de la entidad aseguradora como inversionista no esté acreditada por su gerente o gestor profesional.</w:t>
      </w:r>
    </w:p>
    <w:p w14:paraId="591A646B"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7" w14:textId="648B4ED6" w:rsidR="00902B85" w:rsidRDefault="00902B8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3.2.2.4. P</w:t>
      </w:r>
      <w:r w:rsidR="001C4DC4" w:rsidRPr="00BA261B">
        <w:rPr>
          <w:rFonts w:ascii="Arial" w:hAnsi="Arial" w:cs="Arial"/>
          <w:spacing w:val="-3"/>
          <w:sz w:val="16"/>
          <w:szCs w:val="16"/>
        </w:rPr>
        <w:t xml:space="preserve">articipaciones en </w:t>
      </w:r>
      <w:proofErr w:type="spellStart"/>
      <w:r w:rsidRPr="00926E4B">
        <w:rPr>
          <w:rFonts w:ascii="Arial" w:hAnsi="Arial" w:cs="Arial"/>
          <w:i/>
          <w:spacing w:val="-3"/>
          <w:sz w:val="16"/>
          <w:szCs w:val="16"/>
        </w:rPr>
        <w:t>hedge</w:t>
      </w:r>
      <w:proofErr w:type="spellEnd"/>
      <w:r w:rsidRPr="00926E4B">
        <w:rPr>
          <w:rFonts w:ascii="Arial" w:hAnsi="Arial" w:cs="Arial"/>
          <w:i/>
          <w:spacing w:val="-3"/>
          <w:sz w:val="16"/>
          <w:szCs w:val="16"/>
        </w:rPr>
        <w:t xml:space="preserve"> </w:t>
      </w:r>
      <w:proofErr w:type="spellStart"/>
      <w:r w:rsidRPr="00926E4B">
        <w:rPr>
          <w:rFonts w:ascii="Arial" w:hAnsi="Arial" w:cs="Arial"/>
          <w:i/>
          <w:spacing w:val="-3"/>
          <w:sz w:val="16"/>
          <w:szCs w:val="16"/>
        </w:rPr>
        <w:t>funds</w:t>
      </w:r>
      <w:proofErr w:type="spellEnd"/>
      <w:r w:rsidRPr="00BA261B">
        <w:rPr>
          <w:rFonts w:ascii="Arial" w:hAnsi="Arial" w:cs="Arial"/>
          <w:spacing w:val="-3"/>
          <w:sz w:val="16"/>
          <w:szCs w:val="16"/>
        </w:rPr>
        <w:t xml:space="preserve"> o en </w:t>
      </w:r>
      <w:r w:rsidR="001C4DC4" w:rsidRPr="00BA261B">
        <w:rPr>
          <w:rFonts w:ascii="Arial" w:hAnsi="Arial" w:cs="Arial"/>
          <w:spacing w:val="-3"/>
          <w:sz w:val="16"/>
          <w:szCs w:val="16"/>
        </w:rPr>
        <w:t xml:space="preserve">fondos representativos de índices de renta fija, </w:t>
      </w:r>
      <w:proofErr w:type="spellStart"/>
      <w:r w:rsidR="001C4DC4" w:rsidRPr="00926E4B">
        <w:rPr>
          <w:rFonts w:ascii="Arial" w:hAnsi="Arial" w:cs="Arial"/>
          <w:i/>
          <w:spacing w:val="-3"/>
          <w:sz w:val="16"/>
          <w:szCs w:val="16"/>
        </w:rPr>
        <w:t>commodities</w:t>
      </w:r>
      <w:proofErr w:type="spellEnd"/>
      <w:r w:rsidR="001C4DC4" w:rsidRPr="00BA261B">
        <w:rPr>
          <w:rFonts w:ascii="Arial" w:hAnsi="Arial" w:cs="Arial"/>
          <w:spacing w:val="-3"/>
          <w:sz w:val="16"/>
          <w:szCs w:val="16"/>
        </w:rPr>
        <w:t xml:space="preserve">, divisas y de acciones incluidos </w:t>
      </w:r>
      <w:proofErr w:type="spellStart"/>
      <w:r w:rsidR="001C4DC4" w:rsidRPr="00BA261B">
        <w:rPr>
          <w:rFonts w:ascii="Arial" w:hAnsi="Arial" w:cs="Arial"/>
          <w:spacing w:val="-3"/>
          <w:sz w:val="16"/>
          <w:szCs w:val="16"/>
        </w:rPr>
        <w:t>ETFs</w:t>
      </w:r>
      <w:proofErr w:type="spellEnd"/>
      <w:r w:rsidRPr="00BA261B">
        <w:rPr>
          <w:rFonts w:ascii="Arial" w:hAnsi="Arial" w:cs="Arial"/>
          <w:spacing w:val="-3"/>
          <w:sz w:val="16"/>
          <w:szCs w:val="16"/>
        </w:rPr>
        <w:t xml:space="preserve"> cuyo índice se haya construido a partir de los mencionados tipos de activos.</w:t>
      </w:r>
    </w:p>
    <w:p w14:paraId="4F5C4C25"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8" w14:textId="22E21091" w:rsidR="001C4DC4" w:rsidRDefault="00EF223D"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3.2.2.5. </w:t>
      </w:r>
      <w:r w:rsidR="00CC2F2B" w:rsidRPr="00BA261B">
        <w:rPr>
          <w:rFonts w:ascii="Arial" w:hAnsi="Arial" w:cs="Arial"/>
          <w:spacing w:val="-3"/>
          <w:sz w:val="16"/>
          <w:szCs w:val="16"/>
        </w:rPr>
        <w:t>Participaciones en fondos de inversión colectiva inmobiliarios y esquemas de inversión colectiva que en su prospecto o reglamento tengan por objeto principal invertir en activos de naturaleza inmobiliaria</w:t>
      </w:r>
      <w:r w:rsidR="00CC2F2B">
        <w:rPr>
          <w:rFonts w:ascii="Arial" w:hAnsi="Arial" w:cs="Arial"/>
          <w:spacing w:val="-3"/>
          <w:sz w:val="16"/>
          <w:szCs w:val="16"/>
        </w:rPr>
        <w:t>, cuya estimación de flujos futuros a favor de la entidad aseguradora como inversionista no esté acreditada por su sociedad administradora</w:t>
      </w:r>
      <w:r w:rsidR="00CC2F2B" w:rsidRPr="00BA261B">
        <w:rPr>
          <w:rFonts w:ascii="Arial" w:hAnsi="Arial" w:cs="Arial"/>
          <w:spacing w:val="-3"/>
          <w:sz w:val="16"/>
          <w:szCs w:val="16"/>
        </w:rPr>
        <w:t>.</w:t>
      </w:r>
    </w:p>
    <w:p w14:paraId="55A25E72"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9" w14:textId="510E181A" w:rsidR="00553DD9" w:rsidRDefault="00766626"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3.2.2.6. </w:t>
      </w:r>
      <w:r w:rsidR="00553DD9">
        <w:rPr>
          <w:rFonts w:ascii="Arial" w:hAnsi="Arial" w:cs="Arial"/>
          <w:spacing w:val="-3"/>
          <w:sz w:val="16"/>
          <w:szCs w:val="16"/>
        </w:rPr>
        <w:t>Títulos de contenido crediticio, participativos o mixtos derivados de procesos de titularización cuyos activos subyacentes sean de naturaleza inmobiliaria, cuya estimación de flujos futuros a favor de la entidad aseguradora como inversionista no esté acreditada por su sociedad administradora</w:t>
      </w:r>
      <w:r w:rsidR="00553DD9" w:rsidRPr="00BA261B">
        <w:rPr>
          <w:rFonts w:ascii="Arial" w:hAnsi="Arial" w:cs="Arial"/>
          <w:spacing w:val="-3"/>
          <w:sz w:val="16"/>
          <w:szCs w:val="16"/>
        </w:rPr>
        <w:t>.</w:t>
      </w:r>
    </w:p>
    <w:p w14:paraId="24BF6B5F"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7042FA02" w14:textId="5E86F1C1" w:rsidR="003120D9" w:rsidRDefault="003120D9"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 xml:space="preserve">3.2.2.7. </w:t>
      </w:r>
      <w:r w:rsidRPr="00BA261B">
        <w:rPr>
          <w:rFonts w:ascii="Arial" w:hAnsi="Arial" w:cs="Arial"/>
          <w:spacing w:val="-3"/>
          <w:sz w:val="16"/>
          <w:szCs w:val="16"/>
        </w:rPr>
        <w:t>Bienes raíces productivos localizados en territorio colombiano sin contrato de arrendamiento vigente, referidos en el numeral 2.2.6 de</w:t>
      </w:r>
      <w:r>
        <w:rPr>
          <w:rFonts w:ascii="Arial" w:hAnsi="Arial" w:cs="Arial"/>
          <w:spacing w:val="-3"/>
          <w:sz w:val="16"/>
          <w:szCs w:val="16"/>
        </w:rPr>
        <w:t xml:space="preserve">l </w:t>
      </w:r>
      <w:r w:rsidRPr="00CB5691">
        <w:rPr>
          <w:rFonts w:ascii="Arial" w:hAnsi="Arial" w:cs="Arial"/>
          <w:spacing w:val="-3"/>
          <w:sz w:val="16"/>
          <w:szCs w:val="16"/>
        </w:rPr>
        <w:t xml:space="preserve">Capítulo II, Título IV, Parte II </w:t>
      </w:r>
      <w:r>
        <w:rPr>
          <w:rFonts w:ascii="Arial" w:hAnsi="Arial" w:cs="Arial"/>
          <w:spacing w:val="-3"/>
          <w:sz w:val="16"/>
          <w:szCs w:val="16"/>
        </w:rPr>
        <w:t>de la CBJ</w:t>
      </w:r>
      <w:r w:rsidRPr="00BA261B">
        <w:rPr>
          <w:rFonts w:ascii="Arial" w:hAnsi="Arial" w:cs="Arial"/>
          <w:spacing w:val="-3"/>
          <w:sz w:val="16"/>
          <w:szCs w:val="16"/>
        </w:rPr>
        <w:t>.</w:t>
      </w:r>
    </w:p>
    <w:p w14:paraId="79F55592"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148D03A3" w14:textId="53E0C7C9" w:rsidR="00A3528D" w:rsidRDefault="00EF223D" w:rsidP="00E45D7A">
      <w:pPr>
        <w:tabs>
          <w:tab w:val="left" w:pos="-720"/>
        </w:tabs>
        <w:suppressAutoHyphens/>
        <w:spacing w:after="0" w:line="240" w:lineRule="auto"/>
        <w:jc w:val="both"/>
        <w:rPr>
          <w:rFonts w:ascii="Arial" w:hAnsi="Arial" w:cs="Arial"/>
          <w:spacing w:val="-3"/>
          <w:sz w:val="16"/>
          <w:szCs w:val="16"/>
        </w:rPr>
      </w:pPr>
      <w:r w:rsidRPr="00B6269E">
        <w:rPr>
          <w:rFonts w:ascii="Arial" w:hAnsi="Arial" w:cs="Arial"/>
          <w:spacing w:val="-3"/>
          <w:sz w:val="16"/>
          <w:szCs w:val="16"/>
        </w:rPr>
        <w:t>3.</w:t>
      </w:r>
      <w:r w:rsidRPr="001C1138">
        <w:rPr>
          <w:rFonts w:ascii="Arial" w:hAnsi="Arial" w:cs="Arial"/>
          <w:spacing w:val="-3"/>
          <w:sz w:val="16"/>
          <w:szCs w:val="16"/>
        </w:rPr>
        <w:t>2.2.</w:t>
      </w:r>
      <w:r w:rsidR="00553DD9" w:rsidRPr="001C1138">
        <w:rPr>
          <w:rFonts w:ascii="Arial" w:hAnsi="Arial" w:cs="Arial"/>
          <w:spacing w:val="-3"/>
          <w:sz w:val="16"/>
          <w:szCs w:val="16"/>
        </w:rPr>
        <w:t>8</w:t>
      </w:r>
      <w:r w:rsidRPr="001C1138">
        <w:rPr>
          <w:rFonts w:ascii="Arial" w:hAnsi="Arial" w:cs="Arial"/>
          <w:spacing w:val="-3"/>
          <w:sz w:val="16"/>
          <w:szCs w:val="16"/>
        </w:rPr>
        <w:t>. Contratos de opciones.</w:t>
      </w:r>
    </w:p>
    <w:p w14:paraId="715D4CB3" w14:textId="77777777" w:rsidR="00E45D7A" w:rsidRPr="001C1138" w:rsidRDefault="00E45D7A" w:rsidP="00E45D7A">
      <w:pPr>
        <w:tabs>
          <w:tab w:val="left" w:pos="-720"/>
        </w:tabs>
        <w:suppressAutoHyphens/>
        <w:spacing w:after="0" w:line="240" w:lineRule="auto"/>
        <w:jc w:val="both"/>
        <w:rPr>
          <w:rFonts w:ascii="Arial" w:hAnsi="Arial" w:cs="Arial"/>
          <w:spacing w:val="-3"/>
          <w:sz w:val="16"/>
          <w:szCs w:val="16"/>
        </w:rPr>
      </w:pPr>
    </w:p>
    <w:p w14:paraId="5FE8CF85" w14:textId="4593AB31" w:rsidR="00DA43EE" w:rsidRDefault="00EA3D95" w:rsidP="00E45D7A">
      <w:pPr>
        <w:pBdr>
          <w:left w:val="single" w:sz="4" w:space="4" w:color="auto"/>
        </w:pBdr>
        <w:spacing w:after="0" w:line="240" w:lineRule="auto"/>
        <w:jc w:val="both"/>
        <w:rPr>
          <w:rFonts w:ascii="Arial" w:hAnsi="Arial" w:cs="Arial"/>
          <w:b/>
          <w:bCs/>
          <w:sz w:val="16"/>
          <w:szCs w:val="16"/>
        </w:rPr>
      </w:pPr>
      <w:r w:rsidRPr="001C1138">
        <w:rPr>
          <w:rFonts w:ascii="Arial" w:hAnsi="Arial" w:cs="Arial"/>
          <w:b/>
          <w:bCs/>
          <w:sz w:val="16"/>
          <w:szCs w:val="16"/>
        </w:rPr>
        <w:t xml:space="preserve">3.2.2.9. </w:t>
      </w:r>
      <w:r w:rsidR="006E1DB4" w:rsidRPr="001C1138">
        <w:rPr>
          <w:rFonts w:ascii="Arial" w:hAnsi="Arial" w:cs="Arial"/>
          <w:b/>
          <w:bCs/>
          <w:sz w:val="16"/>
          <w:szCs w:val="16"/>
        </w:rPr>
        <w:t xml:space="preserve">Para </w:t>
      </w:r>
      <w:r w:rsidR="00A32B55" w:rsidRPr="001C1138">
        <w:rPr>
          <w:rFonts w:ascii="Arial" w:hAnsi="Arial" w:cs="Arial"/>
          <w:b/>
          <w:bCs/>
          <w:sz w:val="16"/>
          <w:szCs w:val="16"/>
        </w:rPr>
        <w:t>el caso de los bienes raíces no productivos</w:t>
      </w:r>
      <w:r w:rsidR="008D4D2C">
        <w:rPr>
          <w:rFonts w:ascii="Arial" w:hAnsi="Arial" w:cs="Arial"/>
          <w:b/>
          <w:bCs/>
          <w:sz w:val="16"/>
          <w:szCs w:val="16"/>
        </w:rPr>
        <w:t xml:space="preserve"> </w:t>
      </w:r>
      <w:r w:rsidR="00A32B55" w:rsidRPr="001C1138">
        <w:rPr>
          <w:rFonts w:ascii="Arial" w:hAnsi="Arial" w:cs="Arial"/>
          <w:b/>
          <w:bCs/>
          <w:sz w:val="16"/>
          <w:szCs w:val="16"/>
        </w:rPr>
        <w:t xml:space="preserve">que respaldan la reserva matemática de las pólizas de </w:t>
      </w:r>
      <w:r w:rsidR="00951AD2" w:rsidRPr="001C1138">
        <w:rPr>
          <w:rFonts w:ascii="Arial" w:hAnsi="Arial" w:cs="Arial"/>
          <w:b/>
          <w:bCs/>
          <w:sz w:val="16"/>
          <w:szCs w:val="16"/>
        </w:rPr>
        <w:t>renta vitalicia inmobiliaria,</w:t>
      </w:r>
      <w:r w:rsidR="00131048" w:rsidRPr="001C1138">
        <w:rPr>
          <w:rFonts w:ascii="Arial" w:hAnsi="Arial" w:cs="Arial"/>
          <w:b/>
          <w:bCs/>
          <w:sz w:val="16"/>
          <w:szCs w:val="16"/>
        </w:rPr>
        <w:t xml:space="preserve"> </w:t>
      </w:r>
      <w:r w:rsidR="00146F5C" w:rsidRPr="001C1138">
        <w:rPr>
          <w:rFonts w:ascii="Arial" w:hAnsi="Arial" w:cs="Arial"/>
          <w:b/>
          <w:bCs/>
          <w:sz w:val="16"/>
          <w:szCs w:val="16"/>
        </w:rPr>
        <w:t xml:space="preserve">estos deberán ser considerados </w:t>
      </w:r>
      <w:r w:rsidR="00131048" w:rsidRPr="001C1138">
        <w:rPr>
          <w:rFonts w:ascii="Arial" w:hAnsi="Arial" w:cs="Arial"/>
          <w:b/>
          <w:bCs/>
          <w:sz w:val="16"/>
          <w:szCs w:val="16"/>
        </w:rPr>
        <w:t>como un único flujo en el tramo que corresponda</w:t>
      </w:r>
      <w:r w:rsidR="004F10A8" w:rsidRPr="001C1138">
        <w:rPr>
          <w:rFonts w:ascii="Arial" w:hAnsi="Arial" w:cs="Arial"/>
          <w:b/>
          <w:bCs/>
          <w:sz w:val="16"/>
          <w:szCs w:val="16"/>
        </w:rPr>
        <w:t xml:space="preserve"> (en valor presente)</w:t>
      </w:r>
      <w:r w:rsidR="00D0748B" w:rsidRPr="00F07483">
        <w:rPr>
          <w:rFonts w:ascii="Arial" w:hAnsi="Arial" w:cs="Arial"/>
          <w:b/>
          <w:bCs/>
          <w:sz w:val="16"/>
          <w:szCs w:val="16"/>
        </w:rPr>
        <w:t xml:space="preserve"> de acuerdo con la expectativa de vida </w:t>
      </w:r>
      <w:r w:rsidR="00B30643">
        <w:rPr>
          <w:rFonts w:ascii="Arial" w:hAnsi="Arial" w:cs="Arial"/>
          <w:b/>
          <w:bCs/>
          <w:sz w:val="16"/>
          <w:szCs w:val="16"/>
        </w:rPr>
        <w:t xml:space="preserve">del </w:t>
      </w:r>
      <w:r w:rsidR="00DA43EE">
        <w:rPr>
          <w:rFonts w:ascii="Arial" w:hAnsi="Arial" w:cs="Arial"/>
          <w:b/>
          <w:bCs/>
          <w:sz w:val="16"/>
          <w:szCs w:val="16"/>
        </w:rPr>
        <w:t>grupo del último sobreviviente</w:t>
      </w:r>
      <w:r w:rsidR="00720C2F">
        <w:rPr>
          <w:rFonts w:ascii="Arial" w:hAnsi="Arial" w:cs="Arial"/>
          <w:b/>
          <w:bCs/>
          <w:sz w:val="16"/>
          <w:szCs w:val="16"/>
        </w:rPr>
        <w:t xml:space="preserve"> conformado por los beneficiario</w:t>
      </w:r>
      <w:r w:rsidR="00BB3A68">
        <w:rPr>
          <w:rFonts w:ascii="Arial" w:hAnsi="Arial" w:cs="Arial"/>
          <w:b/>
          <w:bCs/>
          <w:sz w:val="16"/>
          <w:szCs w:val="16"/>
        </w:rPr>
        <w:t>s</w:t>
      </w:r>
      <w:r w:rsidR="00F40F77" w:rsidRPr="00D0748B">
        <w:rPr>
          <w:rFonts w:ascii="Arial" w:hAnsi="Arial" w:cs="Arial"/>
          <w:b/>
          <w:bCs/>
          <w:sz w:val="16"/>
          <w:szCs w:val="16"/>
        </w:rPr>
        <w:t>.</w:t>
      </w:r>
      <w:r w:rsidR="00951AD2" w:rsidRPr="00D0748B">
        <w:rPr>
          <w:rFonts w:ascii="Arial" w:hAnsi="Arial" w:cs="Arial"/>
          <w:b/>
          <w:bCs/>
          <w:sz w:val="16"/>
          <w:szCs w:val="16"/>
        </w:rPr>
        <w:t xml:space="preserve"> </w:t>
      </w:r>
      <w:r w:rsidR="00F40F77" w:rsidRPr="00D0748B">
        <w:rPr>
          <w:rFonts w:ascii="Arial" w:hAnsi="Arial" w:cs="Arial"/>
          <w:b/>
          <w:bCs/>
          <w:sz w:val="16"/>
          <w:szCs w:val="16"/>
        </w:rPr>
        <w:t>P</w:t>
      </w:r>
      <w:r w:rsidR="00314A93" w:rsidRPr="00D0748B">
        <w:rPr>
          <w:rFonts w:ascii="Arial" w:hAnsi="Arial" w:cs="Arial"/>
          <w:b/>
          <w:bCs/>
          <w:sz w:val="16"/>
          <w:szCs w:val="16"/>
        </w:rPr>
        <w:t>ara</w:t>
      </w:r>
      <w:r w:rsidR="00314A93" w:rsidRPr="001C1138">
        <w:rPr>
          <w:rFonts w:ascii="Arial" w:hAnsi="Arial" w:cs="Arial"/>
          <w:b/>
          <w:bCs/>
          <w:sz w:val="16"/>
          <w:szCs w:val="16"/>
        </w:rPr>
        <w:t xml:space="preserve"> esto</w:t>
      </w:r>
      <w:r w:rsidR="00B6269E" w:rsidRPr="001C1138">
        <w:rPr>
          <w:rFonts w:ascii="Arial" w:hAnsi="Arial" w:cs="Arial"/>
          <w:b/>
          <w:bCs/>
          <w:sz w:val="16"/>
          <w:szCs w:val="16"/>
        </w:rPr>
        <w:t xml:space="preserve">, </w:t>
      </w:r>
      <w:r w:rsidR="00314A93" w:rsidRPr="001C1138">
        <w:rPr>
          <w:rFonts w:ascii="Arial" w:hAnsi="Arial" w:cs="Arial"/>
          <w:b/>
          <w:bCs/>
          <w:sz w:val="16"/>
          <w:szCs w:val="16"/>
        </w:rPr>
        <w:t>se deben aplicar</w:t>
      </w:r>
      <w:r w:rsidR="00DC3DA3" w:rsidRPr="001C1138">
        <w:rPr>
          <w:rFonts w:ascii="Arial" w:hAnsi="Arial" w:cs="Arial"/>
          <w:b/>
          <w:bCs/>
          <w:sz w:val="16"/>
          <w:szCs w:val="16"/>
        </w:rPr>
        <w:t xml:space="preserve"> las reglas y procedimientos de valoración señalados en el numeral 2.2.6</w:t>
      </w:r>
      <w:r w:rsidR="001D67DC">
        <w:rPr>
          <w:rFonts w:ascii="Arial" w:hAnsi="Arial" w:cs="Arial"/>
          <w:b/>
          <w:bCs/>
          <w:sz w:val="16"/>
          <w:szCs w:val="16"/>
        </w:rPr>
        <w:t>.3.7</w:t>
      </w:r>
      <w:r w:rsidR="00DC3DA3" w:rsidRPr="001C1138">
        <w:rPr>
          <w:rFonts w:ascii="Arial" w:hAnsi="Arial" w:cs="Arial"/>
          <w:b/>
          <w:bCs/>
          <w:sz w:val="16"/>
          <w:szCs w:val="16"/>
        </w:rPr>
        <w:t xml:space="preserve"> del Capítulo II, Título IV, Parte II de la CBJ</w:t>
      </w:r>
      <w:r w:rsidR="00744A6E" w:rsidRPr="001C1138">
        <w:rPr>
          <w:rFonts w:ascii="Arial" w:hAnsi="Arial" w:cs="Arial"/>
          <w:b/>
          <w:bCs/>
          <w:sz w:val="16"/>
          <w:szCs w:val="16"/>
        </w:rPr>
        <w:t>.</w:t>
      </w:r>
    </w:p>
    <w:p w14:paraId="74C10FB4" w14:textId="77777777" w:rsidR="00E45D7A" w:rsidRPr="008B700B" w:rsidRDefault="00E45D7A" w:rsidP="00E45D7A">
      <w:pPr>
        <w:spacing w:after="0" w:line="240" w:lineRule="auto"/>
        <w:jc w:val="both"/>
        <w:rPr>
          <w:rFonts w:ascii="Arial" w:hAnsi="Arial" w:cs="Arial"/>
          <w:b/>
          <w:bCs/>
          <w:sz w:val="16"/>
          <w:szCs w:val="16"/>
        </w:rPr>
      </w:pPr>
    </w:p>
    <w:p w14:paraId="3BDF718C" w14:textId="2D8466D3" w:rsidR="009F27FF" w:rsidRDefault="00704995"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3.2.3</w:t>
      </w:r>
      <w:r w:rsidR="009F27FF" w:rsidRPr="00BA261B">
        <w:rPr>
          <w:rFonts w:ascii="Arial" w:hAnsi="Arial" w:cs="Arial"/>
          <w:spacing w:val="-3"/>
          <w:sz w:val="16"/>
          <w:szCs w:val="16"/>
        </w:rPr>
        <w:t xml:space="preserve"> </w:t>
      </w:r>
      <w:r w:rsidRPr="00BA261B">
        <w:rPr>
          <w:rFonts w:ascii="Arial" w:hAnsi="Arial" w:cs="Arial"/>
          <w:spacing w:val="-3"/>
          <w:sz w:val="16"/>
          <w:szCs w:val="16"/>
        </w:rPr>
        <w:t>Castigos por riesgo de crédito:</w:t>
      </w:r>
    </w:p>
    <w:p w14:paraId="4B697F00"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3BDF718D" w14:textId="2939EE61" w:rsidR="00102A92" w:rsidRDefault="00102A92" w:rsidP="00E45D7A">
      <w:pPr>
        <w:tabs>
          <w:tab w:val="left" w:pos="-720"/>
        </w:tabs>
        <w:suppressAutoHyphens/>
        <w:spacing w:after="0" w:line="240" w:lineRule="auto"/>
        <w:jc w:val="both"/>
        <w:rPr>
          <w:rFonts w:ascii="Arial" w:hAnsi="Arial" w:cs="Arial"/>
          <w:spacing w:val="-3"/>
          <w:sz w:val="16"/>
          <w:szCs w:val="16"/>
        </w:rPr>
      </w:pPr>
      <w:r w:rsidRPr="00BA261B">
        <w:rPr>
          <w:rFonts w:ascii="Arial" w:hAnsi="Arial" w:cs="Arial"/>
          <w:spacing w:val="-3"/>
          <w:sz w:val="16"/>
          <w:szCs w:val="16"/>
        </w:rPr>
        <w:t xml:space="preserve">Las entidades aseguradoras deben revisar </w:t>
      </w:r>
      <w:r w:rsidR="00E17E1A" w:rsidRPr="00BA261B">
        <w:rPr>
          <w:rFonts w:ascii="Arial" w:hAnsi="Arial" w:cs="Arial"/>
          <w:spacing w:val="-3"/>
          <w:sz w:val="16"/>
          <w:szCs w:val="16"/>
        </w:rPr>
        <w:t xml:space="preserve">y castigar </w:t>
      </w:r>
      <w:r w:rsidR="00766626" w:rsidRPr="00BA261B">
        <w:rPr>
          <w:rFonts w:ascii="Arial" w:hAnsi="Arial" w:cs="Arial"/>
          <w:spacing w:val="-3"/>
          <w:sz w:val="16"/>
          <w:szCs w:val="16"/>
        </w:rPr>
        <w:t>el valor de los activos</w:t>
      </w:r>
      <w:r w:rsidRPr="00BA261B">
        <w:rPr>
          <w:rFonts w:ascii="Arial" w:hAnsi="Arial" w:cs="Arial"/>
          <w:spacing w:val="-3"/>
          <w:sz w:val="16"/>
          <w:szCs w:val="16"/>
        </w:rPr>
        <w:t xml:space="preserve"> y sus flujos correspondientes, considerando la calificación de los emisores o contrapartes y demás circunstancias que consideren que puedan afectar la capacidad de pago de </w:t>
      </w:r>
      <w:proofErr w:type="gramStart"/>
      <w:r w:rsidRPr="00BA261B">
        <w:rPr>
          <w:rFonts w:ascii="Arial" w:hAnsi="Arial" w:cs="Arial"/>
          <w:spacing w:val="-3"/>
          <w:sz w:val="16"/>
          <w:szCs w:val="16"/>
        </w:rPr>
        <w:t>los mismos</w:t>
      </w:r>
      <w:proofErr w:type="gramEnd"/>
      <w:r w:rsidRPr="00BA261B">
        <w:rPr>
          <w:rFonts w:ascii="Arial" w:hAnsi="Arial" w:cs="Arial"/>
          <w:spacing w:val="-3"/>
          <w:sz w:val="16"/>
          <w:szCs w:val="16"/>
        </w:rPr>
        <w:t>.</w:t>
      </w:r>
      <w:r w:rsidR="00CC2F2B">
        <w:rPr>
          <w:rFonts w:ascii="Arial" w:hAnsi="Arial" w:cs="Arial"/>
          <w:spacing w:val="-3"/>
          <w:sz w:val="16"/>
          <w:szCs w:val="16"/>
        </w:rPr>
        <w:t xml:space="preserve"> </w:t>
      </w:r>
      <w:r w:rsidR="00C6188D" w:rsidRPr="00C6188D">
        <w:rPr>
          <w:rFonts w:ascii="Arial" w:hAnsi="Arial" w:cs="Arial"/>
          <w:spacing w:val="-3"/>
          <w:sz w:val="16"/>
          <w:szCs w:val="16"/>
        </w:rPr>
        <w:t xml:space="preserve">Los títulos de deuda pública local no deben ser castigados por riesgo de crédito, al igual que los títulos con calificación local AAA o títulos con calificación internacional igual o superior </w:t>
      </w:r>
      <w:r w:rsidR="00C6188D">
        <w:rPr>
          <w:rFonts w:ascii="Arial" w:hAnsi="Arial" w:cs="Arial"/>
          <w:spacing w:val="-3"/>
          <w:sz w:val="16"/>
          <w:szCs w:val="16"/>
        </w:rPr>
        <w:t>al grado de inversión.</w:t>
      </w:r>
    </w:p>
    <w:p w14:paraId="2E7ACEBD" w14:textId="77777777" w:rsidR="00E45D7A" w:rsidRPr="00BA261B" w:rsidRDefault="00E45D7A" w:rsidP="00E45D7A">
      <w:pPr>
        <w:tabs>
          <w:tab w:val="left" w:pos="-720"/>
        </w:tabs>
        <w:suppressAutoHyphens/>
        <w:spacing w:after="0" w:line="240" w:lineRule="auto"/>
        <w:jc w:val="both"/>
        <w:rPr>
          <w:rFonts w:ascii="Arial" w:hAnsi="Arial" w:cs="Arial"/>
          <w:spacing w:val="-3"/>
          <w:sz w:val="16"/>
          <w:szCs w:val="16"/>
        </w:rPr>
      </w:pPr>
    </w:p>
    <w:p w14:paraId="027C0BF0" w14:textId="3859F7C9" w:rsidR="002262EA" w:rsidRDefault="00C74825"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L</w:t>
      </w:r>
      <w:r w:rsidR="00E24DEA" w:rsidRPr="00BA261B">
        <w:rPr>
          <w:rFonts w:ascii="Arial" w:hAnsi="Arial" w:cs="Arial"/>
          <w:spacing w:val="-3"/>
          <w:sz w:val="16"/>
          <w:szCs w:val="16"/>
        </w:rPr>
        <w:t xml:space="preserve">os porcentajes </w:t>
      </w:r>
      <w:r w:rsidR="00FB2D54" w:rsidRPr="00BA261B">
        <w:rPr>
          <w:rFonts w:ascii="Arial" w:hAnsi="Arial" w:cs="Arial"/>
          <w:spacing w:val="-3"/>
          <w:sz w:val="16"/>
          <w:szCs w:val="16"/>
        </w:rPr>
        <w:t>d</w:t>
      </w:r>
      <w:r w:rsidR="00E24DEA" w:rsidRPr="00BA261B">
        <w:rPr>
          <w:rFonts w:ascii="Arial" w:hAnsi="Arial" w:cs="Arial"/>
          <w:spacing w:val="-3"/>
          <w:sz w:val="16"/>
          <w:szCs w:val="16"/>
        </w:rPr>
        <w:t xml:space="preserve">e castigo </w:t>
      </w:r>
      <w:r>
        <w:rPr>
          <w:rFonts w:ascii="Arial" w:hAnsi="Arial" w:cs="Arial"/>
          <w:spacing w:val="-3"/>
          <w:sz w:val="16"/>
          <w:szCs w:val="16"/>
        </w:rPr>
        <w:t xml:space="preserve">que apliquen </w:t>
      </w:r>
      <w:r w:rsidR="00E24DEA" w:rsidRPr="00BA261B">
        <w:rPr>
          <w:rFonts w:ascii="Arial" w:hAnsi="Arial" w:cs="Arial"/>
          <w:spacing w:val="-3"/>
          <w:sz w:val="16"/>
          <w:szCs w:val="16"/>
        </w:rPr>
        <w:t>la</w:t>
      </w:r>
      <w:r w:rsidR="00040CCD" w:rsidRPr="00BA261B">
        <w:rPr>
          <w:rFonts w:ascii="Arial" w:hAnsi="Arial" w:cs="Arial"/>
          <w:spacing w:val="-3"/>
          <w:sz w:val="16"/>
          <w:szCs w:val="16"/>
        </w:rPr>
        <w:t>s</w:t>
      </w:r>
      <w:r w:rsidR="00E24DEA" w:rsidRPr="00BA261B">
        <w:rPr>
          <w:rFonts w:ascii="Arial" w:hAnsi="Arial" w:cs="Arial"/>
          <w:spacing w:val="-3"/>
          <w:sz w:val="16"/>
          <w:szCs w:val="16"/>
        </w:rPr>
        <w:t xml:space="preserve"> entidad</w:t>
      </w:r>
      <w:r w:rsidR="00040CCD" w:rsidRPr="00BA261B">
        <w:rPr>
          <w:rFonts w:ascii="Arial" w:hAnsi="Arial" w:cs="Arial"/>
          <w:spacing w:val="-3"/>
          <w:sz w:val="16"/>
          <w:szCs w:val="16"/>
        </w:rPr>
        <w:t>es</w:t>
      </w:r>
      <w:r w:rsidR="00E24DEA" w:rsidRPr="00BA261B">
        <w:rPr>
          <w:rFonts w:ascii="Arial" w:hAnsi="Arial" w:cs="Arial"/>
          <w:spacing w:val="-3"/>
          <w:sz w:val="16"/>
          <w:szCs w:val="16"/>
        </w:rPr>
        <w:t xml:space="preserve"> aseguradora</w:t>
      </w:r>
      <w:r w:rsidR="00040CCD" w:rsidRPr="00BA261B">
        <w:rPr>
          <w:rFonts w:ascii="Arial" w:hAnsi="Arial" w:cs="Arial"/>
          <w:spacing w:val="-3"/>
          <w:sz w:val="16"/>
          <w:szCs w:val="16"/>
        </w:rPr>
        <w:t>s</w:t>
      </w:r>
      <w:r w:rsidR="00E24DEA" w:rsidRPr="00BA261B">
        <w:rPr>
          <w:rFonts w:ascii="Arial" w:hAnsi="Arial" w:cs="Arial"/>
          <w:spacing w:val="-3"/>
          <w:sz w:val="16"/>
          <w:szCs w:val="16"/>
        </w:rPr>
        <w:t xml:space="preserve"> </w:t>
      </w:r>
      <w:r>
        <w:rPr>
          <w:rFonts w:ascii="Arial" w:hAnsi="Arial" w:cs="Arial"/>
          <w:spacing w:val="-3"/>
          <w:sz w:val="16"/>
          <w:szCs w:val="16"/>
        </w:rPr>
        <w:t xml:space="preserve">no deberán ser inferiores </w:t>
      </w:r>
      <w:r w:rsidR="00B672C0">
        <w:rPr>
          <w:rFonts w:ascii="Arial" w:hAnsi="Arial" w:cs="Arial"/>
          <w:spacing w:val="-3"/>
          <w:sz w:val="16"/>
          <w:szCs w:val="16"/>
        </w:rPr>
        <w:t xml:space="preserve">a </w:t>
      </w:r>
      <w:r w:rsidR="00C54C2B" w:rsidRPr="00BA261B">
        <w:rPr>
          <w:rFonts w:ascii="Arial" w:hAnsi="Arial" w:cs="Arial"/>
          <w:spacing w:val="-3"/>
          <w:sz w:val="16"/>
          <w:szCs w:val="16"/>
        </w:rPr>
        <w:t xml:space="preserve">las probabilidades de incumplimiento </w:t>
      </w:r>
      <w:r w:rsidR="00CC2F2B">
        <w:rPr>
          <w:rFonts w:ascii="Arial" w:hAnsi="Arial" w:cs="Arial"/>
          <w:spacing w:val="-3"/>
          <w:sz w:val="16"/>
          <w:szCs w:val="16"/>
        </w:rPr>
        <w:t xml:space="preserve">más recientes </w:t>
      </w:r>
      <w:r w:rsidR="00C54C2B" w:rsidRPr="00BA261B">
        <w:rPr>
          <w:rFonts w:ascii="Arial" w:hAnsi="Arial" w:cs="Arial"/>
          <w:spacing w:val="-3"/>
          <w:sz w:val="16"/>
          <w:szCs w:val="16"/>
        </w:rPr>
        <w:t>calculad</w:t>
      </w:r>
      <w:r w:rsidR="00CC2F2B">
        <w:rPr>
          <w:rFonts w:ascii="Arial" w:hAnsi="Arial" w:cs="Arial"/>
          <w:spacing w:val="-3"/>
          <w:sz w:val="16"/>
          <w:szCs w:val="16"/>
        </w:rPr>
        <w:t>a</w:t>
      </w:r>
      <w:r w:rsidR="00C54C2B" w:rsidRPr="00BA261B">
        <w:rPr>
          <w:rFonts w:ascii="Arial" w:hAnsi="Arial" w:cs="Arial"/>
          <w:spacing w:val="-3"/>
          <w:sz w:val="16"/>
          <w:szCs w:val="16"/>
        </w:rPr>
        <w:t>s por las agencias calificadoras</w:t>
      </w:r>
      <w:r w:rsidR="00E17C60" w:rsidRPr="00BA261B">
        <w:rPr>
          <w:rFonts w:ascii="Arial" w:hAnsi="Arial" w:cs="Arial"/>
          <w:spacing w:val="-3"/>
          <w:sz w:val="16"/>
          <w:szCs w:val="16"/>
        </w:rPr>
        <w:t xml:space="preserve"> </w:t>
      </w:r>
      <w:r w:rsidR="00102A92" w:rsidRPr="00BA261B">
        <w:rPr>
          <w:rFonts w:ascii="Arial" w:hAnsi="Arial" w:cs="Arial"/>
          <w:spacing w:val="-3"/>
          <w:sz w:val="16"/>
          <w:szCs w:val="16"/>
        </w:rPr>
        <w:t>relevantes, según la</w:t>
      </w:r>
      <w:r w:rsidR="00CC2CBE">
        <w:rPr>
          <w:rFonts w:ascii="Arial" w:hAnsi="Arial" w:cs="Arial"/>
          <w:spacing w:val="-3"/>
          <w:sz w:val="16"/>
          <w:szCs w:val="16"/>
        </w:rPr>
        <w:t xml:space="preserve"> calificación de riesgo específica del </w:t>
      </w:r>
      <w:r w:rsidR="00102A92" w:rsidRPr="00BA261B">
        <w:rPr>
          <w:rFonts w:ascii="Arial" w:hAnsi="Arial" w:cs="Arial"/>
          <w:spacing w:val="-3"/>
          <w:sz w:val="16"/>
          <w:szCs w:val="16"/>
        </w:rPr>
        <w:t>activo</w:t>
      </w:r>
      <w:r w:rsidR="00CC2CBE">
        <w:rPr>
          <w:rFonts w:ascii="Arial" w:hAnsi="Arial" w:cs="Arial"/>
          <w:spacing w:val="-3"/>
          <w:sz w:val="16"/>
          <w:szCs w:val="16"/>
        </w:rPr>
        <w:t xml:space="preserve"> y su plazo al vencimiento</w:t>
      </w:r>
      <w:r w:rsidR="00C54C2B" w:rsidRPr="00BA261B">
        <w:rPr>
          <w:rFonts w:ascii="Arial" w:hAnsi="Arial" w:cs="Arial"/>
          <w:spacing w:val="-3"/>
          <w:sz w:val="16"/>
          <w:szCs w:val="16"/>
        </w:rPr>
        <w:t>.</w:t>
      </w:r>
      <w:r w:rsidR="00CC2CBE">
        <w:rPr>
          <w:rFonts w:ascii="Arial" w:hAnsi="Arial" w:cs="Arial"/>
          <w:spacing w:val="-3"/>
          <w:sz w:val="16"/>
          <w:szCs w:val="16"/>
        </w:rPr>
        <w:t xml:space="preserve"> </w:t>
      </w:r>
      <w:r w:rsidR="00CC2CBE" w:rsidRPr="00CC2CBE">
        <w:rPr>
          <w:rFonts w:ascii="Arial" w:hAnsi="Arial" w:cs="Arial"/>
          <w:spacing w:val="-3"/>
          <w:sz w:val="16"/>
          <w:szCs w:val="16"/>
        </w:rPr>
        <w:t xml:space="preserve">Siempre que exista una calificación de riesgo específica del activo </w:t>
      </w:r>
      <w:r w:rsidR="002262EA">
        <w:rPr>
          <w:rFonts w:ascii="Arial" w:hAnsi="Arial" w:cs="Arial"/>
          <w:spacing w:val="-3"/>
          <w:sz w:val="16"/>
          <w:szCs w:val="16"/>
        </w:rPr>
        <w:t xml:space="preserve">local </w:t>
      </w:r>
      <w:r w:rsidR="002262EA" w:rsidRPr="00CC2CBE">
        <w:rPr>
          <w:rFonts w:ascii="Arial" w:hAnsi="Arial" w:cs="Arial"/>
          <w:spacing w:val="-3"/>
          <w:sz w:val="16"/>
          <w:szCs w:val="16"/>
        </w:rPr>
        <w:t xml:space="preserve">efectuada por una sociedad calificadora de riesgos </w:t>
      </w:r>
      <w:r w:rsidR="008C7683">
        <w:rPr>
          <w:rFonts w:ascii="Arial" w:hAnsi="Arial" w:cs="Arial"/>
          <w:spacing w:val="-3"/>
          <w:sz w:val="16"/>
          <w:szCs w:val="16"/>
        </w:rPr>
        <w:t>vigilada</w:t>
      </w:r>
      <w:r w:rsidR="002262EA" w:rsidRPr="00CC2CBE">
        <w:rPr>
          <w:rFonts w:ascii="Arial" w:hAnsi="Arial" w:cs="Arial"/>
          <w:spacing w:val="-3"/>
          <w:sz w:val="16"/>
          <w:szCs w:val="16"/>
        </w:rPr>
        <w:t xml:space="preserve"> por la SFC</w:t>
      </w:r>
      <w:r w:rsidR="002262EA">
        <w:rPr>
          <w:rFonts w:ascii="Arial" w:hAnsi="Arial" w:cs="Arial"/>
          <w:spacing w:val="-3"/>
          <w:sz w:val="16"/>
          <w:szCs w:val="16"/>
        </w:rPr>
        <w:t xml:space="preserve">, se deben realizar los cálculos del castigo con base en la calificación local. </w:t>
      </w:r>
      <w:proofErr w:type="gramStart"/>
      <w:r w:rsidR="002262EA">
        <w:rPr>
          <w:rFonts w:ascii="Arial" w:hAnsi="Arial" w:cs="Arial"/>
          <w:spacing w:val="-3"/>
          <w:sz w:val="16"/>
          <w:szCs w:val="16"/>
        </w:rPr>
        <w:t>En caso que</w:t>
      </w:r>
      <w:proofErr w:type="gramEnd"/>
      <w:r w:rsidR="002262EA">
        <w:rPr>
          <w:rFonts w:ascii="Arial" w:hAnsi="Arial" w:cs="Arial"/>
          <w:spacing w:val="-3"/>
          <w:sz w:val="16"/>
          <w:szCs w:val="16"/>
        </w:rPr>
        <w:t xml:space="preserve"> no exista una </w:t>
      </w:r>
      <w:r w:rsidR="002262EA" w:rsidRPr="00CC2CBE">
        <w:rPr>
          <w:rFonts w:ascii="Arial" w:hAnsi="Arial" w:cs="Arial"/>
          <w:spacing w:val="-3"/>
          <w:sz w:val="16"/>
          <w:szCs w:val="16"/>
        </w:rPr>
        <w:t xml:space="preserve">calificación de riesgo específica del activo </w:t>
      </w:r>
      <w:r w:rsidR="002262EA">
        <w:rPr>
          <w:rFonts w:ascii="Arial" w:hAnsi="Arial" w:cs="Arial"/>
          <w:spacing w:val="-3"/>
          <w:sz w:val="16"/>
          <w:szCs w:val="16"/>
        </w:rPr>
        <w:t xml:space="preserve">local </w:t>
      </w:r>
      <w:r w:rsidR="002262EA" w:rsidRPr="00CC2CBE">
        <w:rPr>
          <w:rFonts w:ascii="Arial" w:hAnsi="Arial" w:cs="Arial"/>
          <w:spacing w:val="-3"/>
          <w:sz w:val="16"/>
          <w:szCs w:val="16"/>
        </w:rPr>
        <w:t>efectuada por una sociedad calificadora de riesgos autorizada por la SFC</w:t>
      </w:r>
      <w:r w:rsidR="002262EA">
        <w:rPr>
          <w:rFonts w:ascii="Arial" w:hAnsi="Arial" w:cs="Arial"/>
          <w:spacing w:val="-3"/>
          <w:sz w:val="16"/>
          <w:szCs w:val="16"/>
        </w:rPr>
        <w:t xml:space="preserve">, </w:t>
      </w:r>
      <w:r w:rsidR="002262EA" w:rsidRPr="00CC2CBE">
        <w:rPr>
          <w:rFonts w:ascii="Arial" w:hAnsi="Arial" w:cs="Arial"/>
          <w:spacing w:val="-3"/>
          <w:sz w:val="16"/>
          <w:szCs w:val="16"/>
        </w:rPr>
        <w:t>se debe utilizar la calificación internacional efectuada por una sociedad calificadora de riesgos internacionalmente reconocida.</w:t>
      </w:r>
      <w:r w:rsidR="002262EA">
        <w:rPr>
          <w:rFonts w:ascii="Arial" w:hAnsi="Arial" w:cs="Arial"/>
          <w:spacing w:val="-3"/>
          <w:sz w:val="16"/>
          <w:szCs w:val="16"/>
        </w:rPr>
        <w:t xml:space="preserve"> </w:t>
      </w:r>
      <w:proofErr w:type="gramStart"/>
      <w:r w:rsidR="002262EA">
        <w:rPr>
          <w:rFonts w:ascii="Arial" w:hAnsi="Arial" w:cs="Arial"/>
          <w:spacing w:val="-3"/>
          <w:sz w:val="16"/>
          <w:szCs w:val="16"/>
        </w:rPr>
        <w:t>En caso que</w:t>
      </w:r>
      <w:proofErr w:type="gramEnd"/>
      <w:r w:rsidR="002262EA">
        <w:rPr>
          <w:rFonts w:ascii="Arial" w:hAnsi="Arial" w:cs="Arial"/>
          <w:spacing w:val="-3"/>
          <w:sz w:val="16"/>
          <w:szCs w:val="16"/>
        </w:rPr>
        <w:t xml:space="preserve"> no exista </w:t>
      </w:r>
      <w:r w:rsidR="002262EA" w:rsidRPr="00CC2CBE">
        <w:rPr>
          <w:rFonts w:ascii="Arial" w:hAnsi="Arial" w:cs="Arial"/>
          <w:spacing w:val="-3"/>
          <w:sz w:val="16"/>
          <w:szCs w:val="16"/>
        </w:rPr>
        <w:t xml:space="preserve">una calificación de riesgo específica del activo </w:t>
      </w:r>
      <w:r w:rsidR="002262EA">
        <w:rPr>
          <w:rFonts w:ascii="Arial" w:hAnsi="Arial" w:cs="Arial"/>
          <w:spacing w:val="-3"/>
          <w:sz w:val="16"/>
          <w:szCs w:val="16"/>
        </w:rPr>
        <w:t>local, deberá tomarse la calificación del emisor para determinar los porcentajes de castigo.</w:t>
      </w:r>
    </w:p>
    <w:p w14:paraId="6E83ACAA"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08B80D0C" w14:textId="4C83DD02" w:rsidR="000D04C6" w:rsidRDefault="000D04C6"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 xml:space="preserve">Cuando un activo tenga dos calificaciones vigentes otorgadas por diferentes calificadoras de riesgo, se </w:t>
      </w:r>
      <w:r w:rsidR="00410A73">
        <w:rPr>
          <w:rFonts w:ascii="Arial" w:hAnsi="Arial" w:cs="Arial"/>
          <w:spacing w:val="-3"/>
          <w:sz w:val="16"/>
          <w:szCs w:val="16"/>
        </w:rPr>
        <w:t>tomará</w:t>
      </w:r>
      <w:r>
        <w:rPr>
          <w:rFonts w:ascii="Arial" w:hAnsi="Arial" w:cs="Arial"/>
          <w:spacing w:val="-3"/>
          <w:sz w:val="16"/>
          <w:szCs w:val="16"/>
        </w:rPr>
        <w:t xml:space="preserve"> la </w:t>
      </w:r>
      <w:r w:rsidR="00410A73">
        <w:rPr>
          <w:rFonts w:ascii="Arial" w:hAnsi="Arial" w:cs="Arial"/>
          <w:spacing w:val="-3"/>
          <w:sz w:val="16"/>
          <w:szCs w:val="16"/>
        </w:rPr>
        <w:t>calificación más baja</w:t>
      </w:r>
      <w:r>
        <w:rPr>
          <w:rFonts w:ascii="Arial" w:hAnsi="Arial" w:cs="Arial"/>
          <w:spacing w:val="-3"/>
          <w:sz w:val="16"/>
          <w:szCs w:val="16"/>
        </w:rPr>
        <w:t xml:space="preserve">. Si existieran tres o más calificaciones, se deben considerar las dos calificaciones </w:t>
      </w:r>
      <w:r w:rsidR="00410A73">
        <w:rPr>
          <w:rFonts w:ascii="Arial" w:hAnsi="Arial" w:cs="Arial"/>
          <w:spacing w:val="-3"/>
          <w:sz w:val="16"/>
          <w:szCs w:val="16"/>
        </w:rPr>
        <w:t>por riesgo más altas</w:t>
      </w:r>
      <w:r>
        <w:rPr>
          <w:rFonts w:ascii="Arial" w:hAnsi="Arial" w:cs="Arial"/>
          <w:spacing w:val="-3"/>
          <w:sz w:val="16"/>
          <w:szCs w:val="16"/>
        </w:rPr>
        <w:t xml:space="preserve">, si éstas arrojaran la misma </w:t>
      </w:r>
      <w:r w:rsidR="00410A73">
        <w:rPr>
          <w:rFonts w:ascii="Arial" w:hAnsi="Arial" w:cs="Arial"/>
          <w:spacing w:val="-3"/>
          <w:sz w:val="16"/>
          <w:szCs w:val="16"/>
        </w:rPr>
        <w:t>calificación</w:t>
      </w:r>
      <w:r>
        <w:rPr>
          <w:rFonts w:ascii="Arial" w:hAnsi="Arial" w:cs="Arial"/>
          <w:spacing w:val="-3"/>
          <w:sz w:val="16"/>
          <w:szCs w:val="16"/>
        </w:rPr>
        <w:t xml:space="preserve">, debe </w:t>
      </w:r>
      <w:r w:rsidR="00410A73">
        <w:rPr>
          <w:rFonts w:ascii="Arial" w:hAnsi="Arial" w:cs="Arial"/>
          <w:spacing w:val="-3"/>
          <w:sz w:val="16"/>
          <w:szCs w:val="16"/>
        </w:rPr>
        <w:t>tomarse</w:t>
      </w:r>
      <w:r>
        <w:rPr>
          <w:rFonts w:ascii="Arial" w:hAnsi="Arial" w:cs="Arial"/>
          <w:spacing w:val="-3"/>
          <w:sz w:val="16"/>
          <w:szCs w:val="16"/>
        </w:rPr>
        <w:t xml:space="preserve"> dicha </w:t>
      </w:r>
      <w:r w:rsidR="00410A73">
        <w:rPr>
          <w:rFonts w:ascii="Arial" w:hAnsi="Arial" w:cs="Arial"/>
          <w:spacing w:val="-3"/>
          <w:sz w:val="16"/>
          <w:szCs w:val="16"/>
        </w:rPr>
        <w:t>calificación</w:t>
      </w:r>
      <w:r>
        <w:rPr>
          <w:rFonts w:ascii="Arial" w:hAnsi="Arial" w:cs="Arial"/>
          <w:spacing w:val="-3"/>
          <w:sz w:val="16"/>
          <w:szCs w:val="16"/>
        </w:rPr>
        <w:t xml:space="preserve">; si la </w:t>
      </w:r>
      <w:r w:rsidR="00410A73">
        <w:rPr>
          <w:rFonts w:ascii="Arial" w:hAnsi="Arial" w:cs="Arial"/>
          <w:spacing w:val="-3"/>
          <w:sz w:val="16"/>
          <w:szCs w:val="16"/>
        </w:rPr>
        <w:t>calificación</w:t>
      </w:r>
      <w:r>
        <w:rPr>
          <w:rFonts w:ascii="Arial" w:hAnsi="Arial" w:cs="Arial"/>
          <w:spacing w:val="-3"/>
          <w:sz w:val="16"/>
          <w:szCs w:val="16"/>
        </w:rPr>
        <w:t xml:space="preserve"> es diferente, debe </w:t>
      </w:r>
      <w:r w:rsidR="00410A73">
        <w:rPr>
          <w:rFonts w:ascii="Arial" w:hAnsi="Arial" w:cs="Arial"/>
          <w:spacing w:val="-3"/>
          <w:sz w:val="16"/>
          <w:szCs w:val="16"/>
        </w:rPr>
        <w:t xml:space="preserve">tomarse </w:t>
      </w:r>
      <w:r>
        <w:rPr>
          <w:rFonts w:ascii="Arial" w:hAnsi="Arial" w:cs="Arial"/>
          <w:spacing w:val="-3"/>
          <w:sz w:val="16"/>
          <w:szCs w:val="16"/>
        </w:rPr>
        <w:t xml:space="preserve">la más </w:t>
      </w:r>
      <w:r w:rsidR="00410A73">
        <w:rPr>
          <w:rFonts w:ascii="Arial" w:hAnsi="Arial" w:cs="Arial"/>
          <w:spacing w:val="-3"/>
          <w:sz w:val="16"/>
          <w:szCs w:val="16"/>
        </w:rPr>
        <w:t>baja</w:t>
      </w:r>
      <w:r>
        <w:rPr>
          <w:rFonts w:ascii="Arial" w:hAnsi="Arial" w:cs="Arial"/>
          <w:spacing w:val="-3"/>
          <w:sz w:val="16"/>
          <w:szCs w:val="16"/>
        </w:rPr>
        <w:t>.</w:t>
      </w:r>
    </w:p>
    <w:p w14:paraId="79C27B40"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BDF718F" w14:textId="34FF4B2C" w:rsidR="00C6188D" w:rsidRDefault="00C6188D" w:rsidP="00E45D7A">
      <w:pPr>
        <w:tabs>
          <w:tab w:val="left" w:pos="-720"/>
        </w:tabs>
        <w:suppressAutoHyphens/>
        <w:spacing w:after="0" w:line="240" w:lineRule="auto"/>
        <w:jc w:val="both"/>
        <w:rPr>
          <w:rFonts w:ascii="Arial" w:hAnsi="Arial" w:cs="Arial"/>
          <w:spacing w:val="-3"/>
          <w:sz w:val="16"/>
          <w:szCs w:val="16"/>
        </w:rPr>
      </w:pPr>
      <w:r>
        <w:rPr>
          <w:rFonts w:ascii="Arial" w:hAnsi="Arial" w:cs="Arial"/>
          <w:spacing w:val="-3"/>
          <w:sz w:val="16"/>
          <w:szCs w:val="16"/>
        </w:rPr>
        <w:t xml:space="preserve">Para el caso de las participaciones en títulos participativos, fondos de inversión, </w:t>
      </w:r>
      <w:proofErr w:type="spellStart"/>
      <w:r>
        <w:rPr>
          <w:rFonts w:ascii="Arial" w:hAnsi="Arial" w:cs="Arial"/>
          <w:spacing w:val="-3"/>
          <w:sz w:val="16"/>
          <w:szCs w:val="16"/>
        </w:rPr>
        <w:t>ETFs</w:t>
      </w:r>
      <w:proofErr w:type="spellEnd"/>
      <w:r>
        <w:rPr>
          <w:rFonts w:ascii="Arial" w:hAnsi="Arial" w:cs="Arial"/>
          <w:spacing w:val="-3"/>
          <w:sz w:val="16"/>
          <w:szCs w:val="16"/>
        </w:rPr>
        <w:t xml:space="preserve"> o fondos de capital privado, para determinar los porcentajes de castigo, las entidades pueden remitirse a la calificación crediticia de los activos subyacentes</w:t>
      </w:r>
      <w:r w:rsidR="00410A73">
        <w:rPr>
          <w:rFonts w:ascii="Arial" w:hAnsi="Arial" w:cs="Arial"/>
          <w:spacing w:val="-3"/>
          <w:sz w:val="16"/>
          <w:szCs w:val="16"/>
        </w:rPr>
        <w:t xml:space="preserve"> según su plazo al vencimiento.</w:t>
      </w:r>
      <w:r>
        <w:rPr>
          <w:rFonts w:ascii="Arial" w:hAnsi="Arial" w:cs="Arial"/>
          <w:spacing w:val="-3"/>
          <w:sz w:val="16"/>
          <w:szCs w:val="16"/>
        </w:rPr>
        <w:t xml:space="preserve"> </w:t>
      </w:r>
      <w:r w:rsidR="00410A73">
        <w:rPr>
          <w:rFonts w:ascii="Arial" w:hAnsi="Arial" w:cs="Arial"/>
          <w:spacing w:val="-3"/>
          <w:sz w:val="16"/>
          <w:szCs w:val="16"/>
        </w:rPr>
        <w:t>E</w:t>
      </w:r>
      <w:r>
        <w:rPr>
          <w:rFonts w:ascii="Arial" w:hAnsi="Arial" w:cs="Arial"/>
          <w:spacing w:val="-3"/>
          <w:sz w:val="16"/>
          <w:szCs w:val="16"/>
        </w:rPr>
        <w:t>n caso de no conocer</w:t>
      </w:r>
      <w:r w:rsidR="00410A73">
        <w:rPr>
          <w:rFonts w:ascii="Arial" w:hAnsi="Arial" w:cs="Arial"/>
          <w:spacing w:val="-3"/>
          <w:sz w:val="16"/>
          <w:szCs w:val="16"/>
        </w:rPr>
        <w:t xml:space="preserve"> los activos subyacentes</w:t>
      </w:r>
      <w:r>
        <w:rPr>
          <w:rFonts w:ascii="Arial" w:hAnsi="Arial" w:cs="Arial"/>
          <w:spacing w:val="-3"/>
          <w:sz w:val="16"/>
          <w:szCs w:val="16"/>
        </w:rPr>
        <w:t>, deben tomar él castigo correspondiente a títulos de grado especulativo</w:t>
      </w:r>
      <w:r w:rsidR="00410A73">
        <w:rPr>
          <w:rFonts w:ascii="Arial" w:hAnsi="Arial" w:cs="Arial"/>
          <w:spacing w:val="-3"/>
          <w:sz w:val="16"/>
          <w:szCs w:val="16"/>
        </w:rPr>
        <w:t>, al menor plazo disponible</w:t>
      </w:r>
      <w:r>
        <w:rPr>
          <w:rFonts w:ascii="Arial" w:hAnsi="Arial" w:cs="Arial"/>
          <w:spacing w:val="-3"/>
          <w:sz w:val="16"/>
          <w:szCs w:val="16"/>
        </w:rPr>
        <w:t>.</w:t>
      </w:r>
    </w:p>
    <w:p w14:paraId="40F3B9D1" w14:textId="77777777" w:rsidR="00E45D7A" w:rsidRDefault="00E45D7A" w:rsidP="00E45D7A">
      <w:pPr>
        <w:tabs>
          <w:tab w:val="left" w:pos="-720"/>
        </w:tabs>
        <w:suppressAutoHyphens/>
        <w:spacing w:after="0" w:line="240" w:lineRule="auto"/>
        <w:jc w:val="both"/>
        <w:rPr>
          <w:rFonts w:ascii="Arial" w:hAnsi="Arial" w:cs="Arial"/>
          <w:spacing w:val="-3"/>
          <w:sz w:val="16"/>
          <w:szCs w:val="16"/>
        </w:rPr>
      </w:pPr>
    </w:p>
    <w:p w14:paraId="380FFE9C" w14:textId="612C50CE" w:rsidR="00315128" w:rsidRDefault="00C54C2B" w:rsidP="00E45D7A">
      <w:pPr>
        <w:spacing w:after="0" w:line="240" w:lineRule="auto"/>
        <w:jc w:val="both"/>
        <w:rPr>
          <w:rFonts w:ascii="Arial" w:hAnsi="Arial" w:cs="Arial"/>
          <w:spacing w:val="-3"/>
          <w:sz w:val="16"/>
          <w:szCs w:val="16"/>
        </w:rPr>
      </w:pPr>
      <w:r w:rsidRPr="00BA261B">
        <w:rPr>
          <w:rFonts w:ascii="Arial" w:hAnsi="Arial" w:cs="Arial"/>
          <w:spacing w:val="-3"/>
          <w:sz w:val="16"/>
          <w:szCs w:val="16"/>
        </w:rPr>
        <w:t xml:space="preserve">En todo caso, la entidad aseguradora debe mantener a disposición de la SFC </w:t>
      </w:r>
      <w:r w:rsidR="001E38D8" w:rsidRPr="0078732C">
        <w:rPr>
          <w:rFonts w:ascii="Arial" w:hAnsi="Arial" w:cs="Arial"/>
          <w:spacing w:val="-3"/>
          <w:sz w:val="16"/>
          <w:szCs w:val="16"/>
        </w:rPr>
        <w:t xml:space="preserve">los porcentajes de castigo aplicados </w:t>
      </w:r>
      <w:r w:rsidR="001E38D8">
        <w:rPr>
          <w:rFonts w:ascii="Arial" w:hAnsi="Arial" w:cs="Arial"/>
          <w:spacing w:val="-3"/>
          <w:sz w:val="16"/>
          <w:szCs w:val="16"/>
        </w:rPr>
        <w:t xml:space="preserve">al valor del activo </w:t>
      </w:r>
      <w:r w:rsidR="001E38D8" w:rsidRPr="0078732C">
        <w:rPr>
          <w:rFonts w:ascii="Arial" w:hAnsi="Arial" w:cs="Arial"/>
          <w:spacing w:val="-3"/>
          <w:sz w:val="16"/>
          <w:szCs w:val="16"/>
        </w:rPr>
        <w:t>y sus flujos correspondientes</w:t>
      </w:r>
      <w:r w:rsidR="001E38D8">
        <w:rPr>
          <w:rFonts w:ascii="Arial" w:hAnsi="Arial" w:cs="Arial"/>
          <w:spacing w:val="-3"/>
          <w:sz w:val="16"/>
          <w:szCs w:val="16"/>
        </w:rPr>
        <w:t>, así como la metodología u</w:t>
      </w:r>
      <w:r w:rsidR="00BF2DB2">
        <w:rPr>
          <w:rFonts w:ascii="Arial" w:hAnsi="Arial" w:cs="Arial"/>
          <w:spacing w:val="-3"/>
          <w:sz w:val="16"/>
          <w:szCs w:val="16"/>
        </w:rPr>
        <w:t>tilizada para su determinación.</w:t>
      </w:r>
    </w:p>
    <w:p w14:paraId="3BDF71FC" w14:textId="1AB1843E" w:rsidR="00CB7C0C" w:rsidRPr="008A509F" w:rsidRDefault="00CB7C0C" w:rsidP="00F81212">
      <w:pPr>
        <w:spacing w:after="0" w:line="240" w:lineRule="auto"/>
        <w:jc w:val="both"/>
        <w:rPr>
          <w:rFonts w:ascii="Arial" w:eastAsiaTheme="minorEastAsia" w:hAnsi="Arial" w:cs="Arial"/>
          <w:sz w:val="16"/>
          <w:szCs w:val="16"/>
        </w:rPr>
      </w:pPr>
    </w:p>
    <w:sectPr w:rsidR="00CB7C0C" w:rsidRPr="008A509F"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A863B" w14:textId="77777777" w:rsidR="00DA1C9D" w:rsidRDefault="00DA1C9D" w:rsidP="00CE4023">
      <w:pPr>
        <w:spacing w:after="0" w:line="240" w:lineRule="auto"/>
      </w:pPr>
      <w:r>
        <w:separator/>
      </w:r>
    </w:p>
  </w:endnote>
  <w:endnote w:type="continuationSeparator" w:id="0">
    <w:p w14:paraId="39C47E21" w14:textId="77777777" w:rsidR="00DA1C9D" w:rsidRDefault="00DA1C9D" w:rsidP="00CE4023">
      <w:pPr>
        <w:spacing w:after="0" w:line="240" w:lineRule="auto"/>
      </w:pPr>
      <w:r>
        <w:continuationSeparator/>
      </w:r>
    </w:p>
  </w:endnote>
  <w:endnote w:type="continuationNotice" w:id="1">
    <w:p w14:paraId="02F2A51D" w14:textId="77777777" w:rsidR="00DA1C9D" w:rsidRDefault="00DA1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F7203" w14:textId="77777777" w:rsidR="00CC2CBE" w:rsidRDefault="00CC2CBE" w:rsidP="00CE4023">
    <w:pPr>
      <w:pStyle w:val="Textosinformato"/>
      <w:tabs>
        <w:tab w:val="left" w:pos="0"/>
      </w:tabs>
      <w:ind w:right="51"/>
      <w:jc w:val="both"/>
      <w:rPr>
        <w:rFonts w:ascii="Arial" w:hAnsi="Arial" w:cs="Arial"/>
        <w:b/>
        <w:bCs/>
        <w:sz w:val="18"/>
        <w:szCs w:val="18"/>
        <w:lang w:val="pt-BR"/>
      </w:rPr>
    </w:pPr>
  </w:p>
  <w:p w14:paraId="3BDF7204" w14:textId="535D84D1" w:rsidR="00CC2CBE" w:rsidRPr="001E761F" w:rsidRDefault="00CC2CBE" w:rsidP="00CE4023">
    <w:pPr>
      <w:pStyle w:val="Textosinformato"/>
      <w:tabs>
        <w:tab w:val="left" w:pos="0"/>
      </w:tabs>
      <w:ind w:right="51"/>
      <w:jc w:val="both"/>
      <w:rPr>
        <w:rFonts w:ascii="Arial" w:hAnsi="Arial" w:cs="Arial"/>
        <w:b/>
        <w:lang w:val="es-CO"/>
      </w:rPr>
    </w:pPr>
    <w:r>
      <w:rPr>
        <w:rFonts w:ascii="Arial" w:hAnsi="Arial" w:cs="Arial"/>
        <w:b/>
        <w:bCs/>
        <w:sz w:val="18"/>
        <w:szCs w:val="18"/>
        <w:lang w:val="pt-BR"/>
      </w:rPr>
      <w:t>PARTE II - TÍTULO IV – ANEXO 13</w:t>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r>
    <w:r>
      <w:rPr>
        <w:rFonts w:ascii="Arial" w:hAnsi="Arial" w:cs="Arial"/>
        <w:b/>
        <w:bCs/>
        <w:sz w:val="18"/>
        <w:szCs w:val="18"/>
        <w:lang w:val="pt-BR"/>
      </w:rPr>
      <w:tab/>
      <w:t xml:space="preserve">         P</w:t>
    </w:r>
    <w:r w:rsidRPr="002B6B38">
      <w:rPr>
        <w:rFonts w:ascii="Arial" w:hAnsi="Arial" w:cs="Arial"/>
        <w:b/>
        <w:bCs/>
        <w:sz w:val="18"/>
        <w:szCs w:val="18"/>
        <w:lang w:val="pt-BR"/>
      </w:rPr>
      <w:t>ÁGINA</w:t>
    </w:r>
    <w:r w:rsidRPr="004C293D">
      <w:rPr>
        <w:rStyle w:val="Nmerodepgina"/>
        <w:rFonts w:ascii="Arial" w:hAnsi="Arial" w:cs="Arial"/>
        <w:b/>
        <w:sz w:val="18"/>
        <w:szCs w:val="18"/>
      </w:rPr>
      <w:t xml:space="preserve"> </w:t>
    </w:r>
    <w:r w:rsidRPr="007477AC">
      <w:rPr>
        <w:rStyle w:val="Nmerodepgina"/>
        <w:rFonts w:ascii="Arial" w:hAnsi="Arial" w:cs="Arial"/>
        <w:b/>
      </w:rPr>
      <w:fldChar w:fldCharType="begin"/>
    </w:r>
    <w:r w:rsidRPr="007477AC">
      <w:rPr>
        <w:rStyle w:val="Nmerodepgina"/>
        <w:rFonts w:ascii="Arial" w:hAnsi="Arial" w:cs="Arial"/>
        <w:b/>
      </w:rPr>
      <w:instrText xml:space="preserve"> PAGE </w:instrText>
    </w:r>
    <w:r w:rsidRPr="007477AC">
      <w:rPr>
        <w:rStyle w:val="Nmerodepgina"/>
        <w:rFonts w:ascii="Arial" w:hAnsi="Arial" w:cs="Arial"/>
        <w:b/>
      </w:rPr>
      <w:fldChar w:fldCharType="separate"/>
    </w:r>
    <w:r w:rsidR="00926C85">
      <w:rPr>
        <w:rStyle w:val="Nmerodepgina"/>
        <w:rFonts w:ascii="Arial" w:hAnsi="Arial" w:cs="Arial"/>
        <w:b/>
        <w:noProof/>
      </w:rPr>
      <w:t>2</w:t>
    </w:r>
    <w:r w:rsidRPr="007477AC">
      <w:rPr>
        <w:rStyle w:val="Nmerodepgina"/>
        <w:rFonts w:ascii="Arial" w:hAnsi="Arial" w:cs="Arial"/>
        <w:b/>
      </w:rPr>
      <w:fldChar w:fldCharType="end"/>
    </w:r>
  </w:p>
  <w:p w14:paraId="3BDF7205" w14:textId="1755A392" w:rsidR="00CC2CBE" w:rsidRPr="00CE4023" w:rsidRDefault="00F834FB" w:rsidP="00F834FB">
    <w:pPr>
      <w:pStyle w:val="Textosinformato"/>
      <w:tabs>
        <w:tab w:val="left" w:pos="0"/>
      </w:tabs>
      <w:ind w:right="51"/>
      <w:jc w:val="both"/>
      <w:rPr>
        <w:rFonts w:ascii="Arial" w:hAnsi="Arial" w:cs="Arial"/>
        <w:b/>
        <w:bCs/>
        <w:sz w:val="18"/>
        <w:szCs w:val="18"/>
        <w:lang w:val="pt-BR"/>
      </w:rPr>
    </w:pPr>
    <w:r w:rsidRPr="00F834FB">
      <w:rPr>
        <w:rFonts w:ascii="Arial" w:hAnsi="Arial" w:cs="Arial"/>
        <w:b/>
        <w:bCs/>
        <w:sz w:val="18"/>
        <w:szCs w:val="18"/>
        <w:lang w:val="pt-BR"/>
      </w:rPr>
      <w:t xml:space="preserve">Circular </w:t>
    </w:r>
    <w:proofErr w:type="gramStart"/>
    <w:r w:rsidRPr="00F834FB">
      <w:rPr>
        <w:rFonts w:ascii="Arial" w:hAnsi="Arial" w:cs="Arial"/>
        <w:b/>
        <w:bCs/>
        <w:sz w:val="18"/>
        <w:szCs w:val="18"/>
        <w:lang w:val="pt-BR"/>
      </w:rPr>
      <w:t xml:space="preserve">Externa  </w:t>
    </w:r>
    <w:r w:rsidR="00CF132A">
      <w:rPr>
        <w:rFonts w:ascii="Arial" w:hAnsi="Arial" w:cs="Arial"/>
        <w:b/>
        <w:bCs/>
        <w:sz w:val="18"/>
        <w:szCs w:val="18"/>
        <w:lang w:val="pt-BR"/>
      </w:rPr>
      <w:t>036</w:t>
    </w:r>
    <w:proofErr w:type="gramEnd"/>
    <w:r w:rsidRPr="00F834FB">
      <w:rPr>
        <w:rFonts w:ascii="Arial" w:hAnsi="Arial" w:cs="Arial"/>
        <w:b/>
        <w:bCs/>
        <w:sz w:val="18"/>
        <w:szCs w:val="18"/>
        <w:lang w:val="pt-BR"/>
      </w:rPr>
      <w:t xml:space="preserve">  de 2020 </w:t>
    </w:r>
    <w:r w:rsidRPr="00F834FB">
      <w:rPr>
        <w:rFonts w:ascii="Arial" w:hAnsi="Arial" w:cs="Arial"/>
        <w:b/>
        <w:bCs/>
        <w:sz w:val="18"/>
        <w:szCs w:val="18"/>
        <w:lang w:val="pt-BR"/>
      </w:rPr>
      <w:tab/>
      <w:t xml:space="preserve">                                                                                     </w:t>
    </w:r>
    <w:proofErr w:type="spellStart"/>
    <w:r w:rsidR="00110790">
      <w:rPr>
        <w:rFonts w:ascii="Arial" w:hAnsi="Arial" w:cs="Arial"/>
        <w:b/>
        <w:bCs/>
        <w:sz w:val="18"/>
        <w:szCs w:val="18"/>
        <w:lang w:val="pt-BR"/>
      </w:rPr>
      <w:t>Diciembre</w:t>
    </w:r>
    <w:proofErr w:type="spellEnd"/>
    <w:r w:rsidRPr="00F834FB">
      <w:rPr>
        <w:rFonts w:ascii="Arial" w:hAnsi="Arial" w:cs="Arial"/>
        <w:b/>
        <w:bCs/>
        <w:sz w:val="18"/>
        <w:szCs w:val="18"/>
        <w:lang w:val="pt-BR"/>
      </w:rPr>
      <w:t xml:space="preserve"> de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580D5" w14:textId="77777777" w:rsidR="00DA1C9D" w:rsidRDefault="00DA1C9D" w:rsidP="00CE4023">
      <w:pPr>
        <w:spacing w:after="0" w:line="240" w:lineRule="auto"/>
      </w:pPr>
      <w:r>
        <w:separator/>
      </w:r>
    </w:p>
  </w:footnote>
  <w:footnote w:type="continuationSeparator" w:id="0">
    <w:p w14:paraId="68AB20BC" w14:textId="77777777" w:rsidR="00DA1C9D" w:rsidRDefault="00DA1C9D" w:rsidP="00CE4023">
      <w:pPr>
        <w:spacing w:after="0" w:line="240" w:lineRule="auto"/>
      </w:pPr>
      <w:r>
        <w:continuationSeparator/>
      </w:r>
    </w:p>
  </w:footnote>
  <w:footnote w:type="continuationNotice" w:id="1">
    <w:p w14:paraId="75F311B6" w14:textId="77777777" w:rsidR="00DA1C9D" w:rsidRDefault="00DA1C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F7201" w14:textId="77777777" w:rsidR="00CC2CBE" w:rsidRPr="006C0502" w:rsidRDefault="00CC2CBE" w:rsidP="00CE4023">
    <w:pPr>
      <w:pStyle w:val="Encabezado"/>
      <w:jc w:val="center"/>
      <w:rPr>
        <w:rFonts w:ascii="Arial" w:hAnsi="Arial" w:cs="Arial"/>
        <w:b/>
        <w:bCs/>
      </w:rPr>
    </w:pPr>
    <w:r w:rsidRPr="006C0502">
      <w:rPr>
        <w:rFonts w:ascii="Arial" w:hAnsi="Arial" w:cs="Arial"/>
        <w:b/>
        <w:bCs/>
      </w:rPr>
      <w:t>SUPERINTENDENCIA FINANCIERA DE COLOMBIA</w:t>
    </w:r>
  </w:p>
  <w:p w14:paraId="3BDF7202" w14:textId="77777777" w:rsidR="00CC2CBE" w:rsidRDefault="00CC2C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abstractNumId w:val="2"/>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201E9"/>
    <w:rsid w:val="00024446"/>
    <w:rsid w:val="00040CCD"/>
    <w:rsid w:val="0006694C"/>
    <w:rsid w:val="00074519"/>
    <w:rsid w:val="00080A47"/>
    <w:rsid w:val="000862FD"/>
    <w:rsid w:val="00090767"/>
    <w:rsid w:val="000959E3"/>
    <w:rsid w:val="000A3597"/>
    <w:rsid w:val="000A520A"/>
    <w:rsid w:val="000A55AB"/>
    <w:rsid w:val="000C0E56"/>
    <w:rsid w:val="000D04C6"/>
    <w:rsid w:val="000E1EB8"/>
    <w:rsid w:val="00102A92"/>
    <w:rsid w:val="001040DD"/>
    <w:rsid w:val="00110790"/>
    <w:rsid w:val="00114459"/>
    <w:rsid w:val="00126DDB"/>
    <w:rsid w:val="00131048"/>
    <w:rsid w:val="00133F92"/>
    <w:rsid w:val="00146F5C"/>
    <w:rsid w:val="00150D70"/>
    <w:rsid w:val="00151AB4"/>
    <w:rsid w:val="00190040"/>
    <w:rsid w:val="00196D4A"/>
    <w:rsid w:val="001A1688"/>
    <w:rsid w:val="001A78F2"/>
    <w:rsid w:val="001C1138"/>
    <w:rsid w:val="001C4077"/>
    <w:rsid w:val="001C4DC4"/>
    <w:rsid w:val="001C6D5C"/>
    <w:rsid w:val="001D67DC"/>
    <w:rsid w:val="001E1323"/>
    <w:rsid w:val="001E38D8"/>
    <w:rsid w:val="001F45AE"/>
    <w:rsid w:val="001F7FB4"/>
    <w:rsid w:val="00205F8D"/>
    <w:rsid w:val="00220F50"/>
    <w:rsid w:val="002262EA"/>
    <w:rsid w:val="00230F08"/>
    <w:rsid w:val="0023588A"/>
    <w:rsid w:val="00273D68"/>
    <w:rsid w:val="00293DEB"/>
    <w:rsid w:val="0029467A"/>
    <w:rsid w:val="002A6990"/>
    <w:rsid w:val="002F08FB"/>
    <w:rsid w:val="003079EA"/>
    <w:rsid w:val="003120D9"/>
    <w:rsid w:val="00314A93"/>
    <w:rsid w:val="00314E3B"/>
    <w:rsid w:val="00315128"/>
    <w:rsid w:val="0032224E"/>
    <w:rsid w:val="00330E22"/>
    <w:rsid w:val="00343C23"/>
    <w:rsid w:val="003471AE"/>
    <w:rsid w:val="00354B9E"/>
    <w:rsid w:val="00380DE7"/>
    <w:rsid w:val="003C595F"/>
    <w:rsid w:val="003C773D"/>
    <w:rsid w:val="003D405D"/>
    <w:rsid w:val="003D6B0F"/>
    <w:rsid w:val="003F2560"/>
    <w:rsid w:val="003F2B37"/>
    <w:rsid w:val="003F52B9"/>
    <w:rsid w:val="00401E16"/>
    <w:rsid w:val="00403A38"/>
    <w:rsid w:val="00410A73"/>
    <w:rsid w:val="00414F46"/>
    <w:rsid w:val="004228FE"/>
    <w:rsid w:val="00426ACA"/>
    <w:rsid w:val="0043621A"/>
    <w:rsid w:val="004368C7"/>
    <w:rsid w:val="00496F05"/>
    <w:rsid w:val="00497153"/>
    <w:rsid w:val="004D50B8"/>
    <w:rsid w:val="004D6278"/>
    <w:rsid w:val="004E46DD"/>
    <w:rsid w:val="004F10A8"/>
    <w:rsid w:val="00511002"/>
    <w:rsid w:val="00514051"/>
    <w:rsid w:val="0051660B"/>
    <w:rsid w:val="00530B0A"/>
    <w:rsid w:val="00553DD9"/>
    <w:rsid w:val="0055742A"/>
    <w:rsid w:val="005621B9"/>
    <w:rsid w:val="0057174D"/>
    <w:rsid w:val="00586D8C"/>
    <w:rsid w:val="005904FF"/>
    <w:rsid w:val="005D4E58"/>
    <w:rsid w:val="005E335D"/>
    <w:rsid w:val="005E63C4"/>
    <w:rsid w:val="006002C3"/>
    <w:rsid w:val="00602151"/>
    <w:rsid w:val="00603C8C"/>
    <w:rsid w:val="0061093C"/>
    <w:rsid w:val="00624F7E"/>
    <w:rsid w:val="006437C2"/>
    <w:rsid w:val="00654954"/>
    <w:rsid w:val="0067222B"/>
    <w:rsid w:val="006A5148"/>
    <w:rsid w:val="006D0743"/>
    <w:rsid w:val="006E1DB4"/>
    <w:rsid w:val="006E6A27"/>
    <w:rsid w:val="00704995"/>
    <w:rsid w:val="00720C2F"/>
    <w:rsid w:val="007251BB"/>
    <w:rsid w:val="00744A6E"/>
    <w:rsid w:val="007573A5"/>
    <w:rsid w:val="00766626"/>
    <w:rsid w:val="007708CC"/>
    <w:rsid w:val="00782A3E"/>
    <w:rsid w:val="0078732C"/>
    <w:rsid w:val="007920E9"/>
    <w:rsid w:val="007A552D"/>
    <w:rsid w:val="007D7ED0"/>
    <w:rsid w:val="007E7CA9"/>
    <w:rsid w:val="007F078E"/>
    <w:rsid w:val="00817CD5"/>
    <w:rsid w:val="008242B8"/>
    <w:rsid w:val="008369C6"/>
    <w:rsid w:val="00875789"/>
    <w:rsid w:val="00880803"/>
    <w:rsid w:val="008A36D4"/>
    <w:rsid w:val="008A509F"/>
    <w:rsid w:val="008B22C5"/>
    <w:rsid w:val="008B700B"/>
    <w:rsid w:val="008C1276"/>
    <w:rsid w:val="008C4CAD"/>
    <w:rsid w:val="008C7683"/>
    <w:rsid w:val="008D4D2C"/>
    <w:rsid w:val="008F2DCB"/>
    <w:rsid w:val="008F59B2"/>
    <w:rsid w:val="00902B85"/>
    <w:rsid w:val="009037AD"/>
    <w:rsid w:val="00911790"/>
    <w:rsid w:val="00924480"/>
    <w:rsid w:val="00926C85"/>
    <w:rsid w:val="00926E4B"/>
    <w:rsid w:val="0093722C"/>
    <w:rsid w:val="0094046D"/>
    <w:rsid w:val="00947C94"/>
    <w:rsid w:val="00951AD2"/>
    <w:rsid w:val="0097392D"/>
    <w:rsid w:val="009820FE"/>
    <w:rsid w:val="00984134"/>
    <w:rsid w:val="009A6072"/>
    <w:rsid w:val="009A6116"/>
    <w:rsid w:val="009A6E5F"/>
    <w:rsid w:val="009B285A"/>
    <w:rsid w:val="009B715E"/>
    <w:rsid w:val="009C44FB"/>
    <w:rsid w:val="009D6DD2"/>
    <w:rsid w:val="009E57C0"/>
    <w:rsid w:val="009F04B1"/>
    <w:rsid w:val="009F27FF"/>
    <w:rsid w:val="009F5C16"/>
    <w:rsid w:val="00A0070F"/>
    <w:rsid w:val="00A16C91"/>
    <w:rsid w:val="00A272EC"/>
    <w:rsid w:val="00A304C9"/>
    <w:rsid w:val="00A32B55"/>
    <w:rsid w:val="00A3528D"/>
    <w:rsid w:val="00A456B3"/>
    <w:rsid w:val="00A51C5F"/>
    <w:rsid w:val="00A85390"/>
    <w:rsid w:val="00AA5C8D"/>
    <w:rsid w:val="00AB3764"/>
    <w:rsid w:val="00AB5C43"/>
    <w:rsid w:val="00AD10F4"/>
    <w:rsid w:val="00AF65FE"/>
    <w:rsid w:val="00B0419C"/>
    <w:rsid w:val="00B06692"/>
    <w:rsid w:val="00B11A94"/>
    <w:rsid w:val="00B11B08"/>
    <w:rsid w:val="00B15075"/>
    <w:rsid w:val="00B30643"/>
    <w:rsid w:val="00B54CB4"/>
    <w:rsid w:val="00B6269E"/>
    <w:rsid w:val="00B63499"/>
    <w:rsid w:val="00B66E80"/>
    <w:rsid w:val="00B672C0"/>
    <w:rsid w:val="00B9315D"/>
    <w:rsid w:val="00BA261B"/>
    <w:rsid w:val="00BA7063"/>
    <w:rsid w:val="00BB3A68"/>
    <w:rsid w:val="00BB5438"/>
    <w:rsid w:val="00BC4281"/>
    <w:rsid w:val="00BC5601"/>
    <w:rsid w:val="00BC60D0"/>
    <w:rsid w:val="00BE256C"/>
    <w:rsid w:val="00BF2DB2"/>
    <w:rsid w:val="00C048BE"/>
    <w:rsid w:val="00C174C2"/>
    <w:rsid w:val="00C42320"/>
    <w:rsid w:val="00C54C2B"/>
    <w:rsid w:val="00C6188D"/>
    <w:rsid w:val="00C62818"/>
    <w:rsid w:val="00C72828"/>
    <w:rsid w:val="00C74825"/>
    <w:rsid w:val="00C755EC"/>
    <w:rsid w:val="00C75678"/>
    <w:rsid w:val="00C84451"/>
    <w:rsid w:val="00C93168"/>
    <w:rsid w:val="00CB5691"/>
    <w:rsid w:val="00CB7C0C"/>
    <w:rsid w:val="00CC0704"/>
    <w:rsid w:val="00CC2214"/>
    <w:rsid w:val="00CC2CBE"/>
    <w:rsid w:val="00CC2F2B"/>
    <w:rsid w:val="00CE4023"/>
    <w:rsid w:val="00CF0292"/>
    <w:rsid w:val="00CF132A"/>
    <w:rsid w:val="00CF22B4"/>
    <w:rsid w:val="00CF3E7F"/>
    <w:rsid w:val="00D0748B"/>
    <w:rsid w:val="00D10841"/>
    <w:rsid w:val="00D253F6"/>
    <w:rsid w:val="00D4055B"/>
    <w:rsid w:val="00D504C8"/>
    <w:rsid w:val="00D70AF1"/>
    <w:rsid w:val="00D876C8"/>
    <w:rsid w:val="00D932B4"/>
    <w:rsid w:val="00D93BC2"/>
    <w:rsid w:val="00D97D93"/>
    <w:rsid w:val="00DA1C9D"/>
    <w:rsid w:val="00DA43EE"/>
    <w:rsid w:val="00DA771B"/>
    <w:rsid w:val="00DB2964"/>
    <w:rsid w:val="00DC322B"/>
    <w:rsid w:val="00DC3DA3"/>
    <w:rsid w:val="00DD70D8"/>
    <w:rsid w:val="00DE0F46"/>
    <w:rsid w:val="00E13775"/>
    <w:rsid w:val="00E161CC"/>
    <w:rsid w:val="00E17C60"/>
    <w:rsid w:val="00E17E1A"/>
    <w:rsid w:val="00E24DEA"/>
    <w:rsid w:val="00E2649D"/>
    <w:rsid w:val="00E37509"/>
    <w:rsid w:val="00E40531"/>
    <w:rsid w:val="00E45D7A"/>
    <w:rsid w:val="00E80C33"/>
    <w:rsid w:val="00E90268"/>
    <w:rsid w:val="00EA3D95"/>
    <w:rsid w:val="00EC2D88"/>
    <w:rsid w:val="00EE7DCC"/>
    <w:rsid w:val="00EF223D"/>
    <w:rsid w:val="00EF29E4"/>
    <w:rsid w:val="00F07483"/>
    <w:rsid w:val="00F23BCA"/>
    <w:rsid w:val="00F40692"/>
    <w:rsid w:val="00F40F77"/>
    <w:rsid w:val="00F6077D"/>
    <w:rsid w:val="00F64D15"/>
    <w:rsid w:val="00F75F69"/>
    <w:rsid w:val="00F7787D"/>
    <w:rsid w:val="00F81212"/>
    <w:rsid w:val="00F834FB"/>
    <w:rsid w:val="00FA2048"/>
    <w:rsid w:val="00FA6092"/>
    <w:rsid w:val="00FB2D54"/>
    <w:rsid w:val="00FD4E58"/>
    <w:rsid w:val="00FF2DE2"/>
    <w:rsid w:val="1FCEF9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DF7156"/>
  <w15:docId w15:val="{CF7EE99A-07FF-4366-A473-CDF2310D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127FE53B85F2B43B5723FA5C05D0431" ma:contentTypeVersion="2" ma:contentTypeDescription="Crear nuevo documento." ma:contentTypeScope="" ma:versionID="f8aab74289c520018f6d27ea0a98850d">
  <xsd:schema xmlns:xsd="http://www.w3.org/2001/XMLSchema" xmlns:xs="http://www.w3.org/2001/XMLSchema" xmlns:p="http://schemas.microsoft.com/office/2006/metadata/properties" xmlns:ns2="60f5659b-5e1f-4d92-badf-f2f410893b1b" targetNamespace="http://schemas.microsoft.com/office/2006/metadata/properties" ma:root="true" ma:fieldsID="c71efcc9b3e5246e1f1fd9952d38c52b" ns2:_="">
    <xsd:import namespace="60f5659b-5e1f-4d92-badf-f2f410893b1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5659b-5e1f-4d92-badf-f2f410893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2.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3.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D0B392-A51B-4CF2-B17B-91444BA3B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5659b-5e1f-4d92-badf-f2f410893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1882</Words>
  <Characters>10354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Marcela Pineda Gutierrez</dc:creator>
  <cp:lastModifiedBy>Gabriel Armando Ospina Garcia</cp:lastModifiedBy>
  <cp:revision>12</cp:revision>
  <cp:lastPrinted>2019-12-16T14:02:00Z</cp:lastPrinted>
  <dcterms:created xsi:type="dcterms:W3CDTF">2020-11-26T19:42:00Z</dcterms:created>
  <dcterms:modified xsi:type="dcterms:W3CDTF">2020-12-14T19:53:00Z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0x0101004127FE53B85F2B43B5723FA5C05D0431</vt:lpwstr>
  </property>
</Properties>
</file>