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8576CB" w14:textId="77777777" w:rsidR="003E5403" w:rsidRPr="002B1EC9" w:rsidRDefault="003E5403" w:rsidP="003E5403">
      <w:pPr>
        <w:autoSpaceDE w:val="0"/>
        <w:autoSpaceDN w:val="0"/>
        <w:adjustRightInd w:val="0"/>
        <w:jc w:val="both"/>
        <w:rPr>
          <w:rFonts w:cs="Arial"/>
          <w:bCs/>
          <w:spacing w:val="-3"/>
          <w:sz w:val="16"/>
          <w:szCs w:val="16"/>
        </w:rPr>
      </w:pPr>
      <w:r w:rsidRPr="002B1EC9">
        <w:rPr>
          <w:rFonts w:cs="Arial"/>
          <w:bCs/>
          <w:spacing w:val="-3"/>
          <w:sz w:val="16"/>
          <w:szCs w:val="16"/>
        </w:rPr>
        <w:t>Este comité tiene las siguientes responsabilidades:</w:t>
      </w:r>
    </w:p>
    <w:p w14:paraId="122B3FFC" w14:textId="77777777" w:rsidR="003E5403" w:rsidRPr="002B1EC9" w:rsidRDefault="003E5403" w:rsidP="003E5403">
      <w:pPr>
        <w:autoSpaceDE w:val="0"/>
        <w:autoSpaceDN w:val="0"/>
        <w:adjustRightInd w:val="0"/>
        <w:jc w:val="both"/>
        <w:rPr>
          <w:rFonts w:cs="Arial"/>
          <w:bCs/>
          <w:spacing w:val="-3"/>
          <w:sz w:val="16"/>
          <w:szCs w:val="16"/>
        </w:rPr>
      </w:pPr>
    </w:p>
    <w:p w14:paraId="002AA702" w14:textId="6EBC8F01" w:rsidR="003E5403" w:rsidRPr="002B1EC9" w:rsidRDefault="003E5403" w:rsidP="003E5403">
      <w:pPr>
        <w:autoSpaceDE w:val="0"/>
        <w:autoSpaceDN w:val="0"/>
        <w:adjustRightInd w:val="0"/>
        <w:jc w:val="both"/>
        <w:rPr>
          <w:rFonts w:cs="Arial"/>
          <w:bCs/>
          <w:spacing w:val="-3"/>
          <w:sz w:val="16"/>
          <w:szCs w:val="16"/>
        </w:rPr>
      </w:pPr>
      <w:r w:rsidRPr="002B1EC9">
        <w:rPr>
          <w:rFonts w:cs="Arial"/>
          <w:bCs/>
          <w:spacing w:val="-3"/>
          <w:sz w:val="16"/>
          <w:szCs w:val="16"/>
        </w:rPr>
        <w:t xml:space="preserve">2.2.5.3.5.3.1. Determinar la categoría y probabilidad del riesgo técnico-jurídico del proceso judicial, teniendo en cuenta los conocimientos y experiencia de los miembros del comité y la información disponible de los siniestros pagados. La metodología empleada para fijar las probabilidades de que trata este </w:t>
      </w:r>
      <w:proofErr w:type="spellStart"/>
      <w:r w:rsidRPr="002B1EC9">
        <w:rPr>
          <w:rFonts w:cs="Arial"/>
          <w:bCs/>
          <w:spacing w:val="-3"/>
          <w:sz w:val="16"/>
          <w:szCs w:val="16"/>
        </w:rPr>
        <w:t>subnumeral</w:t>
      </w:r>
      <w:proofErr w:type="spellEnd"/>
      <w:r w:rsidRPr="002B1EC9">
        <w:rPr>
          <w:rFonts w:cs="Arial"/>
          <w:bCs/>
          <w:spacing w:val="-3"/>
          <w:sz w:val="16"/>
          <w:szCs w:val="16"/>
        </w:rPr>
        <w:t xml:space="preserve"> debe estar debidamente documentada y mantenerse a disposición de la SFC. </w:t>
      </w:r>
    </w:p>
    <w:p w14:paraId="5C830A48" w14:textId="77777777" w:rsidR="00BE660C" w:rsidRPr="002B1EC9" w:rsidRDefault="00BE660C" w:rsidP="00E50E33">
      <w:pPr>
        <w:autoSpaceDE w:val="0"/>
        <w:autoSpaceDN w:val="0"/>
        <w:adjustRightInd w:val="0"/>
        <w:rPr>
          <w:rFonts w:cs="Arial"/>
          <w:bCs/>
          <w:spacing w:val="-3"/>
          <w:sz w:val="16"/>
          <w:szCs w:val="16"/>
        </w:rPr>
      </w:pPr>
    </w:p>
    <w:p w14:paraId="2A2E6278" w14:textId="77777777" w:rsidR="00BE660C" w:rsidRPr="002B1EC9" w:rsidRDefault="00BE660C" w:rsidP="00E50E33">
      <w:pPr>
        <w:autoSpaceDE w:val="0"/>
        <w:autoSpaceDN w:val="0"/>
        <w:adjustRightInd w:val="0"/>
        <w:jc w:val="both"/>
        <w:rPr>
          <w:rFonts w:cs="Arial"/>
          <w:bCs/>
          <w:spacing w:val="-3"/>
          <w:sz w:val="16"/>
          <w:szCs w:val="16"/>
        </w:rPr>
      </w:pPr>
      <w:r w:rsidRPr="002B1EC9">
        <w:rPr>
          <w:rFonts w:cs="Arial"/>
          <w:bCs/>
          <w:spacing w:val="-3"/>
          <w:sz w:val="16"/>
          <w:szCs w:val="16"/>
        </w:rPr>
        <w:t>2.2.5.3.5.3.2. Revisar los procesos judiciales, los cambios en la instancia jurídica para los procesos en curso y la terminación del proceso por conciliación o fallo.</w:t>
      </w:r>
    </w:p>
    <w:p w14:paraId="5084682A" w14:textId="77777777" w:rsidR="00BE660C" w:rsidRPr="002B1EC9" w:rsidRDefault="00BE660C" w:rsidP="00E50E33">
      <w:pPr>
        <w:autoSpaceDE w:val="0"/>
        <w:autoSpaceDN w:val="0"/>
        <w:adjustRightInd w:val="0"/>
        <w:rPr>
          <w:rFonts w:cs="Arial"/>
          <w:bCs/>
          <w:spacing w:val="-3"/>
          <w:sz w:val="16"/>
          <w:szCs w:val="16"/>
        </w:rPr>
      </w:pPr>
    </w:p>
    <w:p w14:paraId="590BFAFA" w14:textId="77777777" w:rsidR="00E24094" w:rsidRPr="002B1EC9" w:rsidRDefault="00BE660C" w:rsidP="00E50E33">
      <w:pPr>
        <w:autoSpaceDE w:val="0"/>
        <w:autoSpaceDN w:val="0"/>
        <w:adjustRightInd w:val="0"/>
        <w:rPr>
          <w:rFonts w:cs="Arial"/>
          <w:bCs/>
          <w:spacing w:val="-3"/>
          <w:sz w:val="16"/>
          <w:szCs w:val="16"/>
        </w:rPr>
      </w:pPr>
      <w:r w:rsidRPr="002B1EC9">
        <w:rPr>
          <w:rFonts w:cs="Arial"/>
          <w:bCs/>
          <w:spacing w:val="-3"/>
          <w:sz w:val="16"/>
          <w:szCs w:val="16"/>
        </w:rPr>
        <w:t>2.2.5.3.5.3.3. Hacer un seguimiento de los procesos judiciales en curso.</w:t>
      </w:r>
    </w:p>
    <w:p w14:paraId="3D20F53D" w14:textId="77777777" w:rsidR="00E24094" w:rsidRPr="002B1EC9" w:rsidRDefault="00E24094" w:rsidP="00E50E33">
      <w:pPr>
        <w:autoSpaceDE w:val="0"/>
        <w:autoSpaceDN w:val="0"/>
        <w:adjustRightInd w:val="0"/>
        <w:rPr>
          <w:rFonts w:cs="Arial"/>
          <w:b/>
          <w:spacing w:val="-3"/>
          <w:sz w:val="16"/>
          <w:szCs w:val="16"/>
        </w:rPr>
      </w:pPr>
    </w:p>
    <w:p w14:paraId="2C64BD1B" w14:textId="022BDEC4" w:rsidR="00BE660C" w:rsidRPr="002B1EC9" w:rsidRDefault="00BE660C" w:rsidP="00FA279B">
      <w:pPr>
        <w:pBdr>
          <w:left w:val="single" w:sz="4" w:space="1" w:color="auto"/>
        </w:pBdr>
        <w:autoSpaceDE w:val="0"/>
        <w:autoSpaceDN w:val="0"/>
        <w:adjustRightInd w:val="0"/>
        <w:rPr>
          <w:rFonts w:cs="Arial"/>
          <w:b/>
          <w:bCs/>
          <w:spacing w:val="-3"/>
          <w:sz w:val="16"/>
          <w:szCs w:val="16"/>
        </w:rPr>
      </w:pPr>
      <w:r w:rsidRPr="002B1EC9">
        <w:rPr>
          <w:rFonts w:cs="Arial"/>
          <w:b/>
          <w:bCs/>
          <w:sz w:val="16"/>
          <w:szCs w:val="16"/>
        </w:rPr>
        <w:t>2.2.6. Instrucciones relativas a la inversión de reservas técnicas en bienes raíces productivos</w:t>
      </w:r>
      <w:r w:rsidR="00E24094" w:rsidRPr="002B1EC9">
        <w:rPr>
          <w:rFonts w:cs="Arial"/>
          <w:b/>
          <w:bCs/>
          <w:sz w:val="16"/>
          <w:szCs w:val="16"/>
        </w:rPr>
        <w:t xml:space="preserve"> y no productivos</w:t>
      </w:r>
      <w:r w:rsidRPr="002B1EC9">
        <w:rPr>
          <w:rFonts w:cs="Arial"/>
          <w:b/>
          <w:bCs/>
          <w:sz w:val="16"/>
          <w:szCs w:val="16"/>
        </w:rPr>
        <w:t>.</w:t>
      </w:r>
    </w:p>
    <w:p w14:paraId="2FB76D88" w14:textId="77777777" w:rsidR="00BE660C" w:rsidRPr="002B1EC9" w:rsidRDefault="00BE660C" w:rsidP="00FA279B">
      <w:pPr>
        <w:pBdr>
          <w:left w:val="single" w:sz="4" w:space="1" w:color="auto"/>
        </w:pBdr>
        <w:tabs>
          <w:tab w:val="left" w:pos="720"/>
        </w:tabs>
        <w:jc w:val="both"/>
        <w:rPr>
          <w:rFonts w:cs="Arial"/>
          <w:sz w:val="16"/>
          <w:szCs w:val="16"/>
        </w:rPr>
      </w:pPr>
    </w:p>
    <w:p w14:paraId="2AF1C124" w14:textId="4278B1A9" w:rsidR="00BE660C" w:rsidRPr="002B1EC9" w:rsidRDefault="00BE660C" w:rsidP="00FA279B">
      <w:pPr>
        <w:pBdr>
          <w:left w:val="single" w:sz="4" w:space="1" w:color="auto"/>
        </w:pBdr>
        <w:tabs>
          <w:tab w:val="left" w:pos="720"/>
        </w:tabs>
        <w:jc w:val="both"/>
        <w:rPr>
          <w:rFonts w:cs="Arial"/>
          <w:sz w:val="16"/>
          <w:szCs w:val="16"/>
        </w:rPr>
      </w:pPr>
      <w:r w:rsidRPr="002B1EC9">
        <w:rPr>
          <w:rFonts w:cs="Arial"/>
          <w:sz w:val="16"/>
          <w:szCs w:val="16"/>
        </w:rPr>
        <w:t>De acuerdo con los numerales 3.10 del art. 2.31.3.1.2 y 17 del art. 2.31.3.1.4 del Decreto 2555 de 2010, las reservas técnicas de las entidades aseguradoras de vida, netas del activo de transferencia de riesgo al reasegurador, pueden estar invertidas en bienes raíces productivos</w:t>
      </w:r>
      <w:r w:rsidR="00E50E33" w:rsidRPr="002B1EC9">
        <w:rPr>
          <w:rFonts w:cs="Arial"/>
          <w:sz w:val="16"/>
          <w:szCs w:val="16"/>
        </w:rPr>
        <w:t xml:space="preserve"> </w:t>
      </w:r>
      <w:r w:rsidR="00E50E33" w:rsidRPr="002B1EC9">
        <w:rPr>
          <w:rFonts w:cs="Arial"/>
          <w:b/>
          <w:bCs/>
          <w:sz w:val="16"/>
          <w:szCs w:val="16"/>
        </w:rPr>
        <w:t>y no</w:t>
      </w:r>
      <w:r w:rsidRPr="002B1EC9">
        <w:rPr>
          <w:rFonts w:cs="Arial"/>
          <w:b/>
          <w:bCs/>
          <w:sz w:val="16"/>
          <w:szCs w:val="16"/>
        </w:rPr>
        <w:t xml:space="preserve"> </w:t>
      </w:r>
      <w:r w:rsidR="00E50E33" w:rsidRPr="002B1EC9">
        <w:rPr>
          <w:rFonts w:cs="Arial"/>
          <w:b/>
          <w:bCs/>
          <w:sz w:val="16"/>
          <w:szCs w:val="16"/>
        </w:rPr>
        <w:t>productivos</w:t>
      </w:r>
      <w:r w:rsidR="00E50E33" w:rsidRPr="002B1EC9">
        <w:rPr>
          <w:rFonts w:cs="Arial"/>
          <w:sz w:val="16"/>
          <w:szCs w:val="16"/>
        </w:rPr>
        <w:t xml:space="preserve"> </w:t>
      </w:r>
      <w:r w:rsidRPr="002B1EC9">
        <w:rPr>
          <w:rFonts w:cs="Arial"/>
          <w:sz w:val="16"/>
          <w:szCs w:val="16"/>
        </w:rPr>
        <w:t>ubicados en el territorio colombiano, sin perjuicio de lo dispuesto en el Capítulo V, Título I, Parte I de la presente Circular.</w:t>
      </w:r>
    </w:p>
    <w:p w14:paraId="178B478A" w14:textId="77777777" w:rsidR="00BE660C" w:rsidRPr="002B1EC9" w:rsidRDefault="00BE660C" w:rsidP="00FA279B">
      <w:pPr>
        <w:pBdr>
          <w:left w:val="single" w:sz="4" w:space="1" w:color="auto"/>
        </w:pBdr>
        <w:tabs>
          <w:tab w:val="left" w:pos="720"/>
        </w:tabs>
        <w:jc w:val="both"/>
        <w:rPr>
          <w:rFonts w:cs="Arial"/>
          <w:sz w:val="16"/>
          <w:szCs w:val="16"/>
        </w:rPr>
      </w:pPr>
    </w:p>
    <w:p w14:paraId="55443B38" w14:textId="47CED78D" w:rsidR="00BE660C" w:rsidRPr="002B1EC9" w:rsidRDefault="00BE660C" w:rsidP="00FA279B">
      <w:pPr>
        <w:pBdr>
          <w:left w:val="single" w:sz="4" w:space="1" w:color="auto"/>
        </w:pBdr>
        <w:tabs>
          <w:tab w:val="left" w:pos="720"/>
        </w:tabs>
        <w:jc w:val="both"/>
        <w:rPr>
          <w:rFonts w:cs="Arial"/>
          <w:b/>
          <w:bCs/>
          <w:sz w:val="16"/>
          <w:szCs w:val="16"/>
        </w:rPr>
      </w:pPr>
      <w:r w:rsidRPr="002B1EC9">
        <w:rPr>
          <w:rFonts w:cs="Arial"/>
          <w:b/>
          <w:bCs/>
          <w:sz w:val="16"/>
          <w:szCs w:val="16"/>
        </w:rPr>
        <w:t>2.2.6.1. Admisibilidad de la inversión en bienes raíces productivos</w:t>
      </w:r>
      <w:r w:rsidR="00E50E33" w:rsidRPr="002B1EC9">
        <w:rPr>
          <w:rFonts w:cs="Arial"/>
          <w:b/>
          <w:bCs/>
          <w:sz w:val="16"/>
          <w:szCs w:val="16"/>
        </w:rPr>
        <w:t xml:space="preserve"> y no productivos</w:t>
      </w:r>
      <w:r w:rsidRPr="002B1EC9">
        <w:rPr>
          <w:rFonts w:cs="Arial"/>
          <w:b/>
          <w:bCs/>
          <w:sz w:val="16"/>
          <w:szCs w:val="16"/>
        </w:rPr>
        <w:t>.</w:t>
      </w:r>
    </w:p>
    <w:p w14:paraId="35A0B520" w14:textId="77777777" w:rsidR="00BE660C" w:rsidRPr="002B1EC9" w:rsidRDefault="00BE660C" w:rsidP="00BE660C">
      <w:pPr>
        <w:tabs>
          <w:tab w:val="left" w:pos="720"/>
        </w:tabs>
        <w:jc w:val="both"/>
        <w:rPr>
          <w:rFonts w:cs="Arial"/>
          <w:sz w:val="16"/>
          <w:szCs w:val="16"/>
        </w:rPr>
      </w:pPr>
    </w:p>
    <w:p w14:paraId="71516809" w14:textId="77777777" w:rsidR="00BE660C" w:rsidRPr="002B1EC9" w:rsidRDefault="00BE660C" w:rsidP="00BE660C">
      <w:pPr>
        <w:tabs>
          <w:tab w:val="left" w:pos="720"/>
        </w:tabs>
        <w:jc w:val="both"/>
        <w:rPr>
          <w:rFonts w:cs="Arial"/>
          <w:sz w:val="16"/>
          <w:szCs w:val="16"/>
        </w:rPr>
      </w:pPr>
      <w:r w:rsidRPr="002B1EC9">
        <w:rPr>
          <w:rFonts w:cs="Arial"/>
          <w:sz w:val="16"/>
          <w:szCs w:val="16"/>
        </w:rPr>
        <w:t>Para que la inversión en bienes raíces productivos sea admisible, es necesario que se cumplan con los siguientes requisitos:</w:t>
      </w:r>
    </w:p>
    <w:p w14:paraId="5B11122F" w14:textId="77777777" w:rsidR="00BE660C" w:rsidRPr="002B1EC9" w:rsidRDefault="00BE660C" w:rsidP="00BE660C">
      <w:pPr>
        <w:tabs>
          <w:tab w:val="left" w:pos="720"/>
        </w:tabs>
        <w:jc w:val="both"/>
        <w:rPr>
          <w:rFonts w:cs="Arial"/>
          <w:sz w:val="16"/>
          <w:szCs w:val="16"/>
        </w:rPr>
      </w:pPr>
    </w:p>
    <w:p w14:paraId="38F38B16" w14:textId="77777777" w:rsidR="00BE660C" w:rsidRPr="002B1EC9" w:rsidRDefault="00BE660C" w:rsidP="00BE660C">
      <w:pPr>
        <w:tabs>
          <w:tab w:val="left" w:pos="720"/>
        </w:tabs>
        <w:jc w:val="both"/>
        <w:rPr>
          <w:rFonts w:cs="Arial"/>
          <w:sz w:val="16"/>
          <w:szCs w:val="16"/>
        </w:rPr>
      </w:pPr>
      <w:r w:rsidRPr="002B1EC9">
        <w:rPr>
          <w:rFonts w:cs="Arial"/>
          <w:sz w:val="16"/>
          <w:szCs w:val="16"/>
        </w:rPr>
        <w:t xml:space="preserve">2.2.6.1.1. Los bienes raíces no pueden ser utilizados para el desarrollo del objeto social de la entidad aseguradora. </w:t>
      </w:r>
    </w:p>
    <w:p w14:paraId="722BA80D" w14:textId="77777777" w:rsidR="00BE660C" w:rsidRPr="002B1EC9" w:rsidRDefault="00BE660C" w:rsidP="00BE660C">
      <w:pPr>
        <w:tabs>
          <w:tab w:val="left" w:pos="720"/>
        </w:tabs>
        <w:jc w:val="both"/>
        <w:rPr>
          <w:rFonts w:cs="Arial"/>
          <w:sz w:val="16"/>
          <w:szCs w:val="16"/>
        </w:rPr>
      </w:pPr>
    </w:p>
    <w:p w14:paraId="0FDAEB7E" w14:textId="77777777" w:rsidR="00BE660C" w:rsidRPr="002B1EC9" w:rsidRDefault="00BE660C" w:rsidP="00BE660C">
      <w:pPr>
        <w:tabs>
          <w:tab w:val="left" w:pos="720"/>
        </w:tabs>
        <w:jc w:val="both"/>
        <w:rPr>
          <w:rFonts w:cs="Arial"/>
          <w:sz w:val="16"/>
          <w:szCs w:val="16"/>
        </w:rPr>
      </w:pPr>
      <w:r w:rsidRPr="002B1EC9">
        <w:rPr>
          <w:rFonts w:cs="Arial"/>
          <w:sz w:val="16"/>
          <w:szCs w:val="16"/>
        </w:rPr>
        <w:t xml:space="preserve">2.2.6.1.2. Las entidades vinculadas de la entidad aseguradora no pueden tener la condición de titular de derechos reales o alguno similar sobre el bien raíz objeto de inversión. </w:t>
      </w:r>
    </w:p>
    <w:p w14:paraId="5C89027C" w14:textId="77777777" w:rsidR="00BE660C" w:rsidRPr="002B1EC9" w:rsidRDefault="00BE660C" w:rsidP="00BE660C">
      <w:pPr>
        <w:tabs>
          <w:tab w:val="left" w:pos="720"/>
        </w:tabs>
        <w:jc w:val="both"/>
        <w:rPr>
          <w:rFonts w:cs="Arial"/>
          <w:sz w:val="16"/>
          <w:szCs w:val="16"/>
        </w:rPr>
      </w:pPr>
    </w:p>
    <w:p w14:paraId="0F31345A" w14:textId="77777777" w:rsidR="00BE660C" w:rsidRPr="002B1EC9" w:rsidRDefault="00BE660C" w:rsidP="00BE660C">
      <w:pPr>
        <w:tabs>
          <w:tab w:val="left" w:pos="720"/>
        </w:tabs>
        <w:jc w:val="both"/>
        <w:rPr>
          <w:rFonts w:cs="Arial"/>
          <w:sz w:val="16"/>
          <w:szCs w:val="16"/>
        </w:rPr>
      </w:pPr>
      <w:r w:rsidRPr="002B1EC9">
        <w:rPr>
          <w:rFonts w:cs="Arial"/>
          <w:sz w:val="16"/>
          <w:szCs w:val="16"/>
        </w:rPr>
        <w:t xml:space="preserve">2.2.6.1.3. Los bienes raíces deben ser productivos, esto es, al momento de computarse como inversión de las reservas técnicas, los mismos deben ser objeto de un contrato de arrendamiento o concesión. Este contrato debe tener, como mínimo, un (1) año de duración y debe generar ingresos hacia la entidad aseguradora desde el momento mismo de su clasificación como activo que respalda las reservas técnicas. Lo anterior no obsta para que el término de duración del contrato se vaya reduciendo con el transcurso de la ejecución </w:t>
      </w:r>
      <w:proofErr w:type="gramStart"/>
      <w:r w:rsidRPr="002B1EC9">
        <w:rPr>
          <w:rFonts w:cs="Arial"/>
          <w:sz w:val="16"/>
          <w:szCs w:val="16"/>
        </w:rPr>
        <w:t>del mismo</w:t>
      </w:r>
      <w:proofErr w:type="gramEnd"/>
      <w:r w:rsidRPr="002B1EC9">
        <w:rPr>
          <w:rFonts w:cs="Arial"/>
          <w:sz w:val="16"/>
          <w:szCs w:val="16"/>
        </w:rPr>
        <w:t>.</w:t>
      </w:r>
    </w:p>
    <w:p w14:paraId="6DB22A59" w14:textId="77777777" w:rsidR="00BE660C" w:rsidRPr="002B1EC9" w:rsidRDefault="00BE660C" w:rsidP="00BE660C">
      <w:pPr>
        <w:tabs>
          <w:tab w:val="left" w:pos="720"/>
        </w:tabs>
        <w:jc w:val="both"/>
        <w:rPr>
          <w:rFonts w:cs="Arial"/>
          <w:sz w:val="16"/>
          <w:szCs w:val="16"/>
        </w:rPr>
      </w:pPr>
    </w:p>
    <w:p w14:paraId="670F8760" w14:textId="77777777" w:rsidR="00BE660C" w:rsidRPr="002B1EC9" w:rsidRDefault="00BE660C" w:rsidP="00BE660C">
      <w:pPr>
        <w:tabs>
          <w:tab w:val="left" w:pos="720"/>
        </w:tabs>
        <w:jc w:val="both"/>
        <w:rPr>
          <w:rFonts w:cs="Arial"/>
          <w:sz w:val="16"/>
          <w:szCs w:val="16"/>
        </w:rPr>
      </w:pPr>
      <w:r w:rsidRPr="002B1EC9">
        <w:rPr>
          <w:rFonts w:cs="Arial"/>
          <w:sz w:val="16"/>
          <w:szCs w:val="16"/>
        </w:rPr>
        <w:t>En ese sentido, no se pueden computar como inversión de reservas técnicas aquellas inversiones sobre bienes raíces no productivos. Por lo anterior, estas inversiones tendrán el tratamiento de inversiones de libre inversión de las que trata el art. 2.31.3.1.15 del Decreto 2555 de 2010.</w:t>
      </w:r>
    </w:p>
    <w:p w14:paraId="59C94F35" w14:textId="73A995C1" w:rsidR="00BE660C" w:rsidRPr="002B1EC9" w:rsidRDefault="00BE660C" w:rsidP="00BE660C">
      <w:pPr>
        <w:tabs>
          <w:tab w:val="left" w:pos="720"/>
        </w:tabs>
        <w:jc w:val="both"/>
        <w:rPr>
          <w:rFonts w:cs="Arial"/>
          <w:sz w:val="16"/>
          <w:szCs w:val="16"/>
        </w:rPr>
      </w:pPr>
    </w:p>
    <w:p w14:paraId="1AF07C39" w14:textId="77777777" w:rsidR="00BE660C" w:rsidRPr="002B1EC9" w:rsidRDefault="00BE660C" w:rsidP="00BE660C">
      <w:pPr>
        <w:tabs>
          <w:tab w:val="left" w:pos="720"/>
        </w:tabs>
        <w:jc w:val="both"/>
        <w:rPr>
          <w:rFonts w:cs="Arial"/>
          <w:sz w:val="16"/>
          <w:szCs w:val="16"/>
        </w:rPr>
      </w:pPr>
      <w:r w:rsidRPr="002B1EC9">
        <w:rPr>
          <w:rFonts w:cs="Arial"/>
          <w:sz w:val="16"/>
          <w:szCs w:val="16"/>
        </w:rPr>
        <w:t xml:space="preserve">Si un bien raíz deja de ser productivo, la entidad aseguradora tendrá un término de seis (6) meses para volverlo productivo. Si transcurrido dicho término, la entidad aseguradora no ha suscrito un nuevo contrato de arrendamiento o concesión, la respectiva entidad deberá darle el tratamiento de inversiones de libre inversión hasta cuando se celebre un nuevo contrato en las condiciones mencionadas en el primer inciso de este </w:t>
      </w:r>
      <w:proofErr w:type="spellStart"/>
      <w:r w:rsidRPr="002B1EC9">
        <w:rPr>
          <w:rFonts w:cs="Arial"/>
          <w:sz w:val="16"/>
          <w:szCs w:val="16"/>
        </w:rPr>
        <w:t>subnumeral</w:t>
      </w:r>
      <w:proofErr w:type="spellEnd"/>
      <w:r w:rsidRPr="002B1EC9">
        <w:rPr>
          <w:rFonts w:cs="Arial"/>
          <w:sz w:val="16"/>
          <w:szCs w:val="16"/>
        </w:rPr>
        <w:t xml:space="preserve">. </w:t>
      </w:r>
    </w:p>
    <w:p w14:paraId="16DA53A0" w14:textId="77777777" w:rsidR="00BE660C" w:rsidRPr="002B1EC9" w:rsidRDefault="00BE660C" w:rsidP="00BE660C">
      <w:pPr>
        <w:tabs>
          <w:tab w:val="left" w:pos="720"/>
        </w:tabs>
        <w:jc w:val="both"/>
        <w:rPr>
          <w:rFonts w:cs="Arial"/>
          <w:sz w:val="16"/>
          <w:szCs w:val="16"/>
        </w:rPr>
      </w:pPr>
    </w:p>
    <w:p w14:paraId="50C6EE73" w14:textId="77777777" w:rsidR="00BE660C" w:rsidRPr="000D3FA7" w:rsidRDefault="00BE660C" w:rsidP="00BE660C">
      <w:pPr>
        <w:tabs>
          <w:tab w:val="left" w:pos="720"/>
        </w:tabs>
        <w:jc w:val="both"/>
        <w:rPr>
          <w:rFonts w:cs="Arial"/>
          <w:sz w:val="16"/>
          <w:szCs w:val="16"/>
        </w:rPr>
      </w:pPr>
      <w:r w:rsidRPr="00AF7058">
        <w:rPr>
          <w:rFonts w:cs="Arial"/>
          <w:sz w:val="16"/>
          <w:szCs w:val="16"/>
        </w:rPr>
        <w:t xml:space="preserve">2.2.6.1.4. Las entidades aseguradoras no pueden tener la condición de titular de derechos reales o alguno similar sobre el bien raíz objeto de </w:t>
      </w:r>
      <w:r w:rsidRPr="000D3FA7">
        <w:rPr>
          <w:rFonts w:cs="Arial"/>
          <w:sz w:val="16"/>
          <w:szCs w:val="16"/>
        </w:rPr>
        <w:t>inversión, al momento de la inversión.</w:t>
      </w:r>
    </w:p>
    <w:p w14:paraId="7AB69CFF" w14:textId="77777777" w:rsidR="00BE660C" w:rsidRPr="000D3FA7" w:rsidRDefault="00BE660C" w:rsidP="00BE660C">
      <w:pPr>
        <w:tabs>
          <w:tab w:val="left" w:pos="720"/>
        </w:tabs>
        <w:jc w:val="both"/>
        <w:rPr>
          <w:rFonts w:cs="Arial"/>
          <w:sz w:val="16"/>
          <w:szCs w:val="16"/>
        </w:rPr>
      </w:pPr>
    </w:p>
    <w:p w14:paraId="4AB1E011" w14:textId="77777777" w:rsidR="00BE660C" w:rsidRPr="000D3FA7" w:rsidRDefault="00BE660C" w:rsidP="00BE660C">
      <w:pPr>
        <w:tabs>
          <w:tab w:val="left" w:pos="720"/>
        </w:tabs>
        <w:jc w:val="both"/>
        <w:rPr>
          <w:rFonts w:cs="Arial"/>
          <w:sz w:val="16"/>
          <w:szCs w:val="16"/>
        </w:rPr>
      </w:pPr>
      <w:r w:rsidRPr="000D3FA7">
        <w:rPr>
          <w:rFonts w:cs="Arial"/>
          <w:sz w:val="16"/>
          <w:szCs w:val="16"/>
        </w:rPr>
        <w:t>2.2.6.1.5. Los bienes raíces productivos deben estar ubicados dentro del territorio colombiano.</w:t>
      </w:r>
    </w:p>
    <w:p w14:paraId="24EDC8B7" w14:textId="77777777" w:rsidR="00BE660C" w:rsidRPr="000D3FA7" w:rsidRDefault="00BE660C" w:rsidP="00BE660C">
      <w:pPr>
        <w:tabs>
          <w:tab w:val="left" w:pos="720"/>
        </w:tabs>
        <w:jc w:val="both"/>
        <w:rPr>
          <w:rFonts w:cs="Arial"/>
          <w:sz w:val="16"/>
          <w:szCs w:val="16"/>
        </w:rPr>
      </w:pPr>
    </w:p>
    <w:p w14:paraId="5139D478" w14:textId="77777777" w:rsidR="00BE660C" w:rsidRPr="000D3FA7" w:rsidRDefault="00BE660C" w:rsidP="00BE660C">
      <w:pPr>
        <w:tabs>
          <w:tab w:val="left" w:pos="720"/>
        </w:tabs>
        <w:jc w:val="both"/>
        <w:rPr>
          <w:rFonts w:cs="Arial"/>
          <w:sz w:val="16"/>
          <w:szCs w:val="16"/>
        </w:rPr>
      </w:pPr>
      <w:r w:rsidRPr="000D3FA7">
        <w:rPr>
          <w:rFonts w:cs="Arial"/>
          <w:sz w:val="16"/>
          <w:szCs w:val="16"/>
        </w:rPr>
        <w:t>2.2.6.1.6. La inversión debe realizarse de acuerdo con lo indicado en el numeral 2.2.6.2 de este Capítulo.</w:t>
      </w:r>
    </w:p>
    <w:p w14:paraId="3298DE14" w14:textId="77777777" w:rsidR="00BE660C" w:rsidRPr="000D3FA7" w:rsidRDefault="00BE660C" w:rsidP="00BE660C">
      <w:pPr>
        <w:tabs>
          <w:tab w:val="left" w:pos="720"/>
        </w:tabs>
        <w:jc w:val="both"/>
        <w:rPr>
          <w:rFonts w:cs="Arial"/>
          <w:sz w:val="16"/>
          <w:szCs w:val="16"/>
        </w:rPr>
      </w:pPr>
    </w:p>
    <w:p w14:paraId="2D8C80FB" w14:textId="77777777" w:rsidR="00BE660C" w:rsidRPr="000D3FA7" w:rsidRDefault="00BE660C" w:rsidP="00BE660C">
      <w:pPr>
        <w:tabs>
          <w:tab w:val="left" w:pos="720"/>
        </w:tabs>
        <w:jc w:val="both"/>
        <w:rPr>
          <w:rFonts w:cs="Arial"/>
          <w:sz w:val="16"/>
          <w:szCs w:val="16"/>
        </w:rPr>
      </w:pPr>
      <w:r w:rsidRPr="000D3FA7">
        <w:rPr>
          <w:rFonts w:cs="Arial"/>
          <w:sz w:val="16"/>
          <w:szCs w:val="16"/>
        </w:rPr>
        <w:t xml:space="preserve">2.2.6.1.7. El bien raíz productivo debe estar asegurado, como mínimo, contra los riesgos de incendio y terremoto durante la vigencia del contrato de arrendamiento o concesión. El valor asegurado debe corresponder al valor de reconstrucción del bien raíz productivo. </w:t>
      </w:r>
    </w:p>
    <w:p w14:paraId="023CDD40" w14:textId="77777777" w:rsidR="00BE660C" w:rsidRPr="000D3FA7" w:rsidRDefault="00BE660C" w:rsidP="00BE660C">
      <w:pPr>
        <w:tabs>
          <w:tab w:val="left" w:pos="720"/>
        </w:tabs>
        <w:jc w:val="both"/>
        <w:rPr>
          <w:rFonts w:cs="Arial"/>
          <w:sz w:val="16"/>
          <w:szCs w:val="16"/>
        </w:rPr>
      </w:pPr>
    </w:p>
    <w:p w14:paraId="6D771BAC" w14:textId="480868B2" w:rsidR="00A849E4" w:rsidRPr="000D3FA7" w:rsidRDefault="00BE660C" w:rsidP="00BE660C">
      <w:pPr>
        <w:tabs>
          <w:tab w:val="left" w:pos="720"/>
        </w:tabs>
        <w:jc w:val="both"/>
        <w:rPr>
          <w:rFonts w:cs="Arial"/>
          <w:sz w:val="16"/>
          <w:szCs w:val="16"/>
        </w:rPr>
      </w:pPr>
      <w:r w:rsidRPr="000D3FA7">
        <w:rPr>
          <w:rFonts w:cs="Arial"/>
          <w:sz w:val="16"/>
          <w:szCs w:val="16"/>
        </w:rPr>
        <w:t>2.2.6.1.8. En consonancia con lo establecido en el numeral 3 del art. 2.31.3.1.13 del Decreto 2555 de 2010, el bien raíz productivo debe mantenerse libre de embargos, gravámenes, medidas preventivas o de cualquier naturaleza que impidan su libre cesión o transferencia. Por lo tanto, cualquier afectación de las mencionadas impide que la inversión en el bien raíz sea computada como inversión de las reservas técnicas.</w:t>
      </w:r>
    </w:p>
    <w:p w14:paraId="3B124C5D" w14:textId="77777777" w:rsidR="00A849E4" w:rsidRPr="000D3FA7" w:rsidRDefault="00A849E4" w:rsidP="00BE660C">
      <w:pPr>
        <w:tabs>
          <w:tab w:val="left" w:pos="720"/>
        </w:tabs>
        <w:jc w:val="both"/>
        <w:rPr>
          <w:rFonts w:cs="Arial"/>
          <w:sz w:val="16"/>
          <w:szCs w:val="16"/>
        </w:rPr>
      </w:pPr>
    </w:p>
    <w:p w14:paraId="515A77E4" w14:textId="7450483C" w:rsidR="001F06D4" w:rsidRPr="002B1EC9" w:rsidRDefault="005769DB" w:rsidP="003E5403">
      <w:pPr>
        <w:pBdr>
          <w:left w:val="single" w:sz="4" w:space="4" w:color="auto"/>
        </w:pBdr>
        <w:tabs>
          <w:tab w:val="left" w:pos="720"/>
        </w:tabs>
        <w:jc w:val="both"/>
        <w:rPr>
          <w:rFonts w:cs="Arial"/>
          <w:b/>
          <w:bCs/>
          <w:sz w:val="16"/>
          <w:szCs w:val="16"/>
        </w:rPr>
      </w:pPr>
      <w:r w:rsidRPr="000D3FA7">
        <w:rPr>
          <w:rFonts w:cs="Arial"/>
          <w:b/>
          <w:bCs/>
          <w:sz w:val="16"/>
          <w:szCs w:val="16"/>
        </w:rPr>
        <w:t>Siempre que se trate de los bienes inmuebles relativos a la renta vitalicia inmobiliaria descritos en el Título 7 del Libro 31 de la Parte 2 del Decreto 2555 de 2010, p</w:t>
      </w:r>
      <w:r w:rsidR="00E50E33" w:rsidRPr="000D3FA7">
        <w:rPr>
          <w:rFonts w:cs="Arial"/>
          <w:b/>
          <w:bCs/>
          <w:sz w:val="16"/>
          <w:szCs w:val="16"/>
        </w:rPr>
        <w:t xml:space="preserve">ara que la inversión en bienes raíces </w:t>
      </w:r>
      <w:r w:rsidR="003E5403" w:rsidRPr="000D3FA7">
        <w:rPr>
          <w:rFonts w:cs="Arial"/>
          <w:b/>
          <w:bCs/>
          <w:sz w:val="16"/>
          <w:szCs w:val="16"/>
        </w:rPr>
        <w:t xml:space="preserve">no </w:t>
      </w:r>
      <w:r w:rsidR="00E50E33" w:rsidRPr="000D3FA7">
        <w:rPr>
          <w:rFonts w:cs="Arial"/>
          <w:b/>
          <w:bCs/>
          <w:sz w:val="16"/>
          <w:szCs w:val="16"/>
        </w:rPr>
        <w:t>productivos sea admisible es necesario que se cumplan con los requisitos</w:t>
      </w:r>
      <w:r w:rsidR="003E5403" w:rsidRPr="000D3FA7">
        <w:rPr>
          <w:rFonts w:cs="Arial"/>
          <w:b/>
          <w:bCs/>
          <w:sz w:val="16"/>
          <w:szCs w:val="16"/>
        </w:rPr>
        <w:t xml:space="preserve"> </w:t>
      </w:r>
      <w:r w:rsidR="00C77F3E" w:rsidRPr="000D3FA7">
        <w:rPr>
          <w:rFonts w:cs="Arial"/>
          <w:b/>
          <w:bCs/>
          <w:sz w:val="16"/>
          <w:szCs w:val="16"/>
        </w:rPr>
        <w:t xml:space="preserve">definidos en </w:t>
      </w:r>
      <w:r w:rsidR="003E5403" w:rsidRPr="000D3FA7">
        <w:rPr>
          <w:rFonts w:cs="Arial"/>
          <w:b/>
          <w:bCs/>
          <w:sz w:val="16"/>
          <w:szCs w:val="16"/>
        </w:rPr>
        <w:t xml:space="preserve">los </w:t>
      </w:r>
      <w:proofErr w:type="spellStart"/>
      <w:r w:rsidR="003E5403" w:rsidRPr="000D3FA7">
        <w:rPr>
          <w:rFonts w:cs="Arial"/>
          <w:b/>
          <w:bCs/>
          <w:sz w:val="16"/>
          <w:szCs w:val="16"/>
        </w:rPr>
        <w:t>subnumerales</w:t>
      </w:r>
      <w:proofErr w:type="spellEnd"/>
      <w:r w:rsidR="003E5403" w:rsidRPr="000D3FA7">
        <w:rPr>
          <w:rFonts w:cs="Arial"/>
          <w:b/>
          <w:bCs/>
          <w:sz w:val="16"/>
          <w:szCs w:val="16"/>
        </w:rPr>
        <w:t xml:space="preserve"> </w:t>
      </w:r>
      <w:r w:rsidR="00E2653E" w:rsidRPr="000D3FA7">
        <w:rPr>
          <w:rFonts w:cs="Arial"/>
          <w:b/>
          <w:bCs/>
          <w:sz w:val="16"/>
          <w:szCs w:val="16"/>
        </w:rPr>
        <w:t>2.2.6.1.2,</w:t>
      </w:r>
      <w:r w:rsidR="00D57529">
        <w:rPr>
          <w:rFonts w:cs="Arial"/>
          <w:b/>
          <w:bCs/>
          <w:sz w:val="16"/>
          <w:szCs w:val="16"/>
        </w:rPr>
        <w:t xml:space="preserve"> </w:t>
      </w:r>
      <w:r w:rsidR="00D57529" w:rsidRPr="000D3FA7">
        <w:rPr>
          <w:rFonts w:cs="Arial"/>
          <w:b/>
          <w:bCs/>
          <w:sz w:val="16"/>
          <w:szCs w:val="16"/>
        </w:rPr>
        <w:t>2.2.6.1.4.</w:t>
      </w:r>
      <w:r w:rsidR="00D57529">
        <w:rPr>
          <w:rFonts w:cs="Arial"/>
          <w:b/>
          <w:bCs/>
          <w:sz w:val="16"/>
          <w:szCs w:val="16"/>
        </w:rPr>
        <w:t>,</w:t>
      </w:r>
      <w:r w:rsidR="00E2653E" w:rsidRPr="000D3FA7">
        <w:rPr>
          <w:rFonts w:cs="Arial"/>
          <w:b/>
          <w:bCs/>
          <w:sz w:val="16"/>
          <w:szCs w:val="16"/>
        </w:rPr>
        <w:t xml:space="preserve"> </w:t>
      </w:r>
      <w:r w:rsidR="003E5403" w:rsidRPr="000D3FA7">
        <w:rPr>
          <w:rFonts w:cs="Arial"/>
          <w:b/>
          <w:bCs/>
          <w:sz w:val="16"/>
          <w:szCs w:val="16"/>
        </w:rPr>
        <w:t>2.2.6.1.5</w:t>
      </w:r>
      <w:r w:rsidR="00D57529">
        <w:rPr>
          <w:rFonts w:cs="Arial"/>
          <w:b/>
          <w:bCs/>
          <w:sz w:val="16"/>
          <w:szCs w:val="16"/>
        </w:rPr>
        <w:t xml:space="preserve">, </w:t>
      </w:r>
      <w:r w:rsidR="003E5403" w:rsidRPr="000D3FA7">
        <w:rPr>
          <w:rFonts w:cs="Arial"/>
          <w:b/>
          <w:bCs/>
          <w:sz w:val="16"/>
          <w:szCs w:val="16"/>
        </w:rPr>
        <w:t>2.2.6.1.7</w:t>
      </w:r>
      <w:r w:rsidR="00D57529">
        <w:rPr>
          <w:rFonts w:cs="Arial"/>
          <w:b/>
          <w:bCs/>
          <w:sz w:val="16"/>
          <w:szCs w:val="16"/>
        </w:rPr>
        <w:t xml:space="preserve"> y </w:t>
      </w:r>
      <w:r w:rsidR="00D57529" w:rsidRPr="000D3FA7">
        <w:rPr>
          <w:rFonts w:cs="Arial"/>
          <w:b/>
          <w:bCs/>
          <w:sz w:val="16"/>
          <w:szCs w:val="16"/>
        </w:rPr>
        <w:t>2.2.6.1.8.</w:t>
      </w:r>
      <w:r w:rsidR="00D57529">
        <w:rPr>
          <w:rFonts w:cs="Arial"/>
          <w:b/>
          <w:bCs/>
          <w:sz w:val="16"/>
          <w:szCs w:val="16"/>
        </w:rPr>
        <w:t xml:space="preserve"> </w:t>
      </w:r>
      <w:r w:rsidR="001F06D4" w:rsidRPr="000D3FA7">
        <w:rPr>
          <w:rFonts w:cs="Arial"/>
          <w:b/>
          <w:bCs/>
          <w:sz w:val="16"/>
          <w:szCs w:val="16"/>
        </w:rPr>
        <w:t>del presente Capítulo</w:t>
      </w:r>
      <w:r w:rsidR="00DC6DB9" w:rsidRPr="000D3FA7">
        <w:rPr>
          <w:rFonts w:cs="Arial"/>
          <w:b/>
          <w:bCs/>
          <w:sz w:val="16"/>
          <w:szCs w:val="16"/>
        </w:rPr>
        <w:t xml:space="preserve">. En todo caso, </w:t>
      </w:r>
      <w:r w:rsidR="00451035" w:rsidRPr="000D3FA7">
        <w:rPr>
          <w:rFonts w:cs="Arial"/>
          <w:b/>
          <w:bCs/>
          <w:sz w:val="16"/>
          <w:szCs w:val="16"/>
        </w:rPr>
        <w:t xml:space="preserve">en atención a la naturaleza de la operación de renta vitalicia inmobiliaria, </w:t>
      </w:r>
      <w:r w:rsidR="00451622" w:rsidRPr="000D3FA7">
        <w:rPr>
          <w:rFonts w:cs="Arial"/>
          <w:b/>
          <w:bCs/>
          <w:sz w:val="16"/>
          <w:szCs w:val="16"/>
        </w:rPr>
        <w:t xml:space="preserve">se considera admisible la inversión en dichos bienes raíces no </w:t>
      </w:r>
      <w:r w:rsidR="004C76CF" w:rsidRPr="000D3FA7">
        <w:rPr>
          <w:rFonts w:cs="Arial"/>
          <w:b/>
          <w:bCs/>
          <w:sz w:val="16"/>
          <w:szCs w:val="16"/>
        </w:rPr>
        <w:t>productivos</w:t>
      </w:r>
      <w:r w:rsidR="00451622" w:rsidRPr="000D3FA7">
        <w:rPr>
          <w:rFonts w:cs="Arial"/>
          <w:b/>
          <w:bCs/>
          <w:sz w:val="16"/>
          <w:szCs w:val="16"/>
        </w:rPr>
        <w:t xml:space="preserve"> a pesar </w:t>
      </w:r>
      <w:r w:rsidR="004C76CF" w:rsidRPr="000D3FA7">
        <w:rPr>
          <w:rFonts w:cs="Arial"/>
          <w:b/>
          <w:bCs/>
          <w:sz w:val="16"/>
          <w:szCs w:val="16"/>
        </w:rPr>
        <w:t>del usufructo al tomador y</w:t>
      </w:r>
      <w:r w:rsidR="00E4737E" w:rsidRPr="000D3FA7">
        <w:rPr>
          <w:rFonts w:cs="Arial"/>
          <w:b/>
          <w:bCs/>
          <w:sz w:val="16"/>
          <w:szCs w:val="16"/>
        </w:rPr>
        <w:t>/o</w:t>
      </w:r>
      <w:r w:rsidR="004C76CF" w:rsidRPr="000D3FA7">
        <w:rPr>
          <w:rFonts w:cs="Arial"/>
          <w:b/>
          <w:bCs/>
          <w:sz w:val="16"/>
          <w:szCs w:val="16"/>
        </w:rPr>
        <w:t xml:space="preserve"> sus beneficiarios</w:t>
      </w:r>
      <w:r w:rsidR="00C64E5A" w:rsidRPr="000D3FA7">
        <w:rPr>
          <w:rFonts w:cs="Arial"/>
          <w:b/>
          <w:bCs/>
          <w:sz w:val="16"/>
          <w:szCs w:val="16"/>
        </w:rPr>
        <w:t xml:space="preserve"> </w:t>
      </w:r>
      <w:r w:rsidR="00092E18" w:rsidRPr="000D3FA7">
        <w:rPr>
          <w:rFonts w:cs="Arial"/>
          <w:b/>
          <w:bCs/>
          <w:sz w:val="16"/>
          <w:szCs w:val="16"/>
        </w:rPr>
        <w:t>al momento de la transferencia de la nuda propiedad a la entidad aseguradora</w:t>
      </w:r>
      <w:r w:rsidR="004C76CF" w:rsidRPr="000D3FA7">
        <w:rPr>
          <w:rFonts w:cs="Arial"/>
          <w:b/>
          <w:bCs/>
          <w:sz w:val="16"/>
          <w:szCs w:val="16"/>
        </w:rPr>
        <w:t>.</w:t>
      </w:r>
    </w:p>
    <w:p w14:paraId="6034639E" w14:textId="135D3F36" w:rsidR="00E50E33" w:rsidRPr="002B1EC9" w:rsidRDefault="00E50E33" w:rsidP="00BE660C">
      <w:pPr>
        <w:tabs>
          <w:tab w:val="left" w:pos="720"/>
        </w:tabs>
        <w:jc w:val="both"/>
        <w:rPr>
          <w:rFonts w:cs="Arial"/>
          <w:sz w:val="16"/>
          <w:szCs w:val="16"/>
        </w:rPr>
      </w:pPr>
    </w:p>
    <w:p w14:paraId="75C10FF7" w14:textId="4CF4F84D" w:rsidR="00BE660C" w:rsidRPr="002B1EC9" w:rsidRDefault="00BE660C" w:rsidP="00BE660C">
      <w:pPr>
        <w:tabs>
          <w:tab w:val="left" w:pos="720"/>
        </w:tabs>
        <w:jc w:val="both"/>
        <w:rPr>
          <w:rFonts w:cs="Arial"/>
          <w:sz w:val="16"/>
          <w:szCs w:val="16"/>
        </w:rPr>
      </w:pPr>
      <w:r w:rsidRPr="002B1EC9">
        <w:rPr>
          <w:rFonts w:cs="Arial"/>
          <w:sz w:val="16"/>
          <w:szCs w:val="16"/>
        </w:rPr>
        <w:t>2.2.6.2. Política y procedimiento para realizar la inversión en bienes raíces productivos.</w:t>
      </w:r>
    </w:p>
    <w:p w14:paraId="0A8E75F6" w14:textId="77777777" w:rsidR="00BE660C" w:rsidRPr="002B1EC9" w:rsidRDefault="00BE660C" w:rsidP="00BE660C">
      <w:pPr>
        <w:tabs>
          <w:tab w:val="left" w:pos="720"/>
        </w:tabs>
        <w:jc w:val="both"/>
        <w:rPr>
          <w:rFonts w:cs="Arial"/>
          <w:sz w:val="16"/>
          <w:szCs w:val="16"/>
        </w:rPr>
      </w:pPr>
    </w:p>
    <w:p w14:paraId="16502254" w14:textId="77777777" w:rsidR="00BE660C" w:rsidRPr="002B1EC9" w:rsidRDefault="00BE660C" w:rsidP="00BE660C">
      <w:pPr>
        <w:tabs>
          <w:tab w:val="left" w:pos="720"/>
        </w:tabs>
        <w:jc w:val="both"/>
        <w:rPr>
          <w:rFonts w:cs="Arial"/>
          <w:sz w:val="16"/>
          <w:szCs w:val="16"/>
        </w:rPr>
      </w:pPr>
      <w:r w:rsidRPr="002B1EC9">
        <w:rPr>
          <w:rFonts w:cs="Arial"/>
          <w:sz w:val="16"/>
          <w:szCs w:val="16"/>
        </w:rPr>
        <w:t xml:space="preserve">La junta directiva de la entidad aseguradora debe establecer una política de inversión para esta clase de inversiones. La política debe indicar, como mínimo, (i) las características de los bienes raíces productivos en los cuales la entidad aseguradora podrá realizar la inversión, (ii) los responsables de tomar la decisión sobre la realización o cancelación de la inversión y (iii) el contenido de los informes que el responsable de la inversión deberá presentar al comité de riesgos de la entidad aseguradora en el que se detallen las características de las inversiones, un análisis de los riesgos a los que están expuestas y el informe de valoración. Adicionalmente, el comité de riesgos debe verificar que en la valoración de las inversiones se tuvo en cuenta lo dispuesto en el </w:t>
      </w:r>
      <w:proofErr w:type="spellStart"/>
      <w:r w:rsidRPr="002B1EC9">
        <w:rPr>
          <w:rFonts w:cs="Arial"/>
          <w:sz w:val="16"/>
          <w:szCs w:val="16"/>
        </w:rPr>
        <w:t>subnumeral</w:t>
      </w:r>
      <w:proofErr w:type="spellEnd"/>
      <w:r w:rsidRPr="002B1EC9">
        <w:rPr>
          <w:rFonts w:cs="Arial"/>
          <w:sz w:val="16"/>
          <w:szCs w:val="16"/>
        </w:rPr>
        <w:t xml:space="preserve"> 2.2.6.3 de este Capítulo.</w:t>
      </w:r>
    </w:p>
    <w:p w14:paraId="1B41C0B1" w14:textId="77777777" w:rsidR="00BE660C" w:rsidRPr="002B1EC9" w:rsidRDefault="00BE660C" w:rsidP="00BE660C">
      <w:pPr>
        <w:tabs>
          <w:tab w:val="left" w:pos="720"/>
        </w:tabs>
        <w:jc w:val="both"/>
        <w:rPr>
          <w:rFonts w:cs="Arial"/>
          <w:sz w:val="16"/>
          <w:szCs w:val="16"/>
        </w:rPr>
      </w:pPr>
    </w:p>
    <w:p w14:paraId="448A076A" w14:textId="77777777" w:rsidR="00BE660C" w:rsidRPr="002B1EC9" w:rsidRDefault="00BE660C" w:rsidP="00BE660C">
      <w:pPr>
        <w:tabs>
          <w:tab w:val="left" w:pos="720"/>
        </w:tabs>
        <w:jc w:val="both"/>
        <w:rPr>
          <w:rFonts w:cs="Arial"/>
          <w:sz w:val="16"/>
          <w:szCs w:val="16"/>
        </w:rPr>
      </w:pPr>
      <w:r w:rsidRPr="002B1EC9">
        <w:rPr>
          <w:rFonts w:cs="Arial"/>
          <w:sz w:val="16"/>
          <w:szCs w:val="16"/>
        </w:rPr>
        <w:t>2.2.6.3. Valoración de los activos.</w:t>
      </w:r>
    </w:p>
    <w:p w14:paraId="7E4B416D" w14:textId="77777777" w:rsidR="00BE660C" w:rsidRPr="002B1EC9" w:rsidRDefault="00BE660C" w:rsidP="00BE660C">
      <w:pPr>
        <w:tabs>
          <w:tab w:val="left" w:pos="720"/>
        </w:tabs>
        <w:jc w:val="both"/>
        <w:rPr>
          <w:rFonts w:cs="Arial"/>
          <w:sz w:val="16"/>
          <w:szCs w:val="16"/>
        </w:rPr>
      </w:pPr>
    </w:p>
    <w:p w14:paraId="2819DD39" w14:textId="77777777" w:rsidR="00BE660C" w:rsidRPr="002B1EC9" w:rsidRDefault="00BE660C" w:rsidP="00BE660C">
      <w:pPr>
        <w:tabs>
          <w:tab w:val="left" w:pos="720"/>
        </w:tabs>
        <w:jc w:val="both"/>
        <w:rPr>
          <w:rFonts w:cs="Arial"/>
          <w:sz w:val="16"/>
          <w:szCs w:val="16"/>
        </w:rPr>
      </w:pPr>
      <w:r w:rsidRPr="002B1EC9">
        <w:rPr>
          <w:rFonts w:cs="Arial"/>
          <w:sz w:val="16"/>
          <w:szCs w:val="16"/>
        </w:rPr>
        <w:t xml:space="preserve">Las inversiones en bienes raíces productivos deben valorarse teniendo en cuenta el avalúo catastral del </w:t>
      </w:r>
      <w:proofErr w:type="gramStart"/>
      <w:r w:rsidRPr="002B1EC9">
        <w:rPr>
          <w:rFonts w:cs="Arial"/>
          <w:sz w:val="16"/>
          <w:szCs w:val="16"/>
        </w:rPr>
        <w:t>inmueble</w:t>
      </w:r>
      <w:proofErr w:type="gramEnd"/>
      <w:r w:rsidRPr="002B1EC9">
        <w:rPr>
          <w:rFonts w:cs="Arial"/>
          <w:sz w:val="16"/>
          <w:szCs w:val="16"/>
        </w:rPr>
        <w:t xml:space="preserve"> así como la destinación que tenga el bien raíz, esto es, residencial, comercial, industrial u otra y cumplir con las siguientes instrucciones:</w:t>
      </w:r>
    </w:p>
    <w:p w14:paraId="03489978" w14:textId="77777777" w:rsidR="00BE660C" w:rsidRPr="002B1EC9" w:rsidRDefault="00BE660C" w:rsidP="00BE660C">
      <w:pPr>
        <w:tabs>
          <w:tab w:val="left" w:pos="720"/>
        </w:tabs>
        <w:jc w:val="both"/>
        <w:rPr>
          <w:rFonts w:cs="Arial"/>
          <w:sz w:val="16"/>
          <w:szCs w:val="16"/>
        </w:rPr>
      </w:pPr>
    </w:p>
    <w:p w14:paraId="33E34E3B" w14:textId="11EDA66E" w:rsidR="00AA011B" w:rsidRDefault="00BE660C" w:rsidP="00BE660C">
      <w:pPr>
        <w:tabs>
          <w:tab w:val="left" w:pos="720"/>
        </w:tabs>
        <w:jc w:val="both"/>
        <w:rPr>
          <w:rFonts w:cs="Arial"/>
          <w:sz w:val="16"/>
          <w:szCs w:val="16"/>
        </w:rPr>
        <w:sectPr w:rsidR="00AA011B" w:rsidSect="001703CE">
          <w:headerReference w:type="even" r:id="rId11"/>
          <w:headerReference w:type="default" r:id="rId12"/>
          <w:footerReference w:type="even" r:id="rId13"/>
          <w:footerReference w:type="default" r:id="rId14"/>
          <w:headerReference w:type="first" r:id="rId15"/>
          <w:footerReference w:type="first" r:id="rId16"/>
          <w:pgSz w:w="12240" w:h="18720" w:code="257"/>
          <w:pgMar w:top="1417" w:right="1701" w:bottom="1417" w:left="1701" w:header="709" w:footer="865" w:gutter="0"/>
          <w:pgNumType w:start="13"/>
          <w:cols w:space="708"/>
          <w:titlePg/>
          <w:docGrid w:linePitch="360"/>
        </w:sectPr>
      </w:pPr>
      <w:r w:rsidRPr="002B1EC9">
        <w:rPr>
          <w:rFonts w:cs="Arial"/>
          <w:sz w:val="16"/>
          <w:szCs w:val="16"/>
        </w:rPr>
        <w:t>2.2.6.3.1. Valorarse por el precio que determine el proveedor de precios para valoración designado como oficial por la entidad aseguradora</w:t>
      </w:r>
    </w:p>
    <w:p w14:paraId="54AE1FFF" w14:textId="1DA72533" w:rsidR="00BE660C" w:rsidRDefault="00BE660C" w:rsidP="00BE660C">
      <w:pPr>
        <w:tabs>
          <w:tab w:val="left" w:pos="720"/>
        </w:tabs>
        <w:jc w:val="both"/>
        <w:rPr>
          <w:rFonts w:cs="Arial"/>
          <w:sz w:val="16"/>
          <w:szCs w:val="16"/>
        </w:rPr>
      </w:pPr>
      <w:r w:rsidRPr="002B1EC9">
        <w:rPr>
          <w:rFonts w:cs="Arial"/>
          <w:sz w:val="16"/>
          <w:szCs w:val="16"/>
        </w:rPr>
        <w:lastRenderedPageBreak/>
        <w:t>2.2.6.3.2. Cuando el proveedor de precios para valoración designado como oficial por la entidad aseguradora no cuente con una metodología de valoración para este tipo de inversiones, se debe cumplir con las siguientes instrucciones:</w:t>
      </w:r>
    </w:p>
    <w:p w14:paraId="568006D0" w14:textId="77777777" w:rsidR="00AA011B" w:rsidRDefault="00AA011B" w:rsidP="00BE660C">
      <w:pPr>
        <w:tabs>
          <w:tab w:val="left" w:pos="720"/>
        </w:tabs>
        <w:jc w:val="both"/>
        <w:rPr>
          <w:rFonts w:cs="Arial"/>
          <w:sz w:val="16"/>
          <w:szCs w:val="16"/>
        </w:rPr>
      </w:pPr>
    </w:p>
    <w:p w14:paraId="3BA2611F" w14:textId="0C37DF59" w:rsidR="00BE660C" w:rsidRPr="002B1EC9" w:rsidRDefault="00BE660C" w:rsidP="00BE660C">
      <w:pPr>
        <w:tabs>
          <w:tab w:val="left" w:pos="720"/>
        </w:tabs>
        <w:jc w:val="both"/>
        <w:rPr>
          <w:rFonts w:cs="Arial"/>
          <w:sz w:val="16"/>
          <w:szCs w:val="16"/>
        </w:rPr>
      </w:pPr>
      <w:r w:rsidRPr="002B1EC9">
        <w:rPr>
          <w:rFonts w:cs="Arial"/>
          <w:sz w:val="16"/>
          <w:szCs w:val="16"/>
        </w:rPr>
        <w:t xml:space="preserve">2.2.6.3.2.1. El avalúo debe ser realizado por un </w:t>
      </w:r>
      <w:proofErr w:type="spellStart"/>
      <w:r w:rsidRPr="002B1EC9">
        <w:rPr>
          <w:rFonts w:cs="Arial"/>
          <w:sz w:val="16"/>
          <w:szCs w:val="16"/>
        </w:rPr>
        <w:t>avaluador</w:t>
      </w:r>
      <w:proofErr w:type="spellEnd"/>
      <w:r w:rsidRPr="002B1EC9">
        <w:rPr>
          <w:rFonts w:cs="Arial"/>
          <w:sz w:val="16"/>
          <w:szCs w:val="16"/>
        </w:rPr>
        <w:t xml:space="preserve"> independiente de la entidad aseguradora, elegido por la junta directiva, inscrito en el </w:t>
      </w:r>
      <w:r w:rsidRPr="00C76289">
        <w:rPr>
          <w:rFonts w:cs="Arial"/>
          <w:sz w:val="16"/>
          <w:szCs w:val="16"/>
        </w:rPr>
        <w:t xml:space="preserve">Registro Nacional de </w:t>
      </w:r>
      <w:proofErr w:type="spellStart"/>
      <w:r w:rsidRPr="00C76289">
        <w:rPr>
          <w:rFonts w:cs="Arial"/>
          <w:sz w:val="16"/>
          <w:szCs w:val="16"/>
        </w:rPr>
        <w:t>Avaluadores</w:t>
      </w:r>
      <w:proofErr w:type="spellEnd"/>
      <w:r w:rsidRPr="00C76289">
        <w:rPr>
          <w:rFonts w:cs="Arial"/>
          <w:sz w:val="16"/>
          <w:szCs w:val="16"/>
        </w:rPr>
        <w:t xml:space="preserve"> y cuyos honorarios no pueden calcularse en función del valor de los</w:t>
      </w:r>
      <w:r w:rsidR="00FA03A0" w:rsidRPr="00C76289">
        <w:rPr>
          <w:rFonts w:cs="Arial"/>
          <w:sz w:val="16"/>
          <w:szCs w:val="16"/>
        </w:rPr>
        <w:t xml:space="preserve"> </w:t>
      </w:r>
      <w:r w:rsidRPr="00C76289">
        <w:rPr>
          <w:rFonts w:cs="Arial"/>
          <w:sz w:val="16"/>
          <w:szCs w:val="16"/>
        </w:rPr>
        <w:t>activos avaluados. En todo caso, el avalúo debe atender, como mínimo, los criterios establecidos en el Decreto 422 de 2000 y demás normas que lo adicionen, modifiquen o sustituyan.</w:t>
      </w:r>
    </w:p>
    <w:p w14:paraId="5F74BFC5" w14:textId="77777777" w:rsidR="00BE660C" w:rsidRPr="002B1EC9" w:rsidRDefault="00BE660C" w:rsidP="00BE660C">
      <w:pPr>
        <w:tabs>
          <w:tab w:val="left" w:pos="720"/>
        </w:tabs>
        <w:jc w:val="both"/>
        <w:rPr>
          <w:rFonts w:cs="Arial"/>
          <w:sz w:val="16"/>
          <w:szCs w:val="16"/>
        </w:rPr>
      </w:pPr>
    </w:p>
    <w:p w14:paraId="1CEDDCC8" w14:textId="77777777" w:rsidR="00BE660C" w:rsidRPr="002B1EC9" w:rsidRDefault="00BE660C" w:rsidP="00BE660C">
      <w:pPr>
        <w:tabs>
          <w:tab w:val="left" w:pos="720"/>
        </w:tabs>
        <w:jc w:val="both"/>
        <w:rPr>
          <w:rFonts w:cs="Arial"/>
          <w:sz w:val="16"/>
          <w:szCs w:val="16"/>
        </w:rPr>
      </w:pPr>
      <w:r w:rsidRPr="002B1EC9">
        <w:rPr>
          <w:rFonts w:cs="Arial"/>
          <w:sz w:val="16"/>
          <w:szCs w:val="16"/>
        </w:rPr>
        <w:t>2.2.6.3.2.2. La técnica utilizada en el avalúo debe incluir la estimación y el descuento de los flujos de caja que genere el bien raíz productivo. La tasa de descuento a utilizar para descontar los flujos de caja no puede ser menor a aquella tasa utilizada para el cálculo de la reserva matemática que se va a respaldar con este activo. Si la inversión en bienes raíces productivos respalda más de una póliza de seguro, se aplicará la tasa más alta utilizada para el cálculo de la reserva matemática de dichas pólizas de seguro</w:t>
      </w:r>
    </w:p>
    <w:p w14:paraId="6C3BB3EE" w14:textId="77777777" w:rsidR="00BE660C" w:rsidRPr="002B1EC9" w:rsidRDefault="00BE660C" w:rsidP="00BE660C">
      <w:pPr>
        <w:tabs>
          <w:tab w:val="left" w:pos="720"/>
        </w:tabs>
        <w:jc w:val="both"/>
        <w:rPr>
          <w:rFonts w:cs="Arial"/>
          <w:sz w:val="16"/>
          <w:szCs w:val="16"/>
        </w:rPr>
      </w:pPr>
    </w:p>
    <w:p w14:paraId="4972920B" w14:textId="77777777" w:rsidR="00BE660C" w:rsidRPr="002B1EC9" w:rsidRDefault="00BE660C" w:rsidP="00BE660C">
      <w:pPr>
        <w:tabs>
          <w:tab w:val="left" w:pos="720"/>
        </w:tabs>
        <w:jc w:val="both"/>
        <w:rPr>
          <w:rFonts w:cs="Arial"/>
          <w:sz w:val="16"/>
          <w:szCs w:val="16"/>
        </w:rPr>
      </w:pPr>
      <w:r w:rsidRPr="002B1EC9">
        <w:rPr>
          <w:rFonts w:cs="Arial"/>
          <w:sz w:val="16"/>
          <w:szCs w:val="16"/>
        </w:rPr>
        <w:t>Las proyecciones de los flujos deben corresponder a aquellos ingresos establecidos en el contrato de arrendamiento o concesión del bien raíz productivo.</w:t>
      </w:r>
    </w:p>
    <w:p w14:paraId="4B598F14" w14:textId="77777777" w:rsidR="00BE660C" w:rsidRPr="002B1EC9" w:rsidRDefault="00BE660C" w:rsidP="00BE660C">
      <w:pPr>
        <w:tabs>
          <w:tab w:val="left" w:pos="720"/>
        </w:tabs>
        <w:jc w:val="both"/>
        <w:rPr>
          <w:rFonts w:cs="Arial"/>
          <w:sz w:val="16"/>
          <w:szCs w:val="16"/>
        </w:rPr>
      </w:pPr>
    </w:p>
    <w:p w14:paraId="45D2DF5C" w14:textId="77777777" w:rsidR="00BE660C" w:rsidRPr="002B1EC9" w:rsidRDefault="00BE660C" w:rsidP="00BE660C">
      <w:pPr>
        <w:tabs>
          <w:tab w:val="left" w:pos="720"/>
        </w:tabs>
        <w:jc w:val="both"/>
        <w:rPr>
          <w:rFonts w:cs="Arial"/>
          <w:sz w:val="16"/>
          <w:szCs w:val="16"/>
        </w:rPr>
      </w:pPr>
      <w:r w:rsidRPr="002B1EC9">
        <w:rPr>
          <w:rFonts w:cs="Arial"/>
          <w:sz w:val="16"/>
          <w:szCs w:val="16"/>
        </w:rPr>
        <w:t>Es necesario que en el informe de valoración del bien raíz se revelen todos los supuestos de rentabilidad y riesgo que se utilizaron para calcular la tasa de descuento y este debe estar a disposición de la SFC.</w:t>
      </w:r>
    </w:p>
    <w:p w14:paraId="45CFB83E" w14:textId="77777777" w:rsidR="00BE660C" w:rsidRPr="002B1EC9" w:rsidRDefault="00BE660C" w:rsidP="00BE660C">
      <w:pPr>
        <w:tabs>
          <w:tab w:val="left" w:pos="720"/>
        </w:tabs>
        <w:jc w:val="both"/>
        <w:rPr>
          <w:rFonts w:cs="Arial"/>
          <w:sz w:val="16"/>
          <w:szCs w:val="16"/>
        </w:rPr>
      </w:pPr>
    </w:p>
    <w:p w14:paraId="4CDC0AF9" w14:textId="77777777" w:rsidR="00BE660C" w:rsidRPr="002B1EC9" w:rsidRDefault="00BE660C" w:rsidP="00BE660C">
      <w:pPr>
        <w:tabs>
          <w:tab w:val="left" w:pos="720"/>
        </w:tabs>
        <w:jc w:val="both"/>
        <w:rPr>
          <w:rFonts w:cs="Arial"/>
          <w:sz w:val="16"/>
          <w:szCs w:val="16"/>
        </w:rPr>
      </w:pPr>
      <w:r w:rsidRPr="002B1EC9">
        <w:rPr>
          <w:rFonts w:cs="Arial"/>
          <w:sz w:val="16"/>
          <w:szCs w:val="16"/>
        </w:rPr>
        <w:t>2.2.6.3.3. Al avalúo, la entidad aseguradora debe aplicarle un ajuste por la iliquidez asociada al activo, para lo cual la entidad aseguradora debe establecer la metodología para este cálculo y tenerla a disposición de la SFC para su consulta en cualquier momento.</w:t>
      </w:r>
    </w:p>
    <w:p w14:paraId="309DD43D" w14:textId="77777777" w:rsidR="00BE660C" w:rsidRPr="002B1EC9" w:rsidRDefault="00BE660C" w:rsidP="00BE660C">
      <w:pPr>
        <w:tabs>
          <w:tab w:val="left" w:pos="720"/>
        </w:tabs>
        <w:jc w:val="both"/>
        <w:rPr>
          <w:rFonts w:cs="Arial"/>
          <w:sz w:val="16"/>
          <w:szCs w:val="16"/>
        </w:rPr>
      </w:pPr>
    </w:p>
    <w:p w14:paraId="31E40393" w14:textId="77777777" w:rsidR="00BE660C" w:rsidRPr="002B1EC9" w:rsidRDefault="00BE660C" w:rsidP="00BE660C">
      <w:pPr>
        <w:tabs>
          <w:tab w:val="left" w:pos="720"/>
        </w:tabs>
        <w:jc w:val="both"/>
        <w:rPr>
          <w:rFonts w:cs="Arial"/>
          <w:sz w:val="16"/>
          <w:szCs w:val="16"/>
        </w:rPr>
      </w:pPr>
      <w:r w:rsidRPr="002B1EC9">
        <w:rPr>
          <w:rFonts w:cs="Arial"/>
          <w:sz w:val="16"/>
          <w:szCs w:val="16"/>
        </w:rPr>
        <w:t xml:space="preserve">2.2.6.3.4. Los ingresos provenientes de los bienes raíces productivos por concepto de los contratos de arrendamiento o concesión deben ser actualizados anualmente, como mínimo, con base en la variación del índice de precios al consumidor (IPC) de los últimos doce (12) meses. Por lo anterior, las entidades aseguradoras deben incluir en los contratos que celebren una condición que cumpla con lo dispuesto en este </w:t>
      </w:r>
      <w:proofErr w:type="spellStart"/>
      <w:r w:rsidRPr="002B1EC9">
        <w:rPr>
          <w:rFonts w:cs="Arial"/>
          <w:sz w:val="16"/>
          <w:szCs w:val="16"/>
        </w:rPr>
        <w:t>subnumeral</w:t>
      </w:r>
      <w:proofErr w:type="spellEnd"/>
      <w:r w:rsidRPr="002B1EC9">
        <w:rPr>
          <w:rFonts w:cs="Arial"/>
          <w:sz w:val="16"/>
          <w:szCs w:val="16"/>
        </w:rPr>
        <w:t>.</w:t>
      </w:r>
    </w:p>
    <w:p w14:paraId="1369E8F6" w14:textId="77777777" w:rsidR="00BE660C" w:rsidRPr="002B1EC9" w:rsidRDefault="00BE660C" w:rsidP="00BE660C">
      <w:pPr>
        <w:tabs>
          <w:tab w:val="left" w:pos="720"/>
        </w:tabs>
        <w:jc w:val="both"/>
        <w:rPr>
          <w:rFonts w:cs="Arial"/>
          <w:sz w:val="16"/>
          <w:szCs w:val="16"/>
        </w:rPr>
      </w:pPr>
    </w:p>
    <w:p w14:paraId="611ACE93" w14:textId="77777777" w:rsidR="00BE660C" w:rsidRPr="002B1EC9" w:rsidRDefault="00BE660C" w:rsidP="00BE660C">
      <w:pPr>
        <w:tabs>
          <w:tab w:val="left" w:pos="720"/>
        </w:tabs>
        <w:jc w:val="both"/>
        <w:rPr>
          <w:rFonts w:cs="Arial"/>
          <w:sz w:val="16"/>
          <w:szCs w:val="16"/>
        </w:rPr>
      </w:pPr>
      <w:r w:rsidRPr="002B1EC9">
        <w:rPr>
          <w:rFonts w:cs="Arial"/>
          <w:sz w:val="16"/>
          <w:szCs w:val="16"/>
        </w:rPr>
        <w:t>2.2.6.3.5. La periodicidad de la valoración del activo no puede ser superior al cierre de ejercicio de la entidad aseguradora. Sin embargo, debe actualizarse ante el indicio o la ocurrencia de eventos que puedan alterar considerablemente la valoración del activo, como un incumplimiento de la contraparte en el pago de los cánones de arrendamiento o el valor de la concesión, así como cambios económicos o de mercado que afecten la medición del valor del bien raíz.</w:t>
      </w:r>
    </w:p>
    <w:p w14:paraId="5C73D9DB" w14:textId="77777777" w:rsidR="00BE660C" w:rsidRPr="002B1EC9" w:rsidRDefault="00BE660C" w:rsidP="00BE660C">
      <w:pPr>
        <w:tabs>
          <w:tab w:val="left" w:pos="720"/>
        </w:tabs>
        <w:jc w:val="both"/>
        <w:rPr>
          <w:rFonts w:cs="Arial"/>
          <w:sz w:val="16"/>
          <w:szCs w:val="16"/>
        </w:rPr>
      </w:pPr>
    </w:p>
    <w:p w14:paraId="63799B72" w14:textId="77777777" w:rsidR="00BE660C" w:rsidRPr="002B1EC9" w:rsidRDefault="00BE660C" w:rsidP="00BE660C">
      <w:pPr>
        <w:tabs>
          <w:tab w:val="left" w:pos="720"/>
        </w:tabs>
        <w:jc w:val="both"/>
        <w:rPr>
          <w:rFonts w:cs="Arial"/>
          <w:sz w:val="16"/>
          <w:szCs w:val="16"/>
        </w:rPr>
      </w:pPr>
      <w:r w:rsidRPr="002B1EC9">
        <w:rPr>
          <w:rFonts w:cs="Arial"/>
          <w:sz w:val="16"/>
          <w:szCs w:val="16"/>
        </w:rPr>
        <w:t>2.2.6.3.6. Identificación y ocupación de los bienes raíces productivos en el territorio colombiano.</w:t>
      </w:r>
    </w:p>
    <w:p w14:paraId="4B4D4C0A" w14:textId="77777777" w:rsidR="00BE660C" w:rsidRPr="002B1EC9" w:rsidRDefault="00BE660C" w:rsidP="00BE660C">
      <w:pPr>
        <w:tabs>
          <w:tab w:val="left" w:pos="720"/>
        </w:tabs>
        <w:jc w:val="both"/>
        <w:rPr>
          <w:rFonts w:cs="Arial"/>
          <w:sz w:val="16"/>
          <w:szCs w:val="16"/>
        </w:rPr>
      </w:pPr>
    </w:p>
    <w:p w14:paraId="6F6AFD7D" w14:textId="77777777" w:rsidR="00BE660C" w:rsidRPr="002B1EC9" w:rsidRDefault="00BE660C" w:rsidP="00BE660C">
      <w:pPr>
        <w:tabs>
          <w:tab w:val="left" w:pos="720"/>
        </w:tabs>
        <w:jc w:val="both"/>
        <w:rPr>
          <w:rFonts w:cs="Arial"/>
          <w:sz w:val="16"/>
          <w:szCs w:val="16"/>
        </w:rPr>
      </w:pPr>
      <w:r w:rsidRPr="002B1EC9">
        <w:rPr>
          <w:rFonts w:cs="Arial"/>
          <w:sz w:val="16"/>
          <w:szCs w:val="16"/>
        </w:rPr>
        <w:t>Cada bien raíz en que se invierta debe identificarse con un solo folio de matrícula inmobiliaria. Si el bien raíz es susceptible de ser fraccionado para su explotación (productividad), sin que lo anterior implique una división de la matrícula inmobiliaria, el cálculo de valoración de la inversión debe tener en cuenta el porcentaje de ocupación del bien raíz y/o las zonas y espacios susceptibles de ser explotados (productivos) pero que no tienen una matrícula inmobiliaria particular.</w:t>
      </w:r>
    </w:p>
    <w:p w14:paraId="768B86CA" w14:textId="77777777" w:rsidR="000506D4" w:rsidRPr="002B1EC9" w:rsidRDefault="000506D4" w:rsidP="007F761D">
      <w:pPr>
        <w:widowControl w:val="0"/>
        <w:tabs>
          <w:tab w:val="left" w:pos="720"/>
        </w:tabs>
        <w:jc w:val="both"/>
        <w:rPr>
          <w:rFonts w:cs="Arial"/>
          <w:sz w:val="16"/>
          <w:szCs w:val="16"/>
        </w:rPr>
      </w:pPr>
    </w:p>
    <w:p w14:paraId="732464FB" w14:textId="6B74DA23" w:rsidR="001A1150" w:rsidRPr="002B1EC9" w:rsidRDefault="0069385F" w:rsidP="000C014B">
      <w:pPr>
        <w:pStyle w:val="Ttulo2"/>
        <w:keepNext w:val="0"/>
        <w:widowControl w:val="0"/>
        <w:numPr>
          <w:ilvl w:val="0"/>
          <w:numId w:val="0"/>
        </w:numPr>
        <w:pBdr>
          <w:left w:val="single" w:sz="4" w:space="1" w:color="auto"/>
        </w:pBdr>
        <w:jc w:val="both"/>
        <w:rPr>
          <w:iCs w:val="0"/>
          <w:szCs w:val="16"/>
        </w:rPr>
      </w:pPr>
      <w:r w:rsidRPr="002B1EC9">
        <w:rPr>
          <w:iCs w:val="0"/>
          <w:szCs w:val="16"/>
        </w:rPr>
        <w:t xml:space="preserve">2.2.6.3.7. </w:t>
      </w:r>
      <w:r w:rsidR="00E24094" w:rsidRPr="002B1EC9">
        <w:rPr>
          <w:iCs w:val="0"/>
          <w:szCs w:val="16"/>
        </w:rPr>
        <w:t xml:space="preserve">Valoración de los activos </w:t>
      </w:r>
      <w:r w:rsidR="003641B9" w:rsidRPr="002B1EC9">
        <w:rPr>
          <w:iCs w:val="0"/>
          <w:szCs w:val="16"/>
        </w:rPr>
        <w:t xml:space="preserve">no </w:t>
      </w:r>
      <w:r w:rsidR="00E24094" w:rsidRPr="002B1EC9">
        <w:rPr>
          <w:iCs w:val="0"/>
          <w:szCs w:val="16"/>
        </w:rPr>
        <w:t xml:space="preserve">productivos. Las inversiones en </w:t>
      </w:r>
      <w:r w:rsidR="00E24094" w:rsidRPr="002B1EC9">
        <w:rPr>
          <w:szCs w:val="16"/>
        </w:rPr>
        <w:t xml:space="preserve">bienes raíces </w:t>
      </w:r>
      <w:r w:rsidR="003641B9" w:rsidRPr="002B1EC9">
        <w:rPr>
          <w:szCs w:val="16"/>
        </w:rPr>
        <w:t xml:space="preserve">no </w:t>
      </w:r>
      <w:r w:rsidR="00E24094" w:rsidRPr="002B1EC9">
        <w:rPr>
          <w:szCs w:val="16"/>
        </w:rPr>
        <w:t>productivos</w:t>
      </w:r>
      <w:r w:rsidR="00E24094" w:rsidRPr="002B1EC9">
        <w:rPr>
          <w:iCs w:val="0"/>
          <w:szCs w:val="16"/>
        </w:rPr>
        <w:t xml:space="preserve"> deben valorarse </w:t>
      </w:r>
      <w:r w:rsidR="00D451A3" w:rsidRPr="002B1EC9">
        <w:rPr>
          <w:iCs w:val="0"/>
          <w:szCs w:val="16"/>
        </w:rPr>
        <w:t>con</w:t>
      </w:r>
      <w:r w:rsidR="00A41CEF" w:rsidRPr="002B1EC9">
        <w:rPr>
          <w:iCs w:val="0"/>
          <w:szCs w:val="16"/>
        </w:rPr>
        <w:t>forme a las siguientes instrucciones:</w:t>
      </w:r>
    </w:p>
    <w:p w14:paraId="32FDD0E8" w14:textId="77777777" w:rsidR="001A1150" w:rsidRPr="002B1EC9" w:rsidRDefault="001A1150" w:rsidP="00BC73BF">
      <w:pPr>
        <w:widowControl w:val="0"/>
        <w:pBdr>
          <w:left w:val="single" w:sz="4" w:space="1" w:color="auto"/>
        </w:pBdr>
        <w:rPr>
          <w:rFonts w:cs="Arial"/>
          <w:sz w:val="16"/>
          <w:szCs w:val="16"/>
        </w:rPr>
      </w:pPr>
    </w:p>
    <w:p w14:paraId="065EEE3C" w14:textId="602D7A8B" w:rsidR="00ED7A57" w:rsidRPr="002B1EC9" w:rsidRDefault="001A1150" w:rsidP="000C014B">
      <w:pPr>
        <w:pStyle w:val="Ttulo2"/>
        <w:keepNext w:val="0"/>
        <w:widowControl w:val="0"/>
        <w:numPr>
          <w:ilvl w:val="0"/>
          <w:numId w:val="0"/>
        </w:numPr>
        <w:pBdr>
          <w:left w:val="single" w:sz="4" w:space="1" w:color="auto"/>
        </w:pBdr>
        <w:jc w:val="both"/>
        <w:rPr>
          <w:szCs w:val="16"/>
        </w:rPr>
      </w:pPr>
      <w:r w:rsidRPr="002B1EC9">
        <w:rPr>
          <w:szCs w:val="16"/>
        </w:rPr>
        <w:t>2.2.6.3.7.1. L</w:t>
      </w:r>
      <w:r w:rsidR="00895630" w:rsidRPr="002B1EC9">
        <w:rPr>
          <w:szCs w:val="16"/>
        </w:rPr>
        <w:t xml:space="preserve">as entidades aseguradoras deben realizar avalúos comerciales </w:t>
      </w:r>
      <w:r w:rsidR="00A769E8" w:rsidRPr="002B1EC9">
        <w:rPr>
          <w:szCs w:val="16"/>
        </w:rPr>
        <w:t>de acuerdo con lo dispuesto en el numeral 2 del art. 2.31.7.1.4 del Decreto 2555 de 2010.</w:t>
      </w:r>
    </w:p>
    <w:p w14:paraId="12A31869" w14:textId="77777777" w:rsidR="00ED7A57" w:rsidRPr="002B1EC9" w:rsidRDefault="00ED7A57" w:rsidP="00BC73BF">
      <w:pPr>
        <w:widowControl w:val="0"/>
        <w:pBdr>
          <w:left w:val="single" w:sz="4" w:space="1" w:color="auto"/>
        </w:pBdr>
        <w:rPr>
          <w:rFonts w:cs="Arial"/>
          <w:sz w:val="16"/>
          <w:szCs w:val="16"/>
        </w:rPr>
      </w:pPr>
    </w:p>
    <w:p w14:paraId="4DC8BC7F" w14:textId="24E272BA" w:rsidR="007B4668" w:rsidRPr="002B1EC9" w:rsidRDefault="00CE746D" w:rsidP="00CE746D">
      <w:pPr>
        <w:pStyle w:val="Ttulo2"/>
        <w:keepNext w:val="0"/>
        <w:widowControl w:val="0"/>
        <w:numPr>
          <w:ilvl w:val="0"/>
          <w:numId w:val="0"/>
        </w:numPr>
        <w:pBdr>
          <w:left w:val="single" w:sz="4" w:space="1" w:color="auto"/>
        </w:pBdr>
        <w:jc w:val="both"/>
        <w:rPr>
          <w:iCs w:val="0"/>
          <w:szCs w:val="16"/>
        </w:rPr>
      </w:pPr>
      <w:r>
        <w:rPr>
          <w:szCs w:val="16"/>
        </w:rPr>
        <w:t>E</w:t>
      </w:r>
      <w:r w:rsidRPr="002B1EC9">
        <w:rPr>
          <w:szCs w:val="16"/>
        </w:rPr>
        <w:t xml:space="preserve">l </w:t>
      </w:r>
      <w:r w:rsidR="00400D75" w:rsidRPr="002B1EC9">
        <w:rPr>
          <w:szCs w:val="16"/>
        </w:rPr>
        <w:t>valor del aval</w:t>
      </w:r>
      <w:r w:rsidR="008D2C0B">
        <w:rPr>
          <w:szCs w:val="16"/>
        </w:rPr>
        <w:t>úo</w:t>
      </w:r>
      <w:r w:rsidR="00400D75" w:rsidRPr="002B1EC9">
        <w:rPr>
          <w:szCs w:val="16"/>
        </w:rPr>
        <w:t xml:space="preserve"> comercial resultante </w:t>
      </w:r>
      <w:r w:rsidR="002F11E5">
        <w:rPr>
          <w:szCs w:val="16"/>
        </w:rPr>
        <w:t xml:space="preserve">del inciso anterior </w:t>
      </w:r>
      <w:r w:rsidR="00400D75" w:rsidRPr="002B1EC9">
        <w:rPr>
          <w:szCs w:val="16"/>
        </w:rPr>
        <w:t>debe ser actualizado trimestralmente</w:t>
      </w:r>
      <w:r w:rsidR="00136CD8" w:rsidRPr="002B1EC9">
        <w:rPr>
          <w:szCs w:val="16"/>
        </w:rPr>
        <w:t>.</w:t>
      </w:r>
      <w:r w:rsidR="00FE6ADD" w:rsidRPr="002B1EC9">
        <w:rPr>
          <w:szCs w:val="16"/>
        </w:rPr>
        <w:t xml:space="preserve"> </w:t>
      </w:r>
      <w:r>
        <w:rPr>
          <w:szCs w:val="16"/>
        </w:rPr>
        <w:t>Para ello, t</w:t>
      </w:r>
      <w:r w:rsidR="006C4427" w:rsidRPr="002B1EC9">
        <w:rPr>
          <w:szCs w:val="16"/>
        </w:rPr>
        <w:t xml:space="preserve">ratándose de </w:t>
      </w:r>
      <w:r w:rsidR="00B34174" w:rsidRPr="002B1EC9">
        <w:rPr>
          <w:szCs w:val="16"/>
        </w:rPr>
        <w:t xml:space="preserve">bienes inmuebles </w:t>
      </w:r>
      <w:r w:rsidR="00CC4069" w:rsidRPr="002B1EC9">
        <w:rPr>
          <w:szCs w:val="16"/>
        </w:rPr>
        <w:t>destinados</w:t>
      </w:r>
      <w:r w:rsidR="00153DC3" w:rsidRPr="002B1EC9">
        <w:rPr>
          <w:szCs w:val="16"/>
        </w:rPr>
        <w:t xml:space="preserve"> a vivienda</w:t>
      </w:r>
      <w:r w:rsidR="006C4427" w:rsidRPr="002B1EC9">
        <w:rPr>
          <w:szCs w:val="16"/>
        </w:rPr>
        <w:t xml:space="preserve"> debe utilizarse el </w:t>
      </w:r>
      <w:r w:rsidR="00400D75" w:rsidRPr="002B1EC9">
        <w:rPr>
          <w:szCs w:val="16"/>
        </w:rPr>
        <w:t>Índice de Precios de Vivienda Usada (IPVU) del Banco de la República</w:t>
      </w:r>
      <w:r w:rsidR="00A95BDA" w:rsidRPr="002B1EC9">
        <w:rPr>
          <w:iCs w:val="0"/>
          <w:szCs w:val="16"/>
        </w:rPr>
        <w:t xml:space="preserve">. </w:t>
      </w:r>
      <w:r w:rsidR="00081EE8">
        <w:rPr>
          <w:iCs w:val="0"/>
          <w:szCs w:val="16"/>
        </w:rPr>
        <w:t>Por otro lado, t</w:t>
      </w:r>
      <w:r w:rsidR="00081EE8" w:rsidRPr="002B1EC9">
        <w:rPr>
          <w:iCs w:val="0"/>
          <w:szCs w:val="16"/>
        </w:rPr>
        <w:t>ratándose</w:t>
      </w:r>
      <w:r w:rsidR="00081EE8" w:rsidRPr="002B1EC9">
        <w:rPr>
          <w:szCs w:val="16"/>
        </w:rPr>
        <w:t xml:space="preserve"> </w:t>
      </w:r>
      <w:r w:rsidR="006C4427" w:rsidRPr="002B1EC9">
        <w:rPr>
          <w:szCs w:val="16"/>
        </w:rPr>
        <w:t xml:space="preserve">de bienes inmuebles con destinación diferente a vivienda, </w:t>
      </w:r>
      <w:r w:rsidR="007B4668" w:rsidRPr="002B1EC9">
        <w:rPr>
          <w:iCs w:val="0"/>
          <w:szCs w:val="16"/>
        </w:rPr>
        <w:t xml:space="preserve">las entidades aseguradoras </w:t>
      </w:r>
      <w:r w:rsidR="007F28C1" w:rsidRPr="002B1EC9">
        <w:rPr>
          <w:iCs w:val="0"/>
          <w:szCs w:val="16"/>
        </w:rPr>
        <w:t xml:space="preserve">deben realizar una estimación del valor del bien raíz </w:t>
      </w:r>
      <w:r w:rsidR="00D439A8" w:rsidRPr="002B1EC9">
        <w:rPr>
          <w:iCs w:val="0"/>
          <w:szCs w:val="16"/>
        </w:rPr>
        <w:t>no product</w:t>
      </w:r>
      <w:r w:rsidR="001C7A02" w:rsidRPr="002B1EC9">
        <w:rPr>
          <w:iCs w:val="0"/>
          <w:szCs w:val="16"/>
        </w:rPr>
        <w:t>ivo</w:t>
      </w:r>
      <w:r w:rsidR="00D439A8" w:rsidRPr="002B1EC9">
        <w:rPr>
          <w:iCs w:val="0"/>
          <w:szCs w:val="16"/>
        </w:rPr>
        <w:t xml:space="preserve"> </w:t>
      </w:r>
      <w:r w:rsidR="007F28C1" w:rsidRPr="002B1EC9">
        <w:rPr>
          <w:iCs w:val="0"/>
          <w:szCs w:val="16"/>
        </w:rPr>
        <w:t>de manera trimestral</w:t>
      </w:r>
      <w:r w:rsidR="001C7A02" w:rsidRPr="002B1EC9">
        <w:rPr>
          <w:iCs w:val="0"/>
          <w:szCs w:val="16"/>
        </w:rPr>
        <w:t>,</w:t>
      </w:r>
      <w:r w:rsidR="0061689D" w:rsidRPr="002B1EC9">
        <w:rPr>
          <w:iCs w:val="0"/>
          <w:szCs w:val="16"/>
        </w:rPr>
        <w:t xml:space="preserve"> teniendo en cuenta, como mínimo, </w:t>
      </w:r>
      <w:r w:rsidR="008741AB" w:rsidRPr="002B1EC9">
        <w:rPr>
          <w:iCs w:val="0"/>
          <w:szCs w:val="16"/>
        </w:rPr>
        <w:t>el comportamiento de las principales variables macroeconómicas.</w:t>
      </w:r>
      <w:r w:rsidR="00BA1095" w:rsidRPr="002B1EC9">
        <w:rPr>
          <w:iCs w:val="0"/>
          <w:szCs w:val="16"/>
        </w:rPr>
        <w:t xml:space="preserve"> </w:t>
      </w:r>
      <w:r w:rsidR="005F0B65" w:rsidRPr="002B1EC9">
        <w:rPr>
          <w:iCs w:val="0"/>
          <w:szCs w:val="16"/>
        </w:rPr>
        <w:t>La metodología de</w:t>
      </w:r>
      <w:r w:rsidR="00BA1095" w:rsidRPr="002B1EC9">
        <w:rPr>
          <w:iCs w:val="0"/>
          <w:szCs w:val="16"/>
        </w:rPr>
        <w:t xml:space="preserve"> estimación debe </w:t>
      </w:r>
      <w:r w:rsidR="009153EA" w:rsidRPr="002B1EC9">
        <w:rPr>
          <w:iCs w:val="0"/>
          <w:szCs w:val="16"/>
        </w:rPr>
        <w:t>estar</w:t>
      </w:r>
      <w:r w:rsidR="00A045D2" w:rsidRPr="002B1EC9">
        <w:rPr>
          <w:iCs w:val="0"/>
          <w:szCs w:val="16"/>
        </w:rPr>
        <w:t xml:space="preserve"> a disposición de </w:t>
      </w:r>
      <w:r w:rsidR="009153EA" w:rsidRPr="002B1EC9">
        <w:rPr>
          <w:iCs w:val="0"/>
          <w:szCs w:val="16"/>
        </w:rPr>
        <w:t xml:space="preserve">la SFC </w:t>
      </w:r>
      <w:r w:rsidR="005F0B65" w:rsidRPr="002B1EC9">
        <w:rPr>
          <w:iCs w:val="0"/>
          <w:szCs w:val="16"/>
        </w:rPr>
        <w:t>para su consulta en cualquier momento.</w:t>
      </w:r>
    </w:p>
    <w:p w14:paraId="4E6CEDA1" w14:textId="77777777" w:rsidR="007B4668" w:rsidRPr="002B1EC9" w:rsidRDefault="007B4668" w:rsidP="00BC73BF">
      <w:pPr>
        <w:pBdr>
          <w:left w:val="single" w:sz="4" w:space="1" w:color="auto"/>
        </w:pBdr>
        <w:rPr>
          <w:rFonts w:cs="Arial"/>
          <w:sz w:val="16"/>
          <w:szCs w:val="16"/>
        </w:rPr>
      </w:pPr>
    </w:p>
    <w:p w14:paraId="5642D463" w14:textId="2DB9698B" w:rsidR="001A1150" w:rsidRPr="002B1EC9" w:rsidRDefault="001A1150" w:rsidP="000C014B">
      <w:pPr>
        <w:pStyle w:val="Ttulo2"/>
        <w:keepNext w:val="0"/>
        <w:widowControl w:val="0"/>
        <w:numPr>
          <w:ilvl w:val="0"/>
          <w:numId w:val="0"/>
        </w:numPr>
        <w:pBdr>
          <w:left w:val="single" w:sz="4" w:space="1" w:color="auto"/>
        </w:pBdr>
        <w:jc w:val="both"/>
        <w:rPr>
          <w:iCs w:val="0"/>
          <w:szCs w:val="16"/>
        </w:rPr>
      </w:pPr>
      <w:r w:rsidRPr="00E95423">
        <w:rPr>
          <w:szCs w:val="16"/>
        </w:rPr>
        <w:t xml:space="preserve">En todo caso, ante el indicio o la ocurrencia de eventos que puedan alterar considerablemente la valoración del </w:t>
      </w:r>
      <w:r w:rsidR="00C523DF" w:rsidRPr="00E95423">
        <w:rPr>
          <w:szCs w:val="16"/>
        </w:rPr>
        <w:t xml:space="preserve">bien </w:t>
      </w:r>
      <w:r w:rsidR="002E720C" w:rsidRPr="00143BAD">
        <w:rPr>
          <w:szCs w:val="16"/>
        </w:rPr>
        <w:t>raíz no productivo</w:t>
      </w:r>
      <w:r w:rsidRPr="006A3E44">
        <w:rPr>
          <w:szCs w:val="16"/>
        </w:rPr>
        <w:t>, tales como deterioro, cambios económicos</w:t>
      </w:r>
      <w:r w:rsidR="00CB3DC9" w:rsidRPr="006A3E44">
        <w:rPr>
          <w:szCs w:val="16"/>
        </w:rPr>
        <w:t xml:space="preserve"> y de mercado</w:t>
      </w:r>
      <w:r w:rsidR="00BF29B1" w:rsidRPr="006A3E44">
        <w:rPr>
          <w:szCs w:val="16"/>
        </w:rPr>
        <w:t xml:space="preserve">, </w:t>
      </w:r>
      <w:r w:rsidRPr="006A3E44">
        <w:rPr>
          <w:szCs w:val="16"/>
        </w:rPr>
        <w:t xml:space="preserve">las entidades aseguradoras deben incorporarlo en </w:t>
      </w:r>
      <w:r w:rsidR="00281216" w:rsidRPr="006A3E44">
        <w:rPr>
          <w:szCs w:val="16"/>
        </w:rPr>
        <w:t>su</w:t>
      </w:r>
      <w:r w:rsidRPr="006A3E44">
        <w:rPr>
          <w:szCs w:val="16"/>
        </w:rPr>
        <w:t xml:space="preserve"> </w:t>
      </w:r>
      <w:r w:rsidR="00E2653E" w:rsidRPr="006A3E44">
        <w:rPr>
          <w:szCs w:val="16"/>
        </w:rPr>
        <w:t>valoración</w:t>
      </w:r>
      <w:r w:rsidR="00FE1CB3" w:rsidRPr="006A3E44">
        <w:rPr>
          <w:szCs w:val="16"/>
        </w:rPr>
        <w:t xml:space="preserve"> dentro de los treinta (30) días calendario siguientes a la fecha de su conocimiento</w:t>
      </w:r>
      <w:r w:rsidRPr="006A3E44">
        <w:rPr>
          <w:szCs w:val="16"/>
        </w:rPr>
        <w:t>.</w:t>
      </w:r>
      <w:r w:rsidRPr="002B1EC9">
        <w:rPr>
          <w:iCs w:val="0"/>
          <w:szCs w:val="16"/>
        </w:rPr>
        <w:t xml:space="preserve"> </w:t>
      </w:r>
    </w:p>
    <w:p w14:paraId="67627C1A" w14:textId="77777777" w:rsidR="009721F1" w:rsidRPr="002B1EC9" w:rsidRDefault="009721F1" w:rsidP="000C014B">
      <w:pPr>
        <w:pStyle w:val="Ttulo2"/>
        <w:keepNext w:val="0"/>
        <w:widowControl w:val="0"/>
        <w:numPr>
          <w:ilvl w:val="0"/>
          <w:numId w:val="0"/>
        </w:numPr>
        <w:pBdr>
          <w:left w:val="single" w:sz="4" w:space="1" w:color="auto"/>
        </w:pBdr>
        <w:jc w:val="both"/>
        <w:rPr>
          <w:iCs w:val="0"/>
          <w:szCs w:val="16"/>
        </w:rPr>
      </w:pPr>
    </w:p>
    <w:p w14:paraId="2D758F02" w14:textId="5508A7AE" w:rsidR="002D7890" w:rsidRPr="002B1EC9" w:rsidRDefault="009721F1" w:rsidP="000E722D">
      <w:pPr>
        <w:pStyle w:val="Ttulo2"/>
        <w:keepNext w:val="0"/>
        <w:widowControl w:val="0"/>
        <w:numPr>
          <w:ilvl w:val="0"/>
          <w:numId w:val="0"/>
        </w:numPr>
        <w:pBdr>
          <w:left w:val="single" w:sz="4" w:space="1" w:color="auto"/>
        </w:pBdr>
        <w:jc w:val="both"/>
        <w:rPr>
          <w:iCs w:val="0"/>
          <w:szCs w:val="16"/>
        </w:rPr>
      </w:pPr>
      <w:r w:rsidRPr="002B1EC9">
        <w:rPr>
          <w:iCs w:val="0"/>
          <w:szCs w:val="16"/>
        </w:rPr>
        <w:t>2.2.6.3.7.</w:t>
      </w:r>
      <w:r w:rsidR="006C1BEF" w:rsidRPr="002B1EC9">
        <w:rPr>
          <w:szCs w:val="16"/>
        </w:rPr>
        <w:t>2</w:t>
      </w:r>
      <w:r w:rsidRPr="002B1EC9">
        <w:rPr>
          <w:iCs w:val="0"/>
          <w:szCs w:val="16"/>
        </w:rPr>
        <w:t>. Al</w:t>
      </w:r>
      <w:r w:rsidR="000B751D" w:rsidRPr="002B1EC9">
        <w:rPr>
          <w:iCs w:val="0"/>
          <w:szCs w:val="16"/>
        </w:rPr>
        <w:t xml:space="preserve"> valor del </w:t>
      </w:r>
      <w:r w:rsidR="001B4B0C" w:rsidRPr="002B1EC9">
        <w:rPr>
          <w:iCs w:val="0"/>
          <w:szCs w:val="16"/>
        </w:rPr>
        <w:t>bien ra</w:t>
      </w:r>
      <w:r w:rsidR="002E560C" w:rsidRPr="002B1EC9">
        <w:rPr>
          <w:iCs w:val="0"/>
          <w:szCs w:val="16"/>
        </w:rPr>
        <w:t>íz no productivo</w:t>
      </w:r>
      <w:r w:rsidR="006C1BEF" w:rsidRPr="002B1EC9">
        <w:rPr>
          <w:iCs w:val="0"/>
          <w:szCs w:val="16"/>
        </w:rPr>
        <w:t xml:space="preserve"> resultante </w:t>
      </w:r>
      <w:r w:rsidR="005A1D62" w:rsidRPr="002B1EC9">
        <w:rPr>
          <w:iCs w:val="0"/>
          <w:szCs w:val="16"/>
        </w:rPr>
        <w:t xml:space="preserve">de la aplicación del </w:t>
      </w:r>
      <w:proofErr w:type="spellStart"/>
      <w:r w:rsidR="005A1D62" w:rsidRPr="002B1EC9">
        <w:rPr>
          <w:iCs w:val="0"/>
          <w:szCs w:val="16"/>
        </w:rPr>
        <w:t>subnumeral</w:t>
      </w:r>
      <w:proofErr w:type="spellEnd"/>
      <w:r w:rsidR="005A1D62" w:rsidRPr="002B1EC9">
        <w:rPr>
          <w:iCs w:val="0"/>
          <w:szCs w:val="16"/>
        </w:rPr>
        <w:t xml:space="preserve"> </w:t>
      </w:r>
      <w:r w:rsidR="0046009E" w:rsidRPr="002B1EC9">
        <w:rPr>
          <w:iCs w:val="0"/>
          <w:szCs w:val="16"/>
        </w:rPr>
        <w:t>anterior</w:t>
      </w:r>
      <w:r w:rsidRPr="002B1EC9">
        <w:rPr>
          <w:iCs w:val="0"/>
          <w:szCs w:val="16"/>
        </w:rPr>
        <w:t xml:space="preserve">, la entidad aseguradora debe </w:t>
      </w:r>
      <w:r w:rsidR="006C1BEF" w:rsidRPr="002B1EC9">
        <w:rPr>
          <w:iCs w:val="0"/>
          <w:szCs w:val="16"/>
        </w:rPr>
        <w:t>aplicar</w:t>
      </w:r>
      <w:r w:rsidR="001B4B0C" w:rsidRPr="002B1EC9">
        <w:rPr>
          <w:iCs w:val="0"/>
          <w:szCs w:val="16"/>
        </w:rPr>
        <w:t>le</w:t>
      </w:r>
      <w:r w:rsidRPr="002B1EC9">
        <w:rPr>
          <w:iCs w:val="0"/>
          <w:szCs w:val="16"/>
        </w:rPr>
        <w:t xml:space="preserve"> </w:t>
      </w:r>
      <w:r w:rsidR="000F0432" w:rsidRPr="002B1EC9">
        <w:rPr>
          <w:iCs w:val="0"/>
          <w:szCs w:val="16"/>
        </w:rPr>
        <w:t>trimestralmente</w:t>
      </w:r>
      <w:r w:rsidR="006C1BEF" w:rsidRPr="002B1EC9">
        <w:rPr>
          <w:iCs w:val="0"/>
          <w:szCs w:val="16"/>
        </w:rPr>
        <w:t xml:space="preserve"> </w:t>
      </w:r>
      <w:r w:rsidRPr="002B1EC9">
        <w:rPr>
          <w:iCs w:val="0"/>
          <w:szCs w:val="16"/>
        </w:rPr>
        <w:t xml:space="preserve">un </w:t>
      </w:r>
      <w:r w:rsidRPr="002B1EC9">
        <w:rPr>
          <w:szCs w:val="16"/>
        </w:rPr>
        <w:t>ajuste por la iliquidez asociada</w:t>
      </w:r>
      <w:r w:rsidRPr="002B1EC9">
        <w:rPr>
          <w:iCs w:val="0"/>
          <w:szCs w:val="16"/>
        </w:rPr>
        <w:t xml:space="preserve"> </w:t>
      </w:r>
      <w:r w:rsidR="006C1BEF" w:rsidRPr="002B1EC9">
        <w:rPr>
          <w:iCs w:val="0"/>
          <w:szCs w:val="16"/>
        </w:rPr>
        <w:t>a</w:t>
      </w:r>
      <w:r w:rsidR="0046009E" w:rsidRPr="002B1EC9">
        <w:rPr>
          <w:iCs w:val="0"/>
          <w:szCs w:val="16"/>
        </w:rPr>
        <w:t xml:space="preserve"> dicho</w:t>
      </w:r>
      <w:r w:rsidRPr="002B1EC9">
        <w:rPr>
          <w:iCs w:val="0"/>
          <w:szCs w:val="16"/>
        </w:rPr>
        <w:t xml:space="preserve"> activo, para lo cual </w:t>
      </w:r>
      <w:r w:rsidR="00727A79" w:rsidRPr="002B1EC9">
        <w:rPr>
          <w:iCs w:val="0"/>
          <w:szCs w:val="16"/>
        </w:rPr>
        <w:t xml:space="preserve">la entidad </w:t>
      </w:r>
      <w:r w:rsidRPr="002B1EC9">
        <w:rPr>
          <w:iCs w:val="0"/>
          <w:szCs w:val="16"/>
        </w:rPr>
        <w:t>debe establecer la metodología para este cálculo y tenerla a disposición de la SFC para su consulta en cualquier momento.</w:t>
      </w:r>
      <w:r w:rsidR="006E3BE7" w:rsidRPr="002B1EC9">
        <w:rPr>
          <w:iCs w:val="0"/>
          <w:szCs w:val="16"/>
        </w:rPr>
        <w:t xml:space="preserve"> </w:t>
      </w:r>
    </w:p>
    <w:p w14:paraId="4A869227" w14:textId="77777777" w:rsidR="00E24094" w:rsidRPr="002B1EC9" w:rsidRDefault="00E24094" w:rsidP="00A566DD">
      <w:pPr>
        <w:tabs>
          <w:tab w:val="left" w:pos="720"/>
        </w:tabs>
        <w:jc w:val="both"/>
        <w:rPr>
          <w:rFonts w:cs="Arial"/>
          <w:sz w:val="16"/>
          <w:szCs w:val="16"/>
        </w:rPr>
      </w:pPr>
    </w:p>
    <w:p w14:paraId="61BEE040" w14:textId="06E2EC0E" w:rsidR="000506D4" w:rsidRPr="002B1EC9" w:rsidRDefault="000506D4" w:rsidP="00BE660C">
      <w:pPr>
        <w:tabs>
          <w:tab w:val="left" w:pos="720"/>
        </w:tabs>
        <w:jc w:val="both"/>
        <w:rPr>
          <w:rFonts w:cs="Arial"/>
          <w:sz w:val="16"/>
          <w:szCs w:val="16"/>
        </w:rPr>
      </w:pPr>
      <w:r w:rsidRPr="002B1EC9">
        <w:rPr>
          <w:rFonts w:cs="Arial"/>
          <w:sz w:val="16"/>
          <w:szCs w:val="16"/>
        </w:rPr>
        <w:t>2.2.7. Contabilización de las reservas técnicas</w:t>
      </w:r>
    </w:p>
    <w:p w14:paraId="72ADF49A" w14:textId="77777777" w:rsidR="000506D4" w:rsidRPr="002B1EC9" w:rsidRDefault="000506D4" w:rsidP="00BE660C">
      <w:pPr>
        <w:tabs>
          <w:tab w:val="left" w:pos="720"/>
        </w:tabs>
        <w:jc w:val="both"/>
        <w:rPr>
          <w:rFonts w:cs="Arial"/>
          <w:sz w:val="16"/>
          <w:szCs w:val="16"/>
        </w:rPr>
      </w:pPr>
    </w:p>
    <w:p w14:paraId="168DB3BB" w14:textId="77777777" w:rsidR="000506D4" w:rsidRPr="002B1EC9" w:rsidRDefault="000506D4" w:rsidP="00BE660C">
      <w:pPr>
        <w:tabs>
          <w:tab w:val="left" w:pos="720"/>
        </w:tabs>
        <w:jc w:val="both"/>
        <w:rPr>
          <w:rFonts w:cs="Arial"/>
          <w:sz w:val="16"/>
          <w:szCs w:val="16"/>
        </w:rPr>
      </w:pPr>
      <w:r w:rsidRPr="002B1EC9">
        <w:rPr>
          <w:rFonts w:cs="Arial"/>
          <w:sz w:val="16"/>
          <w:szCs w:val="16"/>
        </w:rPr>
        <w:t>En la contabilización de las reservas técnicas establecida en el art. 2.31.4.1.3 del Decreto 2555 de 2010, las entidades aseguradoras deben atender las siguientes instrucciones:</w:t>
      </w:r>
    </w:p>
    <w:p w14:paraId="5534C31B" w14:textId="77777777" w:rsidR="000506D4" w:rsidRPr="002B1EC9" w:rsidRDefault="000506D4" w:rsidP="00BE660C">
      <w:pPr>
        <w:pStyle w:val="Prrafodelista"/>
        <w:ind w:left="0"/>
        <w:jc w:val="both"/>
        <w:rPr>
          <w:rFonts w:cs="Arial"/>
          <w:sz w:val="16"/>
          <w:szCs w:val="16"/>
        </w:rPr>
      </w:pPr>
    </w:p>
    <w:p w14:paraId="642DC929" w14:textId="77777777" w:rsidR="000506D4" w:rsidRPr="002B1EC9" w:rsidRDefault="000506D4" w:rsidP="00BE660C">
      <w:pPr>
        <w:pStyle w:val="Prrafodelista"/>
        <w:ind w:left="0"/>
        <w:jc w:val="both"/>
        <w:rPr>
          <w:rFonts w:cs="Arial"/>
          <w:sz w:val="16"/>
          <w:szCs w:val="16"/>
        </w:rPr>
      </w:pPr>
      <w:r w:rsidRPr="002B1EC9">
        <w:rPr>
          <w:rFonts w:cs="Arial"/>
          <w:sz w:val="16"/>
          <w:szCs w:val="16"/>
        </w:rPr>
        <w:t>2.2.7.1. Contabilización en el activo de las contingencias a cargo de reaseguradoras</w:t>
      </w:r>
    </w:p>
    <w:p w14:paraId="4B8B0861" w14:textId="77777777" w:rsidR="000506D4" w:rsidRPr="002B1EC9" w:rsidRDefault="000506D4" w:rsidP="00BE660C">
      <w:pPr>
        <w:pStyle w:val="Prrafodelista"/>
        <w:ind w:left="0"/>
        <w:jc w:val="both"/>
        <w:rPr>
          <w:rFonts w:cs="Arial"/>
          <w:sz w:val="16"/>
          <w:szCs w:val="16"/>
        </w:rPr>
      </w:pPr>
    </w:p>
    <w:p w14:paraId="2FCD4CF4" w14:textId="77777777" w:rsidR="000506D4" w:rsidRPr="002B1EC9" w:rsidRDefault="000506D4" w:rsidP="00BE660C">
      <w:pPr>
        <w:pStyle w:val="Prrafodelista"/>
        <w:ind w:left="0"/>
        <w:jc w:val="both"/>
        <w:rPr>
          <w:rFonts w:cs="Arial"/>
          <w:sz w:val="16"/>
          <w:szCs w:val="16"/>
        </w:rPr>
      </w:pPr>
      <w:r w:rsidRPr="002B1EC9">
        <w:rPr>
          <w:rFonts w:cs="Arial"/>
          <w:sz w:val="16"/>
          <w:szCs w:val="16"/>
        </w:rPr>
        <w:t>Las entidades aseguradoras deben cuantificar y contabilizar en el activo las contingencias a cargo de reaseguradoras, derivadas de los contratos de reaseguro. Para efectos de las instrucciones relacionadas con la contabilización de las reservas técnicas, se entiende como contingencia la porción del riesgo asumida por la reaseguradora, producto de un contrato de reaseguro.</w:t>
      </w:r>
    </w:p>
    <w:p w14:paraId="720DECB4" w14:textId="77777777" w:rsidR="000506D4" w:rsidRPr="002B1EC9" w:rsidRDefault="000506D4" w:rsidP="00BE660C">
      <w:pPr>
        <w:pStyle w:val="Prrafodelista"/>
        <w:ind w:left="0"/>
        <w:jc w:val="both"/>
        <w:rPr>
          <w:rFonts w:cs="Arial"/>
          <w:sz w:val="16"/>
          <w:szCs w:val="16"/>
        </w:rPr>
      </w:pPr>
    </w:p>
    <w:p w14:paraId="1B3E9AD9" w14:textId="77777777" w:rsidR="000506D4" w:rsidRPr="002B1EC9" w:rsidRDefault="000506D4" w:rsidP="00BE660C">
      <w:pPr>
        <w:pStyle w:val="Prrafodelista"/>
        <w:ind w:left="0"/>
        <w:jc w:val="both"/>
        <w:rPr>
          <w:rFonts w:cs="Arial"/>
          <w:sz w:val="16"/>
          <w:szCs w:val="16"/>
        </w:rPr>
      </w:pPr>
      <w:r w:rsidRPr="002B1EC9">
        <w:rPr>
          <w:rFonts w:cs="Arial"/>
          <w:sz w:val="16"/>
          <w:szCs w:val="16"/>
        </w:rPr>
        <w:t>2.2.7.1.1. Metodología para la cuantificación de las contingencias a cargo de reaseguradoras</w:t>
      </w:r>
    </w:p>
    <w:p w14:paraId="4BC72836" w14:textId="77777777" w:rsidR="000506D4" w:rsidRPr="002B1EC9" w:rsidRDefault="000506D4" w:rsidP="00BE660C">
      <w:pPr>
        <w:pStyle w:val="Prrafodelista"/>
        <w:ind w:left="0"/>
        <w:jc w:val="both"/>
        <w:rPr>
          <w:rFonts w:cs="Arial"/>
          <w:sz w:val="16"/>
          <w:szCs w:val="16"/>
        </w:rPr>
      </w:pPr>
    </w:p>
    <w:p w14:paraId="325E6DFE" w14:textId="77777777" w:rsidR="000506D4" w:rsidRPr="002B1EC9" w:rsidRDefault="000506D4" w:rsidP="00BE660C">
      <w:pPr>
        <w:pStyle w:val="Prrafodelista"/>
        <w:ind w:left="0"/>
        <w:jc w:val="both"/>
        <w:rPr>
          <w:rFonts w:cs="Arial"/>
          <w:sz w:val="16"/>
          <w:szCs w:val="16"/>
        </w:rPr>
      </w:pPr>
      <w:r w:rsidRPr="002B1EC9">
        <w:rPr>
          <w:rFonts w:cs="Arial"/>
          <w:sz w:val="16"/>
          <w:szCs w:val="16"/>
        </w:rPr>
        <w:t xml:space="preserve">Las entidades aseguradoras deben utilizar una metodología propia para la cuantificación de las contingencias a cargo de reaseguradoras. Esta metodología y sus correspondientes modificaciones deben ser justificadas y avaladas por el Actuario Responsable. La metodología y la información utilizada deben estar contenidas en un documento técnico, el cual deberá permanecer a disposición de la SFC. </w:t>
      </w:r>
    </w:p>
    <w:p w14:paraId="6BAE82F6" w14:textId="77777777" w:rsidR="000506D4" w:rsidRPr="002B1EC9" w:rsidRDefault="000506D4" w:rsidP="00BE660C">
      <w:pPr>
        <w:pStyle w:val="Prrafodelista"/>
        <w:ind w:left="0"/>
        <w:jc w:val="both"/>
        <w:rPr>
          <w:rFonts w:cs="Arial"/>
          <w:sz w:val="16"/>
          <w:szCs w:val="16"/>
        </w:rPr>
      </w:pPr>
    </w:p>
    <w:p w14:paraId="7F73A64A" w14:textId="478A5939" w:rsidR="00250E0D" w:rsidRDefault="000506D4" w:rsidP="00BE660C">
      <w:pPr>
        <w:pStyle w:val="Prrafodelista"/>
        <w:ind w:left="0"/>
        <w:jc w:val="both"/>
        <w:rPr>
          <w:rFonts w:cs="Arial"/>
          <w:sz w:val="16"/>
          <w:szCs w:val="16"/>
        </w:rPr>
        <w:sectPr w:rsidR="00250E0D" w:rsidSect="001703CE">
          <w:footerReference w:type="first" r:id="rId17"/>
          <w:pgSz w:w="12240" w:h="18720" w:code="257"/>
          <w:pgMar w:top="1417" w:right="1701" w:bottom="1417" w:left="1701" w:header="709" w:footer="865" w:gutter="0"/>
          <w:pgNumType w:start="13"/>
          <w:cols w:space="708"/>
          <w:titlePg/>
          <w:docGrid w:linePitch="360"/>
        </w:sectPr>
      </w:pPr>
      <w:r w:rsidRPr="002B1EC9">
        <w:rPr>
          <w:rFonts w:cs="Arial"/>
          <w:sz w:val="16"/>
          <w:szCs w:val="16"/>
        </w:rPr>
        <w:t>La metodología de cuantificación debe observar los siguientes criterios mínimos</w:t>
      </w:r>
    </w:p>
    <w:p w14:paraId="3FBC13DD" w14:textId="77777777" w:rsidR="000506D4" w:rsidRPr="002B1EC9" w:rsidRDefault="000506D4" w:rsidP="00BE660C">
      <w:pPr>
        <w:pStyle w:val="Prrafodelista"/>
        <w:ind w:left="0"/>
        <w:jc w:val="both"/>
        <w:rPr>
          <w:rFonts w:cs="Arial"/>
          <w:sz w:val="16"/>
          <w:szCs w:val="16"/>
        </w:rPr>
      </w:pPr>
    </w:p>
    <w:p w14:paraId="2D52D2C3" w14:textId="77777777" w:rsidR="000506D4" w:rsidRPr="002B1EC9" w:rsidRDefault="000506D4" w:rsidP="00BE660C">
      <w:pPr>
        <w:pStyle w:val="Prrafodelista"/>
        <w:ind w:left="0"/>
        <w:jc w:val="both"/>
        <w:rPr>
          <w:rFonts w:cs="Arial"/>
          <w:sz w:val="16"/>
          <w:szCs w:val="16"/>
        </w:rPr>
      </w:pPr>
      <w:r w:rsidRPr="002B1EC9">
        <w:rPr>
          <w:rFonts w:cs="Arial"/>
          <w:sz w:val="16"/>
          <w:szCs w:val="16"/>
        </w:rPr>
        <w:t>2.2.7.1.1.1 La cuantificación de las contingencias de las reaseguradoras debe hacerse por cada contraparte y por contrato.</w:t>
      </w:r>
    </w:p>
    <w:p w14:paraId="5D6C55A2" w14:textId="77777777" w:rsidR="000506D4" w:rsidRPr="002B1EC9" w:rsidRDefault="000506D4" w:rsidP="00BE660C">
      <w:pPr>
        <w:pStyle w:val="Prrafodelista"/>
        <w:ind w:left="0"/>
        <w:jc w:val="both"/>
        <w:rPr>
          <w:rFonts w:cs="Arial"/>
          <w:sz w:val="16"/>
          <w:szCs w:val="16"/>
        </w:rPr>
      </w:pPr>
    </w:p>
    <w:p w14:paraId="568E159F" w14:textId="55367FFA" w:rsidR="000D2019" w:rsidRDefault="000506D4" w:rsidP="00BE660C">
      <w:pPr>
        <w:pStyle w:val="Prrafodelista"/>
        <w:ind w:left="0"/>
        <w:jc w:val="both"/>
        <w:rPr>
          <w:rFonts w:cs="Arial"/>
          <w:sz w:val="16"/>
          <w:szCs w:val="16"/>
        </w:rPr>
      </w:pPr>
      <w:r w:rsidRPr="002B1EC9">
        <w:rPr>
          <w:rFonts w:cs="Arial"/>
          <w:sz w:val="16"/>
          <w:szCs w:val="16"/>
        </w:rPr>
        <w:t xml:space="preserve">2.2.7.1.1.2 El valor de las contingencias a cargo de las reaseguradoras debe reflejar transferencias reales de riesgo a cada reaseguradora, descartando cualquier acuerdo que no implique una asunción de riesgo por parte de cada reaseguradora. </w:t>
      </w:r>
    </w:p>
    <w:p w14:paraId="6FAA21C7" w14:textId="77777777" w:rsidR="000D2019" w:rsidRDefault="000D2019" w:rsidP="00BE660C">
      <w:pPr>
        <w:pStyle w:val="Prrafodelista"/>
        <w:ind w:left="0"/>
        <w:jc w:val="both"/>
        <w:rPr>
          <w:rFonts w:cs="Arial"/>
          <w:sz w:val="16"/>
          <w:szCs w:val="16"/>
        </w:rPr>
      </w:pPr>
    </w:p>
    <w:p w14:paraId="4C61777C" w14:textId="23E051AD" w:rsidR="00C67800" w:rsidRPr="002B1EC9" w:rsidRDefault="000506D4" w:rsidP="00BE660C">
      <w:pPr>
        <w:pStyle w:val="Prrafodelista"/>
        <w:ind w:left="0"/>
        <w:jc w:val="both"/>
        <w:rPr>
          <w:rFonts w:cs="Arial"/>
          <w:sz w:val="16"/>
          <w:szCs w:val="16"/>
        </w:rPr>
      </w:pPr>
      <w:r w:rsidRPr="002B1EC9">
        <w:rPr>
          <w:rFonts w:cs="Arial"/>
          <w:sz w:val="16"/>
          <w:szCs w:val="16"/>
        </w:rPr>
        <w:t xml:space="preserve">Únicamente pueden reconocerse en el activo las obligaciones de las reaseguradoras derivadas de los contratos de reaseguro para los cuales la entidad aseguradora cuenta con un contrato celebrado con una reaseguradora. En el caso de contratos celebrados a través de intermediarios de reaseguros, sólo pueden contabilizarse aquellos que cumplan lo establecido en el </w:t>
      </w:r>
      <w:proofErr w:type="spellStart"/>
      <w:r w:rsidRPr="002B1EC9">
        <w:rPr>
          <w:rFonts w:cs="Arial"/>
          <w:sz w:val="16"/>
          <w:szCs w:val="16"/>
        </w:rPr>
        <w:t>subnumeral</w:t>
      </w:r>
      <w:proofErr w:type="spellEnd"/>
      <w:r w:rsidRPr="002B1EC9">
        <w:rPr>
          <w:rFonts w:cs="Arial"/>
          <w:sz w:val="16"/>
          <w:szCs w:val="16"/>
        </w:rPr>
        <w:t xml:space="preserve"> 1.6.3 de esta Capítulo, respecto de la aceptación de notas de cobertura suscritas por corredoras de reaseguros</w:t>
      </w:r>
    </w:p>
    <w:p w14:paraId="576BCE55" w14:textId="77777777" w:rsidR="00C67800" w:rsidRPr="002B1EC9" w:rsidRDefault="00C67800" w:rsidP="00BE660C">
      <w:pPr>
        <w:pStyle w:val="Prrafodelista"/>
        <w:ind w:left="0"/>
        <w:jc w:val="both"/>
        <w:rPr>
          <w:rFonts w:cs="Arial"/>
          <w:sz w:val="16"/>
          <w:szCs w:val="16"/>
        </w:rPr>
      </w:pPr>
    </w:p>
    <w:p w14:paraId="785C1511" w14:textId="5231B14E" w:rsidR="00FA03A0" w:rsidRPr="002B1EC9" w:rsidRDefault="000506D4" w:rsidP="00BE660C">
      <w:pPr>
        <w:pStyle w:val="Prrafodelista"/>
        <w:ind w:left="0"/>
        <w:jc w:val="both"/>
        <w:rPr>
          <w:rFonts w:cs="Arial"/>
          <w:sz w:val="16"/>
          <w:szCs w:val="16"/>
        </w:rPr>
      </w:pPr>
      <w:r w:rsidRPr="002B1EC9">
        <w:rPr>
          <w:rFonts w:cs="Arial"/>
          <w:sz w:val="16"/>
          <w:szCs w:val="16"/>
        </w:rPr>
        <w:t>2.2.7.1.1.3. El valor de las contingencias de las reaseguradoras debe ser consistente con el programa de reaseguro de la entidad y las estipulaciones de los contratos de reaseguro tales como prioridades y capas. En el caso de los contratos de reaseguro proporcional, el valor de las contingencias a cargo de la reaseguradora debe corresponder con el porcentaje de cesión estipulado en el contrato de reasegur</w:t>
      </w:r>
      <w:r w:rsidR="00FA03A0" w:rsidRPr="002B1EC9">
        <w:rPr>
          <w:rFonts w:cs="Arial"/>
          <w:sz w:val="16"/>
          <w:szCs w:val="16"/>
        </w:rPr>
        <w:t>o.</w:t>
      </w:r>
    </w:p>
    <w:p w14:paraId="6352BB29" w14:textId="77777777" w:rsidR="00FA03A0" w:rsidRPr="002B1EC9" w:rsidRDefault="00FA03A0" w:rsidP="00BE660C">
      <w:pPr>
        <w:pStyle w:val="Prrafodelista"/>
        <w:ind w:left="0"/>
        <w:jc w:val="both"/>
        <w:rPr>
          <w:rFonts w:cs="Arial"/>
          <w:sz w:val="16"/>
          <w:szCs w:val="16"/>
        </w:rPr>
      </w:pPr>
    </w:p>
    <w:p w14:paraId="19ABFAE9" w14:textId="7FA11FED" w:rsidR="000506D4" w:rsidRPr="002B1EC9" w:rsidRDefault="000506D4" w:rsidP="00BE660C">
      <w:pPr>
        <w:pStyle w:val="Prrafodelista"/>
        <w:ind w:left="0"/>
        <w:jc w:val="both"/>
        <w:rPr>
          <w:rFonts w:cs="Arial"/>
          <w:sz w:val="16"/>
          <w:szCs w:val="16"/>
        </w:rPr>
      </w:pPr>
      <w:r w:rsidRPr="002B1EC9">
        <w:rPr>
          <w:rFonts w:cs="Arial"/>
          <w:sz w:val="16"/>
          <w:szCs w:val="16"/>
        </w:rPr>
        <w:t>Para los contratos de reaseguro en los que se establezcan límites de responsabilidad de la reaseguradora o variaciones en su participación en función de los niveles de siniestralidad de la entidad aseguradora u ocurrencia de un evento específico, estas condiciones deben reflejarse en el valor de las contingencias a cargo de las reaseguradoras. En todo caso, únicamente deben reflejarse las obligaciones derivadas de los contratos de reaseguro en los cuales existe transferencia real de riesgo.</w:t>
      </w:r>
    </w:p>
    <w:p w14:paraId="75C57D01" w14:textId="77777777" w:rsidR="000506D4" w:rsidRPr="002B1EC9" w:rsidRDefault="000506D4" w:rsidP="00BE660C">
      <w:pPr>
        <w:pStyle w:val="Prrafodelista"/>
        <w:ind w:left="0"/>
        <w:jc w:val="both"/>
        <w:rPr>
          <w:rFonts w:cs="Arial"/>
          <w:sz w:val="16"/>
          <w:szCs w:val="16"/>
        </w:rPr>
      </w:pPr>
    </w:p>
    <w:p w14:paraId="345990B1" w14:textId="77777777" w:rsidR="000506D4" w:rsidRPr="002B1EC9" w:rsidRDefault="000506D4" w:rsidP="00BE660C">
      <w:pPr>
        <w:pStyle w:val="Prrafodelista"/>
        <w:ind w:left="0"/>
        <w:jc w:val="both"/>
        <w:rPr>
          <w:rFonts w:cs="Arial"/>
          <w:sz w:val="16"/>
          <w:szCs w:val="16"/>
        </w:rPr>
      </w:pPr>
      <w:r w:rsidRPr="002B1EC9">
        <w:rPr>
          <w:rFonts w:cs="Arial"/>
          <w:sz w:val="16"/>
          <w:szCs w:val="16"/>
        </w:rPr>
        <w:t>Para la reserva de siniestros ocurridos no avisados, la estimación de las contingencias de las reaseguradoras debe calcularse con base en métodos técnicos que contemplen la historia siniestral de la aseguradora.</w:t>
      </w:r>
    </w:p>
    <w:p w14:paraId="6B109D8E" w14:textId="77777777" w:rsidR="000506D4" w:rsidRPr="002B1EC9" w:rsidRDefault="000506D4" w:rsidP="00BE660C">
      <w:pPr>
        <w:pStyle w:val="Prrafodelista"/>
        <w:ind w:left="0"/>
        <w:jc w:val="both"/>
        <w:rPr>
          <w:rFonts w:cs="Arial"/>
          <w:sz w:val="16"/>
          <w:szCs w:val="16"/>
        </w:rPr>
      </w:pPr>
    </w:p>
    <w:p w14:paraId="777946D2" w14:textId="77777777" w:rsidR="000506D4" w:rsidRPr="002B1EC9" w:rsidRDefault="000506D4" w:rsidP="00BE660C">
      <w:pPr>
        <w:pStyle w:val="Prrafodelista"/>
        <w:ind w:left="0"/>
        <w:jc w:val="both"/>
        <w:rPr>
          <w:rFonts w:cs="Arial"/>
          <w:sz w:val="16"/>
          <w:szCs w:val="16"/>
        </w:rPr>
      </w:pPr>
      <w:r w:rsidRPr="002B1EC9">
        <w:rPr>
          <w:rFonts w:cs="Arial"/>
          <w:sz w:val="16"/>
          <w:szCs w:val="16"/>
        </w:rPr>
        <w:t xml:space="preserve">2.2.7.1.1.4. Consideración de la diferencia temporal entre las fechas en que se efectúen reembolsos por parte de la reaseguradora y los pagos por indemnizaciones que efectúa la entidad aseguradora, aplicando las tasas de interés de la curva </w:t>
      </w:r>
      <w:proofErr w:type="gramStart"/>
      <w:r w:rsidRPr="002B1EC9">
        <w:rPr>
          <w:rFonts w:cs="Arial"/>
          <w:sz w:val="16"/>
          <w:szCs w:val="16"/>
        </w:rPr>
        <w:t>cero cupón</w:t>
      </w:r>
      <w:proofErr w:type="gramEnd"/>
      <w:r w:rsidRPr="002B1EC9">
        <w:rPr>
          <w:rFonts w:cs="Arial"/>
          <w:sz w:val="16"/>
          <w:szCs w:val="16"/>
        </w:rPr>
        <w:t xml:space="preserve"> que determine el proveedor de precios oficial contratado por la entidad aseguradora. Dicha consideración tendrá en cuenta el saldo neto de todos los ingresos y egresos de la entidad aseguradora por contraparte.</w:t>
      </w:r>
    </w:p>
    <w:p w14:paraId="1288E5BB" w14:textId="67EA0E3F" w:rsidR="005C2CB9" w:rsidRPr="002B1EC9" w:rsidRDefault="005C2CB9" w:rsidP="00BE660C">
      <w:pPr>
        <w:tabs>
          <w:tab w:val="left" w:pos="720"/>
        </w:tabs>
        <w:jc w:val="both"/>
        <w:rPr>
          <w:rFonts w:cs="Arial"/>
          <w:sz w:val="16"/>
          <w:szCs w:val="16"/>
        </w:rPr>
      </w:pPr>
    </w:p>
    <w:p w14:paraId="04750155" w14:textId="77777777" w:rsidR="003641B9" w:rsidRPr="002B1EC9" w:rsidRDefault="003641B9" w:rsidP="00BE660C">
      <w:pPr>
        <w:tabs>
          <w:tab w:val="left" w:pos="720"/>
        </w:tabs>
        <w:jc w:val="both"/>
        <w:rPr>
          <w:rFonts w:cs="Arial"/>
          <w:sz w:val="16"/>
          <w:szCs w:val="16"/>
        </w:rPr>
        <w:sectPr w:rsidR="003641B9" w:rsidRPr="002B1EC9" w:rsidSect="001703CE">
          <w:footerReference w:type="first" r:id="rId18"/>
          <w:pgSz w:w="12240" w:h="18720" w:code="257"/>
          <w:pgMar w:top="1417" w:right="1701" w:bottom="1417" w:left="1701" w:header="709" w:footer="865" w:gutter="0"/>
          <w:pgNumType w:start="13"/>
          <w:cols w:space="708"/>
          <w:titlePg/>
          <w:docGrid w:linePitch="360"/>
        </w:sectPr>
      </w:pPr>
    </w:p>
    <w:p w14:paraId="600E2F06" w14:textId="5D0C616B" w:rsidR="005C2CB9" w:rsidRPr="002B1EC9" w:rsidRDefault="005C2CB9" w:rsidP="000D3FA7">
      <w:pPr>
        <w:pBdr>
          <w:left w:val="single" w:sz="4" w:space="4" w:color="auto"/>
        </w:pBdr>
        <w:tabs>
          <w:tab w:val="left" w:pos="1064"/>
          <w:tab w:val="left" w:pos="2057"/>
        </w:tabs>
        <w:ind w:right="80"/>
        <w:jc w:val="both"/>
        <w:rPr>
          <w:rFonts w:cs="Arial"/>
          <w:sz w:val="16"/>
          <w:szCs w:val="16"/>
        </w:rPr>
      </w:pPr>
      <w:r w:rsidRPr="002B1EC9">
        <w:rPr>
          <w:rFonts w:cs="Arial"/>
          <w:sz w:val="16"/>
          <w:szCs w:val="16"/>
        </w:rPr>
        <w:lastRenderedPageBreak/>
        <w:t xml:space="preserve">3.10.3. Que el pago de cada mesada o beneficio periódico se efectúe, si se presenta la contingencia prevista en el contrato, respecto del o </w:t>
      </w:r>
      <w:proofErr w:type="gramStart"/>
      <w:r w:rsidRPr="002B1EC9">
        <w:rPr>
          <w:rFonts w:cs="Arial"/>
          <w:sz w:val="16"/>
          <w:szCs w:val="16"/>
        </w:rPr>
        <w:t>los asegurado</w:t>
      </w:r>
      <w:proofErr w:type="gramEnd"/>
      <w:r w:rsidRPr="002B1EC9">
        <w:rPr>
          <w:rFonts w:cs="Arial"/>
          <w:sz w:val="16"/>
          <w:szCs w:val="16"/>
        </w:rPr>
        <w:t>(s)</w:t>
      </w:r>
      <w:r w:rsidR="00DA66CD">
        <w:rPr>
          <w:rFonts w:cs="Arial"/>
          <w:sz w:val="16"/>
          <w:szCs w:val="16"/>
        </w:rPr>
        <w:t xml:space="preserve">, </w:t>
      </w:r>
      <w:r w:rsidR="00AD7BEC">
        <w:rPr>
          <w:rFonts w:cs="Arial"/>
          <w:b/>
          <w:bCs/>
          <w:sz w:val="16"/>
          <w:szCs w:val="16"/>
        </w:rPr>
        <w:t xml:space="preserve">salvo para la </w:t>
      </w:r>
      <w:r w:rsidR="00E95423">
        <w:rPr>
          <w:rFonts w:cs="Arial"/>
          <w:b/>
          <w:bCs/>
          <w:sz w:val="16"/>
          <w:szCs w:val="16"/>
        </w:rPr>
        <w:t xml:space="preserve">operación de </w:t>
      </w:r>
      <w:r w:rsidR="00AD7BEC">
        <w:rPr>
          <w:rFonts w:cs="Arial"/>
          <w:b/>
          <w:bCs/>
          <w:sz w:val="16"/>
          <w:szCs w:val="16"/>
        </w:rPr>
        <w:t xml:space="preserve">renta vitalicia </w:t>
      </w:r>
      <w:r w:rsidR="002903B1">
        <w:rPr>
          <w:rFonts w:cs="Arial"/>
          <w:b/>
          <w:bCs/>
          <w:sz w:val="16"/>
          <w:szCs w:val="16"/>
        </w:rPr>
        <w:t>inmobiliaria</w:t>
      </w:r>
      <w:r w:rsidR="00AD7BEC">
        <w:rPr>
          <w:rFonts w:cs="Arial"/>
          <w:b/>
          <w:bCs/>
          <w:sz w:val="16"/>
          <w:szCs w:val="16"/>
        </w:rPr>
        <w:t xml:space="preserve"> </w:t>
      </w:r>
      <w:r w:rsidR="00CB16FC">
        <w:rPr>
          <w:rFonts w:cs="Arial"/>
          <w:b/>
          <w:bCs/>
          <w:sz w:val="16"/>
          <w:szCs w:val="16"/>
        </w:rPr>
        <w:t xml:space="preserve">de </w:t>
      </w:r>
      <w:r w:rsidR="00AD7BEC">
        <w:rPr>
          <w:rFonts w:cs="Arial"/>
          <w:b/>
          <w:bCs/>
          <w:sz w:val="16"/>
          <w:szCs w:val="16"/>
        </w:rPr>
        <w:t xml:space="preserve">que trata el </w:t>
      </w:r>
      <w:r w:rsidR="00AD7BEC" w:rsidRPr="002B1EC9">
        <w:rPr>
          <w:rFonts w:cs="Arial"/>
          <w:b/>
          <w:bCs/>
          <w:sz w:val="16"/>
          <w:szCs w:val="16"/>
        </w:rPr>
        <w:t>Título 7 del Libro 31 de la Parte 2 del Decreto 2555 de 2010</w:t>
      </w:r>
      <w:r w:rsidR="00AD7BEC">
        <w:rPr>
          <w:rFonts w:cs="Arial"/>
          <w:b/>
          <w:bCs/>
          <w:sz w:val="16"/>
          <w:szCs w:val="16"/>
        </w:rPr>
        <w:t>.</w:t>
      </w:r>
    </w:p>
    <w:p w14:paraId="1B2EF4E4" w14:textId="77777777" w:rsidR="005C2CB9" w:rsidRPr="002B1EC9" w:rsidRDefault="005C2CB9" w:rsidP="00BE660C">
      <w:pPr>
        <w:tabs>
          <w:tab w:val="left" w:pos="1064"/>
          <w:tab w:val="left" w:pos="2057"/>
        </w:tabs>
        <w:ind w:right="80"/>
        <w:jc w:val="both"/>
        <w:rPr>
          <w:rFonts w:cs="Arial"/>
          <w:sz w:val="16"/>
          <w:szCs w:val="16"/>
        </w:rPr>
      </w:pPr>
    </w:p>
    <w:p w14:paraId="73757E08" w14:textId="77777777" w:rsidR="005C2CB9" w:rsidRPr="002B1EC9" w:rsidRDefault="005C2CB9" w:rsidP="00BE660C">
      <w:pPr>
        <w:tabs>
          <w:tab w:val="left" w:pos="142"/>
          <w:tab w:val="left" w:pos="1064"/>
          <w:tab w:val="left" w:pos="2057"/>
        </w:tabs>
        <w:ind w:right="80"/>
        <w:jc w:val="both"/>
        <w:rPr>
          <w:rFonts w:cs="Arial"/>
          <w:sz w:val="16"/>
          <w:szCs w:val="16"/>
        </w:rPr>
      </w:pPr>
      <w:r w:rsidRPr="002B1EC9">
        <w:rPr>
          <w:rFonts w:cs="Arial"/>
          <w:sz w:val="16"/>
          <w:szCs w:val="16"/>
        </w:rPr>
        <w:t xml:space="preserve">3.10.4. Que su explotación u ofrecimiento no sea factible en alguno de los ramos de seguros definidos en el </w:t>
      </w:r>
      <w:proofErr w:type="spellStart"/>
      <w:r w:rsidRPr="002B1EC9">
        <w:rPr>
          <w:rFonts w:cs="Arial"/>
          <w:sz w:val="16"/>
          <w:szCs w:val="16"/>
        </w:rPr>
        <w:t>subnumeral</w:t>
      </w:r>
      <w:proofErr w:type="spellEnd"/>
      <w:r w:rsidRPr="002B1EC9">
        <w:rPr>
          <w:rFonts w:cs="Arial"/>
          <w:sz w:val="16"/>
          <w:szCs w:val="16"/>
        </w:rPr>
        <w:t xml:space="preserve"> 1.1 de este Capítulo.</w:t>
      </w:r>
    </w:p>
    <w:p w14:paraId="7D70E360" w14:textId="77777777" w:rsidR="0073626C" w:rsidRPr="002B1EC9" w:rsidRDefault="0073626C" w:rsidP="00BE660C">
      <w:pPr>
        <w:tabs>
          <w:tab w:val="left" w:pos="142"/>
          <w:tab w:val="left" w:pos="1064"/>
          <w:tab w:val="left" w:pos="2057"/>
        </w:tabs>
        <w:ind w:right="80"/>
        <w:jc w:val="both"/>
        <w:rPr>
          <w:rFonts w:cs="Arial"/>
          <w:sz w:val="16"/>
          <w:szCs w:val="16"/>
        </w:rPr>
      </w:pPr>
    </w:p>
    <w:p w14:paraId="6ECFDE6C" w14:textId="1E581480" w:rsidR="0073626C" w:rsidRPr="002B1EC9" w:rsidRDefault="0073626C" w:rsidP="00497539">
      <w:pPr>
        <w:pBdr>
          <w:left w:val="single" w:sz="4" w:space="1" w:color="auto"/>
        </w:pBdr>
        <w:tabs>
          <w:tab w:val="left" w:pos="142"/>
          <w:tab w:val="left" w:pos="1064"/>
          <w:tab w:val="left" w:pos="2057"/>
        </w:tabs>
        <w:ind w:right="80"/>
        <w:jc w:val="both"/>
        <w:rPr>
          <w:rFonts w:cs="Arial"/>
          <w:b/>
          <w:bCs/>
          <w:sz w:val="16"/>
          <w:szCs w:val="16"/>
        </w:rPr>
      </w:pPr>
      <w:r w:rsidRPr="002B1EC9">
        <w:rPr>
          <w:rFonts w:cs="Arial"/>
          <w:b/>
          <w:bCs/>
          <w:sz w:val="16"/>
          <w:szCs w:val="16"/>
        </w:rPr>
        <w:t xml:space="preserve">3.10.5. </w:t>
      </w:r>
      <w:r w:rsidR="00E31533">
        <w:rPr>
          <w:rFonts w:cs="Arial"/>
          <w:b/>
          <w:bCs/>
          <w:sz w:val="16"/>
          <w:szCs w:val="16"/>
        </w:rPr>
        <w:t>Únicamente p</w:t>
      </w:r>
      <w:r w:rsidR="00D8114C">
        <w:rPr>
          <w:rFonts w:cs="Arial"/>
          <w:b/>
          <w:bCs/>
          <w:sz w:val="16"/>
          <w:szCs w:val="16"/>
        </w:rPr>
        <w:t xml:space="preserve">ara el caso </w:t>
      </w:r>
      <w:r w:rsidR="000F483D">
        <w:rPr>
          <w:rFonts w:cs="Arial"/>
          <w:b/>
          <w:bCs/>
          <w:sz w:val="16"/>
          <w:szCs w:val="16"/>
        </w:rPr>
        <w:t xml:space="preserve">de la </w:t>
      </w:r>
      <w:r w:rsidR="00E95423">
        <w:rPr>
          <w:rFonts w:cs="Arial"/>
          <w:b/>
          <w:bCs/>
          <w:sz w:val="16"/>
          <w:szCs w:val="16"/>
        </w:rPr>
        <w:t xml:space="preserve">operación de </w:t>
      </w:r>
      <w:r w:rsidR="000F483D">
        <w:rPr>
          <w:rFonts w:cs="Arial"/>
          <w:b/>
          <w:bCs/>
          <w:sz w:val="16"/>
          <w:szCs w:val="16"/>
        </w:rPr>
        <w:t xml:space="preserve">renta vitalicia inmobiliaria </w:t>
      </w:r>
      <w:r w:rsidR="00B5269D">
        <w:rPr>
          <w:rFonts w:cs="Arial"/>
          <w:b/>
          <w:bCs/>
          <w:sz w:val="16"/>
          <w:szCs w:val="16"/>
        </w:rPr>
        <w:t xml:space="preserve">de </w:t>
      </w:r>
      <w:r w:rsidR="000F483D">
        <w:rPr>
          <w:rFonts w:cs="Arial"/>
          <w:b/>
          <w:bCs/>
          <w:sz w:val="16"/>
          <w:szCs w:val="16"/>
        </w:rPr>
        <w:t xml:space="preserve">que trata el </w:t>
      </w:r>
      <w:r w:rsidR="000F483D" w:rsidRPr="002B1EC9">
        <w:rPr>
          <w:rFonts w:cs="Arial"/>
          <w:b/>
          <w:bCs/>
          <w:sz w:val="16"/>
          <w:szCs w:val="16"/>
        </w:rPr>
        <w:t>Título 7 del Libro 31 de la Parte 2 del Decreto 2555 de 2010</w:t>
      </w:r>
      <w:r w:rsidR="000F483D">
        <w:rPr>
          <w:rFonts w:cs="Arial"/>
          <w:b/>
          <w:bCs/>
          <w:sz w:val="16"/>
          <w:szCs w:val="16"/>
        </w:rPr>
        <w:t xml:space="preserve">, </w:t>
      </w:r>
      <w:r w:rsidRPr="002B1EC9">
        <w:rPr>
          <w:rFonts w:cs="Arial"/>
          <w:b/>
          <w:bCs/>
          <w:sz w:val="16"/>
          <w:szCs w:val="16"/>
        </w:rPr>
        <w:t>el pago periódico se efectú</w:t>
      </w:r>
      <w:r w:rsidR="00D97D59">
        <w:rPr>
          <w:rFonts w:cs="Arial"/>
          <w:b/>
          <w:bCs/>
          <w:sz w:val="16"/>
          <w:szCs w:val="16"/>
        </w:rPr>
        <w:t>a</w:t>
      </w:r>
      <w:r w:rsidRPr="002B1EC9">
        <w:rPr>
          <w:rFonts w:cs="Arial"/>
          <w:b/>
          <w:bCs/>
          <w:sz w:val="16"/>
          <w:szCs w:val="16"/>
        </w:rPr>
        <w:t xml:space="preserve"> </w:t>
      </w:r>
      <w:r w:rsidR="002A3DD4">
        <w:rPr>
          <w:rFonts w:cs="Arial"/>
          <w:b/>
          <w:bCs/>
          <w:sz w:val="16"/>
          <w:szCs w:val="16"/>
        </w:rPr>
        <w:t>hasta que se presenta</w:t>
      </w:r>
      <w:r w:rsidRPr="002B1EC9">
        <w:rPr>
          <w:rFonts w:cs="Arial"/>
          <w:b/>
          <w:bCs/>
          <w:sz w:val="16"/>
          <w:szCs w:val="16"/>
        </w:rPr>
        <w:t xml:space="preserve"> </w:t>
      </w:r>
      <w:r w:rsidR="006E7E9B">
        <w:rPr>
          <w:rFonts w:cs="Arial"/>
          <w:b/>
          <w:bCs/>
          <w:sz w:val="16"/>
          <w:szCs w:val="16"/>
        </w:rPr>
        <w:t xml:space="preserve">el fallecimiento </w:t>
      </w:r>
      <w:r w:rsidR="00D97D59">
        <w:rPr>
          <w:rFonts w:cs="Arial"/>
          <w:b/>
          <w:bCs/>
          <w:sz w:val="16"/>
          <w:szCs w:val="16"/>
        </w:rPr>
        <w:t xml:space="preserve">del último de los beneficiarios definidos </w:t>
      </w:r>
      <w:r w:rsidRPr="002B1EC9">
        <w:rPr>
          <w:rFonts w:cs="Arial"/>
          <w:b/>
          <w:bCs/>
          <w:sz w:val="16"/>
          <w:szCs w:val="16"/>
        </w:rPr>
        <w:t xml:space="preserve">en el contrato a cambio de la transferencia de la nuda propiedad de un bien inmueble en los términos del </w:t>
      </w:r>
      <w:r w:rsidR="000E0325" w:rsidRPr="002B1EC9">
        <w:rPr>
          <w:rFonts w:cs="Arial"/>
          <w:b/>
          <w:bCs/>
          <w:sz w:val="16"/>
          <w:szCs w:val="16"/>
        </w:rPr>
        <w:t>Título</w:t>
      </w:r>
      <w:r w:rsidRPr="002B1EC9">
        <w:rPr>
          <w:rFonts w:cs="Arial"/>
          <w:b/>
          <w:bCs/>
          <w:sz w:val="16"/>
          <w:szCs w:val="16"/>
        </w:rPr>
        <w:t xml:space="preserve"> 7 del Libro 31 de la Parte 2 del Decreto 2555 de 2010.</w:t>
      </w:r>
    </w:p>
    <w:p w14:paraId="3794BB83" w14:textId="77777777" w:rsidR="0073626C" w:rsidRPr="002B1EC9" w:rsidRDefault="0073626C" w:rsidP="00497539">
      <w:pPr>
        <w:pBdr>
          <w:left w:val="single" w:sz="4" w:space="1" w:color="auto"/>
        </w:pBdr>
        <w:tabs>
          <w:tab w:val="left" w:pos="720"/>
          <w:tab w:val="left" w:pos="1064"/>
          <w:tab w:val="left" w:pos="2057"/>
        </w:tabs>
        <w:ind w:right="356"/>
        <w:jc w:val="both"/>
        <w:rPr>
          <w:rFonts w:cs="Arial"/>
          <w:b/>
          <w:sz w:val="16"/>
          <w:szCs w:val="16"/>
        </w:rPr>
      </w:pPr>
    </w:p>
    <w:p w14:paraId="5FEA682E" w14:textId="7AC78F12" w:rsidR="00412FB7" w:rsidRPr="002B1EC9" w:rsidRDefault="00C378A0" w:rsidP="00497539">
      <w:pPr>
        <w:pBdr>
          <w:left w:val="single" w:sz="4" w:space="1" w:color="auto"/>
        </w:pBdr>
        <w:tabs>
          <w:tab w:val="left" w:pos="720"/>
          <w:tab w:val="left" w:pos="1064"/>
          <w:tab w:val="left" w:pos="2057"/>
        </w:tabs>
        <w:ind w:right="356"/>
        <w:jc w:val="both"/>
        <w:rPr>
          <w:rFonts w:cs="Arial"/>
          <w:b/>
          <w:sz w:val="16"/>
          <w:szCs w:val="16"/>
        </w:rPr>
      </w:pPr>
      <w:r>
        <w:rPr>
          <w:rFonts w:cs="Arial"/>
          <w:b/>
          <w:sz w:val="16"/>
          <w:szCs w:val="16"/>
        </w:rPr>
        <w:t>Al</w:t>
      </w:r>
      <w:r w:rsidR="00412FB7" w:rsidRPr="002B1EC9">
        <w:rPr>
          <w:rFonts w:cs="Arial"/>
          <w:b/>
          <w:sz w:val="16"/>
          <w:szCs w:val="16"/>
        </w:rPr>
        <w:t xml:space="preserve"> producto de que trata el presente </w:t>
      </w:r>
      <w:proofErr w:type="spellStart"/>
      <w:r w:rsidR="00412FB7" w:rsidRPr="002B1EC9">
        <w:rPr>
          <w:rFonts w:cs="Arial"/>
          <w:b/>
          <w:sz w:val="16"/>
          <w:szCs w:val="16"/>
        </w:rPr>
        <w:t>subnumeral</w:t>
      </w:r>
      <w:proofErr w:type="spellEnd"/>
      <w:r w:rsidR="00616BEF">
        <w:rPr>
          <w:rFonts w:cs="Arial"/>
          <w:b/>
          <w:sz w:val="16"/>
          <w:szCs w:val="16"/>
        </w:rPr>
        <w:t>, le</w:t>
      </w:r>
      <w:r w:rsidR="00412FB7" w:rsidRPr="002B1EC9">
        <w:rPr>
          <w:rFonts w:cs="Arial"/>
          <w:b/>
          <w:sz w:val="16"/>
          <w:szCs w:val="16"/>
        </w:rPr>
        <w:t xml:space="preserve"> serán aplicables los siguientes requisitos:</w:t>
      </w:r>
    </w:p>
    <w:p w14:paraId="3EAB9383" w14:textId="77777777" w:rsidR="00412FB7" w:rsidRPr="002B1EC9" w:rsidRDefault="00412FB7" w:rsidP="00497539">
      <w:pPr>
        <w:pBdr>
          <w:left w:val="single" w:sz="4" w:space="1" w:color="auto"/>
        </w:pBdr>
        <w:tabs>
          <w:tab w:val="left" w:pos="720"/>
          <w:tab w:val="left" w:pos="1064"/>
          <w:tab w:val="left" w:pos="2057"/>
        </w:tabs>
        <w:ind w:right="356"/>
        <w:jc w:val="both"/>
        <w:rPr>
          <w:rFonts w:cs="Arial"/>
          <w:b/>
          <w:sz w:val="16"/>
          <w:szCs w:val="16"/>
        </w:rPr>
      </w:pPr>
    </w:p>
    <w:p w14:paraId="5746EA85" w14:textId="54C89C4D" w:rsidR="00412FB7" w:rsidRPr="002B1EC9" w:rsidRDefault="00412FB7" w:rsidP="00497539">
      <w:pPr>
        <w:pBdr>
          <w:left w:val="single" w:sz="4" w:space="1" w:color="auto"/>
        </w:pBdr>
        <w:tabs>
          <w:tab w:val="left" w:pos="720"/>
          <w:tab w:val="left" w:pos="1064"/>
          <w:tab w:val="left" w:pos="2057"/>
        </w:tabs>
        <w:ind w:right="49"/>
        <w:jc w:val="both"/>
        <w:rPr>
          <w:rFonts w:cs="Arial"/>
          <w:b/>
          <w:sz w:val="16"/>
          <w:szCs w:val="16"/>
        </w:rPr>
      </w:pPr>
      <w:r w:rsidRPr="00005BBA">
        <w:rPr>
          <w:rFonts w:cs="Arial"/>
          <w:b/>
          <w:sz w:val="16"/>
          <w:szCs w:val="16"/>
        </w:rPr>
        <w:t xml:space="preserve">3.10.5.1. Gestión del riesgo de liquidez. </w:t>
      </w:r>
      <w:r w:rsidR="00497539" w:rsidRPr="00756E43">
        <w:rPr>
          <w:rFonts w:cs="Arial"/>
          <w:b/>
          <w:sz w:val="16"/>
          <w:szCs w:val="16"/>
        </w:rPr>
        <w:t>Las entidades aseguradoras</w:t>
      </w:r>
      <w:r w:rsidRPr="00A83F50">
        <w:rPr>
          <w:rFonts w:cs="Arial"/>
          <w:b/>
          <w:sz w:val="16"/>
          <w:szCs w:val="16"/>
        </w:rPr>
        <w:t xml:space="preserve"> que ofrezcan este producto deben garantizar que sus posiciones actuales y futuras sobre la liquidez son adecuadas para respaldar el pago periódico contractual de la renta vitalicia inmobiliaria, incluso en situaciones de tensión.</w:t>
      </w:r>
    </w:p>
    <w:p w14:paraId="238D558A" w14:textId="77777777" w:rsidR="00497539" w:rsidRPr="002B1EC9" w:rsidRDefault="00497539" w:rsidP="00497539">
      <w:pPr>
        <w:pBdr>
          <w:left w:val="single" w:sz="4" w:space="1" w:color="auto"/>
        </w:pBdr>
        <w:tabs>
          <w:tab w:val="left" w:pos="720"/>
          <w:tab w:val="left" w:pos="1064"/>
          <w:tab w:val="left" w:pos="2057"/>
        </w:tabs>
        <w:ind w:right="49"/>
        <w:jc w:val="both"/>
        <w:rPr>
          <w:rFonts w:cs="Arial"/>
          <w:b/>
          <w:sz w:val="16"/>
          <w:szCs w:val="16"/>
        </w:rPr>
      </w:pPr>
    </w:p>
    <w:p w14:paraId="001747DC" w14:textId="6E3B9D41" w:rsidR="00497539" w:rsidRPr="002B1EC9" w:rsidRDefault="00B7282B" w:rsidP="00497539">
      <w:pPr>
        <w:pBdr>
          <w:left w:val="single" w:sz="4" w:space="1" w:color="auto"/>
        </w:pBdr>
        <w:tabs>
          <w:tab w:val="left" w:pos="720"/>
          <w:tab w:val="left" w:pos="1064"/>
          <w:tab w:val="left" w:pos="2057"/>
        </w:tabs>
        <w:ind w:right="49"/>
        <w:jc w:val="both"/>
        <w:rPr>
          <w:rFonts w:cs="Arial"/>
          <w:b/>
          <w:sz w:val="16"/>
          <w:szCs w:val="16"/>
        </w:rPr>
      </w:pPr>
      <w:r>
        <w:rPr>
          <w:rFonts w:cs="Arial"/>
          <w:b/>
          <w:sz w:val="16"/>
          <w:szCs w:val="16"/>
        </w:rPr>
        <w:t>L</w:t>
      </w:r>
      <w:r w:rsidR="00497539" w:rsidRPr="002B1EC9">
        <w:rPr>
          <w:rFonts w:cs="Arial"/>
          <w:b/>
          <w:sz w:val="16"/>
          <w:szCs w:val="16"/>
        </w:rPr>
        <w:t xml:space="preserve">as entidades aseguradoras deben </w:t>
      </w:r>
      <w:r>
        <w:rPr>
          <w:rFonts w:cs="Arial"/>
          <w:b/>
          <w:sz w:val="16"/>
          <w:szCs w:val="16"/>
        </w:rPr>
        <w:t>diseñar e implementar</w:t>
      </w:r>
      <w:r w:rsidR="00497539" w:rsidRPr="002B1EC9">
        <w:rPr>
          <w:rFonts w:cs="Arial"/>
          <w:b/>
          <w:sz w:val="16"/>
          <w:szCs w:val="16"/>
        </w:rPr>
        <w:t xml:space="preserve"> unas políticas, procedimientos, metodologías y límites que les permita</w:t>
      </w:r>
      <w:r w:rsidR="002A53EC">
        <w:rPr>
          <w:rFonts w:cs="Arial"/>
          <w:b/>
          <w:sz w:val="16"/>
          <w:szCs w:val="16"/>
        </w:rPr>
        <w:t>n</w:t>
      </w:r>
      <w:r w:rsidR="00497539" w:rsidRPr="002B1EC9">
        <w:rPr>
          <w:rFonts w:cs="Arial"/>
          <w:b/>
          <w:sz w:val="16"/>
          <w:szCs w:val="16"/>
        </w:rPr>
        <w:t xml:space="preserve"> identificar, medir, monitorear y controlar el riesgo de liquidez </w:t>
      </w:r>
      <w:r w:rsidR="00767117">
        <w:rPr>
          <w:rFonts w:cs="Arial"/>
          <w:b/>
          <w:sz w:val="16"/>
          <w:szCs w:val="16"/>
        </w:rPr>
        <w:t xml:space="preserve">inherente </w:t>
      </w:r>
      <w:r w:rsidRPr="00005BBA">
        <w:rPr>
          <w:rFonts w:cs="Arial"/>
          <w:b/>
          <w:sz w:val="16"/>
          <w:szCs w:val="16"/>
        </w:rPr>
        <w:t>al desarrollo de este producto</w:t>
      </w:r>
      <w:r w:rsidR="00B24209">
        <w:rPr>
          <w:rFonts w:cs="Arial"/>
          <w:b/>
          <w:sz w:val="16"/>
          <w:szCs w:val="16"/>
        </w:rPr>
        <w:t>,</w:t>
      </w:r>
      <w:r w:rsidRPr="00756E43">
        <w:rPr>
          <w:rFonts w:cs="Arial"/>
          <w:b/>
          <w:sz w:val="16"/>
          <w:szCs w:val="16"/>
        </w:rPr>
        <w:t xml:space="preserve"> </w:t>
      </w:r>
      <w:r w:rsidR="004D1464">
        <w:rPr>
          <w:rFonts w:cs="Arial"/>
          <w:b/>
          <w:sz w:val="16"/>
          <w:szCs w:val="16"/>
        </w:rPr>
        <w:t xml:space="preserve">cuando </w:t>
      </w:r>
      <w:r w:rsidR="00E02295">
        <w:rPr>
          <w:rFonts w:cs="Arial"/>
          <w:b/>
          <w:sz w:val="16"/>
          <w:szCs w:val="16"/>
        </w:rPr>
        <w:t>sus reservas técnicas estén siendo respalda</w:t>
      </w:r>
      <w:r w:rsidR="00855CF3">
        <w:rPr>
          <w:rFonts w:cs="Arial"/>
          <w:b/>
          <w:sz w:val="16"/>
          <w:szCs w:val="16"/>
        </w:rPr>
        <w:t>d</w:t>
      </w:r>
      <w:r w:rsidR="00A82BF4">
        <w:rPr>
          <w:rFonts w:cs="Arial"/>
          <w:b/>
          <w:sz w:val="16"/>
          <w:szCs w:val="16"/>
        </w:rPr>
        <w:t>a</w:t>
      </w:r>
      <w:r w:rsidR="00E02295">
        <w:rPr>
          <w:rFonts w:cs="Arial"/>
          <w:b/>
          <w:sz w:val="16"/>
          <w:szCs w:val="16"/>
        </w:rPr>
        <w:t xml:space="preserve">s por bienes raíces no productivos. </w:t>
      </w:r>
      <w:r w:rsidRPr="00733424">
        <w:rPr>
          <w:rFonts w:cs="Arial"/>
          <w:b/>
          <w:sz w:val="16"/>
          <w:szCs w:val="16"/>
        </w:rPr>
        <w:t>Estos elementos deben estar integrados con</w:t>
      </w:r>
      <w:r>
        <w:rPr>
          <w:rFonts w:cs="Arial"/>
          <w:b/>
          <w:sz w:val="16"/>
          <w:szCs w:val="16"/>
        </w:rPr>
        <w:t xml:space="preserve"> la gestión de riesgos de la entidad y ser acordes con el perfil y apetito de riesgo, el plan de negocio, la estrategia de riesgos, la naturaleza, el tamaño y la complejidad de las actividades que desarrolle la entidad </w:t>
      </w:r>
      <w:r w:rsidR="00623E4D">
        <w:rPr>
          <w:rFonts w:cs="Arial"/>
          <w:b/>
          <w:sz w:val="16"/>
          <w:szCs w:val="16"/>
        </w:rPr>
        <w:t>con</w:t>
      </w:r>
      <w:r>
        <w:rPr>
          <w:rFonts w:cs="Arial"/>
          <w:b/>
          <w:sz w:val="16"/>
          <w:szCs w:val="16"/>
        </w:rPr>
        <w:t xml:space="preserve"> este producto.</w:t>
      </w:r>
    </w:p>
    <w:p w14:paraId="182C634B" w14:textId="77777777" w:rsidR="00497539" w:rsidRPr="002B1EC9" w:rsidRDefault="00497539" w:rsidP="00497539">
      <w:pPr>
        <w:pBdr>
          <w:left w:val="single" w:sz="4" w:space="1" w:color="auto"/>
        </w:pBdr>
        <w:tabs>
          <w:tab w:val="left" w:pos="720"/>
          <w:tab w:val="left" w:pos="1064"/>
          <w:tab w:val="left" w:pos="2057"/>
        </w:tabs>
        <w:ind w:right="49"/>
        <w:jc w:val="both"/>
        <w:rPr>
          <w:rFonts w:cs="Arial"/>
          <w:b/>
          <w:sz w:val="16"/>
          <w:szCs w:val="16"/>
        </w:rPr>
      </w:pPr>
    </w:p>
    <w:p w14:paraId="2482FC2D" w14:textId="4A24593E" w:rsidR="00497539" w:rsidRPr="002B1EC9" w:rsidRDefault="00B7282B" w:rsidP="00497539">
      <w:pPr>
        <w:pBdr>
          <w:left w:val="single" w:sz="4" w:space="1" w:color="auto"/>
        </w:pBdr>
        <w:tabs>
          <w:tab w:val="left" w:pos="720"/>
          <w:tab w:val="left" w:pos="1064"/>
          <w:tab w:val="left" w:pos="2057"/>
        </w:tabs>
        <w:ind w:right="49"/>
        <w:jc w:val="both"/>
        <w:rPr>
          <w:rFonts w:cs="Arial"/>
          <w:b/>
          <w:sz w:val="16"/>
          <w:szCs w:val="16"/>
        </w:rPr>
      </w:pPr>
      <w:r>
        <w:rPr>
          <w:rFonts w:cs="Arial"/>
          <w:b/>
          <w:sz w:val="16"/>
          <w:szCs w:val="16"/>
        </w:rPr>
        <w:t>Los elementos descritos anteriormente</w:t>
      </w:r>
      <w:r w:rsidR="00497539" w:rsidRPr="002B1EC9">
        <w:rPr>
          <w:rFonts w:cs="Arial"/>
          <w:b/>
          <w:sz w:val="16"/>
          <w:szCs w:val="16"/>
        </w:rPr>
        <w:t xml:space="preserve"> deben estar debidamente documentados, aprobados por la junta directiva de la entidad y </w:t>
      </w:r>
      <w:r w:rsidR="001A2557" w:rsidRPr="002B1EC9">
        <w:rPr>
          <w:rFonts w:cs="Arial"/>
          <w:b/>
          <w:sz w:val="16"/>
          <w:szCs w:val="16"/>
        </w:rPr>
        <w:t>estar a</w:t>
      </w:r>
      <w:r w:rsidR="00497539" w:rsidRPr="002B1EC9">
        <w:rPr>
          <w:rFonts w:cs="Arial"/>
          <w:b/>
          <w:sz w:val="16"/>
          <w:szCs w:val="16"/>
        </w:rPr>
        <w:t xml:space="preserve"> disposición de la SFC</w:t>
      </w:r>
      <w:r w:rsidR="001A2557" w:rsidRPr="002B1EC9">
        <w:rPr>
          <w:rFonts w:cs="Arial"/>
          <w:b/>
          <w:sz w:val="16"/>
          <w:szCs w:val="16"/>
        </w:rPr>
        <w:t xml:space="preserve"> para su consulta</w:t>
      </w:r>
      <w:r w:rsidR="00497539" w:rsidRPr="002B1EC9">
        <w:rPr>
          <w:rFonts w:cs="Arial"/>
          <w:b/>
          <w:sz w:val="16"/>
          <w:szCs w:val="16"/>
        </w:rPr>
        <w:t>.</w:t>
      </w:r>
    </w:p>
    <w:p w14:paraId="18516DA6" w14:textId="77777777" w:rsidR="00E5027B" w:rsidRPr="002B1EC9" w:rsidRDefault="00E5027B" w:rsidP="00497539">
      <w:pPr>
        <w:pBdr>
          <w:left w:val="single" w:sz="4" w:space="1" w:color="auto"/>
        </w:pBdr>
        <w:tabs>
          <w:tab w:val="left" w:pos="720"/>
          <w:tab w:val="left" w:pos="1064"/>
          <w:tab w:val="left" w:pos="2057"/>
        </w:tabs>
        <w:ind w:right="356"/>
        <w:jc w:val="both"/>
        <w:rPr>
          <w:rFonts w:cs="Arial"/>
          <w:b/>
          <w:sz w:val="16"/>
          <w:szCs w:val="16"/>
        </w:rPr>
      </w:pPr>
    </w:p>
    <w:p w14:paraId="4210EAF7" w14:textId="4D2E987F" w:rsidR="002C39D4" w:rsidRPr="002B1EC9" w:rsidRDefault="00B82E38" w:rsidP="00497539">
      <w:pPr>
        <w:pBdr>
          <w:left w:val="single" w:sz="4" w:space="1" w:color="auto"/>
        </w:pBdr>
        <w:tabs>
          <w:tab w:val="left" w:pos="720"/>
          <w:tab w:val="left" w:pos="1064"/>
          <w:tab w:val="left" w:pos="2057"/>
        </w:tabs>
        <w:ind w:right="49"/>
        <w:jc w:val="both"/>
        <w:rPr>
          <w:rFonts w:cs="Arial"/>
          <w:b/>
          <w:sz w:val="16"/>
          <w:szCs w:val="16"/>
        </w:rPr>
      </w:pPr>
      <w:r w:rsidRPr="002B1EC9">
        <w:rPr>
          <w:rFonts w:cs="Arial"/>
          <w:b/>
          <w:sz w:val="16"/>
          <w:szCs w:val="16"/>
        </w:rPr>
        <w:t xml:space="preserve">3.10.5.2. </w:t>
      </w:r>
      <w:r w:rsidR="00A3752B" w:rsidRPr="002B1EC9">
        <w:rPr>
          <w:rFonts w:cs="Arial"/>
          <w:b/>
          <w:sz w:val="16"/>
          <w:szCs w:val="16"/>
        </w:rPr>
        <w:t xml:space="preserve">Metodología </w:t>
      </w:r>
      <w:r w:rsidR="00BA7F82">
        <w:rPr>
          <w:rFonts w:cs="Arial"/>
          <w:b/>
          <w:sz w:val="16"/>
          <w:szCs w:val="16"/>
        </w:rPr>
        <w:t>de</w:t>
      </w:r>
      <w:r w:rsidR="00A3752B" w:rsidRPr="002B1EC9">
        <w:rPr>
          <w:rFonts w:cs="Arial"/>
          <w:b/>
          <w:sz w:val="16"/>
          <w:szCs w:val="16"/>
        </w:rPr>
        <w:t xml:space="preserve"> cálculo de la reserva matemática</w:t>
      </w:r>
    </w:p>
    <w:p w14:paraId="39562779" w14:textId="77777777" w:rsidR="002205BD" w:rsidRPr="002B1EC9" w:rsidRDefault="002205BD" w:rsidP="00497539">
      <w:pPr>
        <w:pBdr>
          <w:left w:val="single" w:sz="4" w:space="1" w:color="auto"/>
        </w:pBdr>
        <w:tabs>
          <w:tab w:val="left" w:pos="720"/>
          <w:tab w:val="left" w:pos="1064"/>
          <w:tab w:val="left" w:pos="2057"/>
        </w:tabs>
        <w:ind w:right="49"/>
        <w:jc w:val="both"/>
        <w:rPr>
          <w:rFonts w:cs="Arial"/>
          <w:b/>
          <w:sz w:val="16"/>
          <w:szCs w:val="16"/>
        </w:rPr>
      </w:pPr>
    </w:p>
    <w:p w14:paraId="761E5B50" w14:textId="5C119470" w:rsidR="00CF27F1" w:rsidRPr="002B1EC9" w:rsidRDefault="002205BD" w:rsidP="00497539">
      <w:pPr>
        <w:pBdr>
          <w:left w:val="single" w:sz="4" w:space="1" w:color="auto"/>
        </w:pBdr>
        <w:tabs>
          <w:tab w:val="left" w:pos="720"/>
          <w:tab w:val="left" w:pos="1064"/>
          <w:tab w:val="left" w:pos="2057"/>
        </w:tabs>
        <w:ind w:right="49"/>
        <w:jc w:val="both"/>
        <w:rPr>
          <w:rFonts w:cs="Arial"/>
          <w:b/>
          <w:sz w:val="16"/>
          <w:szCs w:val="16"/>
        </w:rPr>
      </w:pPr>
      <w:r w:rsidRPr="002B1EC9">
        <w:rPr>
          <w:rFonts w:cs="Arial"/>
          <w:b/>
          <w:sz w:val="16"/>
          <w:szCs w:val="16"/>
        </w:rPr>
        <w:t xml:space="preserve">Para dar cumplimiento a </w:t>
      </w:r>
      <w:r w:rsidR="00F174C0">
        <w:rPr>
          <w:rFonts w:cs="Arial"/>
          <w:b/>
          <w:sz w:val="16"/>
          <w:szCs w:val="16"/>
        </w:rPr>
        <w:t>lo establecido</w:t>
      </w:r>
      <w:r w:rsidRPr="002B1EC9">
        <w:rPr>
          <w:rFonts w:cs="Arial"/>
          <w:b/>
          <w:sz w:val="16"/>
          <w:szCs w:val="16"/>
        </w:rPr>
        <w:t xml:space="preserve"> </w:t>
      </w:r>
      <w:r w:rsidR="00FF2D88">
        <w:rPr>
          <w:rFonts w:cs="Arial"/>
          <w:b/>
          <w:sz w:val="16"/>
          <w:szCs w:val="16"/>
        </w:rPr>
        <w:t>por el</w:t>
      </w:r>
      <w:r w:rsidR="00FF2D88" w:rsidRPr="002B1EC9">
        <w:rPr>
          <w:rFonts w:cs="Arial"/>
          <w:b/>
          <w:sz w:val="16"/>
          <w:szCs w:val="16"/>
        </w:rPr>
        <w:t xml:space="preserve"> </w:t>
      </w:r>
      <w:r w:rsidRPr="002B1EC9">
        <w:rPr>
          <w:rFonts w:cs="Arial"/>
          <w:b/>
          <w:sz w:val="16"/>
          <w:szCs w:val="16"/>
        </w:rPr>
        <w:t xml:space="preserve">art. 2.31.4.3.2 del Decreto 2555 de 2010, </w:t>
      </w:r>
      <w:r w:rsidR="00CD3AB2" w:rsidRPr="002B1EC9">
        <w:rPr>
          <w:rFonts w:cs="Arial"/>
          <w:b/>
          <w:sz w:val="16"/>
          <w:szCs w:val="16"/>
        </w:rPr>
        <w:t>las entidades aseguradoras</w:t>
      </w:r>
      <w:r w:rsidRPr="002B1EC9">
        <w:rPr>
          <w:rFonts w:cs="Arial"/>
          <w:b/>
          <w:sz w:val="16"/>
          <w:szCs w:val="16"/>
        </w:rPr>
        <w:t xml:space="preserve"> deben observar las instrucciones generales contenidas en el </w:t>
      </w:r>
      <w:proofErr w:type="spellStart"/>
      <w:r w:rsidRPr="002B1EC9">
        <w:rPr>
          <w:rFonts w:cs="Arial"/>
          <w:b/>
          <w:sz w:val="16"/>
          <w:szCs w:val="16"/>
        </w:rPr>
        <w:t>subnumeral</w:t>
      </w:r>
      <w:proofErr w:type="spellEnd"/>
      <w:r w:rsidRPr="002B1EC9">
        <w:rPr>
          <w:rFonts w:cs="Arial"/>
          <w:b/>
          <w:sz w:val="16"/>
          <w:szCs w:val="16"/>
        </w:rPr>
        <w:t xml:space="preserve"> 2.2.2 del presente Capítulo</w:t>
      </w:r>
      <w:r w:rsidR="00CD3AB2" w:rsidRPr="002B1EC9">
        <w:rPr>
          <w:rFonts w:cs="Arial"/>
          <w:b/>
          <w:sz w:val="16"/>
          <w:szCs w:val="16"/>
        </w:rPr>
        <w:t xml:space="preserve">. Adicionalmente, deben </w:t>
      </w:r>
      <w:r w:rsidR="0073714A" w:rsidRPr="002B1EC9">
        <w:rPr>
          <w:rFonts w:cs="Arial"/>
          <w:b/>
          <w:sz w:val="16"/>
          <w:szCs w:val="16"/>
        </w:rPr>
        <w:t>utilizar</w:t>
      </w:r>
      <w:r w:rsidRPr="002B1EC9">
        <w:rPr>
          <w:rFonts w:cs="Arial"/>
          <w:b/>
          <w:sz w:val="16"/>
          <w:szCs w:val="16"/>
        </w:rPr>
        <w:t xml:space="preserve"> las tablas de </w:t>
      </w:r>
      <w:r w:rsidR="0073714A" w:rsidRPr="002B1EC9">
        <w:rPr>
          <w:rFonts w:cs="Arial"/>
          <w:b/>
          <w:sz w:val="16"/>
          <w:szCs w:val="16"/>
        </w:rPr>
        <w:t>mortalidad que se encuentran contenidas en los siguientes anexos del presente Título:</w:t>
      </w:r>
    </w:p>
    <w:p w14:paraId="182C96BD" w14:textId="39B51812" w:rsidR="00B82E38" w:rsidRPr="002B1EC9" w:rsidRDefault="00B82E38" w:rsidP="00497539">
      <w:pPr>
        <w:pBdr>
          <w:left w:val="single" w:sz="4" w:space="1" w:color="auto"/>
        </w:pBdr>
        <w:tabs>
          <w:tab w:val="left" w:pos="720"/>
          <w:tab w:val="left" w:pos="1064"/>
          <w:tab w:val="left" w:pos="2057"/>
        </w:tabs>
        <w:ind w:right="356"/>
        <w:jc w:val="both"/>
        <w:rPr>
          <w:rFonts w:cs="Arial"/>
          <w:b/>
          <w:sz w:val="16"/>
          <w:szCs w:val="16"/>
        </w:rPr>
      </w:pPr>
    </w:p>
    <w:p w14:paraId="019F95AC" w14:textId="3512920B" w:rsidR="00B82E38" w:rsidRPr="002B1EC9" w:rsidRDefault="00B82E38" w:rsidP="00497539">
      <w:pPr>
        <w:pBdr>
          <w:left w:val="single" w:sz="4" w:space="1" w:color="auto"/>
        </w:pBdr>
        <w:tabs>
          <w:tab w:val="left" w:pos="720"/>
          <w:tab w:val="left" w:pos="1064"/>
          <w:tab w:val="left" w:pos="2057"/>
        </w:tabs>
        <w:ind w:right="356"/>
        <w:jc w:val="both"/>
        <w:rPr>
          <w:rFonts w:cs="Arial"/>
          <w:bCs/>
          <w:sz w:val="16"/>
          <w:szCs w:val="16"/>
        </w:rPr>
      </w:pPr>
      <w:r w:rsidRPr="002B1EC9">
        <w:rPr>
          <w:rFonts w:cs="Arial"/>
          <w:b/>
          <w:sz w:val="16"/>
          <w:szCs w:val="16"/>
        </w:rPr>
        <w:t>Anexo 5: Tabla de mortalidad de rentistas</w:t>
      </w:r>
      <w:r w:rsidR="001E482A" w:rsidRPr="002B1EC9">
        <w:rPr>
          <w:rFonts w:cs="Arial"/>
          <w:b/>
          <w:sz w:val="16"/>
          <w:szCs w:val="16"/>
        </w:rPr>
        <w:t>.</w:t>
      </w:r>
    </w:p>
    <w:p w14:paraId="0FB3D548" w14:textId="77777777" w:rsidR="00FA03A0" w:rsidRPr="002B1EC9" w:rsidRDefault="00B82E38" w:rsidP="00FA03A0">
      <w:pPr>
        <w:pBdr>
          <w:left w:val="single" w:sz="4" w:space="1" w:color="auto"/>
        </w:pBdr>
        <w:tabs>
          <w:tab w:val="left" w:pos="720"/>
          <w:tab w:val="left" w:pos="1064"/>
          <w:tab w:val="left" w:pos="2057"/>
        </w:tabs>
        <w:ind w:right="356"/>
        <w:jc w:val="both"/>
        <w:rPr>
          <w:rFonts w:cs="Arial"/>
          <w:b/>
          <w:sz w:val="16"/>
          <w:szCs w:val="16"/>
        </w:rPr>
      </w:pPr>
      <w:r w:rsidRPr="002B1EC9">
        <w:rPr>
          <w:rFonts w:cs="Arial"/>
          <w:b/>
          <w:sz w:val="16"/>
          <w:szCs w:val="16"/>
        </w:rPr>
        <w:t>Anexo 7: Tabla de mortalidad de inválidos</w:t>
      </w:r>
      <w:r w:rsidR="001E482A" w:rsidRPr="002B1EC9">
        <w:rPr>
          <w:rFonts w:cs="Arial"/>
          <w:b/>
          <w:sz w:val="16"/>
          <w:szCs w:val="16"/>
        </w:rPr>
        <w:t>.</w:t>
      </w:r>
      <w:bookmarkStart w:id="0" w:name="_Toc269950176"/>
    </w:p>
    <w:p w14:paraId="71448ED1" w14:textId="77777777" w:rsidR="00FA03A0" w:rsidRPr="002B1EC9" w:rsidRDefault="00FA03A0" w:rsidP="00FA03A0">
      <w:pPr>
        <w:pBdr>
          <w:left w:val="single" w:sz="4" w:space="1" w:color="auto"/>
        </w:pBdr>
        <w:tabs>
          <w:tab w:val="left" w:pos="720"/>
          <w:tab w:val="left" w:pos="1064"/>
          <w:tab w:val="left" w:pos="2057"/>
        </w:tabs>
        <w:ind w:right="356"/>
        <w:jc w:val="both"/>
        <w:rPr>
          <w:rFonts w:cs="Arial"/>
          <w:b/>
          <w:sz w:val="16"/>
          <w:szCs w:val="16"/>
        </w:rPr>
      </w:pPr>
    </w:p>
    <w:p w14:paraId="6E26B6CB" w14:textId="2978834D" w:rsidR="003E7B30" w:rsidRPr="002B1EC9" w:rsidRDefault="00796861" w:rsidP="008F5906">
      <w:pPr>
        <w:pBdr>
          <w:left w:val="single" w:sz="4" w:space="1" w:color="auto"/>
        </w:pBdr>
        <w:tabs>
          <w:tab w:val="left" w:pos="720"/>
          <w:tab w:val="left" w:pos="1064"/>
          <w:tab w:val="left" w:pos="2057"/>
        </w:tabs>
        <w:ind w:right="49"/>
        <w:jc w:val="both"/>
        <w:rPr>
          <w:rFonts w:cs="Arial"/>
          <w:b/>
          <w:sz w:val="16"/>
          <w:szCs w:val="16"/>
        </w:rPr>
      </w:pPr>
      <w:r w:rsidRPr="002B1EC9">
        <w:rPr>
          <w:rFonts w:cs="Arial"/>
          <w:b/>
          <w:sz w:val="16"/>
          <w:szCs w:val="16"/>
        </w:rPr>
        <w:t xml:space="preserve">3.10.5.3. </w:t>
      </w:r>
      <w:r w:rsidR="00FA03A0" w:rsidRPr="002B1EC9">
        <w:rPr>
          <w:rFonts w:cs="Arial"/>
          <w:b/>
          <w:sz w:val="16"/>
          <w:szCs w:val="16"/>
        </w:rPr>
        <w:t>Los criterios de admisibilidad y de v</w:t>
      </w:r>
      <w:r w:rsidR="00CD4CB9" w:rsidRPr="002B1EC9">
        <w:rPr>
          <w:rFonts w:cs="Arial"/>
          <w:b/>
          <w:sz w:val="16"/>
          <w:szCs w:val="16"/>
        </w:rPr>
        <w:t>a</w:t>
      </w:r>
      <w:r w:rsidR="00342EBF" w:rsidRPr="002B1EC9">
        <w:rPr>
          <w:rFonts w:cs="Arial"/>
          <w:b/>
          <w:sz w:val="16"/>
          <w:szCs w:val="16"/>
        </w:rPr>
        <w:t xml:space="preserve">loración de los activos </w:t>
      </w:r>
      <w:r w:rsidR="00FA03A0" w:rsidRPr="002B1EC9">
        <w:rPr>
          <w:rFonts w:cs="Arial"/>
          <w:b/>
          <w:sz w:val="16"/>
          <w:szCs w:val="16"/>
        </w:rPr>
        <w:t xml:space="preserve">no </w:t>
      </w:r>
      <w:r w:rsidR="00342EBF" w:rsidRPr="002B1EC9">
        <w:rPr>
          <w:rFonts w:cs="Arial"/>
          <w:b/>
          <w:sz w:val="16"/>
          <w:szCs w:val="16"/>
        </w:rPr>
        <w:t>productivos</w:t>
      </w:r>
      <w:r w:rsidR="00FA03A0" w:rsidRPr="002B1EC9">
        <w:rPr>
          <w:rFonts w:cs="Arial"/>
          <w:b/>
          <w:sz w:val="16"/>
          <w:szCs w:val="16"/>
        </w:rPr>
        <w:t xml:space="preserve"> de que trata el numeral 3.10 del art. 2.31.3.1.2</w:t>
      </w:r>
      <w:r w:rsidR="00BE235D" w:rsidRPr="002B1EC9">
        <w:rPr>
          <w:rFonts w:cs="Arial"/>
          <w:b/>
          <w:sz w:val="16"/>
          <w:szCs w:val="16"/>
        </w:rPr>
        <w:t xml:space="preserve"> </w:t>
      </w:r>
      <w:r w:rsidR="00FA03A0" w:rsidRPr="002B1EC9">
        <w:rPr>
          <w:rFonts w:cs="Arial"/>
          <w:b/>
          <w:sz w:val="16"/>
          <w:szCs w:val="16"/>
        </w:rPr>
        <w:t xml:space="preserve">del Decreto 2555 de 2010 corresponderán a los determinados en </w:t>
      </w:r>
      <w:r w:rsidR="00316631">
        <w:rPr>
          <w:rFonts w:cs="Arial"/>
          <w:b/>
          <w:sz w:val="16"/>
          <w:szCs w:val="16"/>
        </w:rPr>
        <w:t>los</w:t>
      </w:r>
      <w:r w:rsidR="00316631" w:rsidRPr="002B1EC9">
        <w:rPr>
          <w:rFonts w:cs="Arial"/>
          <w:b/>
          <w:sz w:val="16"/>
          <w:szCs w:val="16"/>
        </w:rPr>
        <w:t xml:space="preserve"> </w:t>
      </w:r>
      <w:proofErr w:type="spellStart"/>
      <w:r w:rsidR="00FA03A0" w:rsidRPr="00143BAD">
        <w:rPr>
          <w:rFonts w:cs="Arial"/>
          <w:b/>
          <w:sz w:val="16"/>
          <w:szCs w:val="16"/>
        </w:rPr>
        <w:t>subnumeral</w:t>
      </w:r>
      <w:r w:rsidR="00316631">
        <w:rPr>
          <w:rFonts w:cs="Arial"/>
          <w:b/>
          <w:sz w:val="16"/>
          <w:szCs w:val="16"/>
        </w:rPr>
        <w:t>es</w:t>
      </w:r>
      <w:proofErr w:type="spellEnd"/>
      <w:r w:rsidR="00FA03A0" w:rsidRPr="00143BAD">
        <w:rPr>
          <w:rFonts w:cs="Arial"/>
          <w:b/>
          <w:sz w:val="16"/>
          <w:szCs w:val="16"/>
        </w:rPr>
        <w:t xml:space="preserve"> </w:t>
      </w:r>
      <w:r w:rsidR="00FA03A0" w:rsidRPr="00676156">
        <w:rPr>
          <w:rFonts w:cs="Arial"/>
          <w:b/>
          <w:sz w:val="16"/>
          <w:szCs w:val="16"/>
        </w:rPr>
        <w:t>2.2.6</w:t>
      </w:r>
      <w:r w:rsidR="00985556" w:rsidRPr="00676156">
        <w:rPr>
          <w:rFonts w:cs="Arial"/>
          <w:b/>
          <w:sz w:val="16"/>
          <w:szCs w:val="16"/>
        </w:rPr>
        <w:t>.1</w:t>
      </w:r>
      <w:r w:rsidR="0084660B">
        <w:rPr>
          <w:rFonts w:cs="Arial"/>
          <w:b/>
          <w:sz w:val="16"/>
          <w:szCs w:val="16"/>
        </w:rPr>
        <w:t xml:space="preserve"> (inciso final)</w:t>
      </w:r>
      <w:r w:rsidR="00985556" w:rsidRPr="00676156">
        <w:rPr>
          <w:rFonts w:cs="Arial"/>
          <w:b/>
          <w:sz w:val="16"/>
          <w:szCs w:val="16"/>
        </w:rPr>
        <w:t xml:space="preserve"> y 2.2.</w:t>
      </w:r>
      <w:r w:rsidR="00676156" w:rsidRPr="00676156">
        <w:rPr>
          <w:rFonts w:cs="Arial"/>
          <w:b/>
          <w:sz w:val="16"/>
          <w:szCs w:val="16"/>
        </w:rPr>
        <w:t>6.3.7</w:t>
      </w:r>
      <w:r w:rsidR="00FA03A0" w:rsidRPr="002B1EC9">
        <w:rPr>
          <w:rFonts w:cs="Arial"/>
          <w:b/>
          <w:sz w:val="16"/>
          <w:szCs w:val="16"/>
        </w:rPr>
        <w:t xml:space="preserve"> del presente </w:t>
      </w:r>
      <w:r w:rsidR="00EE72C7" w:rsidRPr="002B1EC9">
        <w:rPr>
          <w:rFonts w:cs="Arial"/>
          <w:b/>
          <w:sz w:val="16"/>
          <w:szCs w:val="16"/>
        </w:rPr>
        <w:t>C</w:t>
      </w:r>
      <w:r w:rsidR="00FA03A0" w:rsidRPr="002B1EC9">
        <w:rPr>
          <w:rFonts w:cs="Arial"/>
          <w:b/>
          <w:sz w:val="16"/>
          <w:szCs w:val="16"/>
        </w:rPr>
        <w:t>apítulo.</w:t>
      </w:r>
    </w:p>
    <w:p w14:paraId="3BA8D281" w14:textId="77777777" w:rsidR="00AA6DFB" w:rsidRPr="002B1EC9" w:rsidRDefault="00AA6DFB" w:rsidP="003D049C">
      <w:pPr>
        <w:pBdr>
          <w:left w:val="single" w:sz="4" w:space="1" w:color="auto"/>
        </w:pBdr>
        <w:tabs>
          <w:tab w:val="left" w:pos="720"/>
          <w:tab w:val="left" w:pos="1064"/>
          <w:tab w:val="left" w:pos="2057"/>
        </w:tabs>
        <w:ind w:right="356"/>
        <w:jc w:val="both"/>
        <w:rPr>
          <w:rFonts w:cs="Arial"/>
          <w:b/>
          <w:sz w:val="16"/>
          <w:szCs w:val="16"/>
        </w:rPr>
      </w:pPr>
    </w:p>
    <w:p w14:paraId="77D2DAFC" w14:textId="6ABB26C2" w:rsidR="00690BE3" w:rsidRDefault="008C3E4C" w:rsidP="00DC22FD">
      <w:pPr>
        <w:pBdr>
          <w:left w:val="single" w:sz="4" w:space="0" w:color="auto"/>
        </w:pBdr>
        <w:tabs>
          <w:tab w:val="left" w:pos="720"/>
          <w:tab w:val="left" w:pos="1064"/>
          <w:tab w:val="left" w:pos="2057"/>
        </w:tabs>
        <w:ind w:right="49"/>
        <w:jc w:val="both"/>
        <w:rPr>
          <w:rFonts w:cs="Arial"/>
          <w:b/>
          <w:sz w:val="16"/>
          <w:szCs w:val="16"/>
        </w:rPr>
      </w:pPr>
      <w:r w:rsidRPr="002B1EC9">
        <w:rPr>
          <w:rFonts w:cs="Arial"/>
          <w:b/>
          <w:sz w:val="16"/>
          <w:szCs w:val="16"/>
        </w:rPr>
        <w:t>3.10.5.</w:t>
      </w:r>
      <w:r w:rsidR="00B4638A" w:rsidRPr="002B1EC9">
        <w:rPr>
          <w:rFonts w:cs="Arial"/>
          <w:b/>
          <w:sz w:val="16"/>
          <w:szCs w:val="16"/>
        </w:rPr>
        <w:t>4</w:t>
      </w:r>
      <w:r w:rsidR="00342B0D" w:rsidRPr="002B1EC9">
        <w:rPr>
          <w:rFonts w:cs="Arial"/>
          <w:b/>
          <w:sz w:val="16"/>
          <w:szCs w:val="16"/>
        </w:rPr>
        <w:t>.</w:t>
      </w:r>
      <w:r w:rsidR="00690BE3" w:rsidRPr="002B1EC9">
        <w:rPr>
          <w:rFonts w:cs="Arial"/>
          <w:b/>
          <w:sz w:val="16"/>
          <w:szCs w:val="16"/>
        </w:rPr>
        <w:t xml:space="preserve"> </w:t>
      </w:r>
      <w:r w:rsidR="00342B0D" w:rsidRPr="00B10F12">
        <w:rPr>
          <w:rFonts w:cs="Arial"/>
          <w:b/>
          <w:sz w:val="16"/>
          <w:szCs w:val="16"/>
        </w:rPr>
        <w:t>O</w:t>
      </w:r>
      <w:r w:rsidR="00690BE3" w:rsidRPr="00B10F12">
        <w:rPr>
          <w:rFonts w:cs="Arial"/>
          <w:b/>
          <w:sz w:val="16"/>
          <w:szCs w:val="16"/>
        </w:rPr>
        <w:t>pción de retracto</w:t>
      </w:r>
      <w:r w:rsidRPr="002B1EC9">
        <w:rPr>
          <w:rFonts w:cs="Arial"/>
          <w:b/>
          <w:sz w:val="16"/>
          <w:szCs w:val="16"/>
        </w:rPr>
        <w:t xml:space="preserve"> </w:t>
      </w:r>
    </w:p>
    <w:p w14:paraId="04CC83E5" w14:textId="77777777" w:rsidR="007D7CC3" w:rsidRPr="005943E5" w:rsidRDefault="007D7CC3" w:rsidP="00DC22FD">
      <w:pPr>
        <w:pBdr>
          <w:left w:val="single" w:sz="4" w:space="0" w:color="auto"/>
        </w:pBdr>
        <w:tabs>
          <w:tab w:val="left" w:pos="720"/>
          <w:tab w:val="left" w:pos="1064"/>
          <w:tab w:val="left" w:pos="2057"/>
        </w:tabs>
        <w:ind w:right="49"/>
        <w:jc w:val="both"/>
        <w:rPr>
          <w:rFonts w:cs="Arial"/>
          <w:b/>
          <w:sz w:val="16"/>
          <w:szCs w:val="16"/>
        </w:rPr>
      </w:pPr>
    </w:p>
    <w:p w14:paraId="23AC4E7F" w14:textId="0E962EE7" w:rsidR="00612518" w:rsidRPr="007D7CC3" w:rsidRDefault="0066678C" w:rsidP="00DC22FD">
      <w:pPr>
        <w:pBdr>
          <w:left w:val="single" w:sz="4" w:space="0" w:color="auto"/>
        </w:pBdr>
        <w:tabs>
          <w:tab w:val="left" w:pos="720"/>
          <w:tab w:val="left" w:pos="1064"/>
          <w:tab w:val="left" w:pos="2057"/>
        </w:tabs>
        <w:ind w:right="49"/>
        <w:jc w:val="both"/>
        <w:rPr>
          <w:rFonts w:cs="Arial"/>
          <w:b/>
          <w:sz w:val="16"/>
          <w:szCs w:val="16"/>
        </w:rPr>
      </w:pPr>
      <w:r>
        <w:rPr>
          <w:rFonts w:cs="Arial"/>
          <w:b/>
          <w:sz w:val="16"/>
          <w:szCs w:val="16"/>
        </w:rPr>
        <w:t>L</w:t>
      </w:r>
      <w:r w:rsidR="004629A7" w:rsidRPr="00FF62CB">
        <w:rPr>
          <w:rFonts w:cs="Arial"/>
          <w:b/>
          <w:sz w:val="16"/>
          <w:szCs w:val="16"/>
        </w:rPr>
        <w:t>as entidades aseguradoras tienen el deber de ofrecer al toma</w:t>
      </w:r>
      <w:r w:rsidR="005F0A05" w:rsidRPr="0066678C">
        <w:rPr>
          <w:rFonts w:cs="Arial"/>
          <w:b/>
          <w:sz w:val="16"/>
          <w:szCs w:val="16"/>
        </w:rPr>
        <w:t>dor la posibilidad de pactar una opción de retracto para las modalidades de renta vitalicia inmobiliaria</w:t>
      </w:r>
      <w:r w:rsidR="00DB0DA4" w:rsidRPr="0066678C">
        <w:rPr>
          <w:rFonts w:cs="Arial"/>
          <w:b/>
          <w:sz w:val="16"/>
          <w:szCs w:val="16"/>
        </w:rPr>
        <w:t xml:space="preserve"> descritas en el artículo 2.31.7.1.2 del Decreto 2555 de 2010</w:t>
      </w:r>
      <w:r w:rsidR="000279AA" w:rsidRPr="00986CA7">
        <w:rPr>
          <w:rFonts w:cs="Arial"/>
          <w:b/>
          <w:sz w:val="16"/>
          <w:szCs w:val="16"/>
        </w:rPr>
        <w:t xml:space="preserve">, de conformidad con el parágrafo 1 del </w:t>
      </w:r>
      <w:r w:rsidR="00DB0DA4" w:rsidRPr="007D7CC3">
        <w:rPr>
          <w:rFonts w:cs="Arial"/>
          <w:b/>
          <w:sz w:val="16"/>
          <w:szCs w:val="16"/>
        </w:rPr>
        <w:t>mismo artículo</w:t>
      </w:r>
      <w:r w:rsidR="00F45179" w:rsidRPr="007D7CC3">
        <w:rPr>
          <w:rFonts w:cs="Arial"/>
          <w:b/>
          <w:sz w:val="16"/>
          <w:szCs w:val="16"/>
        </w:rPr>
        <w:t>.</w:t>
      </w:r>
      <w:r w:rsidR="00F45179" w:rsidRPr="0061212E">
        <w:rPr>
          <w:rFonts w:cs="Arial"/>
          <w:b/>
          <w:sz w:val="16"/>
          <w:szCs w:val="16"/>
        </w:rPr>
        <w:t xml:space="preserve"> </w:t>
      </w:r>
    </w:p>
    <w:p w14:paraId="2F14E95A" w14:textId="77777777" w:rsidR="00D14957" w:rsidRPr="007D7CC3" w:rsidRDefault="00D14957" w:rsidP="00DC22FD">
      <w:pPr>
        <w:pBdr>
          <w:left w:val="single" w:sz="4" w:space="0" w:color="auto"/>
        </w:pBdr>
        <w:tabs>
          <w:tab w:val="left" w:pos="720"/>
          <w:tab w:val="left" w:pos="1064"/>
          <w:tab w:val="left" w:pos="2057"/>
        </w:tabs>
        <w:ind w:right="49"/>
        <w:jc w:val="both"/>
        <w:rPr>
          <w:rFonts w:cs="Arial"/>
          <w:b/>
          <w:sz w:val="16"/>
          <w:szCs w:val="16"/>
        </w:rPr>
      </w:pPr>
    </w:p>
    <w:p w14:paraId="16743BA8" w14:textId="67C0BD3E" w:rsidR="00D14957" w:rsidRPr="002B1EC9" w:rsidRDefault="00D14957" w:rsidP="00DC22FD">
      <w:pPr>
        <w:pBdr>
          <w:left w:val="single" w:sz="4" w:space="0" w:color="auto"/>
        </w:pBdr>
        <w:tabs>
          <w:tab w:val="left" w:pos="720"/>
          <w:tab w:val="left" w:pos="1064"/>
          <w:tab w:val="left" w:pos="2057"/>
        </w:tabs>
        <w:ind w:right="49"/>
        <w:jc w:val="both"/>
        <w:rPr>
          <w:rFonts w:cs="Arial"/>
          <w:b/>
          <w:sz w:val="16"/>
          <w:szCs w:val="16"/>
        </w:rPr>
      </w:pPr>
      <w:r w:rsidRPr="002B1EC9">
        <w:rPr>
          <w:rFonts w:cs="Arial"/>
          <w:b/>
          <w:sz w:val="16"/>
          <w:szCs w:val="16"/>
        </w:rPr>
        <w:t>3.10.5.</w:t>
      </w:r>
      <w:r w:rsidR="00B4638A" w:rsidRPr="002B1EC9">
        <w:rPr>
          <w:rFonts w:cs="Arial"/>
          <w:b/>
          <w:sz w:val="16"/>
          <w:szCs w:val="16"/>
        </w:rPr>
        <w:t>4</w:t>
      </w:r>
      <w:r w:rsidRPr="002B1EC9">
        <w:rPr>
          <w:rFonts w:cs="Arial"/>
          <w:b/>
          <w:sz w:val="16"/>
          <w:szCs w:val="16"/>
        </w:rPr>
        <w:t>.1. Período de retracto</w:t>
      </w:r>
    </w:p>
    <w:p w14:paraId="673764AB" w14:textId="77777777" w:rsidR="00690BE3" w:rsidRPr="002B1EC9" w:rsidRDefault="00690BE3" w:rsidP="00DC22FD">
      <w:pPr>
        <w:pBdr>
          <w:left w:val="single" w:sz="4" w:space="0" w:color="auto"/>
        </w:pBdr>
        <w:tabs>
          <w:tab w:val="left" w:pos="720"/>
          <w:tab w:val="left" w:pos="1064"/>
          <w:tab w:val="left" w:pos="2057"/>
        </w:tabs>
        <w:ind w:right="49"/>
        <w:jc w:val="both"/>
        <w:rPr>
          <w:rFonts w:cs="Arial"/>
          <w:b/>
          <w:sz w:val="16"/>
          <w:szCs w:val="16"/>
        </w:rPr>
      </w:pPr>
    </w:p>
    <w:p w14:paraId="5B2B3736" w14:textId="09FE65F6" w:rsidR="006B5135" w:rsidRPr="002B1EC9" w:rsidRDefault="001F3F47" w:rsidP="00DC22FD">
      <w:pPr>
        <w:pBdr>
          <w:left w:val="single" w:sz="4" w:space="0" w:color="auto"/>
        </w:pBdr>
        <w:tabs>
          <w:tab w:val="left" w:pos="720"/>
          <w:tab w:val="left" w:pos="1064"/>
          <w:tab w:val="left" w:pos="2057"/>
        </w:tabs>
        <w:ind w:right="49"/>
        <w:jc w:val="both"/>
        <w:rPr>
          <w:rFonts w:cs="Arial"/>
          <w:b/>
          <w:sz w:val="16"/>
          <w:szCs w:val="16"/>
        </w:rPr>
      </w:pPr>
      <w:r w:rsidRPr="002B1EC9">
        <w:rPr>
          <w:rFonts w:cs="Arial"/>
          <w:b/>
          <w:sz w:val="16"/>
          <w:szCs w:val="16"/>
        </w:rPr>
        <w:t xml:space="preserve">Con base en sus políticas de suscripción, las </w:t>
      </w:r>
      <w:r w:rsidR="00B54925" w:rsidRPr="002B1EC9">
        <w:rPr>
          <w:rFonts w:cs="Arial"/>
          <w:b/>
          <w:sz w:val="16"/>
          <w:szCs w:val="16"/>
        </w:rPr>
        <w:t xml:space="preserve">entidades </w:t>
      </w:r>
      <w:r w:rsidR="001F609E" w:rsidRPr="002B1EC9">
        <w:rPr>
          <w:rFonts w:cs="Arial"/>
          <w:b/>
          <w:sz w:val="16"/>
          <w:szCs w:val="16"/>
        </w:rPr>
        <w:t xml:space="preserve">aseguradoras </w:t>
      </w:r>
      <w:r w:rsidR="004B518D" w:rsidRPr="002B1EC9">
        <w:rPr>
          <w:rFonts w:cs="Arial"/>
          <w:b/>
          <w:sz w:val="16"/>
          <w:szCs w:val="16"/>
        </w:rPr>
        <w:t>deben definir</w:t>
      </w:r>
      <w:r w:rsidR="003D049C" w:rsidRPr="002B1EC9">
        <w:rPr>
          <w:rFonts w:cs="Arial"/>
          <w:b/>
          <w:sz w:val="16"/>
          <w:szCs w:val="16"/>
        </w:rPr>
        <w:t xml:space="preserve"> el</w:t>
      </w:r>
      <w:r w:rsidR="004B518D" w:rsidRPr="002B1EC9">
        <w:rPr>
          <w:rFonts w:cs="Arial"/>
          <w:b/>
          <w:sz w:val="16"/>
          <w:szCs w:val="16"/>
        </w:rPr>
        <w:t xml:space="preserve"> per</w:t>
      </w:r>
      <w:r w:rsidR="00421135" w:rsidRPr="002B1EC9">
        <w:rPr>
          <w:rFonts w:cs="Arial"/>
          <w:b/>
          <w:sz w:val="16"/>
          <w:szCs w:val="16"/>
        </w:rPr>
        <w:t>í</w:t>
      </w:r>
      <w:r w:rsidR="004B518D" w:rsidRPr="002B1EC9">
        <w:rPr>
          <w:rFonts w:cs="Arial"/>
          <w:b/>
          <w:sz w:val="16"/>
          <w:szCs w:val="16"/>
        </w:rPr>
        <w:t>odo de retracto</w:t>
      </w:r>
      <w:r w:rsidR="00494B2C" w:rsidRPr="002B1EC9">
        <w:rPr>
          <w:rFonts w:cs="Arial"/>
          <w:b/>
          <w:sz w:val="16"/>
          <w:szCs w:val="16"/>
        </w:rPr>
        <w:t xml:space="preserve"> aplicable</w:t>
      </w:r>
      <w:r w:rsidR="00E22244" w:rsidRPr="002B1EC9">
        <w:rPr>
          <w:rFonts w:cs="Arial"/>
          <w:b/>
          <w:sz w:val="16"/>
          <w:szCs w:val="16"/>
        </w:rPr>
        <w:t xml:space="preserve">, el cual no podrá ser inferior a </w:t>
      </w:r>
      <w:r w:rsidR="00421135" w:rsidRPr="002B1EC9">
        <w:rPr>
          <w:rFonts w:cs="Arial"/>
          <w:b/>
          <w:sz w:val="16"/>
          <w:szCs w:val="16"/>
        </w:rPr>
        <w:t>seis (</w:t>
      </w:r>
      <w:r w:rsidR="004C114E" w:rsidRPr="002B1EC9">
        <w:rPr>
          <w:rFonts w:cs="Arial"/>
          <w:b/>
          <w:sz w:val="16"/>
          <w:szCs w:val="16"/>
        </w:rPr>
        <w:t>6</w:t>
      </w:r>
      <w:r w:rsidR="00421135" w:rsidRPr="002B1EC9">
        <w:rPr>
          <w:rFonts w:cs="Arial"/>
          <w:b/>
          <w:sz w:val="16"/>
          <w:szCs w:val="16"/>
        </w:rPr>
        <w:t>)</w:t>
      </w:r>
      <w:r w:rsidR="00494B2C" w:rsidRPr="002B1EC9">
        <w:rPr>
          <w:rFonts w:cs="Arial"/>
          <w:b/>
          <w:sz w:val="16"/>
          <w:szCs w:val="16"/>
        </w:rPr>
        <w:t xml:space="preserve"> meses</w:t>
      </w:r>
      <w:r w:rsidR="00E22DBF" w:rsidRPr="002B1EC9">
        <w:rPr>
          <w:rFonts w:cs="Arial"/>
          <w:b/>
          <w:sz w:val="16"/>
          <w:szCs w:val="16"/>
        </w:rPr>
        <w:t xml:space="preserve"> contados </w:t>
      </w:r>
      <w:r w:rsidR="003D049C" w:rsidRPr="002B1EC9">
        <w:rPr>
          <w:rFonts w:cs="Arial"/>
          <w:b/>
          <w:sz w:val="16"/>
          <w:szCs w:val="16"/>
        </w:rPr>
        <w:t xml:space="preserve">a partir de </w:t>
      </w:r>
      <w:r w:rsidR="00E22DBF" w:rsidRPr="002B1EC9">
        <w:rPr>
          <w:rFonts w:cs="Arial"/>
          <w:b/>
          <w:sz w:val="16"/>
          <w:szCs w:val="16"/>
        </w:rPr>
        <w:t>la fecha de inicio de vigencia de la renta vita</w:t>
      </w:r>
      <w:r w:rsidR="00815194" w:rsidRPr="002B1EC9">
        <w:rPr>
          <w:rFonts w:cs="Arial"/>
          <w:b/>
          <w:sz w:val="16"/>
          <w:szCs w:val="16"/>
        </w:rPr>
        <w:t>licia inmobiliaria</w:t>
      </w:r>
      <w:r w:rsidR="00494B2C" w:rsidRPr="002B1EC9">
        <w:rPr>
          <w:rFonts w:cs="Arial"/>
          <w:b/>
          <w:sz w:val="16"/>
          <w:szCs w:val="16"/>
        </w:rPr>
        <w:t>.</w:t>
      </w:r>
      <w:r w:rsidR="004559FD" w:rsidRPr="002B1EC9">
        <w:rPr>
          <w:rFonts w:cs="Arial"/>
          <w:b/>
          <w:sz w:val="16"/>
          <w:szCs w:val="16"/>
        </w:rPr>
        <w:t xml:space="preserve"> </w:t>
      </w:r>
    </w:p>
    <w:p w14:paraId="5F97C96C" w14:textId="77777777" w:rsidR="001C1CE0" w:rsidRPr="002B1EC9" w:rsidRDefault="001C1CE0" w:rsidP="00DC22FD">
      <w:pPr>
        <w:pBdr>
          <w:left w:val="single" w:sz="4" w:space="0" w:color="auto"/>
        </w:pBdr>
        <w:tabs>
          <w:tab w:val="left" w:pos="720"/>
          <w:tab w:val="left" w:pos="1064"/>
          <w:tab w:val="left" w:pos="2057"/>
        </w:tabs>
        <w:ind w:right="49"/>
        <w:jc w:val="both"/>
        <w:rPr>
          <w:rFonts w:cs="Arial"/>
          <w:b/>
          <w:sz w:val="16"/>
          <w:szCs w:val="16"/>
        </w:rPr>
      </w:pPr>
    </w:p>
    <w:p w14:paraId="5A60EB1B" w14:textId="2F12A510" w:rsidR="001C1CE0" w:rsidRPr="002B1EC9" w:rsidRDefault="001C1CE0" w:rsidP="00DC22FD">
      <w:pPr>
        <w:pBdr>
          <w:left w:val="single" w:sz="4" w:space="0" w:color="auto"/>
        </w:pBdr>
        <w:tabs>
          <w:tab w:val="left" w:pos="720"/>
          <w:tab w:val="left" w:pos="1064"/>
          <w:tab w:val="left" w:pos="2057"/>
        </w:tabs>
        <w:ind w:right="49"/>
        <w:jc w:val="both"/>
        <w:rPr>
          <w:rFonts w:cs="Arial"/>
          <w:b/>
          <w:sz w:val="16"/>
          <w:szCs w:val="16"/>
        </w:rPr>
      </w:pPr>
      <w:r w:rsidRPr="002B1EC9">
        <w:rPr>
          <w:rFonts w:cs="Arial"/>
          <w:b/>
          <w:sz w:val="16"/>
          <w:szCs w:val="16"/>
        </w:rPr>
        <w:t>En todo caso, en el evento en que el tomador presente la solicitud de retracto faltando menos de treinta</w:t>
      </w:r>
      <w:r w:rsidR="00261AFF" w:rsidRPr="002B1EC9">
        <w:rPr>
          <w:rFonts w:cs="Arial"/>
          <w:b/>
          <w:sz w:val="16"/>
          <w:szCs w:val="16"/>
        </w:rPr>
        <w:t xml:space="preserve"> (30)</w:t>
      </w:r>
      <w:r w:rsidRPr="002B1EC9">
        <w:rPr>
          <w:rFonts w:cs="Arial"/>
          <w:b/>
          <w:sz w:val="16"/>
          <w:szCs w:val="16"/>
        </w:rPr>
        <w:t xml:space="preserve"> días calendario para el vencimiento del período de retracto, la entidad aseguradora extenderá dicho período hasta la fecha en que se venza el plazo que tiene el tomador para ratificar la opción de retracto en los términos del siguiente </w:t>
      </w:r>
      <w:proofErr w:type="spellStart"/>
      <w:r w:rsidRPr="002B1EC9">
        <w:rPr>
          <w:rFonts w:cs="Arial"/>
          <w:b/>
          <w:sz w:val="16"/>
          <w:szCs w:val="16"/>
        </w:rPr>
        <w:t>subnumeral</w:t>
      </w:r>
      <w:proofErr w:type="spellEnd"/>
      <w:r w:rsidRPr="002B1EC9">
        <w:rPr>
          <w:rFonts w:cs="Arial"/>
          <w:b/>
          <w:sz w:val="16"/>
          <w:szCs w:val="16"/>
        </w:rPr>
        <w:t>.</w:t>
      </w:r>
    </w:p>
    <w:p w14:paraId="5F1C3EA4" w14:textId="77777777" w:rsidR="00D14957" w:rsidRPr="002B1EC9" w:rsidRDefault="00D14957" w:rsidP="00DC22FD">
      <w:pPr>
        <w:pBdr>
          <w:left w:val="single" w:sz="4" w:space="0" w:color="auto"/>
        </w:pBdr>
        <w:tabs>
          <w:tab w:val="left" w:pos="720"/>
          <w:tab w:val="left" w:pos="1064"/>
          <w:tab w:val="left" w:pos="2057"/>
        </w:tabs>
        <w:ind w:right="49"/>
        <w:jc w:val="both"/>
        <w:rPr>
          <w:rFonts w:cs="Arial"/>
          <w:b/>
          <w:sz w:val="16"/>
          <w:szCs w:val="16"/>
        </w:rPr>
      </w:pPr>
    </w:p>
    <w:p w14:paraId="53458E75" w14:textId="01440FFC" w:rsidR="00D14957" w:rsidRPr="002B1EC9" w:rsidRDefault="00342B0D" w:rsidP="00DC22FD">
      <w:pPr>
        <w:pBdr>
          <w:left w:val="single" w:sz="4" w:space="0" w:color="auto"/>
        </w:pBdr>
        <w:tabs>
          <w:tab w:val="left" w:pos="720"/>
          <w:tab w:val="left" w:pos="1064"/>
          <w:tab w:val="left" w:pos="2057"/>
        </w:tabs>
        <w:ind w:right="49"/>
        <w:jc w:val="both"/>
        <w:rPr>
          <w:rFonts w:cs="Arial"/>
          <w:b/>
          <w:sz w:val="16"/>
          <w:szCs w:val="16"/>
        </w:rPr>
      </w:pPr>
      <w:r w:rsidRPr="002B1EC9">
        <w:rPr>
          <w:rFonts w:cs="Arial"/>
          <w:b/>
          <w:sz w:val="16"/>
          <w:szCs w:val="16"/>
        </w:rPr>
        <w:t>3.10.5.</w:t>
      </w:r>
      <w:r w:rsidR="00B4638A" w:rsidRPr="002B1EC9">
        <w:rPr>
          <w:rFonts w:cs="Arial"/>
          <w:b/>
          <w:sz w:val="16"/>
          <w:szCs w:val="16"/>
        </w:rPr>
        <w:t>4</w:t>
      </w:r>
      <w:r w:rsidRPr="002B1EC9">
        <w:rPr>
          <w:rFonts w:cs="Arial"/>
          <w:b/>
          <w:sz w:val="16"/>
          <w:szCs w:val="16"/>
        </w:rPr>
        <w:t>.2.</w:t>
      </w:r>
      <w:r w:rsidR="001C3A29" w:rsidRPr="002B1EC9">
        <w:rPr>
          <w:rFonts w:cs="Arial"/>
          <w:b/>
          <w:sz w:val="16"/>
          <w:szCs w:val="16"/>
        </w:rPr>
        <w:t xml:space="preserve"> </w:t>
      </w:r>
      <w:r w:rsidRPr="002B1EC9">
        <w:rPr>
          <w:rFonts w:cs="Arial"/>
          <w:b/>
          <w:sz w:val="16"/>
          <w:szCs w:val="16"/>
        </w:rPr>
        <w:t>Ejer</w:t>
      </w:r>
      <w:r w:rsidR="00943C76" w:rsidRPr="002B1EC9">
        <w:rPr>
          <w:rFonts w:cs="Arial"/>
          <w:b/>
          <w:sz w:val="16"/>
          <w:szCs w:val="16"/>
        </w:rPr>
        <w:t>cicio de la opción de retracto</w:t>
      </w:r>
    </w:p>
    <w:p w14:paraId="77DE3E63" w14:textId="77777777" w:rsidR="00943C76" w:rsidRPr="002B1EC9" w:rsidRDefault="00943C76" w:rsidP="00DC22FD">
      <w:pPr>
        <w:pBdr>
          <w:left w:val="single" w:sz="4" w:space="0" w:color="auto"/>
        </w:pBdr>
        <w:tabs>
          <w:tab w:val="left" w:pos="720"/>
          <w:tab w:val="left" w:pos="1064"/>
          <w:tab w:val="left" w:pos="2057"/>
        </w:tabs>
        <w:ind w:right="49"/>
        <w:jc w:val="both"/>
        <w:rPr>
          <w:rFonts w:cs="Arial"/>
          <w:b/>
          <w:sz w:val="16"/>
          <w:szCs w:val="16"/>
        </w:rPr>
      </w:pPr>
    </w:p>
    <w:p w14:paraId="4981E0EF" w14:textId="3FE83D38" w:rsidR="00171F38" w:rsidRPr="002B1EC9" w:rsidRDefault="00F238FC" w:rsidP="00DC22FD">
      <w:pPr>
        <w:pBdr>
          <w:left w:val="single" w:sz="4" w:space="0" w:color="auto"/>
        </w:pBdr>
        <w:tabs>
          <w:tab w:val="left" w:pos="720"/>
          <w:tab w:val="left" w:pos="1064"/>
          <w:tab w:val="left" w:pos="2057"/>
        </w:tabs>
        <w:ind w:right="49"/>
        <w:jc w:val="both"/>
        <w:rPr>
          <w:rFonts w:cs="Arial"/>
          <w:b/>
          <w:sz w:val="16"/>
          <w:szCs w:val="16"/>
        </w:rPr>
      </w:pPr>
      <w:r w:rsidRPr="00C4470B">
        <w:rPr>
          <w:rFonts w:cs="Arial"/>
          <w:b/>
          <w:sz w:val="16"/>
          <w:szCs w:val="16"/>
        </w:rPr>
        <w:t xml:space="preserve">Dentro del período de retracto establecido </w:t>
      </w:r>
      <w:r w:rsidR="006456C0" w:rsidRPr="00E40732">
        <w:rPr>
          <w:rFonts w:cs="Arial"/>
          <w:b/>
          <w:sz w:val="16"/>
          <w:szCs w:val="16"/>
        </w:rPr>
        <w:t xml:space="preserve">en los términos del </w:t>
      </w:r>
      <w:proofErr w:type="spellStart"/>
      <w:r w:rsidR="0070543E" w:rsidRPr="00220555">
        <w:rPr>
          <w:rFonts w:cs="Arial"/>
          <w:b/>
          <w:sz w:val="16"/>
          <w:szCs w:val="16"/>
        </w:rPr>
        <w:t>subnumeral</w:t>
      </w:r>
      <w:proofErr w:type="spellEnd"/>
      <w:r w:rsidR="0070543E" w:rsidRPr="00220555">
        <w:rPr>
          <w:rFonts w:cs="Arial"/>
          <w:b/>
          <w:sz w:val="16"/>
          <w:szCs w:val="16"/>
        </w:rPr>
        <w:t xml:space="preserve"> anterior,</w:t>
      </w:r>
      <w:r w:rsidR="008962B2" w:rsidRPr="007961CB">
        <w:rPr>
          <w:rFonts w:cs="Arial"/>
          <w:b/>
          <w:sz w:val="16"/>
          <w:szCs w:val="16"/>
        </w:rPr>
        <w:t xml:space="preserve"> </w:t>
      </w:r>
      <w:r w:rsidR="00534815" w:rsidRPr="00703FD6">
        <w:rPr>
          <w:rFonts w:cs="Arial"/>
          <w:b/>
          <w:sz w:val="16"/>
          <w:szCs w:val="16"/>
        </w:rPr>
        <w:t xml:space="preserve">las entidades aseguradoras deben recibir cualquier </w:t>
      </w:r>
      <w:r w:rsidR="00EF44B1" w:rsidRPr="00C4470B">
        <w:rPr>
          <w:rFonts w:cs="Arial"/>
          <w:b/>
          <w:sz w:val="16"/>
          <w:szCs w:val="16"/>
        </w:rPr>
        <w:t>manifestación de intención del ejercicio de retracto</w:t>
      </w:r>
      <w:r w:rsidR="00534815" w:rsidRPr="00C4470B">
        <w:rPr>
          <w:rFonts w:cs="Arial"/>
          <w:b/>
          <w:sz w:val="16"/>
          <w:szCs w:val="16"/>
        </w:rPr>
        <w:t xml:space="preserve"> realizada por </w:t>
      </w:r>
      <w:r w:rsidR="00C825C3" w:rsidRPr="00C4470B">
        <w:rPr>
          <w:rFonts w:cs="Arial"/>
          <w:b/>
          <w:sz w:val="16"/>
          <w:szCs w:val="16"/>
        </w:rPr>
        <w:t>el tomador</w:t>
      </w:r>
      <w:r w:rsidR="00534815" w:rsidRPr="00C4470B">
        <w:rPr>
          <w:rFonts w:cs="Arial"/>
          <w:b/>
          <w:sz w:val="16"/>
          <w:szCs w:val="16"/>
        </w:rPr>
        <w:t xml:space="preserve">. Ante esto, </w:t>
      </w:r>
      <w:r w:rsidR="007555AA" w:rsidRPr="00C4470B">
        <w:rPr>
          <w:rFonts w:cs="Arial"/>
          <w:b/>
          <w:sz w:val="16"/>
          <w:szCs w:val="16"/>
        </w:rPr>
        <w:t>estas entidades</w:t>
      </w:r>
      <w:r w:rsidR="00534815" w:rsidRPr="00C4470B">
        <w:rPr>
          <w:rFonts w:cs="Arial"/>
          <w:b/>
          <w:sz w:val="16"/>
          <w:szCs w:val="16"/>
        </w:rPr>
        <w:t xml:space="preserve"> deben </w:t>
      </w:r>
      <w:r w:rsidR="005F34F3" w:rsidRPr="00C4470B">
        <w:rPr>
          <w:rFonts w:cs="Arial"/>
          <w:b/>
          <w:sz w:val="16"/>
          <w:szCs w:val="16"/>
        </w:rPr>
        <w:t>presentar</w:t>
      </w:r>
      <w:r w:rsidR="000C641A" w:rsidRPr="00C4470B">
        <w:rPr>
          <w:rFonts w:cs="Arial"/>
          <w:b/>
          <w:sz w:val="16"/>
          <w:szCs w:val="16"/>
        </w:rPr>
        <w:t xml:space="preserve"> al tomador</w:t>
      </w:r>
      <w:r w:rsidR="005F34F3" w:rsidRPr="00C4470B">
        <w:rPr>
          <w:rFonts w:cs="Arial"/>
          <w:b/>
          <w:sz w:val="16"/>
          <w:szCs w:val="16"/>
        </w:rPr>
        <w:t xml:space="preserve"> </w:t>
      </w:r>
      <w:r w:rsidR="00534815" w:rsidRPr="00C4470B">
        <w:rPr>
          <w:rFonts w:cs="Arial"/>
          <w:b/>
          <w:sz w:val="16"/>
          <w:szCs w:val="16"/>
        </w:rPr>
        <w:t>una estimación de</w:t>
      </w:r>
      <w:r w:rsidR="00652DE0" w:rsidRPr="00C4470B">
        <w:rPr>
          <w:rFonts w:cs="Arial"/>
          <w:b/>
          <w:sz w:val="16"/>
          <w:szCs w:val="16"/>
        </w:rPr>
        <w:t xml:space="preserve">l monto </w:t>
      </w:r>
      <w:r w:rsidR="00C17D76" w:rsidRPr="00C4470B">
        <w:rPr>
          <w:rFonts w:cs="Arial"/>
          <w:b/>
          <w:sz w:val="16"/>
          <w:szCs w:val="16"/>
        </w:rPr>
        <w:t xml:space="preserve">de los costos, gastos y comisiones </w:t>
      </w:r>
      <w:r w:rsidR="003F43C3" w:rsidRPr="00C4470B">
        <w:rPr>
          <w:rFonts w:cs="Arial"/>
          <w:b/>
          <w:sz w:val="16"/>
          <w:szCs w:val="16"/>
        </w:rPr>
        <w:t>causados a la fecha</w:t>
      </w:r>
      <w:r w:rsidR="00950BEC" w:rsidRPr="00C4470B">
        <w:rPr>
          <w:rFonts w:cs="Arial"/>
          <w:b/>
          <w:sz w:val="16"/>
          <w:szCs w:val="16"/>
        </w:rPr>
        <w:t>,</w:t>
      </w:r>
      <w:r w:rsidR="006765D0" w:rsidRPr="00C4470B">
        <w:rPr>
          <w:rFonts w:cs="Arial"/>
          <w:b/>
          <w:sz w:val="16"/>
          <w:szCs w:val="16"/>
        </w:rPr>
        <w:t xml:space="preserve"> </w:t>
      </w:r>
      <w:r w:rsidR="006765D0" w:rsidRPr="000D3FA7">
        <w:rPr>
          <w:rFonts w:cs="Arial"/>
          <w:b/>
          <w:color w:val="000000" w:themeColor="text1"/>
          <w:sz w:val="16"/>
          <w:szCs w:val="16"/>
        </w:rPr>
        <w:t>así como la forma de calcular los gastos a la fecha efectiva de la transferencia de la nuda propiedad al tomador</w:t>
      </w:r>
      <w:r w:rsidR="00623E4D">
        <w:rPr>
          <w:rFonts w:cs="Arial"/>
          <w:b/>
          <w:color w:val="000000" w:themeColor="text1"/>
          <w:sz w:val="16"/>
          <w:szCs w:val="16"/>
        </w:rPr>
        <w:t>,</w:t>
      </w:r>
      <w:r w:rsidR="00A76D51" w:rsidRPr="000D3FA7">
        <w:rPr>
          <w:rFonts w:cs="Arial"/>
          <w:b/>
          <w:color w:val="000000" w:themeColor="text1"/>
          <w:sz w:val="16"/>
          <w:szCs w:val="16"/>
        </w:rPr>
        <w:t xml:space="preserve"> </w:t>
      </w:r>
      <w:r w:rsidR="005F34F3" w:rsidRPr="00AF7058">
        <w:rPr>
          <w:rFonts w:cs="Arial"/>
          <w:b/>
          <w:sz w:val="16"/>
          <w:szCs w:val="16"/>
        </w:rPr>
        <w:t xml:space="preserve">dentro de los </w:t>
      </w:r>
      <w:r w:rsidR="00D97943" w:rsidRPr="00C4470B">
        <w:rPr>
          <w:rFonts w:cs="Arial"/>
          <w:b/>
          <w:sz w:val="16"/>
          <w:szCs w:val="16"/>
        </w:rPr>
        <w:t>cinco (</w:t>
      </w:r>
      <w:r w:rsidR="005F34F3" w:rsidRPr="00C4470B">
        <w:rPr>
          <w:rFonts w:cs="Arial"/>
          <w:b/>
          <w:sz w:val="16"/>
          <w:szCs w:val="16"/>
        </w:rPr>
        <w:t>5</w:t>
      </w:r>
      <w:r w:rsidR="00D97943" w:rsidRPr="00C4470B">
        <w:rPr>
          <w:rFonts w:cs="Arial"/>
          <w:b/>
          <w:sz w:val="16"/>
          <w:szCs w:val="16"/>
        </w:rPr>
        <w:t>)</w:t>
      </w:r>
      <w:r w:rsidR="005F34F3" w:rsidRPr="00C4470B">
        <w:rPr>
          <w:rFonts w:cs="Arial"/>
          <w:b/>
          <w:sz w:val="16"/>
          <w:szCs w:val="16"/>
        </w:rPr>
        <w:t xml:space="preserve"> días hábiles siguientes a la recepción de la solicitud</w:t>
      </w:r>
      <w:r w:rsidR="00DC1B89" w:rsidRPr="00C4470B">
        <w:rPr>
          <w:rFonts w:cs="Arial"/>
          <w:b/>
          <w:sz w:val="16"/>
          <w:szCs w:val="16"/>
        </w:rPr>
        <w:t xml:space="preserve"> por parte del tomador</w:t>
      </w:r>
      <w:r w:rsidR="005F34F3" w:rsidRPr="00C4470B">
        <w:rPr>
          <w:rFonts w:cs="Arial"/>
          <w:b/>
          <w:sz w:val="16"/>
          <w:szCs w:val="16"/>
        </w:rPr>
        <w:t>.</w:t>
      </w:r>
      <w:r w:rsidR="00931831" w:rsidRPr="00C4470B">
        <w:rPr>
          <w:rFonts w:cs="Arial"/>
          <w:b/>
          <w:sz w:val="16"/>
          <w:szCs w:val="16"/>
        </w:rPr>
        <w:t xml:space="preserve"> </w:t>
      </w:r>
      <w:r w:rsidR="00C17D76" w:rsidRPr="00C4470B">
        <w:rPr>
          <w:rFonts w:cs="Arial"/>
          <w:b/>
          <w:sz w:val="16"/>
          <w:szCs w:val="16"/>
        </w:rPr>
        <w:t>La estimación de dichos costos se debe realizar conforme a lo establecido en el parágrafo 1 del artículo 2.31.7.1.2</w:t>
      </w:r>
      <w:r w:rsidR="00C17D76" w:rsidRPr="002B1EC9">
        <w:rPr>
          <w:rFonts w:cs="Arial"/>
          <w:b/>
          <w:sz w:val="16"/>
          <w:szCs w:val="16"/>
        </w:rPr>
        <w:t xml:space="preserve"> del Decreto 2555 de 2010.</w:t>
      </w:r>
    </w:p>
    <w:p w14:paraId="2D949D76" w14:textId="77777777" w:rsidR="00931831" w:rsidRPr="002B1EC9" w:rsidRDefault="00931831" w:rsidP="00DC22FD">
      <w:pPr>
        <w:pBdr>
          <w:left w:val="single" w:sz="4" w:space="0" w:color="auto"/>
        </w:pBdr>
        <w:tabs>
          <w:tab w:val="left" w:pos="720"/>
          <w:tab w:val="left" w:pos="1064"/>
          <w:tab w:val="left" w:pos="2057"/>
        </w:tabs>
        <w:ind w:right="49"/>
        <w:jc w:val="both"/>
        <w:rPr>
          <w:rFonts w:cs="Arial"/>
          <w:b/>
          <w:sz w:val="16"/>
          <w:szCs w:val="16"/>
        </w:rPr>
      </w:pPr>
    </w:p>
    <w:p w14:paraId="7997CA9C" w14:textId="54B42996" w:rsidR="00F83E82" w:rsidRPr="002B1EC9" w:rsidRDefault="00D97943" w:rsidP="00DC22FD">
      <w:pPr>
        <w:pBdr>
          <w:left w:val="single" w:sz="4" w:space="0" w:color="auto"/>
        </w:pBdr>
        <w:tabs>
          <w:tab w:val="left" w:pos="720"/>
          <w:tab w:val="left" w:pos="1064"/>
          <w:tab w:val="left" w:pos="2057"/>
        </w:tabs>
        <w:ind w:right="49"/>
        <w:jc w:val="both"/>
        <w:rPr>
          <w:rFonts w:cs="Arial"/>
          <w:b/>
          <w:sz w:val="16"/>
          <w:szCs w:val="16"/>
        </w:rPr>
      </w:pPr>
      <w:r w:rsidRPr="002B1EC9">
        <w:rPr>
          <w:rFonts w:cs="Arial"/>
          <w:b/>
          <w:sz w:val="16"/>
          <w:szCs w:val="16"/>
        </w:rPr>
        <w:t xml:space="preserve">La entidad aseguradora debe otorgar al tomador, como mínimo, un plazo de treinta (30) días </w:t>
      </w:r>
      <w:r w:rsidR="00FC3751" w:rsidRPr="002B1EC9">
        <w:rPr>
          <w:rFonts w:cs="Arial"/>
          <w:b/>
          <w:sz w:val="16"/>
          <w:szCs w:val="16"/>
        </w:rPr>
        <w:t>calendario</w:t>
      </w:r>
      <w:r w:rsidR="00C46FE8" w:rsidRPr="002B1EC9">
        <w:rPr>
          <w:rFonts w:cs="Arial"/>
          <w:b/>
          <w:sz w:val="16"/>
          <w:szCs w:val="16"/>
        </w:rPr>
        <w:t xml:space="preserve"> para que éste le notifique si continúa con </w:t>
      </w:r>
      <w:r w:rsidR="00396BE7" w:rsidRPr="002B1EC9">
        <w:rPr>
          <w:rFonts w:cs="Arial"/>
          <w:b/>
          <w:sz w:val="16"/>
          <w:szCs w:val="16"/>
        </w:rPr>
        <w:t>el</w:t>
      </w:r>
      <w:r w:rsidR="00546DC0" w:rsidRPr="002B1EC9">
        <w:rPr>
          <w:rFonts w:cs="Arial"/>
          <w:b/>
          <w:sz w:val="16"/>
          <w:szCs w:val="16"/>
        </w:rPr>
        <w:t xml:space="preserve"> ejercicio de la opción de retracto</w:t>
      </w:r>
      <w:r w:rsidR="000D25B0" w:rsidRPr="002B1EC9">
        <w:rPr>
          <w:rFonts w:cs="Arial"/>
          <w:b/>
          <w:sz w:val="16"/>
          <w:szCs w:val="16"/>
        </w:rPr>
        <w:t xml:space="preserve">. Dicho plazo </w:t>
      </w:r>
      <w:r w:rsidR="00A4565A" w:rsidRPr="002B1EC9">
        <w:rPr>
          <w:rFonts w:cs="Arial"/>
          <w:b/>
          <w:sz w:val="16"/>
          <w:szCs w:val="16"/>
        </w:rPr>
        <w:t>empieza a contar</w:t>
      </w:r>
      <w:r w:rsidR="00A74191" w:rsidRPr="002B1EC9">
        <w:rPr>
          <w:rFonts w:cs="Arial"/>
          <w:b/>
          <w:sz w:val="16"/>
          <w:szCs w:val="16"/>
        </w:rPr>
        <w:t xml:space="preserve"> </w:t>
      </w:r>
      <w:r w:rsidR="00A4565A" w:rsidRPr="002B1EC9">
        <w:rPr>
          <w:rFonts w:cs="Arial"/>
          <w:b/>
          <w:sz w:val="16"/>
          <w:szCs w:val="16"/>
        </w:rPr>
        <w:t>desde</w:t>
      </w:r>
      <w:r w:rsidR="001A3245" w:rsidRPr="002B1EC9">
        <w:rPr>
          <w:rFonts w:cs="Arial"/>
          <w:b/>
          <w:sz w:val="16"/>
          <w:szCs w:val="16"/>
        </w:rPr>
        <w:t xml:space="preserve"> la </w:t>
      </w:r>
      <w:r w:rsidR="00012F7E" w:rsidRPr="002B1EC9">
        <w:rPr>
          <w:rFonts w:cs="Arial"/>
          <w:b/>
          <w:sz w:val="16"/>
          <w:szCs w:val="16"/>
        </w:rPr>
        <w:t xml:space="preserve">fecha de </w:t>
      </w:r>
      <w:r w:rsidR="001A3245" w:rsidRPr="002B1EC9">
        <w:rPr>
          <w:rFonts w:cs="Arial"/>
          <w:b/>
          <w:sz w:val="16"/>
          <w:szCs w:val="16"/>
        </w:rPr>
        <w:t>recepción de</w:t>
      </w:r>
      <w:r w:rsidR="00B029F0">
        <w:rPr>
          <w:rFonts w:cs="Arial"/>
          <w:b/>
          <w:sz w:val="16"/>
          <w:szCs w:val="16"/>
        </w:rPr>
        <w:t xml:space="preserve">l documento que contiene la </w:t>
      </w:r>
      <w:r w:rsidR="001A3245" w:rsidRPr="002B1EC9">
        <w:rPr>
          <w:rFonts w:cs="Arial"/>
          <w:b/>
          <w:sz w:val="16"/>
          <w:szCs w:val="16"/>
        </w:rPr>
        <w:t xml:space="preserve">estimación </w:t>
      </w:r>
      <w:r w:rsidR="00950BEC">
        <w:rPr>
          <w:rFonts w:cs="Arial"/>
          <w:b/>
          <w:sz w:val="16"/>
          <w:szCs w:val="16"/>
        </w:rPr>
        <w:t>del monto de los costos, gastos y comisiones</w:t>
      </w:r>
      <w:r w:rsidR="00012F7E" w:rsidRPr="002B1EC9">
        <w:rPr>
          <w:rFonts w:cs="Arial"/>
          <w:b/>
          <w:sz w:val="16"/>
          <w:szCs w:val="16"/>
        </w:rPr>
        <w:t>.</w:t>
      </w:r>
    </w:p>
    <w:p w14:paraId="1AB2EB9C" w14:textId="77777777" w:rsidR="00F83E82" w:rsidRPr="002B1EC9" w:rsidRDefault="00F83E82" w:rsidP="00DC22FD">
      <w:pPr>
        <w:pBdr>
          <w:left w:val="single" w:sz="4" w:space="0" w:color="auto"/>
        </w:pBdr>
        <w:tabs>
          <w:tab w:val="left" w:pos="720"/>
          <w:tab w:val="left" w:pos="1064"/>
          <w:tab w:val="left" w:pos="2057"/>
        </w:tabs>
        <w:ind w:right="49"/>
        <w:jc w:val="both"/>
        <w:rPr>
          <w:rFonts w:cs="Arial"/>
          <w:b/>
          <w:sz w:val="16"/>
          <w:szCs w:val="16"/>
        </w:rPr>
      </w:pPr>
    </w:p>
    <w:p w14:paraId="21442739" w14:textId="65B47982" w:rsidR="00931831" w:rsidRPr="002B1EC9" w:rsidRDefault="009064DD" w:rsidP="00DC22FD">
      <w:pPr>
        <w:pBdr>
          <w:left w:val="single" w:sz="4" w:space="0" w:color="auto"/>
        </w:pBdr>
        <w:tabs>
          <w:tab w:val="left" w:pos="720"/>
          <w:tab w:val="left" w:pos="1064"/>
          <w:tab w:val="left" w:pos="2057"/>
        </w:tabs>
        <w:ind w:right="49"/>
        <w:jc w:val="both"/>
        <w:rPr>
          <w:rFonts w:cs="Arial"/>
          <w:b/>
          <w:sz w:val="16"/>
          <w:szCs w:val="16"/>
        </w:rPr>
      </w:pPr>
      <w:r w:rsidRPr="002B1EC9">
        <w:rPr>
          <w:rFonts w:cs="Arial"/>
          <w:b/>
          <w:sz w:val="16"/>
          <w:szCs w:val="16"/>
        </w:rPr>
        <w:t xml:space="preserve">En el evento en que el tomador </w:t>
      </w:r>
      <w:r w:rsidR="003906BA" w:rsidRPr="002B1EC9">
        <w:rPr>
          <w:rFonts w:cs="Arial"/>
          <w:b/>
          <w:sz w:val="16"/>
          <w:szCs w:val="16"/>
        </w:rPr>
        <w:t xml:space="preserve">le notifique a la entidad aseguradora que </w:t>
      </w:r>
      <w:r w:rsidR="0034057B" w:rsidRPr="002B1EC9">
        <w:rPr>
          <w:rFonts w:cs="Arial"/>
          <w:b/>
          <w:sz w:val="16"/>
          <w:szCs w:val="16"/>
        </w:rPr>
        <w:t>se ratifica</w:t>
      </w:r>
      <w:r w:rsidR="003906BA" w:rsidRPr="002B1EC9">
        <w:rPr>
          <w:rFonts w:cs="Arial"/>
          <w:b/>
          <w:sz w:val="16"/>
          <w:szCs w:val="16"/>
        </w:rPr>
        <w:t xml:space="preserve"> </w:t>
      </w:r>
      <w:r w:rsidRPr="002B1EC9">
        <w:rPr>
          <w:rFonts w:cs="Arial"/>
          <w:b/>
          <w:sz w:val="16"/>
          <w:szCs w:val="16"/>
        </w:rPr>
        <w:t xml:space="preserve">con el ejercicio de la opción de retracto, la entidad aseguradora debe </w:t>
      </w:r>
      <w:r w:rsidR="004861CD">
        <w:rPr>
          <w:rFonts w:cs="Arial"/>
          <w:b/>
          <w:sz w:val="16"/>
          <w:szCs w:val="16"/>
        </w:rPr>
        <w:t xml:space="preserve">actualizar la estimación aportada inicialmente </w:t>
      </w:r>
      <w:r w:rsidR="0006696C">
        <w:rPr>
          <w:rFonts w:cs="Arial"/>
          <w:b/>
          <w:sz w:val="16"/>
          <w:szCs w:val="16"/>
        </w:rPr>
        <w:t xml:space="preserve">con los gastos que se </w:t>
      </w:r>
      <w:r w:rsidR="00E6573F">
        <w:rPr>
          <w:rFonts w:cs="Arial"/>
          <w:b/>
          <w:sz w:val="16"/>
          <w:szCs w:val="16"/>
        </w:rPr>
        <w:t>causaron</w:t>
      </w:r>
      <w:r w:rsidR="0006696C">
        <w:rPr>
          <w:rFonts w:cs="Arial"/>
          <w:b/>
          <w:sz w:val="16"/>
          <w:szCs w:val="16"/>
        </w:rPr>
        <w:t xml:space="preserve"> dentro del término que transcurrió luego de presentada la estimación </w:t>
      </w:r>
      <w:r w:rsidR="0006696C" w:rsidRPr="00311B81">
        <w:rPr>
          <w:rFonts w:cs="Arial"/>
          <w:b/>
          <w:sz w:val="16"/>
          <w:szCs w:val="16"/>
        </w:rPr>
        <w:t>inicial</w:t>
      </w:r>
      <w:r w:rsidR="00287D88" w:rsidRPr="005943E5">
        <w:rPr>
          <w:rFonts w:cs="Arial"/>
          <w:b/>
          <w:sz w:val="16"/>
          <w:szCs w:val="16"/>
        </w:rPr>
        <w:t xml:space="preserve">, y deberá </w:t>
      </w:r>
      <w:r w:rsidR="00D02088" w:rsidRPr="005943E5">
        <w:rPr>
          <w:rFonts w:cs="Arial"/>
          <w:b/>
          <w:sz w:val="16"/>
          <w:szCs w:val="16"/>
        </w:rPr>
        <w:t>acordar</w:t>
      </w:r>
      <w:r w:rsidRPr="005943E5">
        <w:rPr>
          <w:rFonts w:cs="Arial"/>
          <w:b/>
          <w:sz w:val="16"/>
          <w:szCs w:val="16"/>
        </w:rPr>
        <w:t xml:space="preserve"> junto con el tomado</w:t>
      </w:r>
      <w:r w:rsidR="00875D9C" w:rsidRPr="005943E5">
        <w:rPr>
          <w:rFonts w:cs="Arial"/>
          <w:b/>
          <w:sz w:val="16"/>
          <w:szCs w:val="16"/>
        </w:rPr>
        <w:t>r</w:t>
      </w:r>
      <w:r w:rsidR="001E58E9" w:rsidRPr="005943E5">
        <w:rPr>
          <w:rFonts w:cs="Arial"/>
          <w:b/>
          <w:sz w:val="16"/>
          <w:szCs w:val="16"/>
        </w:rPr>
        <w:t xml:space="preserve"> el plazo dentro del cual se va a realizar el pago </w:t>
      </w:r>
      <w:r w:rsidR="009A132A" w:rsidRPr="005943E5">
        <w:rPr>
          <w:rFonts w:cs="Arial"/>
          <w:b/>
          <w:sz w:val="16"/>
          <w:szCs w:val="16"/>
        </w:rPr>
        <w:t xml:space="preserve">total </w:t>
      </w:r>
      <w:r w:rsidR="00E273B9" w:rsidRPr="005943E5">
        <w:rPr>
          <w:rFonts w:cs="Arial"/>
          <w:b/>
          <w:sz w:val="16"/>
          <w:szCs w:val="16"/>
        </w:rPr>
        <w:t xml:space="preserve">y la </w:t>
      </w:r>
      <w:r w:rsidR="006D0D83" w:rsidRPr="005943E5">
        <w:rPr>
          <w:rFonts w:cs="Arial"/>
          <w:b/>
          <w:sz w:val="16"/>
          <w:szCs w:val="16"/>
        </w:rPr>
        <w:t>transferencia de la nuda propiedad</w:t>
      </w:r>
      <w:r w:rsidR="006D0D83" w:rsidRPr="002B1EC9">
        <w:rPr>
          <w:rFonts w:cs="Arial"/>
          <w:b/>
          <w:sz w:val="16"/>
          <w:szCs w:val="16"/>
        </w:rPr>
        <w:t xml:space="preserve"> de vuelta al tomador. </w:t>
      </w:r>
      <w:r w:rsidR="00B85679" w:rsidRPr="002B1EC9">
        <w:rPr>
          <w:rFonts w:cs="Arial"/>
          <w:b/>
          <w:sz w:val="16"/>
          <w:szCs w:val="16"/>
        </w:rPr>
        <w:t>En dicho acuerdo, las entidades aseguradoras pueden</w:t>
      </w:r>
      <w:r w:rsidR="004D1C0E">
        <w:rPr>
          <w:rFonts w:cs="Arial"/>
          <w:b/>
          <w:sz w:val="16"/>
          <w:szCs w:val="16"/>
        </w:rPr>
        <w:t xml:space="preserve"> proponerle al tomador</w:t>
      </w:r>
      <w:r w:rsidR="00B85679" w:rsidRPr="002B1EC9">
        <w:rPr>
          <w:rFonts w:cs="Arial"/>
          <w:b/>
          <w:sz w:val="16"/>
          <w:szCs w:val="16"/>
        </w:rPr>
        <w:t xml:space="preserve"> </w:t>
      </w:r>
      <w:r w:rsidR="00C50400" w:rsidRPr="002B1EC9">
        <w:rPr>
          <w:rFonts w:cs="Arial"/>
          <w:b/>
          <w:sz w:val="16"/>
          <w:szCs w:val="16"/>
        </w:rPr>
        <w:t>pactar</w:t>
      </w:r>
      <w:r w:rsidR="00B85679" w:rsidRPr="002B1EC9">
        <w:rPr>
          <w:rFonts w:cs="Arial"/>
          <w:b/>
          <w:sz w:val="16"/>
          <w:szCs w:val="16"/>
        </w:rPr>
        <w:t xml:space="preserve"> la suspensión del pago </w:t>
      </w:r>
      <w:r w:rsidR="00683CCF" w:rsidRPr="002B1EC9">
        <w:rPr>
          <w:rFonts w:cs="Arial"/>
          <w:b/>
          <w:sz w:val="16"/>
          <w:szCs w:val="16"/>
        </w:rPr>
        <w:t xml:space="preserve">de las rentas dentro del período comprendido desde la fecha del acuerdo hasta la fecha estimada del </w:t>
      </w:r>
      <w:r w:rsidR="00971596" w:rsidRPr="002B1EC9">
        <w:rPr>
          <w:rFonts w:cs="Arial"/>
          <w:b/>
          <w:sz w:val="16"/>
          <w:szCs w:val="16"/>
        </w:rPr>
        <w:t>pago total por parte del tomador</w:t>
      </w:r>
      <w:r w:rsidR="00901FC1" w:rsidRPr="002B1EC9">
        <w:rPr>
          <w:rFonts w:cs="Arial"/>
          <w:b/>
          <w:sz w:val="16"/>
          <w:szCs w:val="16"/>
        </w:rPr>
        <w:t xml:space="preserve"> y la transferencia de la nuda propiedad</w:t>
      </w:r>
      <w:r w:rsidR="003B1BDE" w:rsidRPr="002B1EC9">
        <w:rPr>
          <w:rFonts w:cs="Arial"/>
          <w:b/>
          <w:sz w:val="16"/>
          <w:szCs w:val="16"/>
        </w:rPr>
        <w:t>.</w:t>
      </w:r>
      <w:r w:rsidR="00683CCF" w:rsidRPr="002B1EC9">
        <w:rPr>
          <w:rFonts w:cs="Arial"/>
          <w:b/>
          <w:sz w:val="16"/>
          <w:szCs w:val="16"/>
        </w:rPr>
        <w:t xml:space="preserve"> </w:t>
      </w:r>
    </w:p>
    <w:p w14:paraId="74EFA5DF" w14:textId="77777777" w:rsidR="00C22E49" w:rsidRPr="002B1EC9" w:rsidRDefault="00C22E49" w:rsidP="00DC22FD">
      <w:pPr>
        <w:pBdr>
          <w:left w:val="single" w:sz="4" w:space="0" w:color="auto"/>
        </w:pBdr>
        <w:tabs>
          <w:tab w:val="left" w:pos="720"/>
          <w:tab w:val="left" w:pos="1064"/>
          <w:tab w:val="left" w:pos="2057"/>
        </w:tabs>
        <w:ind w:right="49"/>
        <w:jc w:val="both"/>
        <w:rPr>
          <w:rFonts w:cs="Arial"/>
          <w:b/>
          <w:sz w:val="16"/>
          <w:szCs w:val="16"/>
        </w:rPr>
      </w:pPr>
    </w:p>
    <w:p w14:paraId="11112680" w14:textId="216319EA" w:rsidR="00B4362C" w:rsidRDefault="00C00D99" w:rsidP="00DC22FD">
      <w:pPr>
        <w:pBdr>
          <w:left w:val="single" w:sz="4" w:space="0" w:color="auto"/>
        </w:pBdr>
        <w:tabs>
          <w:tab w:val="left" w:pos="720"/>
          <w:tab w:val="left" w:pos="1064"/>
          <w:tab w:val="left" w:pos="2057"/>
        </w:tabs>
        <w:ind w:right="49"/>
        <w:jc w:val="both"/>
        <w:rPr>
          <w:rFonts w:cs="Arial"/>
          <w:b/>
          <w:sz w:val="16"/>
          <w:szCs w:val="16"/>
        </w:rPr>
        <w:sectPr w:rsidR="00B4362C" w:rsidSect="00B269D7">
          <w:footerReference w:type="default" r:id="rId19"/>
          <w:pgSz w:w="12240" w:h="18720" w:code="257"/>
          <w:pgMar w:top="1417" w:right="1701" w:bottom="1417" w:left="1701" w:header="709" w:footer="865" w:gutter="0"/>
          <w:pgNumType w:start="31"/>
          <w:cols w:space="708"/>
          <w:docGrid w:linePitch="360"/>
        </w:sectPr>
      </w:pPr>
      <w:r w:rsidRPr="002B1EC9">
        <w:rPr>
          <w:rFonts w:cs="Arial"/>
          <w:b/>
          <w:sz w:val="16"/>
          <w:szCs w:val="16"/>
        </w:rPr>
        <w:t xml:space="preserve">3.10.5.5. </w:t>
      </w:r>
      <w:r w:rsidR="00EB494E" w:rsidRPr="002B1EC9">
        <w:rPr>
          <w:rFonts w:cs="Arial"/>
          <w:b/>
          <w:sz w:val="16"/>
          <w:szCs w:val="16"/>
        </w:rPr>
        <w:t xml:space="preserve">Políticas de suscripción: </w:t>
      </w:r>
      <w:r w:rsidR="00E9058C" w:rsidRPr="002B1EC9">
        <w:rPr>
          <w:rFonts w:cs="Arial"/>
          <w:b/>
          <w:sz w:val="16"/>
          <w:szCs w:val="16"/>
        </w:rPr>
        <w:t>Las entidades aseguradoras deben definir en sus políticas de suscripción</w:t>
      </w:r>
      <w:r w:rsidR="00FD037D" w:rsidRPr="002B1EC9">
        <w:rPr>
          <w:rFonts w:cs="Arial"/>
          <w:b/>
          <w:sz w:val="16"/>
          <w:szCs w:val="16"/>
        </w:rPr>
        <w:t>, entre otr</w:t>
      </w:r>
      <w:r w:rsidR="00FC13BF">
        <w:rPr>
          <w:rFonts w:cs="Arial"/>
          <w:b/>
          <w:sz w:val="16"/>
          <w:szCs w:val="16"/>
        </w:rPr>
        <w:t>a</w:t>
      </w:r>
      <w:r w:rsidR="00FD037D" w:rsidRPr="002B1EC9">
        <w:rPr>
          <w:rFonts w:cs="Arial"/>
          <w:b/>
          <w:sz w:val="16"/>
          <w:szCs w:val="16"/>
        </w:rPr>
        <w:t xml:space="preserve">s, </w:t>
      </w:r>
      <w:r w:rsidR="00330B58" w:rsidRPr="002B1EC9">
        <w:rPr>
          <w:rFonts w:cs="Arial"/>
          <w:b/>
          <w:sz w:val="16"/>
          <w:szCs w:val="16"/>
        </w:rPr>
        <w:t>l</w:t>
      </w:r>
      <w:r w:rsidR="00F845FE" w:rsidRPr="002B1EC9">
        <w:rPr>
          <w:rFonts w:cs="Arial"/>
          <w:b/>
          <w:sz w:val="16"/>
          <w:szCs w:val="16"/>
        </w:rPr>
        <w:t>a</w:t>
      </w:r>
      <w:r w:rsidR="00CA5C26" w:rsidRPr="002B1EC9">
        <w:rPr>
          <w:rFonts w:cs="Arial"/>
          <w:b/>
          <w:sz w:val="16"/>
          <w:szCs w:val="16"/>
        </w:rPr>
        <w:t>s</w:t>
      </w:r>
      <w:r w:rsidR="00F845FE" w:rsidRPr="002B1EC9">
        <w:rPr>
          <w:rFonts w:cs="Arial"/>
          <w:b/>
          <w:sz w:val="16"/>
          <w:szCs w:val="16"/>
        </w:rPr>
        <w:t xml:space="preserve"> clase</w:t>
      </w:r>
      <w:r w:rsidR="00CA5C26" w:rsidRPr="002B1EC9">
        <w:rPr>
          <w:rFonts w:cs="Arial"/>
          <w:b/>
          <w:sz w:val="16"/>
          <w:szCs w:val="16"/>
        </w:rPr>
        <w:t>s</w:t>
      </w:r>
      <w:r w:rsidR="00F845FE" w:rsidRPr="002B1EC9">
        <w:rPr>
          <w:rFonts w:cs="Arial"/>
          <w:b/>
          <w:sz w:val="16"/>
          <w:szCs w:val="16"/>
        </w:rPr>
        <w:t xml:space="preserve"> de renta vitalicia </w:t>
      </w:r>
      <w:r w:rsidR="00CF5286" w:rsidRPr="002B1EC9">
        <w:rPr>
          <w:rFonts w:cs="Arial"/>
          <w:b/>
          <w:sz w:val="16"/>
          <w:szCs w:val="16"/>
        </w:rPr>
        <w:t>inmobil</w:t>
      </w:r>
      <w:r w:rsidR="00B538E8" w:rsidRPr="002B1EC9">
        <w:rPr>
          <w:rFonts w:cs="Arial"/>
          <w:b/>
          <w:sz w:val="16"/>
          <w:szCs w:val="16"/>
        </w:rPr>
        <w:t xml:space="preserve">iaria </w:t>
      </w:r>
      <w:r w:rsidR="00F845FE" w:rsidRPr="002B1EC9">
        <w:rPr>
          <w:rFonts w:cs="Arial"/>
          <w:b/>
          <w:sz w:val="16"/>
          <w:szCs w:val="16"/>
        </w:rPr>
        <w:t>que pretende</w:t>
      </w:r>
      <w:r w:rsidR="00383961" w:rsidRPr="002B1EC9">
        <w:rPr>
          <w:rFonts w:cs="Arial"/>
          <w:b/>
          <w:sz w:val="16"/>
          <w:szCs w:val="16"/>
        </w:rPr>
        <w:t>n</w:t>
      </w:r>
      <w:r w:rsidR="00F845FE" w:rsidRPr="002B1EC9">
        <w:rPr>
          <w:rFonts w:cs="Arial"/>
          <w:b/>
          <w:sz w:val="16"/>
          <w:szCs w:val="16"/>
        </w:rPr>
        <w:t xml:space="preserve"> </w:t>
      </w:r>
      <w:r w:rsidR="007C0D7E" w:rsidRPr="002B1EC9">
        <w:rPr>
          <w:rFonts w:cs="Arial"/>
          <w:b/>
          <w:sz w:val="16"/>
          <w:szCs w:val="16"/>
        </w:rPr>
        <w:t>comercializar</w:t>
      </w:r>
      <w:r w:rsidR="00677DBD" w:rsidRPr="002B1EC9">
        <w:rPr>
          <w:rFonts w:cs="Arial"/>
          <w:b/>
          <w:sz w:val="16"/>
          <w:szCs w:val="16"/>
        </w:rPr>
        <w:t xml:space="preserve"> y </w:t>
      </w:r>
      <w:r w:rsidR="00B538E8" w:rsidRPr="002B1EC9">
        <w:rPr>
          <w:rFonts w:cs="Arial"/>
          <w:b/>
          <w:sz w:val="16"/>
          <w:szCs w:val="16"/>
        </w:rPr>
        <w:t>su</w:t>
      </w:r>
      <w:r w:rsidR="00E9058C" w:rsidRPr="002B1EC9">
        <w:rPr>
          <w:rFonts w:cs="Arial"/>
          <w:b/>
          <w:sz w:val="16"/>
          <w:szCs w:val="16"/>
        </w:rPr>
        <w:t xml:space="preserve"> mercado objetivo</w:t>
      </w:r>
      <w:r w:rsidR="00CA5C26" w:rsidRPr="002B1EC9">
        <w:rPr>
          <w:rFonts w:cs="Arial"/>
          <w:b/>
          <w:sz w:val="16"/>
          <w:szCs w:val="16"/>
        </w:rPr>
        <w:t>, para lo</w:t>
      </w:r>
      <w:r w:rsidR="00ED74AC" w:rsidRPr="002B1EC9">
        <w:rPr>
          <w:rFonts w:cs="Arial"/>
          <w:b/>
          <w:sz w:val="16"/>
          <w:szCs w:val="16"/>
        </w:rPr>
        <w:t xml:space="preserve"> cual</w:t>
      </w:r>
      <w:r w:rsidR="00CA5C26" w:rsidRPr="002B1EC9">
        <w:rPr>
          <w:rFonts w:cs="Arial"/>
          <w:b/>
          <w:sz w:val="16"/>
          <w:szCs w:val="16"/>
        </w:rPr>
        <w:t xml:space="preserve"> deberán realizar </w:t>
      </w:r>
      <w:r w:rsidR="00ED74AC" w:rsidRPr="002B1EC9">
        <w:rPr>
          <w:rFonts w:cs="Arial"/>
          <w:b/>
          <w:sz w:val="16"/>
          <w:szCs w:val="16"/>
        </w:rPr>
        <w:t>un análisis objetivo</w:t>
      </w:r>
      <w:r w:rsidR="00B4362C">
        <w:rPr>
          <w:rFonts w:cs="Arial"/>
          <w:b/>
          <w:sz w:val="16"/>
          <w:szCs w:val="16"/>
        </w:rPr>
        <w:t>.</w:t>
      </w:r>
    </w:p>
    <w:p w14:paraId="455239E9" w14:textId="77777777" w:rsidR="00523903" w:rsidRPr="002B1EC9" w:rsidRDefault="00523903">
      <w:pPr>
        <w:pBdr>
          <w:left w:val="single" w:sz="4" w:space="1" w:color="auto"/>
        </w:pBdr>
        <w:jc w:val="both"/>
        <w:rPr>
          <w:rFonts w:cs="Arial"/>
          <w:b/>
          <w:sz w:val="16"/>
          <w:szCs w:val="16"/>
        </w:rPr>
      </w:pPr>
    </w:p>
    <w:p w14:paraId="3C40AFB1" w14:textId="1E363908" w:rsidR="00523903" w:rsidRPr="002B1EC9" w:rsidRDefault="00F34BD4" w:rsidP="00A117E5">
      <w:pPr>
        <w:pBdr>
          <w:left w:val="single" w:sz="4" w:space="1" w:color="auto"/>
        </w:pBdr>
        <w:jc w:val="both"/>
        <w:rPr>
          <w:rFonts w:cs="Arial"/>
          <w:b/>
          <w:sz w:val="16"/>
          <w:szCs w:val="16"/>
        </w:rPr>
      </w:pPr>
      <w:r w:rsidRPr="002B1EC9">
        <w:rPr>
          <w:rFonts w:cs="Arial"/>
          <w:b/>
          <w:sz w:val="16"/>
          <w:szCs w:val="16"/>
        </w:rPr>
        <w:t>3.10.5.</w:t>
      </w:r>
      <w:r w:rsidR="00C00D99" w:rsidRPr="002B1EC9">
        <w:rPr>
          <w:rFonts w:cs="Arial"/>
          <w:b/>
          <w:sz w:val="16"/>
          <w:szCs w:val="16"/>
        </w:rPr>
        <w:t>6</w:t>
      </w:r>
      <w:r w:rsidRPr="002B1EC9">
        <w:rPr>
          <w:rFonts w:cs="Arial"/>
          <w:b/>
          <w:sz w:val="16"/>
          <w:szCs w:val="16"/>
        </w:rPr>
        <w:t>. Deberes de las entidades aseguradoras en el ofrecimiento de la renta vitalicia inmobiliaria.</w:t>
      </w:r>
    </w:p>
    <w:p w14:paraId="07D80420" w14:textId="77777777" w:rsidR="00F34BD4" w:rsidRPr="002B1EC9" w:rsidRDefault="00F34BD4" w:rsidP="00A117E5">
      <w:pPr>
        <w:pBdr>
          <w:left w:val="single" w:sz="4" w:space="1" w:color="auto"/>
        </w:pBdr>
        <w:jc w:val="both"/>
        <w:rPr>
          <w:rFonts w:cs="Arial"/>
          <w:b/>
          <w:sz w:val="16"/>
          <w:szCs w:val="16"/>
        </w:rPr>
      </w:pPr>
    </w:p>
    <w:p w14:paraId="082135B3" w14:textId="560D525B" w:rsidR="00976703" w:rsidRPr="002B1EC9" w:rsidRDefault="00976703" w:rsidP="00A117E5">
      <w:pPr>
        <w:pBdr>
          <w:left w:val="single" w:sz="4" w:space="1" w:color="auto"/>
        </w:pBdr>
        <w:tabs>
          <w:tab w:val="left" w:pos="189"/>
        </w:tabs>
        <w:jc w:val="both"/>
        <w:rPr>
          <w:rFonts w:cs="Arial"/>
          <w:b/>
          <w:sz w:val="16"/>
          <w:szCs w:val="16"/>
          <w:lang w:val="es-CO"/>
        </w:rPr>
      </w:pPr>
      <w:r w:rsidRPr="002B1EC9">
        <w:rPr>
          <w:rFonts w:cs="Arial"/>
          <w:b/>
          <w:sz w:val="16"/>
          <w:szCs w:val="16"/>
          <w:lang w:val="es-CO"/>
        </w:rPr>
        <w:t>Las entidades aseguradoras deben diseñar e implementar políticas, procesos y procedimientos para asegurar el cumplimiento de los deberes establecidos en el artículo 2.31.7.2.1 del Decreto 2555 de 2010 para el ofrecimiento de la renta vitalicia inmobiliaria.</w:t>
      </w:r>
    </w:p>
    <w:p w14:paraId="7D15D48A" w14:textId="77777777" w:rsidR="00976703" w:rsidRPr="002B1EC9" w:rsidRDefault="00976703" w:rsidP="00A117E5">
      <w:pPr>
        <w:pBdr>
          <w:left w:val="single" w:sz="4" w:space="1" w:color="auto"/>
        </w:pBdr>
        <w:tabs>
          <w:tab w:val="left" w:pos="189"/>
        </w:tabs>
        <w:jc w:val="both"/>
        <w:rPr>
          <w:rFonts w:cs="Arial"/>
          <w:b/>
          <w:sz w:val="16"/>
          <w:szCs w:val="16"/>
          <w:lang w:val="es-CO"/>
        </w:rPr>
      </w:pPr>
    </w:p>
    <w:p w14:paraId="0A9A774D" w14:textId="491A13DB" w:rsidR="005A6218" w:rsidRPr="002B1EC9" w:rsidRDefault="00976703" w:rsidP="00A117E5">
      <w:pPr>
        <w:pBdr>
          <w:left w:val="single" w:sz="4" w:space="1" w:color="auto"/>
        </w:pBdr>
        <w:tabs>
          <w:tab w:val="left" w:pos="189"/>
        </w:tabs>
        <w:jc w:val="both"/>
        <w:rPr>
          <w:rFonts w:cs="Arial"/>
          <w:b/>
          <w:sz w:val="16"/>
          <w:szCs w:val="16"/>
          <w:lang w:val="es-CO"/>
        </w:rPr>
      </w:pPr>
      <w:r w:rsidRPr="002B1EC9">
        <w:rPr>
          <w:rFonts w:cs="Arial"/>
          <w:b/>
          <w:sz w:val="16"/>
          <w:szCs w:val="16"/>
          <w:lang w:val="es-CO"/>
        </w:rPr>
        <w:t xml:space="preserve">Para el efecto, las entidades deben elaborar, actualizar y poner en práctica un manual para el ofrecimiento de este producto, el cual será de obligatorio cumplimiento para todas las personas involucradas. Este manual debe ser aprobado por la junta directiva y su contenido mínimo debe cumplir </w:t>
      </w:r>
      <w:r w:rsidR="00B649DD">
        <w:rPr>
          <w:rFonts w:cs="Arial"/>
          <w:b/>
          <w:sz w:val="16"/>
          <w:szCs w:val="16"/>
          <w:lang w:val="es-CO"/>
        </w:rPr>
        <w:t xml:space="preserve">con </w:t>
      </w:r>
      <w:r w:rsidRPr="002B1EC9">
        <w:rPr>
          <w:rFonts w:cs="Arial"/>
          <w:b/>
          <w:sz w:val="16"/>
          <w:szCs w:val="16"/>
          <w:lang w:val="es-CO"/>
        </w:rPr>
        <w:t xml:space="preserve">lo señalado en el presente </w:t>
      </w:r>
      <w:r w:rsidR="00B649DD">
        <w:rPr>
          <w:rFonts w:cs="Arial"/>
          <w:b/>
          <w:sz w:val="16"/>
          <w:szCs w:val="16"/>
          <w:lang w:val="es-CO"/>
        </w:rPr>
        <w:t>sub</w:t>
      </w:r>
      <w:r w:rsidRPr="002B1EC9">
        <w:rPr>
          <w:rFonts w:cs="Arial"/>
          <w:b/>
          <w:sz w:val="16"/>
          <w:szCs w:val="16"/>
          <w:lang w:val="es-CO"/>
        </w:rPr>
        <w:t xml:space="preserve">numeral. </w:t>
      </w:r>
      <w:r w:rsidR="005A6218">
        <w:rPr>
          <w:rFonts w:cs="Arial"/>
          <w:b/>
          <w:sz w:val="16"/>
          <w:szCs w:val="16"/>
          <w:lang w:val="es-CO"/>
        </w:rPr>
        <w:t>Adicio</w:t>
      </w:r>
      <w:r w:rsidR="003C5BC2">
        <w:rPr>
          <w:rFonts w:cs="Arial"/>
          <w:b/>
          <w:sz w:val="16"/>
          <w:szCs w:val="16"/>
          <w:lang w:val="es-CO"/>
        </w:rPr>
        <w:t xml:space="preserve">nalmente, este manual debe estar a disposición de la SFC para </w:t>
      </w:r>
      <w:r w:rsidR="00D46605">
        <w:rPr>
          <w:rFonts w:cs="Arial"/>
          <w:b/>
          <w:sz w:val="16"/>
          <w:szCs w:val="16"/>
          <w:lang w:val="es-CO"/>
        </w:rPr>
        <w:t>su consulta en cualqu</w:t>
      </w:r>
      <w:r w:rsidR="007F3306">
        <w:rPr>
          <w:rFonts w:cs="Arial"/>
          <w:b/>
          <w:sz w:val="16"/>
          <w:szCs w:val="16"/>
          <w:lang w:val="es-CO"/>
        </w:rPr>
        <w:t xml:space="preserve">ier momento. </w:t>
      </w:r>
      <w:r w:rsidR="003C5BC2">
        <w:rPr>
          <w:rFonts w:cs="Arial"/>
          <w:b/>
          <w:sz w:val="16"/>
          <w:szCs w:val="16"/>
          <w:lang w:val="es-CO"/>
        </w:rPr>
        <w:t xml:space="preserve"> </w:t>
      </w:r>
    </w:p>
    <w:p w14:paraId="72536722" w14:textId="77777777" w:rsidR="00976703" w:rsidRPr="002B1EC9" w:rsidRDefault="00976703" w:rsidP="00A117E5">
      <w:pPr>
        <w:pBdr>
          <w:left w:val="single" w:sz="4" w:space="1" w:color="auto"/>
        </w:pBdr>
        <w:tabs>
          <w:tab w:val="left" w:pos="189"/>
        </w:tabs>
        <w:jc w:val="both"/>
        <w:rPr>
          <w:b/>
          <w:iCs/>
          <w:sz w:val="16"/>
          <w:szCs w:val="16"/>
          <w:lang w:val="es-CO"/>
        </w:rPr>
      </w:pPr>
    </w:p>
    <w:p w14:paraId="4C53785E" w14:textId="4BC4F8CB" w:rsidR="00976703" w:rsidRPr="002B1EC9" w:rsidRDefault="00CC1D13" w:rsidP="004527A8">
      <w:pPr>
        <w:pBdr>
          <w:left w:val="single" w:sz="4" w:space="1" w:color="auto"/>
        </w:pBdr>
        <w:tabs>
          <w:tab w:val="left" w:pos="189"/>
        </w:tabs>
        <w:jc w:val="both"/>
        <w:rPr>
          <w:rFonts w:cs="Arial"/>
          <w:b/>
          <w:sz w:val="16"/>
          <w:szCs w:val="16"/>
          <w:lang w:val="es-CO"/>
        </w:rPr>
      </w:pPr>
      <w:bookmarkStart w:id="1" w:name="_Hlk10094062"/>
      <w:r w:rsidRPr="002B1EC9">
        <w:rPr>
          <w:rFonts w:cs="Arial"/>
          <w:b/>
          <w:sz w:val="16"/>
          <w:szCs w:val="16"/>
        </w:rPr>
        <w:t>3.10.5.</w:t>
      </w:r>
      <w:r w:rsidR="00C00D99" w:rsidRPr="002B1EC9">
        <w:rPr>
          <w:rFonts w:cs="Arial"/>
          <w:b/>
          <w:sz w:val="16"/>
          <w:szCs w:val="16"/>
        </w:rPr>
        <w:t>6</w:t>
      </w:r>
      <w:r w:rsidRPr="002B1EC9">
        <w:rPr>
          <w:rFonts w:cs="Arial"/>
          <w:b/>
          <w:sz w:val="16"/>
          <w:szCs w:val="16"/>
        </w:rPr>
        <w:t xml:space="preserve">.1. </w:t>
      </w:r>
      <w:r w:rsidR="00976703" w:rsidRPr="002B1EC9">
        <w:rPr>
          <w:b/>
          <w:iCs/>
          <w:sz w:val="16"/>
          <w:szCs w:val="16"/>
          <w:lang w:val="es-CO"/>
        </w:rPr>
        <w:t>Políticas y procedimientos generales</w:t>
      </w:r>
      <w:bookmarkEnd w:id="1"/>
    </w:p>
    <w:p w14:paraId="3E2B026B" w14:textId="77777777" w:rsidR="004527A8" w:rsidRPr="002B1EC9" w:rsidRDefault="004527A8" w:rsidP="004527A8">
      <w:pPr>
        <w:pBdr>
          <w:left w:val="single" w:sz="4" w:space="1" w:color="auto"/>
        </w:pBdr>
        <w:tabs>
          <w:tab w:val="left" w:pos="189"/>
        </w:tabs>
        <w:jc w:val="both"/>
        <w:rPr>
          <w:b/>
          <w:iCs/>
          <w:sz w:val="16"/>
          <w:szCs w:val="16"/>
          <w:lang w:val="es-CO"/>
        </w:rPr>
      </w:pPr>
    </w:p>
    <w:p w14:paraId="393D9CE5" w14:textId="245AA9D6" w:rsidR="00976703" w:rsidRPr="002B1EC9" w:rsidRDefault="00976703" w:rsidP="00A117E5">
      <w:pPr>
        <w:pBdr>
          <w:left w:val="single" w:sz="4" w:space="1" w:color="auto"/>
        </w:pBdr>
        <w:tabs>
          <w:tab w:val="left" w:pos="189"/>
        </w:tabs>
        <w:jc w:val="both"/>
        <w:rPr>
          <w:rFonts w:cs="Arial"/>
          <w:b/>
          <w:sz w:val="16"/>
          <w:szCs w:val="16"/>
          <w:lang w:val="es-CO"/>
        </w:rPr>
      </w:pPr>
      <w:r w:rsidRPr="002B1EC9">
        <w:rPr>
          <w:rFonts w:cs="Arial"/>
          <w:b/>
          <w:sz w:val="16"/>
          <w:szCs w:val="16"/>
          <w:lang w:val="es-CO"/>
        </w:rPr>
        <w:t>El manual para el ofrecimiento de la renta vitalicia inmobiliaria debe contener, como mínimo:</w:t>
      </w:r>
    </w:p>
    <w:p w14:paraId="0BB8C281" w14:textId="77777777" w:rsidR="00976703" w:rsidRPr="002B1EC9" w:rsidRDefault="00976703" w:rsidP="004527A8">
      <w:pPr>
        <w:pBdr>
          <w:left w:val="single" w:sz="4" w:space="1" w:color="auto"/>
        </w:pBdr>
        <w:tabs>
          <w:tab w:val="left" w:pos="189"/>
        </w:tabs>
        <w:jc w:val="both"/>
        <w:rPr>
          <w:rFonts w:cs="Arial"/>
          <w:b/>
          <w:sz w:val="16"/>
          <w:szCs w:val="16"/>
          <w:lang w:val="es-CO"/>
        </w:rPr>
      </w:pPr>
    </w:p>
    <w:p w14:paraId="4A0A8303" w14:textId="19A2F275" w:rsidR="00976703" w:rsidRPr="002B1EC9" w:rsidRDefault="004527A8" w:rsidP="004527A8">
      <w:pPr>
        <w:pBdr>
          <w:left w:val="single" w:sz="4" w:space="1" w:color="auto"/>
        </w:pBdr>
        <w:tabs>
          <w:tab w:val="left" w:pos="189"/>
        </w:tabs>
        <w:jc w:val="both"/>
        <w:rPr>
          <w:rFonts w:cs="Arial"/>
          <w:b/>
          <w:sz w:val="16"/>
          <w:szCs w:val="16"/>
          <w:lang w:val="es-CO"/>
        </w:rPr>
      </w:pPr>
      <w:r w:rsidRPr="002B1EC9">
        <w:rPr>
          <w:rFonts w:cs="Arial"/>
          <w:b/>
          <w:sz w:val="16"/>
          <w:szCs w:val="16"/>
        </w:rPr>
        <w:t>3.10.5.</w:t>
      </w:r>
      <w:r w:rsidR="00C00D99" w:rsidRPr="002B1EC9">
        <w:rPr>
          <w:rFonts w:cs="Arial"/>
          <w:b/>
          <w:sz w:val="16"/>
          <w:szCs w:val="16"/>
        </w:rPr>
        <w:t>6</w:t>
      </w:r>
      <w:r w:rsidRPr="002B1EC9">
        <w:rPr>
          <w:rFonts w:cs="Arial"/>
          <w:b/>
          <w:sz w:val="16"/>
          <w:szCs w:val="16"/>
        </w:rPr>
        <w:t xml:space="preserve">.1.1. </w:t>
      </w:r>
      <w:r w:rsidR="00976703" w:rsidRPr="002B1EC9">
        <w:rPr>
          <w:rFonts w:cs="Arial"/>
          <w:b/>
          <w:sz w:val="16"/>
          <w:szCs w:val="16"/>
          <w:lang w:val="es-CO"/>
        </w:rPr>
        <w:t>Las áreas, comités y/o funcionarios responsables del cumplimiento de los deberes de información, documentación, mejor resultado y asesoría, detallando sus funciones, deberes y responsabilidades en concordancia con l</w:t>
      </w:r>
      <w:r w:rsidR="00DE0B49" w:rsidRPr="002B1EC9">
        <w:rPr>
          <w:rFonts w:cs="Arial"/>
          <w:b/>
          <w:sz w:val="16"/>
          <w:szCs w:val="16"/>
          <w:lang w:val="es-CO"/>
        </w:rPr>
        <w:t>o</w:t>
      </w:r>
      <w:r w:rsidR="00976703" w:rsidRPr="002B1EC9">
        <w:rPr>
          <w:rFonts w:cs="Arial"/>
          <w:b/>
          <w:sz w:val="16"/>
          <w:szCs w:val="16"/>
          <w:lang w:val="es-CO"/>
        </w:rPr>
        <w:t>s procesos y procedimientos establecidos en el manual.</w:t>
      </w:r>
    </w:p>
    <w:p w14:paraId="1050F41E" w14:textId="77777777" w:rsidR="00976703" w:rsidRPr="002B1EC9" w:rsidRDefault="00976703" w:rsidP="004527A8">
      <w:pPr>
        <w:pBdr>
          <w:left w:val="single" w:sz="4" w:space="1" w:color="auto"/>
        </w:pBdr>
        <w:tabs>
          <w:tab w:val="left" w:pos="189"/>
        </w:tabs>
        <w:jc w:val="both"/>
        <w:rPr>
          <w:rFonts w:cs="Arial"/>
          <w:b/>
          <w:sz w:val="16"/>
          <w:szCs w:val="16"/>
          <w:lang w:val="es-CO"/>
        </w:rPr>
      </w:pPr>
    </w:p>
    <w:p w14:paraId="0CB1D734" w14:textId="72160B7A" w:rsidR="00976703" w:rsidRPr="002B1EC9" w:rsidRDefault="00CA0CF3" w:rsidP="004527A8">
      <w:pPr>
        <w:pBdr>
          <w:left w:val="single" w:sz="4" w:space="1" w:color="auto"/>
        </w:pBdr>
        <w:tabs>
          <w:tab w:val="left" w:pos="189"/>
        </w:tabs>
        <w:jc w:val="both"/>
        <w:rPr>
          <w:rFonts w:cs="Arial"/>
          <w:b/>
          <w:sz w:val="16"/>
          <w:szCs w:val="16"/>
          <w:lang w:val="es-CO"/>
        </w:rPr>
      </w:pPr>
      <w:r w:rsidRPr="002B1EC9">
        <w:rPr>
          <w:rFonts w:cs="Arial"/>
          <w:b/>
          <w:sz w:val="16"/>
          <w:szCs w:val="16"/>
        </w:rPr>
        <w:t>3.10.5.</w:t>
      </w:r>
      <w:r w:rsidR="00C00D99" w:rsidRPr="002B1EC9">
        <w:rPr>
          <w:rFonts w:cs="Arial"/>
          <w:b/>
          <w:sz w:val="16"/>
          <w:szCs w:val="16"/>
        </w:rPr>
        <w:t>6</w:t>
      </w:r>
      <w:r w:rsidRPr="002B1EC9">
        <w:rPr>
          <w:rFonts w:cs="Arial"/>
          <w:b/>
          <w:sz w:val="16"/>
          <w:szCs w:val="16"/>
        </w:rPr>
        <w:t xml:space="preserve">.1.2. </w:t>
      </w:r>
      <w:r w:rsidR="00976703" w:rsidRPr="002B1EC9">
        <w:rPr>
          <w:rFonts w:cs="Arial"/>
          <w:b/>
          <w:sz w:val="16"/>
          <w:szCs w:val="16"/>
          <w:lang w:val="es-CO"/>
        </w:rPr>
        <w:t>Los mecanismos para el monitoreo</w:t>
      </w:r>
      <w:r w:rsidR="00B5542A" w:rsidRPr="002B1EC9">
        <w:rPr>
          <w:rFonts w:cs="Arial"/>
          <w:b/>
          <w:sz w:val="16"/>
          <w:szCs w:val="16"/>
          <w:lang w:val="es-CO"/>
        </w:rPr>
        <w:t>,</w:t>
      </w:r>
      <w:r w:rsidR="00976703" w:rsidRPr="002B1EC9">
        <w:rPr>
          <w:rFonts w:cs="Arial"/>
          <w:b/>
          <w:sz w:val="16"/>
          <w:szCs w:val="16"/>
          <w:lang w:val="es-CO"/>
        </w:rPr>
        <w:t xml:space="preserve"> y criterios para la evaluación del cumplimiento de los deberes y las políticas y procedimientos en el manual, estableciendo su periodicidad.</w:t>
      </w:r>
    </w:p>
    <w:p w14:paraId="1D999120" w14:textId="77777777" w:rsidR="00976703" w:rsidRPr="002B1EC9" w:rsidRDefault="00976703" w:rsidP="004527A8">
      <w:pPr>
        <w:pBdr>
          <w:left w:val="single" w:sz="4" w:space="1" w:color="auto"/>
        </w:pBdr>
        <w:tabs>
          <w:tab w:val="left" w:pos="189"/>
        </w:tabs>
        <w:jc w:val="both"/>
        <w:rPr>
          <w:rFonts w:cs="Arial"/>
          <w:b/>
          <w:sz w:val="16"/>
          <w:szCs w:val="16"/>
          <w:lang w:val="es-CO"/>
        </w:rPr>
      </w:pPr>
    </w:p>
    <w:p w14:paraId="27614B0C" w14:textId="25A1F3C6" w:rsidR="00976703" w:rsidRPr="002B1EC9" w:rsidRDefault="006C1F9F" w:rsidP="004527A8">
      <w:pPr>
        <w:pBdr>
          <w:left w:val="single" w:sz="4" w:space="1" w:color="auto"/>
        </w:pBdr>
        <w:tabs>
          <w:tab w:val="left" w:pos="189"/>
        </w:tabs>
        <w:jc w:val="both"/>
        <w:rPr>
          <w:rFonts w:cs="Arial"/>
          <w:b/>
          <w:sz w:val="16"/>
          <w:szCs w:val="16"/>
          <w:lang w:val="es-CO"/>
        </w:rPr>
      </w:pPr>
      <w:r w:rsidRPr="002B1EC9">
        <w:rPr>
          <w:rFonts w:cs="Arial"/>
          <w:b/>
          <w:sz w:val="16"/>
          <w:szCs w:val="16"/>
        </w:rPr>
        <w:t>3.10.5.</w:t>
      </w:r>
      <w:r w:rsidR="00C00D99" w:rsidRPr="002B1EC9">
        <w:rPr>
          <w:rFonts w:cs="Arial"/>
          <w:b/>
          <w:sz w:val="16"/>
          <w:szCs w:val="16"/>
        </w:rPr>
        <w:t>6</w:t>
      </w:r>
      <w:r w:rsidRPr="002B1EC9">
        <w:rPr>
          <w:rFonts w:cs="Arial"/>
          <w:b/>
          <w:sz w:val="16"/>
          <w:szCs w:val="16"/>
        </w:rPr>
        <w:t xml:space="preserve">.1.3. </w:t>
      </w:r>
      <w:r w:rsidR="00976703" w:rsidRPr="002B1EC9">
        <w:rPr>
          <w:rFonts w:cs="Arial"/>
          <w:b/>
          <w:sz w:val="16"/>
          <w:szCs w:val="16"/>
          <w:lang w:val="es-CO"/>
        </w:rPr>
        <w:t>Las políticas y procedimientos para la identificación, revelación y gestión de conflictos de interés que se puedan presentar en el ofrecimiento de la renta vitalicia inmobiliaria.</w:t>
      </w:r>
    </w:p>
    <w:p w14:paraId="5A88DDB4" w14:textId="77777777" w:rsidR="00976703" w:rsidRPr="002B1EC9" w:rsidRDefault="00976703" w:rsidP="004527A8">
      <w:pPr>
        <w:pBdr>
          <w:left w:val="single" w:sz="4" w:space="1" w:color="auto"/>
        </w:pBdr>
        <w:rPr>
          <w:rFonts w:cs="Arial"/>
          <w:b/>
          <w:sz w:val="16"/>
          <w:szCs w:val="16"/>
          <w:lang w:val="es-CO"/>
        </w:rPr>
      </w:pPr>
    </w:p>
    <w:p w14:paraId="11233953" w14:textId="31DE1F44" w:rsidR="00976703" w:rsidRPr="002B1EC9" w:rsidRDefault="00F06EE6" w:rsidP="004527A8">
      <w:pPr>
        <w:pBdr>
          <w:left w:val="single" w:sz="4" w:space="1" w:color="auto"/>
        </w:pBdr>
        <w:tabs>
          <w:tab w:val="left" w:pos="189"/>
        </w:tabs>
        <w:jc w:val="both"/>
        <w:rPr>
          <w:rFonts w:cs="Arial"/>
          <w:b/>
          <w:sz w:val="16"/>
          <w:szCs w:val="16"/>
          <w:lang w:val="es-CO"/>
        </w:rPr>
      </w:pPr>
      <w:r w:rsidRPr="002B1EC9">
        <w:rPr>
          <w:rFonts w:cs="Arial"/>
          <w:b/>
          <w:sz w:val="16"/>
          <w:szCs w:val="16"/>
        </w:rPr>
        <w:t>3.10.5.</w:t>
      </w:r>
      <w:r w:rsidR="00C00D99" w:rsidRPr="002B1EC9">
        <w:rPr>
          <w:rFonts w:cs="Arial"/>
          <w:b/>
          <w:sz w:val="16"/>
          <w:szCs w:val="16"/>
        </w:rPr>
        <w:t>6</w:t>
      </w:r>
      <w:r w:rsidRPr="002B1EC9">
        <w:rPr>
          <w:rFonts w:cs="Arial"/>
          <w:b/>
          <w:sz w:val="16"/>
          <w:szCs w:val="16"/>
        </w:rPr>
        <w:t xml:space="preserve">.1.4. </w:t>
      </w:r>
      <w:r w:rsidR="00976703" w:rsidRPr="002B1EC9">
        <w:rPr>
          <w:rFonts w:cs="Arial"/>
          <w:b/>
          <w:sz w:val="16"/>
          <w:szCs w:val="16"/>
          <w:lang w:val="es-CO"/>
        </w:rPr>
        <w:t>Las políticas que garanticen que los esquemas de remuneración o incentivos de los funcionarios que intervienen en el proceso de asesoría en el ofrecimiento del producto salvaguardan el mejor interés del cliente y el cumplimiento de los deberes de la entidad aseguradora.</w:t>
      </w:r>
    </w:p>
    <w:p w14:paraId="0F5AD170" w14:textId="77777777" w:rsidR="00976703" w:rsidRPr="002B1EC9" w:rsidRDefault="00976703" w:rsidP="004527A8">
      <w:pPr>
        <w:pBdr>
          <w:left w:val="single" w:sz="4" w:space="1" w:color="auto"/>
        </w:pBdr>
        <w:rPr>
          <w:rFonts w:cs="Arial"/>
          <w:b/>
          <w:sz w:val="16"/>
          <w:szCs w:val="16"/>
          <w:lang w:val="es-CO"/>
        </w:rPr>
      </w:pPr>
    </w:p>
    <w:p w14:paraId="2A217694" w14:textId="2D491B0D" w:rsidR="00976703" w:rsidRPr="002B1EC9" w:rsidRDefault="00307FE3" w:rsidP="004527A8">
      <w:pPr>
        <w:pBdr>
          <w:left w:val="single" w:sz="4" w:space="1" w:color="auto"/>
        </w:pBdr>
        <w:tabs>
          <w:tab w:val="left" w:pos="189"/>
        </w:tabs>
        <w:jc w:val="both"/>
        <w:rPr>
          <w:rFonts w:cs="Arial"/>
          <w:b/>
          <w:sz w:val="16"/>
          <w:szCs w:val="16"/>
          <w:lang w:val="es-CO"/>
        </w:rPr>
      </w:pPr>
      <w:r w:rsidRPr="002B1EC9">
        <w:rPr>
          <w:rFonts w:cs="Arial"/>
          <w:b/>
          <w:sz w:val="16"/>
          <w:szCs w:val="16"/>
        </w:rPr>
        <w:t>3.10.5.</w:t>
      </w:r>
      <w:r w:rsidR="00C00D99" w:rsidRPr="002B1EC9">
        <w:rPr>
          <w:rFonts w:cs="Arial"/>
          <w:b/>
          <w:sz w:val="16"/>
          <w:szCs w:val="16"/>
        </w:rPr>
        <w:t>6</w:t>
      </w:r>
      <w:r w:rsidRPr="002B1EC9">
        <w:rPr>
          <w:rFonts w:cs="Arial"/>
          <w:b/>
          <w:sz w:val="16"/>
          <w:szCs w:val="16"/>
        </w:rPr>
        <w:t xml:space="preserve">.1.5. </w:t>
      </w:r>
      <w:r w:rsidR="00976703" w:rsidRPr="002B1EC9">
        <w:rPr>
          <w:rFonts w:cs="Arial"/>
          <w:b/>
          <w:sz w:val="16"/>
          <w:szCs w:val="16"/>
          <w:lang w:val="es-CO"/>
        </w:rPr>
        <w:t xml:space="preserve">Las políticas para garantizar que los funcionarios que participen en el ofrecimiento de la renta vitalicia inmobiliaria estén capacitados para el efecto, y conozcan y entiendan el manual para el ofrecimiento y las consecuencias del incumplimiento de </w:t>
      </w:r>
      <w:r w:rsidR="00B649DD">
        <w:rPr>
          <w:rFonts w:cs="Arial"/>
          <w:b/>
          <w:sz w:val="16"/>
          <w:szCs w:val="16"/>
          <w:lang w:val="es-CO"/>
        </w:rPr>
        <w:t>é</w:t>
      </w:r>
      <w:r w:rsidR="00976703" w:rsidRPr="002B1EC9">
        <w:rPr>
          <w:rFonts w:cs="Arial"/>
          <w:b/>
          <w:sz w:val="16"/>
          <w:szCs w:val="16"/>
          <w:lang w:val="es-CO"/>
        </w:rPr>
        <w:t>ste.</w:t>
      </w:r>
    </w:p>
    <w:p w14:paraId="541C953B" w14:textId="77777777" w:rsidR="00A13A6F" w:rsidRPr="002B1EC9" w:rsidRDefault="00A13A6F" w:rsidP="004527A8">
      <w:pPr>
        <w:pBdr>
          <w:left w:val="single" w:sz="4" w:space="1" w:color="auto"/>
        </w:pBdr>
        <w:tabs>
          <w:tab w:val="left" w:pos="189"/>
        </w:tabs>
        <w:jc w:val="both"/>
        <w:rPr>
          <w:rFonts w:cs="Arial"/>
          <w:b/>
          <w:sz w:val="16"/>
          <w:szCs w:val="16"/>
          <w:lang w:val="es-CO"/>
        </w:rPr>
      </w:pPr>
    </w:p>
    <w:p w14:paraId="784F0901" w14:textId="2EBD5C1F" w:rsidR="00A13A6F" w:rsidRPr="002B1EC9" w:rsidRDefault="00092548" w:rsidP="004527A8">
      <w:pPr>
        <w:pBdr>
          <w:left w:val="single" w:sz="4" w:space="1" w:color="auto"/>
        </w:pBdr>
        <w:tabs>
          <w:tab w:val="left" w:pos="189"/>
        </w:tabs>
        <w:jc w:val="both"/>
        <w:rPr>
          <w:rFonts w:cs="Arial"/>
          <w:b/>
          <w:sz w:val="16"/>
          <w:szCs w:val="16"/>
          <w:lang w:val="es-CO"/>
        </w:rPr>
      </w:pPr>
      <w:r w:rsidRPr="002B1EC9">
        <w:rPr>
          <w:rFonts w:cs="Arial"/>
          <w:b/>
          <w:sz w:val="16"/>
          <w:szCs w:val="16"/>
        </w:rPr>
        <w:t>3.10.5.</w:t>
      </w:r>
      <w:r w:rsidR="00C00D99" w:rsidRPr="002B1EC9">
        <w:rPr>
          <w:rFonts w:cs="Arial"/>
          <w:b/>
          <w:sz w:val="16"/>
          <w:szCs w:val="16"/>
        </w:rPr>
        <w:t>6</w:t>
      </w:r>
      <w:r w:rsidRPr="002B1EC9">
        <w:rPr>
          <w:rFonts w:cs="Arial"/>
          <w:b/>
          <w:sz w:val="16"/>
          <w:szCs w:val="16"/>
        </w:rPr>
        <w:t xml:space="preserve">.1.6 </w:t>
      </w:r>
      <w:r w:rsidR="00A13A6F" w:rsidRPr="002B1EC9">
        <w:rPr>
          <w:rFonts w:cs="Arial"/>
          <w:b/>
          <w:sz w:val="16"/>
          <w:szCs w:val="16"/>
          <w:lang w:val="es-CO"/>
        </w:rPr>
        <w:t>Las políticas para definir los convenios a suscribir con los intermediarios de seguros</w:t>
      </w:r>
      <w:r w:rsidR="00C706A7">
        <w:rPr>
          <w:rFonts w:cs="Arial"/>
          <w:b/>
          <w:sz w:val="16"/>
          <w:szCs w:val="16"/>
          <w:lang w:val="es-CO"/>
        </w:rPr>
        <w:t xml:space="preserve">, </w:t>
      </w:r>
      <w:r w:rsidR="002147E4" w:rsidRPr="002B1EC9">
        <w:rPr>
          <w:rFonts w:cs="Arial"/>
          <w:b/>
          <w:sz w:val="16"/>
          <w:szCs w:val="16"/>
          <w:lang w:val="es-CO"/>
        </w:rPr>
        <w:t xml:space="preserve">que se encuentren sujetos a supervisión permanente por parte de </w:t>
      </w:r>
      <w:r w:rsidR="00AF65E1" w:rsidRPr="002B1EC9">
        <w:rPr>
          <w:rFonts w:cs="Arial"/>
          <w:b/>
          <w:sz w:val="16"/>
          <w:szCs w:val="16"/>
          <w:lang w:val="es-CO"/>
        </w:rPr>
        <w:t xml:space="preserve">esta Superintendencia </w:t>
      </w:r>
      <w:r w:rsidR="00BD3B1D" w:rsidRPr="002B1EC9">
        <w:rPr>
          <w:rFonts w:cs="Arial"/>
          <w:b/>
          <w:sz w:val="16"/>
          <w:szCs w:val="16"/>
          <w:lang w:val="es-CO"/>
        </w:rPr>
        <w:t>según lo establecido en el artículo 2.31.7.2.2. del Decreto 2555 de 2010</w:t>
      </w:r>
      <w:r w:rsidR="00C706A7">
        <w:rPr>
          <w:rFonts w:cs="Arial"/>
          <w:b/>
          <w:sz w:val="16"/>
          <w:szCs w:val="16"/>
          <w:lang w:val="es-CO"/>
        </w:rPr>
        <w:t>,</w:t>
      </w:r>
      <w:r w:rsidR="00BD3B1D" w:rsidRPr="002B1EC9">
        <w:rPr>
          <w:rFonts w:cs="Arial"/>
          <w:b/>
          <w:sz w:val="16"/>
          <w:szCs w:val="16"/>
          <w:lang w:val="es-CO"/>
        </w:rPr>
        <w:t xml:space="preserve"> </w:t>
      </w:r>
      <w:r w:rsidR="00ED26EA">
        <w:rPr>
          <w:rFonts w:cs="Arial"/>
          <w:b/>
          <w:sz w:val="16"/>
          <w:szCs w:val="16"/>
          <w:lang w:val="es-CO"/>
        </w:rPr>
        <w:t xml:space="preserve">los cuales </w:t>
      </w:r>
      <w:r w:rsidR="00BA6C74" w:rsidRPr="002B1EC9">
        <w:rPr>
          <w:rFonts w:cs="Arial"/>
          <w:b/>
          <w:sz w:val="16"/>
          <w:szCs w:val="16"/>
          <w:lang w:val="es-CO"/>
        </w:rPr>
        <w:t xml:space="preserve">deben contener las reglas aplicables para el suministro oportuno de la asesoría al potencial cliente </w:t>
      </w:r>
      <w:r w:rsidR="001705A0">
        <w:rPr>
          <w:rFonts w:cs="Arial"/>
          <w:b/>
          <w:sz w:val="16"/>
          <w:szCs w:val="16"/>
          <w:lang w:val="es-CO"/>
        </w:rPr>
        <w:t xml:space="preserve">exclusivamente </w:t>
      </w:r>
      <w:r w:rsidR="00BA6C74" w:rsidRPr="002B1EC9">
        <w:rPr>
          <w:rFonts w:cs="Arial"/>
          <w:b/>
          <w:sz w:val="16"/>
          <w:szCs w:val="16"/>
          <w:lang w:val="es-CO"/>
        </w:rPr>
        <w:t>por parte de la entidad aseguradora</w:t>
      </w:r>
      <w:r w:rsidR="000E57E0" w:rsidRPr="002B1EC9">
        <w:rPr>
          <w:rFonts w:cs="Arial"/>
          <w:b/>
          <w:sz w:val="16"/>
          <w:szCs w:val="16"/>
          <w:lang w:val="es-CO"/>
        </w:rPr>
        <w:t>.</w:t>
      </w:r>
    </w:p>
    <w:p w14:paraId="78462B47" w14:textId="77777777" w:rsidR="00976703" w:rsidRPr="002B1EC9" w:rsidRDefault="00976703" w:rsidP="00A117E5">
      <w:pPr>
        <w:pBdr>
          <w:left w:val="single" w:sz="4" w:space="1" w:color="auto"/>
        </w:pBdr>
        <w:tabs>
          <w:tab w:val="left" w:pos="189"/>
        </w:tabs>
        <w:jc w:val="both"/>
        <w:rPr>
          <w:rFonts w:cs="Arial"/>
          <w:b/>
          <w:sz w:val="16"/>
          <w:szCs w:val="16"/>
          <w:lang w:val="es-CO"/>
        </w:rPr>
      </w:pPr>
    </w:p>
    <w:p w14:paraId="36F72DB7" w14:textId="0BC200A8" w:rsidR="00976703" w:rsidRPr="002B1EC9" w:rsidRDefault="00307FE3" w:rsidP="00307FE3">
      <w:pPr>
        <w:pBdr>
          <w:left w:val="single" w:sz="4" w:space="1" w:color="auto"/>
        </w:pBdr>
        <w:tabs>
          <w:tab w:val="left" w:pos="189"/>
        </w:tabs>
        <w:jc w:val="both"/>
        <w:rPr>
          <w:b/>
          <w:iCs/>
          <w:sz w:val="16"/>
          <w:szCs w:val="16"/>
          <w:lang w:val="es-CO"/>
        </w:rPr>
      </w:pPr>
      <w:bookmarkStart w:id="2" w:name="_Hlk10094070"/>
      <w:r w:rsidRPr="002B1EC9">
        <w:rPr>
          <w:rFonts w:cs="Arial"/>
          <w:b/>
          <w:sz w:val="16"/>
          <w:szCs w:val="16"/>
        </w:rPr>
        <w:t>3.10.5.</w:t>
      </w:r>
      <w:r w:rsidR="00C00D99" w:rsidRPr="002B1EC9">
        <w:rPr>
          <w:rFonts w:cs="Arial"/>
          <w:b/>
          <w:sz w:val="16"/>
          <w:szCs w:val="16"/>
        </w:rPr>
        <w:t>6</w:t>
      </w:r>
      <w:r w:rsidRPr="002B1EC9">
        <w:rPr>
          <w:rFonts w:cs="Arial"/>
          <w:b/>
          <w:sz w:val="16"/>
          <w:szCs w:val="16"/>
        </w:rPr>
        <w:t xml:space="preserve">.2. </w:t>
      </w:r>
      <w:r w:rsidR="00976703" w:rsidRPr="002B1EC9">
        <w:rPr>
          <w:b/>
          <w:iCs/>
          <w:sz w:val="16"/>
          <w:szCs w:val="16"/>
          <w:lang w:val="es-CO"/>
        </w:rPr>
        <w:t>Políticas y procedimientos específicos</w:t>
      </w:r>
    </w:p>
    <w:bookmarkEnd w:id="2"/>
    <w:p w14:paraId="43A1A71D" w14:textId="4D56E33F" w:rsidR="00976703" w:rsidRPr="002B1EC9" w:rsidRDefault="00976703" w:rsidP="00A117E5">
      <w:pPr>
        <w:pBdr>
          <w:left w:val="single" w:sz="4" w:space="1" w:color="auto"/>
        </w:pBdr>
        <w:tabs>
          <w:tab w:val="left" w:pos="189"/>
        </w:tabs>
        <w:jc w:val="both"/>
        <w:rPr>
          <w:rFonts w:cs="Arial"/>
          <w:b/>
          <w:sz w:val="16"/>
          <w:szCs w:val="16"/>
          <w:lang w:val="es-CO"/>
        </w:rPr>
      </w:pPr>
    </w:p>
    <w:p w14:paraId="2B94D103" w14:textId="51381BD1" w:rsidR="00976703" w:rsidRPr="002B1EC9" w:rsidRDefault="00976703" w:rsidP="00A117E5">
      <w:pPr>
        <w:pBdr>
          <w:left w:val="single" w:sz="4" w:space="1" w:color="auto"/>
        </w:pBdr>
        <w:tabs>
          <w:tab w:val="left" w:pos="189"/>
        </w:tabs>
        <w:jc w:val="both"/>
        <w:rPr>
          <w:rFonts w:cs="Arial"/>
          <w:b/>
          <w:sz w:val="16"/>
          <w:szCs w:val="16"/>
          <w:lang w:val="es-CO"/>
        </w:rPr>
      </w:pPr>
      <w:r w:rsidRPr="002B1EC9">
        <w:rPr>
          <w:rFonts w:cs="Arial"/>
          <w:b/>
          <w:sz w:val="16"/>
          <w:szCs w:val="16"/>
          <w:lang w:val="es-CO"/>
        </w:rPr>
        <w:t xml:space="preserve">Además de los contenidos señalados en el subnumeral anterior, el manual debe contener políticas y procedimientos específicos aplicables para asegurar el cumplimiento de los deberes señalados en el artículo 2.31.7.2.1 del Decreto 2555 de 2010, de acuerdo con lo reglado en el mencionado artículo y las siguientes instrucciones: </w:t>
      </w:r>
    </w:p>
    <w:p w14:paraId="072332E4" w14:textId="77777777" w:rsidR="00976703" w:rsidRPr="002B1EC9" w:rsidRDefault="00976703" w:rsidP="00A117E5">
      <w:pPr>
        <w:pBdr>
          <w:left w:val="single" w:sz="4" w:space="1" w:color="auto"/>
        </w:pBdr>
        <w:tabs>
          <w:tab w:val="left" w:pos="189"/>
        </w:tabs>
        <w:jc w:val="both"/>
        <w:rPr>
          <w:rFonts w:cs="Arial"/>
          <w:b/>
          <w:sz w:val="16"/>
          <w:szCs w:val="16"/>
          <w:lang w:val="es-CO"/>
        </w:rPr>
      </w:pPr>
    </w:p>
    <w:p w14:paraId="6C63FD49" w14:textId="30E17DCC" w:rsidR="00976703" w:rsidRPr="002B1EC9" w:rsidRDefault="00CC5D86" w:rsidP="00CC5D86">
      <w:pPr>
        <w:pBdr>
          <w:left w:val="single" w:sz="4" w:space="1" w:color="auto"/>
        </w:pBdr>
        <w:tabs>
          <w:tab w:val="left" w:pos="189"/>
        </w:tabs>
        <w:jc w:val="both"/>
        <w:rPr>
          <w:rFonts w:cs="Arial"/>
          <w:b/>
          <w:sz w:val="16"/>
          <w:szCs w:val="16"/>
          <w:lang w:val="es-CO"/>
        </w:rPr>
      </w:pPr>
      <w:r w:rsidRPr="002B1EC9">
        <w:rPr>
          <w:rFonts w:cs="Arial"/>
          <w:b/>
          <w:sz w:val="16"/>
          <w:szCs w:val="16"/>
        </w:rPr>
        <w:t>3.10.5.</w:t>
      </w:r>
      <w:r w:rsidR="00C00D99" w:rsidRPr="002B1EC9">
        <w:rPr>
          <w:rFonts w:cs="Arial"/>
          <w:b/>
          <w:sz w:val="16"/>
          <w:szCs w:val="16"/>
        </w:rPr>
        <w:t>6</w:t>
      </w:r>
      <w:r w:rsidRPr="002B1EC9">
        <w:rPr>
          <w:rFonts w:cs="Arial"/>
          <w:b/>
          <w:sz w:val="16"/>
          <w:szCs w:val="16"/>
        </w:rPr>
        <w:t xml:space="preserve">.2.1. </w:t>
      </w:r>
      <w:r w:rsidR="00976703" w:rsidRPr="002B1EC9">
        <w:rPr>
          <w:rFonts w:cs="Arial"/>
          <w:b/>
          <w:sz w:val="16"/>
          <w:szCs w:val="16"/>
          <w:lang w:val="es-CO"/>
        </w:rPr>
        <w:t>Deber de información. Las políticas y procedimientos aplicables para asegurar el cumplimiento del deber de información deben contener, como mínimo</w:t>
      </w:r>
      <w:r w:rsidR="009234CC">
        <w:rPr>
          <w:rFonts w:cs="Arial"/>
          <w:b/>
          <w:sz w:val="16"/>
          <w:szCs w:val="16"/>
          <w:lang w:val="es-CO"/>
        </w:rPr>
        <w:t>,</w:t>
      </w:r>
      <w:r w:rsidR="00976703" w:rsidRPr="002B1EC9">
        <w:rPr>
          <w:rFonts w:cs="Arial"/>
          <w:b/>
          <w:sz w:val="16"/>
          <w:szCs w:val="16"/>
          <w:lang w:val="es-CO"/>
        </w:rPr>
        <w:t xml:space="preserve"> lo siguiente</w:t>
      </w:r>
      <w:r w:rsidR="003C2785">
        <w:rPr>
          <w:rFonts w:cs="Arial"/>
          <w:b/>
          <w:sz w:val="16"/>
          <w:szCs w:val="16"/>
          <w:lang w:val="es-CO"/>
        </w:rPr>
        <w:t>:</w:t>
      </w:r>
    </w:p>
    <w:p w14:paraId="52F8DD05" w14:textId="77777777" w:rsidR="00976703" w:rsidRPr="002B1EC9" w:rsidRDefault="00976703" w:rsidP="00A117E5">
      <w:pPr>
        <w:pBdr>
          <w:left w:val="single" w:sz="4" w:space="1" w:color="auto"/>
        </w:pBdr>
        <w:tabs>
          <w:tab w:val="left" w:pos="189"/>
        </w:tabs>
        <w:jc w:val="both"/>
        <w:rPr>
          <w:rFonts w:cs="Arial"/>
          <w:b/>
          <w:sz w:val="16"/>
          <w:szCs w:val="16"/>
          <w:lang w:val="es-CO"/>
        </w:rPr>
      </w:pPr>
    </w:p>
    <w:p w14:paraId="3043DA44" w14:textId="55A3CECE" w:rsidR="00976703" w:rsidRPr="000D3FA7" w:rsidRDefault="00CC5D86" w:rsidP="00532409">
      <w:pPr>
        <w:pBdr>
          <w:left w:val="single" w:sz="4" w:space="1" w:color="auto"/>
        </w:pBdr>
        <w:tabs>
          <w:tab w:val="left" w:pos="189"/>
        </w:tabs>
        <w:jc w:val="both"/>
        <w:rPr>
          <w:rFonts w:cs="Arial"/>
          <w:b/>
          <w:sz w:val="16"/>
          <w:szCs w:val="16"/>
          <w:lang w:val="es-CO"/>
        </w:rPr>
      </w:pPr>
      <w:r w:rsidRPr="002B1EC9">
        <w:rPr>
          <w:rFonts w:cs="Arial"/>
          <w:b/>
          <w:sz w:val="16"/>
          <w:szCs w:val="16"/>
        </w:rPr>
        <w:t>3</w:t>
      </w:r>
      <w:r w:rsidRPr="000D3FA7">
        <w:rPr>
          <w:rFonts w:cs="Arial"/>
          <w:b/>
          <w:sz w:val="16"/>
          <w:szCs w:val="16"/>
        </w:rPr>
        <w:t>.10.5.</w:t>
      </w:r>
      <w:r w:rsidR="00C00D99" w:rsidRPr="000D3FA7">
        <w:rPr>
          <w:rFonts w:cs="Arial"/>
          <w:b/>
          <w:sz w:val="16"/>
          <w:szCs w:val="16"/>
        </w:rPr>
        <w:t>6</w:t>
      </w:r>
      <w:r w:rsidRPr="000D3FA7">
        <w:rPr>
          <w:rFonts w:cs="Arial"/>
          <w:b/>
          <w:sz w:val="16"/>
          <w:szCs w:val="16"/>
        </w:rPr>
        <w:t>.2.</w:t>
      </w:r>
      <w:r w:rsidR="000137C4" w:rsidRPr="000D3FA7">
        <w:rPr>
          <w:rFonts w:cs="Arial"/>
          <w:b/>
          <w:sz w:val="16"/>
          <w:szCs w:val="16"/>
        </w:rPr>
        <w:t>1</w:t>
      </w:r>
      <w:r w:rsidRPr="000D3FA7">
        <w:rPr>
          <w:rFonts w:cs="Arial"/>
          <w:b/>
          <w:sz w:val="16"/>
          <w:szCs w:val="16"/>
        </w:rPr>
        <w:t>.</w:t>
      </w:r>
      <w:r w:rsidR="000137C4" w:rsidRPr="000D3FA7">
        <w:rPr>
          <w:rFonts w:cs="Arial"/>
          <w:b/>
          <w:sz w:val="16"/>
          <w:szCs w:val="16"/>
        </w:rPr>
        <w:t>1</w:t>
      </w:r>
      <w:r w:rsidRPr="000D3FA7">
        <w:rPr>
          <w:rFonts w:cs="Arial"/>
          <w:b/>
          <w:sz w:val="16"/>
          <w:szCs w:val="16"/>
        </w:rPr>
        <w:t xml:space="preserve"> </w:t>
      </w:r>
      <w:r w:rsidR="00976703" w:rsidRPr="000D3FA7">
        <w:rPr>
          <w:rFonts w:cs="Arial"/>
          <w:b/>
          <w:sz w:val="16"/>
          <w:szCs w:val="16"/>
          <w:lang w:val="es-CO"/>
        </w:rPr>
        <w:t>Los medios</w:t>
      </w:r>
      <w:r w:rsidR="00532409" w:rsidRPr="000D3FA7">
        <w:rPr>
          <w:rFonts w:cs="Arial"/>
          <w:b/>
          <w:sz w:val="16"/>
          <w:szCs w:val="16"/>
          <w:lang w:val="es-CO"/>
        </w:rPr>
        <w:t xml:space="preserve">, </w:t>
      </w:r>
      <w:r w:rsidR="0011422B" w:rsidRPr="000D3FA7">
        <w:rPr>
          <w:rFonts w:cs="Arial"/>
          <w:b/>
          <w:sz w:val="16"/>
          <w:szCs w:val="16"/>
          <w:lang w:val="es-CO"/>
        </w:rPr>
        <w:t xml:space="preserve">canales y/o </w:t>
      </w:r>
      <w:r w:rsidR="00532409" w:rsidRPr="000D3FA7">
        <w:rPr>
          <w:rFonts w:cs="Arial"/>
          <w:b/>
          <w:sz w:val="16"/>
          <w:szCs w:val="16"/>
          <w:lang w:val="es-CO"/>
        </w:rPr>
        <w:t>herramientas</w:t>
      </w:r>
      <w:r w:rsidR="00976703" w:rsidRPr="000D3FA7">
        <w:rPr>
          <w:rFonts w:cs="Arial"/>
          <w:b/>
          <w:sz w:val="16"/>
          <w:szCs w:val="16"/>
          <w:lang w:val="es-CO"/>
        </w:rPr>
        <w:t xml:space="preserve"> para suministrar información a los clientes o potenciales clientes, los cuales deben garantizar que se cumpla con el deber de información </w:t>
      </w:r>
      <w:r w:rsidR="00F942D4" w:rsidRPr="000D3FA7">
        <w:rPr>
          <w:rFonts w:cs="Arial"/>
          <w:b/>
          <w:sz w:val="16"/>
          <w:szCs w:val="16"/>
          <w:lang w:val="es-CO"/>
        </w:rPr>
        <w:t>y documentación</w:t>
      </w:r>
      <w:r w:rsidR="00270DDD" w:rsidRPr="000D3FA7">
        <w:rPr>
          <w:rFonts w:cs="Arial"/>
          <w:b/>
          <w:sz w:val="16"/>
          <w:szCs w:val="16"/>
          <w:lang w:val="es-CO"/>
        </w:rPr>
        <w:t xml:space="preserve"> </w:t>
      </w:r>
      <w:r w:rsidR="0011422B" w:rsidRPr="000D3FA7">
        <w:rPr>
          <w:rFonts w:cs="Arial"/>
          <w:b/>
          <w:sz w:val="16"/>
          <w:szCs w:val="16"/>
          <w:lang w:val="es-CO"/>
        </w:rPr>
        <w:t xml:space="preserve">de manera previa a la realización de una operación de renta vitalicia inmobiliaria, o a la modificación de las condiciones de </w:t>
      </w:r>
      <w:proofErr w:type="gramStart"/>
      <w:r w:rsidR="0011422B" w:rsidRPr="000D3FA7">
        <w:rPr>
          <w:rFonts w:cs="Arial"/>
          <w:b/>
          <w:sz w:val="16"/>
          <w:szCs w:val="16"/>
          <w:lang w:val="es-CO"/>
        </w:rPr>
        <w:t>la misma</w:t>
      </w:r>
      <w:proofErr w:type="gramEnd"/>
      <w:r w:rsidR="0011422B" w:rsidRPr="000D3FA7">
        <w:rPr>
          <w:rFonts w:cs="Arial"/>
          <w:b/>
          <w:sz w:val="16"/>
          <w:szCs w:val="16"/>
          <w:lang w:val="es-CO"/>
        </w:rPr>
        <w:t xml:space="preserve">. </w:t>
      </w:r>
    </w:p>
    <w:p w14:paraId="36192730" w14:textId="77777777" w:rsidR="00976703" w:rsidRPr="000D3FA7" w:rsidRDefault="00976703" w:rsidP="00EC011C">
      <w:pPr>
        <w:pBdr>
          <w:left w:val="single" w:sz="4" w:space="1" w:color="auto"/>
        </w:pBdr>
        <w:tabs>
          <w:tab w:val="left" w:pos="189"/>
        </w:tabs>
        <w:jc w:val="both"/>
        <w:rPr>
          <w:rFonts w:cs="Arial"/>
          <w:b/>
          <w:sz w:val="16"/>
          <w:szCs w:val="16"/>
          <w:lang w:val="es-CO"/>
        </w:rPr>
      </w:pPr>
    </w:p>
    <w:p w14:paraId="53682CEF" w14:textId="315FCC42" w:rsidR="00B66452" w:rsidRPr="000D3FA7" w:rsidRDefault="000137C4" w:rsidP="00A117E5">
      <w:pPr>
        <w:pBdr>
          <w:left w:val="single" w:sz="4" w:space="1" w:color="auto"/>
        </w:pBdr>
        <w:tabs>
          <w:tab w:val="left" w:pos="189"/>
        </w:tabs>
        <w:jc w:val="both"/>
        <w:rPr>
          <w:rFonts w:cs="Arial"/>
          <w:b/>
          <w:sz w:val="16"/>
          <w:szCs w:val="16"/>
          <w:lang w:val="es-CO"/>
        </w:rPr>
      </w:pPr>
      <w:r w:rsidRPr="000D3FA7">
        <w:rPr>
          <w:rFonts w:cs="Arial"/>
          <w:b/>
          <w:sz w:val="16"/>
          <w:szCs w:val="16"/>
        </w:rPr>
        <w:t>3.10.5.</w:t>
      </w:r>
      <w:r w:rsidR="00D42DD4" w:rsidRPr="000D3FA7">
        <w:rPr>
          <w:rFonts w:cs="Arial"/>
          <w:b/>
          <w:sz w:val="16"/>
          <w:szCs w:val="16"/>
        </w:rPr>
        <w:t>6</w:t>
      </w:r>
      <w:r w:rsidRPr="000D3FA7">
        <w:rPr>
          <w:rFonts w:cs="Arial"/>
          <w:b/>
          <w:sz w:val="16"/>
          <w:szCs w:val="16"/>
        </w:rPr>
        <w:t xml:space="preserve">.2.1.2 </w:t>
      </w:r>
      <w:r w:rsidR="00976703" w:rsidRPr="000D3FA7">
        <w:rPr>
          <w:rFonts w:cs="Arial"/>
          <w:b/>
          <w:sz w:val="16"/>
          <w:szCs w:val="16"/>
          <w:lang w:val="es-CO"/>
        </w:rPr>
        <w:t xml:space="preserve">Los criterios para evaluar la suficiencia, objetividad, oportunidad, completitud, imparcialidad, claridad y facilidad de comprensión de la información </w:t>
      </w:r>
      <w:r w:rsidR="0011422B" w:rsidRPr="000D3FA7">
        <w:rPr>
          <w:rFonts w:cs="Arial"/>
          <w:b/>
          <w:sz w:val="16"/>
          <w:szCs w:val="16"/>
          <w:lang w:val="es-CO"/>
        </w:rPr>
        <w:t xml:space="preserve">dirigida a los clientes y potenciales clientes. </w:t>
      </w:r>
      <w:r w:rsidR="000D066C" w:rsidRPr="000D3FA7">
        <w:rPr>
          <w:rFonts w:cs="Arial"/>
          <w:b/>
          <w:sz w:val="16"/>
          <w:szCs w:val="16"/>
          <w:lang w:val="es-CO"/>
        </w:rPr>
        <w:t xml:space="preserve">Adicionalmente, deben establecer </w:t>
      </w:r>
      <w:r w:rsidR="00880705" w:rsidRPr="000D3FA7">
        <w:rPr>
          <w:rFonts w:cs="Arial"/>
          <w:b/>
          <w:sz w:val="16"/>
          <w:szCs w:val="16"/>
          <w:lang w:val="es-CO"/>
        </w:rPr>
        <w:t>los criterios para determinar</w:t>
      </w:r>
      <w:r w:rsidR="00220555" w:rsidRPr="000D3FA7">
        <w:rPr>
          <w:rFonts w:cs="Arial"/>
          <w:b/>
          <w:sz w:val="16"/>
          <w:szCs w:val="16"/>
          <w:lang w:val="es-CO"/>
        </w:rPr>
        <w:t xml:space="preserve"> las condiciones contractuales materiales </w:t>
      </w:r>
      <w:r w:rsidR="00714583" w:rsidRPr="000D3FA7">
        <w:rPr>
          <w:rFonts w:cs="Arial"/>
          <w:b/>
          <w:sz w:val="16"/>
          <w:szCs w:val="16"/>
          <w:lang w:val="es-CO"/>
        </w:rPr>
        <w:t xml:space="preserve">del producto ofrecido. </w:t>
      </w:r>
    </w:p>
    <w:p w14:paraId="0FA8D22D" w14:textId="77777777" w:rsidR="00976703" w:rsidRPr="000D3FA7" w:rsidRDefault="00976703" w:rsidP="00A117E5">
      <w:pPr>
        <w:pBdr>
          <w:left w:val="single" w:sz="4" w:space="1" w:color="auto"/>
        </w:pBdr>
        <w:tabs>
          <w:tab w:val="left" w:pos="189"/>
        </w:tabs>
        <w:jc w:val="both"/>
        <w:rPr>
          <w:rFonts w:cs="Arial"/>
          <w:b/>
          <w:sz w:val="16"/>
          <w:szCs w:val="16"/>
          <w:lang w:val="es-CO"/>
        </w:rPr>
      </w:pPr>
    </w:p>
    <w:p w14:paraId="23AA51FC" w14:textId="1705C8E4" w:rsidR="00422967" w:rsidRPr="000D3FA7" w:rsidRDefault="00191DA4" w:rsidP="00E67B0B">
      <w:pPr>
        <w:pBdr>
          <w:left w:val="single" w:sz="4" w:space="1" w:color="auto"/>
        </w:pBdr>
        <w:tabs>
          <w:tab w:val="left" w:pos="189"/>
        </w:tabs>
        <w:jc w:val="both"/>
        <w:rPr>
          <w:rFonts w:cs="Arial"/>
          <w:b/>
          <w:sz w:val="16"/>
          <w:szCs w:val="16"/>
          <w:lang w:val="es-CO"/>
        </w:rPr>
      </w:pPr>
      <w:r w:rsidRPr="000D3FA7">
        <w:rPr>
          <w:rFonts w:cs="Arial"/>
          <w:b/>
          <w:sz w:val="16"/>
          <w:szCs w:val="16"/>
        </w:rPr>
        <w:t>3.10.5.6.2.2</w:t>
      </w:r>
      <w:r w:rsidR="00E67B0B" w:rsidRPr="000D3FA7">
        <w:rPr>
          <w:rFonts w:cs="Arial"/>
          <w:b/>
          <w:sz w:val="16"/>
          <w:szCs w:val="16"/>
        </w:rPr>
        <w:t xml:space="preserve">. </w:t>
      </w:r>
      <w:r w:rsidR="00976703" w:rsidRPr="000D3FA7">
        <w:rPr>
          <w:rFonts w:cs="Arial"/>
          <w:b/>
          <w:sz w:val="16"/>
          <w:szCs w:val="16"/>
          <w:lang w:val="es-CO"/>
        </w:rPr>
        <w:t xml:space="preserve">Deber de documentación. Se deben incluir las políticas de gestión y actualización documental que garanticen </w:t>
      </w:r>
      <w:r w:rsidR="00422967" w:rsidRPr="000D3FA7">
        <w:rPr>
          <w:rFonts w:cs="Arial"/>
          <w:b/>
          <w:sz w:val="16"/>
          <w:szCs w:val="16"/>
          <w:lang w:val="es-CO"/>
        </w:rPr>
        <w:t>la documentacion de manera oportuna y adecuada</w:t>
      </w:r>
      <w:r w:rsidR="000D3FA7" w:rsidRPr="000D3FA7">
        <w:rPr>
          <w:rFonts w:cs="Arial"/>
          <w:b/>
          <w:sz w:val="16"/>
          <w:szCs w:val="16"/>
          <w:lang w:val="es-CO"/>
        </w:rPr>
        <w:t xml:space="preserve"> de</w:t>
      </w:r>
      <w:r w:rsidR="00422967" w:rsidRPr="000D3FA7">
        <w:rPr>
          <w:rFonts w:cs="Arial"/>
          <w:b/>
          <w:sz w:val="16"/>
          <w:szCs w:val="16"/>
          <w:lang w:val="es-CO"/>
        </w:rPr>
        <w:t xml:space="preserve"> la información y asesoría entregada al cliente o potencial cliente de la operación.</w:t>
      </w:r>
    </w:p>
    <w:p w14:paraId="701AE503" w14:textId="77777777" w:rsidR="00976703" w:rsidRPr="002B1EC9" w:rsidRDefault="00976703" w:rsidP="00944195">
      <w:pPr>
        <w:pBdr>
          <w:left w:val="single" w:sz="4" w:space="1" w:color="auto"/>
        </w:pBdr>
        <w:tabs>
          <w:tab w:val="left" w:pos="189"/>
        </w:tabs>
        <w:jc w:val="both"/>
        <w:rPr>
          <w:rFonts w:cs="Arial"/>
          <w:b/>
          <w:sz w:val="16"/>
          <w:szCs w:val="16"/>
          <w:lang w:val="es-CO"/>
        </w:rPr>
      </w:pPr>
    </w:p>
    <w:p w14:paraId="52D0995A" w14:textId="33C11FD0" w:rsidR="00976703" w:rsidRPr="002B1EC9" w:rsidRDefault="00191DA4" w:rsidP="00944195">
      <w:pPr>
        <w:pBdr>
          <w:left w:val="single" w:sz="4" w:space="1" w:color="auto"/>
        </w:pBdr>
        <w:tabs>
          <w:tab w:val="left" w:pos="189"/>
        </w:tabs>
        <w:jc w:val="both"/>
        <w:rPr>
          <w:rFonts w:cs="Arial"/>
          <w:b/>
          <w:sz w:val="16"/>
          <w:szCs w:val="16"/>
          <w:lang w:val="es-CO"/>
        </w:rPr>
      </w:pPr>
      <w:r w:rsidRPr="002B1EC9">
        <w:rPr>
          <w:rFonts w:cs="Arial"/>
          <w:b/>
          <w:sz w:val="16"/>
          <w:szCs w:val="16"/>
        </w:rPr>
        <w:t>3.10.5.6.2.</w:t>
      </w:r>
      <w:r>
        <w:rPr>
          <w:rFonts w:cs="Arial"/>
          <w:b/>
          <w:sz w:val="16"/>
          <w:szCs w:val="16"/>
        </w:rPr>
        <w:t>3</w:t>
      </w:r>
      <w:r w:rsidR="00944195" w:rsidRPr="002B1EC9">
        <w:rPr>
          <w:rFonts w:cs="Arial"/>
          <w:b/>
          <w:sz w:val="16"/>
          <w:szCs w:val="16"/>
        </w:rPr>
        <w:t xml:space="preserve">. </w:t>
      </w:r>
      <w:r w:rsidR="00976703" w:rsidRPr="002B1EC9">
        <w:rPr>
          <w:rFonts w:cs="Arial"/>
          <w:b/>
          <w:sz w:val="16"/>
          <w:szCs w:val="16"/>
          <w:lang w:val="es-CO"/>
        </w:rPr>
        <w:t>Deber de mejor resultado de la operación. Se deben incluir los criterios y procedimientos específicos que le permitirán a los funcionarios participantes evaluar la información particular del cliente o potencial cliente y determinar el mejor resultado posible para el mismo.</w:t>
      </w:r>
    </w:p>
    <w:p w14:paraId="2797F5E0" w14:textId="77777777" w:rsidR="00976703" w:rsidRPr="002B1EC9" w:rsidRDefault="00976703" w:rsidP="00A117E5">
      <w:pPr>
        <w:pBdr>
          <w:left w:val="single" w:sz="4" w:space="1" w:color="auto"/>
        </w:pBdr>
        <w:tabs>
          <w:tab w:val="left" w:pos="189"/>
        </w:tabs>
        <w:jc w:val="both"/>
        <w:rPr>
          <w:rFonts w:cs="Arial"/>
          <w:b/>
          <w:sz w:val="16"/>
          <w:szCs w:val="16"/>
          <w:lang w:val="es-CO"/>
        </w:rPr>
      </w:pPr>
    </w:p>
    <w:p w14:paraId="0BC06699" w14:textId="12EE44E2" w:rsidR="00976703" w:rsidRPr="002B1EC9" w:rsidRDefault="00D16D89" w:rsidP="00D16D89">
      <w:pPr>
        <w:pBdr>
          <w:left w:val="single" w:sz="4" w:space="1" w:color="auto"/>
        </w:pBdr>
        <w:tabs>
          <w:tab w:val="left" w:pos="189"/>
        </w:tabs>
        <w:jc w:val="both"/>
        <w:rPr>
          <w:rFonts w:cs="Arial"/>
          <w:b/>
          <w:sz w:val="16"/>
          <w:szCs w:val="16"/>
          <w:lang w:val="es-CO"/>
        </w:rPr>
      </w:pPr>
      <w:r w:rsidRPr="002B1EC9">
        <w:rPr>
          <w:rFonts w:cs="Arial"/>
          <w:b/>
          <w:sz w:val="16"/>
          <w:szCs w:val="16"/>
        </w:rPr>
        <w:t>3.10.5.</w:t>
      </w:r>
      <w:r w:rsidR="00191DA4">
        <w:rPr>
          <w:rFonts w:cs="Arial"/>
          <w:b/>
          <w:sz w:val="16"/>
          <w:szCs w:val="16"/>
        </w:rPr>
        <w:t>6</w:t>
      </w:r>
      <w:r w:rsidRPr="002B1EC9">
        <w:rPr>
          <w:rFonts w:cs="Arial"/>
          <w:b/>
          <w:sz w:val="16"/>
          <w:szCs w:val="16"/>
        </w:rPr>
        <w:t>.2.</w:t>
      </w:r>
      <w:r w:rsidR="0066120D" w:rsidRPr="002B1EC9">
        <w:rPr>
          <w:rFonts w:cs="Arial"/>
          <w:b/>
          <w:sz w:val="16"/>
          <w:szCs w:val="16"/>
        </w:rPr>
        <w:t>4</w:t>
      </w:r>
      <w:r w:rsidRPr="002B1EC9">
        <w:rPr>
          <w:rFonts w:cs="Arial"/>
          <w:b/>
          <w:sz w:val="16"/>
          <w:szCs w:val="16"/>
        </w:rPr>
        <w:t xml:space="preserve">. </w:t>
      </w:r>
      <w:r w:rsidR="00976703" w:rsidRPr="002B1EC9">
        <w:rPr>
          <w:rFonts w:cs="Arial"/>
          <w:b/>
          <w:sz w:val="16"/>
          <w:szCs w:val="16"/>
          <w:lang w:val="es-CO"/>
        </w:rPr>
        <w:t>Deber de asesoría. Las entidades aseguradoras deben establecer políticas y procedimientos para cumplir el deber de asesoría, las cuales deben contener, como mínimo, lo siguiente:</w:t>
      </w:r>
    </w:p>
    <w:p w14:paraId="6F2CB559" w14:textId="77777777" w:rsidR="00976703" w:rsidRPr="002B1EC9" w:rsidRDefault="00976703" w:rsidP="00A117E5">
      <w:pPr>
        <w:pBdr>
          <w:left w:val="single" w:sz="4" w:space="1" w:color="auto"/>
        </w:pBdr>
        <w:tabs>
          <w:tab w:val="left" w:pos="189"/>
        </w:tabs>
        <w:jc w:val="both"/>
        <w:rPr>
          <w:rFonts w:cs="Arial"/>
          <w:b/>
          <w:sz w:val="16"/>
          <w:szCs w:val="16"/>
          <w:lang w:val="es-CO"/>
        </w:rPr>
      </w:pPr>
    </w:p>
    <w:p w14:paraId="21361943" w14:textId="59D54F2B" w:rsidR="00976703" w:rsidRPr="002B1EC9" w:rsidRDefault="002341DB" w:rsidP="00D16D89">
      <w:pPr>
        <w:pBdr>
          <w:left w:val="single" w:sz="4" w:space="1" w:color="auto"/>
        </w:pBdr>
        <w:tabs>
          <w:tab w:val="left" w:pos="189"/>
        </w:tabs>
        <w:jc w:val="both"/>
        <w:rPr>
          <w:rFonts w:cs="Arial"/>
          <w:b/>
          <w:sz w:val="16"/>
          <w:szCs w:val="16"/>
          <w:lang w:val="es-CO"/>
        </w:rPr>
      </w:pPr>
      <w:r w:rsidRPr="002B1EC9">
        <w:rPr>
          <w:rFonts w:cs="Arial"/>
          <w:b/>
          <w:sz w:val="16"/>
          <w:szCs w:val="16"/>
        </w:rPr>
        <w:t>3.10.5.</w:t>
      </w:r>
      <w:r w:rsidR="00191DA4">
        <w:rPr>
          <w:rFonts w:cs="Arial"/>
          <w:b/>
          <w:sz w:val="16"/>
          <w:szCs w:val="16"/>
        </w:rPr>
        <w:t>6</w:t>
      </w:r>
      <w:r w:rsidRPr="002B1EC9">
        <w:rPr>
          <w:rFonts w:cs="Arial"/>
          <w:b/>
          <w:sz w:val="16"/>
          <w:szCs w:val="16"/>
        </w:rPr>
        <w:t>.2.</w:t>
      </w:r>
      <w:r w:rsidR="0066120D" w:rsidRPr="002B1EC9">
        <w:rPr>
          <w:rFonts w:cs="Arial"/>
          <w:b/>
          <w:sz w:val="16"/>
          <w:szCs w:val="16"/>
        </w:rPr>
        <w:t>4</w:t>
      </w:r>
      <w:r w:rsidRPr="002B1EC9">
        <w:rPr>
          <w:rFonts w:cs="Arial"/>
          <w:b/>
          <w:sz w:val="16"/>
          <w:szCs w:val="16"/>
        </w:rPr>
        <w:t xml:space="preserve">.1. </w:t>
      </w:r>
      <w:r w:rsidR="00976703" w:rsidRPr="002B1EC9">
        <w:rPr>
          <w:rFonts w:cs="Arial"/>
          <w:b/>
          <w:sz w:val="16"/>
          <w:szCs w:val="16"/>
          <w:lang w:val="es-CO"/>
        </w:rPr>
        <w:t xml:space="preserve">Los medios y procedimientos para brindar la asesoría al cliente o potencial cliente, los cuales deben contemplar el suministro de manera personalizada y a través de un medio verificable que permita la interacción directa y en tiempo real entre el funcionario de la entidad y el cliente o potencial cliente. </w:t>
      </w:r>
    </w:p>
    <w:p w14:paraId="3373D19E" w14:textId="77777777" w:rsidR="00976703" w:rsidRPr="002B1EC9" w:rsidRDefault="00976703" w:rsidP="00A117E5">
      <w:pPr>
        <w:pBdr>
          <w:left w:val="single" w:sz="4" w:space="1" w:color="auto"/>
        </w:pBdr>
        <w:tabs>
          <w:tab w:val="left" w:pos="189"/>
        </w:tabs>
        <w:jc w:val="both"/>
        <w:rPr>
          <w:rFonts w:cs="Arial"/>
          <w:b/>
          <w:sz w:val="16"/>
          <w:szCs w:val="16"/>
          <w:lang w:val="es-CO"/>
        </w:rPr>
      </w:pPr>
    </w:p>
    <w:p w14:paraId="7D3D6FAA" w14:textId="54668DE2" w:rsidR="00976703" w:rsidRDefault="001725CC" w:rsidP="001725CC">
      <w:pPr>
        <w:pBdr>
          <w:left w:val="single" w:sz="4" w:space="1" w:color="auto"/>
        </w:pBdr>
        <w:tabs>
          <w:tab w:val="left" w:pos="189"/>
        </w:tabs>
        <w:jc w:val="both"/>
        <w:rPr>
          <w:rFonts w:cs="Arial"/>
          <w:b/>
          <w:sz w:val="16"/>
          <w:szCs w:val="16"/>
          <w:lang w:val="es-CO"/>
        </w:rPr>
      </w:pPr>
      <w:r w:rsidRPr="002B1EC9">
        <w:rPr>
          <w:rFonts w:cs="Arial"/>
          <w:b/>
          <w:sz w:val="16"/>
          <w:szCs w:val="16"/>
        </w:rPr>
        <w:t>3.10.5.</w:t>
      </w:r>
      <w:r w:rsidR="00191DA4">
        <w:rPr>
          <w:rFonts w:cs="Arial"/>
          <w:b/>
          <w:sz w:val="16"/>
          <w:szCs w:val="16"/>
        </w:rPr>
        <w:t>6</w:t>
      </w:r>
      <w:r w:rsidRPr="002B1EC9">
        <w:rPr>
          <w:rFonts w:cs="Arial"/>
          <w:b/>
          <w:sz w:val="16"/>
          <w:szCs w:val="16"/>
        </w:rPr>
        <w:t>.2.</w:t>
      </w:r>
      <w:r w:rsidR="0066120D" w:rsidRPr="002B1EC9">
        <w:rPr>
          <w:rFonts w:cs="Arial"/>
          <w:b/>
          <w:sz w:val="16"/>
          <w:szCs w:val="16"/>
        </w:rPr>
        <w:t>4</w:t>
      </w:r>
      <w:r w:rsidRPr="002B1EC9">
        <w:rPr>
          <w:rFonts w:cs="Arial"/>
          <w:b/>
          <w:sz w:val="16"/>
          <w:szCs w:val="16"/>
        </w:rPr>
        <w:t xml:space="preserve">.2. </w:t>
      </w:r>
      <w:r w:rsidR="00976703" w:rsidRPr="002B1EC9">
        <w:rPr>
          <w:rFonts w:cs="Arial"/>
          <w:b/>
          <w:sz w:val="16"/>
          <w:szCs w:val="16"/>
          <w:lang w:val="es-CO"/>
        </w:rPr>
        <w:t>Los mecanismos que aseguren que la entidad cuenta con la información necesaria para la elaboración del perfil del cliente</w:t>
      </w:r>
      <w:r w:rsidR="005304D3">
        <w:rPr>
          <w:rFonts w:cs="Arial"/>
          <w:b/>
          <w:sz w:val="16"/>
          <w:szCs w:val="16"/>
          <w:lang w:val="es-CO"/>
        </w:rPr>
        <w:t xml:space="preserve">, incluyendo </w:t>
      </w:r>
      <w:r w:rsidR="009E1DFA">
        <w:rPr>
          <w:rFonts w:cs="Arial"/>
          <w:b/>
          <w:sz w:val="16"/>
          <w:szCs w:val="16"/>
          <w:lang w:val="es-CO"/>
        </w:rPr>
        <w:t>los medios y procedimientos para requerir dicha información al cliente o potencial cliente</w:t>
      </w:r>
      <w:r w:rsidR="00724288">
        <w:rPr>
          <w:rFonts w:cs="Arial"/>
          <w:b/>
          <w:sz w:val="16"/>
          <w:szCs w:val="16"/>
          <w:lang w:val="es-CO"/>
        </w:rPr>
        <w:t>.</w:t>
      </w:r>
    </w:p>
    <w:p w14:paraId="38F1C1B9" w14:textId="77777777" w:rsidR="00976703" w:rsidRPr="002B1EC9" w:rsidRDefault="00976703" w:rsidP="001725CC">
      <w:pPr>
        <w:pBdr>
          <w:left w:val="single" w:sz="4" w:space="1" w:color="auto"/>
        </w:pBdr>
        <w:tabs>
          <w:tab w:val="left" w:pos="189"/>
        </w:tabs>
        <w:jc w:val="both"/>
        <w:rPr>
          <w:rFonts w:cs="Arial"/>
          <w:b/>
          <w:sz w:val="16"/>
          <w:szCs w:val="16"/>
          <w:lang w:val="es-CO"/>
        </w:rPr>
      </w:pPr>
    </w:p>
    <w:p w14:paraId="6E9AF4F6" w14:textId="5A73279E" w:rsidR="00270DDD" w:rsidRPr="002B1EC9" w:rsidRDefault="001725CC" w:rsidP="00422967">
      <w:pPr>
        <w:pBdr>
          <w:left w:val="single" w:sz="4" w:space="1" w:color="auto"/>
        </w:pBdr>
        <w:tabs>
          <w:tab w:val="left" w:pos="189"/>
        </w:tabs>
        <w:jc w:val="both"/>
        <w:rPr>
          <w:rFonts w:cs="Arial"/>
          <w:b/>
          <w:sz w:val="16"/>
          <w:szCs w:val="16"/>
          <w:lang w:val="es-CO"/>
        </w:rPr>
      </w:pPr>
      <w:r w:rsidRPr="002B1EC9">
        <w:rPr>
          <w:rFonts w:cs="Arial"/>
          <w:b/>
          <w:sz w:val="16"/>
          <w:szCs w:val="16"/>
        </w:rPr>
        <w:t>3.10.5.</w:t>
      </w:r>
      <w:r w:rsidR="00191DA4">
        <w:rPr>
          <w:rFonts w:cs="Arial"/>
          <w:b/>
          <w:sz w:val="16"/>
          <w:szCs w:val="16"/>
        </w:rPr>
        <w:t>6</w:t>
      </w:r>
      <w:r w:rsidRPr="002B1EC9">
        <w:rPr>
          <w:rFonts w:cs="Arial"/>
          <w:b/>
          <w:sz w:val="16"/>
          <w:szCs w:val="16"/>
        </w:rPr>
        <w:t>.2.</w:t>
      </w:r>
      <w:r w:rsidR="0066120D" w:rsidRPr="002B1EC9">
        <w:rPr>
          <w:rFonts w:cs="Arial"/>
          <w:b/>
          <w:sz w:val="16"/>
          <w:szCs w:val="16"/>
        </w:rPr>
        <w:t>4</w:t>
      </w:r>
      <w:r w:rsidRPr="002B1EC9">
        <w:rPr>
          <w:rFonts w:cs="Arial"/>
          <w:b/>
          <w:sz w:val="16"/>
          <w:szCs w:val="16"/>
        </w:rPr>
        <w:t xml:space="preserve">.3. </w:t>
      </w:r>
      <w:r w:rsidR="00976703" w:rsidRPr="002B1EC9">
        <w:rPr>
          <w:rFonts w:cs="Arial"/>
          <w:b/>
          <w:sz w:val="16"/>
          <w:szCs w:val="16"/>
          <w:lang w:val="es-CO"/>
        </w:rPr>
        <w:t>Los criterios para determinar el perfil del cliente y el perfil del producto</w:t>
      </w:r>
      <w:r w:rsidR="00422967">
        <w:rPr>
          <w:rFonts w:cs="Arial"/>
          <w:b/>
          <w:sz w:val="16"/>
          <w:szCs w:val="16"/>
          <w:lang w:val="es-CO"/>
        </w:rPr>
        <w:t xml:space="preserve">, según lo establecido en los subnumerales 4.2 y 4.3 del </w:t>
      </w:r>
      <w:r w:rsidR="00422967" w:rsidRPr="002B1EC9">
        <w:rPr>
          <w:rFonts w:cs="Arial"/>
          <w:b/>
          <w:sz w:val="16"/>
          <w:szCs w:val="16"/>
          <w:lang w:val="es-CO"/>
        </w:rPr>
        <w:t>artículo 2.31.7.2.1 del Decreto 2555 de 2010.</w:t>
      </w:r>
    </w:p>
    <w:p w14:paraId="2C4AEC4C" w14:textId="7EBFB85E" w:rsidR="00976703" w:rsidRPr="002B1EC9" w:rsidRDefault="00976703" w:rsidP="00073677">
      <w:pPr>
        <w:pBdr>
          <w:left w:val="single" w:sz="4" w:space="1" w:color="auto"/>
        </w:pBdr>
        <w:tabs>
          <w:tab w:val="left" w:pos="189"/>
        </w:tabs>
        <w:jc w:val="both"/>
        <w:rPr>
          <w:rFonts w:cs="Arial"/>
          <w:b/>
          <w:sz w:val="16"/>
          <w:szCs w:val="16"/>
          <w:lang w:val="es-CO"/>
        </w:rPr>
      </w:pPr>
    </w:p>
    <w:p w14:paraId="2A57ACC2" w14:textId="175FC3BA" w:rsidR="00270DDD" w:rsidRDefault="001725CC" w:rsidP="001725CC">
      <w:pPr>
        <w:pBdr>
          <w:left w:val="single" w:sz="4" w:space="1" w:color="auto"/>
        </w:pBdr>
        <w:tabs>
          <w:tab w:val="left" w:pos="189"/>
        </w:tabs>
        <w:jc w:val="both"/>
        <w:rPr>
          <w:rFonts w:cs="Arial"/>
          <w:b/>
          <w:sz w:val="16"/>
          <w:szCs w:val="16"/>
          <w:lang w:val="es-CO"/>
        </w:rPr>
      </w:pPr>
      <w:r w:rsidRPr="002B1EC9">
        <w:rPr>
          <w:rFonts w:cs="Arial"/>
          <w:b/>
          <w:sz w:val="16"/>
          <w:szCs w:val="16"/>
        </w:rPr>
        <w:t>3.10.5.</w:t>
      </w:r>
      <w:r w:rsidR="00191DA4">
        <w:rPr>
          <w:rFonts w:cs="Arial"/>
          <w:b/>
          <w:sz w:val="16"/>
          <w:szCs w:val="16"/>
        </w:rPr>
        <w:t>6</w:t>
      </w:r>
      <w:r w:rsidRPr="002B1EC9">
        <w:rPr>
          <w:rFonts w:cs="Arial"/>
          <w:b/>
          <w:sz w:val="16"/>
          <w:szCs w:val="16"/>
        </w:rPr>
        <w:t>.2.</w:t>
      </w:r>
      <w:r w:rsidR="0066120D" w:rsidRPr="002B1EC9">
        <w:rPr>
          <w:rFonts w:cs="Arial"/>
          <w:b/>
          <w:sz w:val="16"/>
          <w:szCs w:val="16"/>
        </w:rPr>
        <w:t>4</w:t>
      </w:r>
      <w:r w:rsidRPr="002B1EC9">
        <w:rPr>
          <w:rFonts w:cs="Arial"/>
          <w:b/>
          <w:sz w:val="16"/>
          <w:szCs w:val="16"/>
        </w:rPr>
        <w:t xml:space="preserve">.4. </w:t>
      </w:r>
      <w:r w:rsidR="00976703" w:rsidRPr="002B1EC9">
        <w:rPr>
          <w:rFonts w:cs="Arial"/>
          <w:b/>
          <w:sz w:val="16"/>
          <w:szCs w:val="16"/>
          <w:lang w:val="es-CO"/>
        </w:rPr>
        <w:t xml:space="preserve">Los criterios para evaluar la idoneidad del producto tomando en consideración las características individuales y personales establecidas en el perfil del cliente y el perfil del producto, </w:t>
      </w:r>
      <w:r w:rsidR="00422967">
        <w:rPr>
          <w:rFonts w:cs="Arial"/>
          <w:b/>
          <w:sz w:val="16"/>
          <w:szCs w:val="16"/>
          <w:lang w:val="es-CO"/>
        </w:rPr>
        <w:t xml:space="preserve">con el fin de entregar al cliente o potencial cliente la </w:t>
      </w:r>
      <w:r w:rsidR="00092E18">
        <w:rPr>
          <w:rFonts w:cs="Arial"/>
          <w:b/>
          <w:sz w:val="16"/>
          <w:szCs w:val="16"/>
          <w:lang w:val="es-CO"/>
        </w:rPr>
        <w:t>recomendación</w:t>
      </w:r>
      <w:r w:rsidR="00422967">
        <w:rPr>
          <w:rFonts w:cs="Arial"/>
          <w:b/>
          <w:sz w:val="16"/>
          <w:szCs w:val="16"/>
          <w:lang w:val="es-CO"/>
        </w:rPr>
        <w:t xml:space="preserve"> profesional establecida en el subnumeral 4.1 del </w:t>
      </w:r>
      <w:r w:rsidR="00422967" w:rsidRPr="002B1EC9">
        <w:rPr>
          <w:rFonts w:cs="Arial"/>
          <w:b/>
          <w:sz w:val="16"/>
          <w:szCs w:val="16"/>
          <w:lang w:val="es-CO"/>
        </w:rPr>
        <w:t>artículo 2.31.7.2.1 del Decreto 2555 de 2010.</w:t>
      </w:r>
    </w:p>
    <w:p w14:paraId="226BEEF7" w14:textId="77777777" w:rsidR="001D5A98" w:rsidRDefault="001D5A98" w:rsidP="00941AEF">
      <w:pPr>
        <w:pBdr>
          <w:left w:val="single" w:sz="4" w:space="1" w:color="auto"/>
        </w:pBdr>
        <w:tabs>
          <w:tab w:val="left" w:pos="189"/>
        </w:tabs>
        <w:jc w:val="both"/>
        <w:rPr>
          <w:rFonts w:cs="Arial"/>
          <w:b/>
          <w:sz w:val="16"/>
          <w:szCs w:val="16"/>
        </w:rPr>
      </w:pPr>
    </w:p>
    <w:p w14:paraId="2751554E" w14:textId="3D446022" w:rsidR="002737A5" w:rsidRDefault="00D90ABA" w:rsidP="00941AEF">
      <w:pPr>
        <w:pBdr>
          <w:left w:val="single" w:sz="4" w:space="1" w:color="auto"/>
        </w:pBdr>
        <w:tabs>
          <w:tab w:val="left" w:pos="189"/>
        </w:tabs>
        <w:jc w:val="both"/>
        <w:rPr>
          <w:rFonts w:cs="Arial"/>
          <w:b/>
          <w:sz w:val="16"/>
          <w:szCs w:val="16"/>
          <w:lang w:val="es-CO"/>
        </w:rPr>
        <w:sectPr w:rsidR="002737A5" w:rsidSect="00B269D7">
          <w:footerReference w:type="default" r:id="rId20"/>
          <w:pgSz w:w="12240" w:h="18720" w:code="257"/>
          <w:pgMar w:top="1417" w:right="1701" w:bottom="1417" w:left="1701" w:header="709" w:footer="865" w:gutter="0"/>
          <w:pgNumType w:start="31"/>
          <w:cols w:space="708"/>
          <w:docGrid w:linePitch="360"/>
        </w:sectPr>
      </w:pPr>
      <w:r w:rsidRPr="002B1EC9">
        <w:rPr>
          <w:rFonts w:cs="Arial"/>
          <w:b/>
          <w:sz w:val="16"/>
          <w:szCs w:val="16"/>
        </w:rPr>
        <w:t>3.10.5.</w:t>
      </w:r>
      <w:r>
        <w:rPr>
          <w:rFonts w:cs="Arial"/>
          <w:b/>
          <w:sz w:val="16"/>
          <w:szCs w:val="16"/>
        </w:rPr>
        <w:t>6</w:t>
      </w:r>
      <w:r w:rsidRPr="002B1EC9">
        <w:rPr>
          <w:rFonts w:cs="Arial"/>
          <w:b/>
          <w:sz w:val="16"/>
          <w:szCs w:val="16"/>
        </w:rPr>
        <w:t>.2.4.5.</w:t>
      </w:r>
      <w:r>
        <w:rPr>
          <w:rFonts w:cs="Arial"/>
          <w:b/>
          <w:sz w:val="16"/>
          <w:szCs w:val="16"/>
        </w:rPr>
        <w:t xml:space="preserve"> </w:t>
      </w:r>
      <w:r w:rsidR="00976703" w:rsidRPr="00756E43">
        <w:rPr>
          <w:rFonts w:cs="Arial"/>
          <w:b/>
          <w:sz w:val="16"/>
          <w:szCs w:val="16"/>
          <w:lang w:val="es-CO"/>
        </w:rPr>
        <w:t xml:space="preserve">El documento entregado al cliente o potencial cliente como </w:t>
      </w:r>
      <w:r w:rsidR="000419B2">
        <w:rPr>
          <w:rFonts w:cs="Arial"/>
          <w:b/>
          <w:sz w:val="16"/>
          <w:szCs w:val="16"/>
          <w:lang w:val="es-CO"/>
        </w:rPr>
        <w:t xml:space="preserve">soporte de la </w:t>
      </w:r>
      <w:r w:rsidR="00976703" w:rsidRPr="00756E43">
        <w:rPr>
          <w:rFonts w:cs="Arial"/>
          <w:b/>
          <w:sz w:val="16"/>
          <w:szCs w:val="16"/>
          <w:lang w:val="es-CO"/>
        </w:rPr>
        <w:t xml:space="preserve">recomendación profesional debe </w:t>
      </w:r>
      <w:r w:rsidR="000419B2">
        <w:rPr>
          <w:rFonts w:cs="Arial"/>
          <w:b/>
          <w:bCs/>
          <w:sz w:val="16"/>
          <w:szCs w:val="16"/>
          <w:lang w:val="es-CO"/>
        </w:rPr>
        <w:t>estar</w:t>
      </w:r>
      <w:r w:rsidR="4427BFA7" w:rsidRPr="00A842FC">
        <w:rPr>
          <w:rFonts w:cs="Arial"/>
          <w:b/>
          <w:bCs/>
          <w:sz w:val="16"/>
          <w:szCs w:val="16"/>
          <w:lang w:val="es-CO"/>
        </w:rPr>
        <w:t xml:space="preserve"> redactado en le</w:t>
      </w:r>
      <w:r w:rsidR="00005BBA" w:rsidRPr="00A842FC">
        <w:rPr>
          <w:rFonts w:cs="Arial"/>
          <w:b/>
          <w:bCs/>
          <w:sz w:val="16"/>
          <w:szCs w:val="16"/>
          <w:lang w:val="es-CO"/>
        </w:rPr>
        <w:t>n</w:t>
      </w:r>
      <w:r w:rsidR="4427BFA7" w:rsidRPr="00A842FC">
        <w:rPr>
          <w:rFonts w:cs="Arial"/>
          <w:b/>
          <w:bCs/>
          <w:sz w:val="16"/>
          <w:szCs w:val="16"/>
          <w:lang w:val="es-CO"/>
        </w:rPr>
        <w:t xml:space="preserve">guaje claro y de fácil entendimiento, evitando </w:t>
      </w:r>
      <w:r w:rsidR="000419B2">
        <w:rPr>
          <w:rFonts w:cs="Arial"/>
          <w:b/>
          <w:bCs/>
          <w:sz w:val="16"/>
          <w:szCs w:val="16"/>
          <w:lang w:val="es-CO"/>
        </w:rPr>
        <w:t>el uso de</w:t>
      </w:r>
      <w:r w:rsidR="4427BFA7" w:rsidRPr="00A842FC">
        <w:rPr>
          <w:rFonts w:eastAsia="Arial" w:cs="Arial"/>
          <w:b/>
          <w:bCs/>
          <w:sz w:val="16"/>
          <w:szCs w:val="16"/>
          <w:lang w:val="es"/>
        </w:rPr>
        <w:t xml:space="preserve"> lenguaje técnico </w:t>
      </w:r>
      <w:r w:rsidR="006A55F1" w:rsidRPr="00A842FC">
        <w:rPr>
          <w:rFonts w:eastAsia="Arial" w:cs="Arial"/>
          <w:b/>
          <w:bCs/>
          <w:sz w:val="16"/>
          <w:szCs w:val="16"/>
          <w:lang w:val="es"/>
        </w:rPr>
        <w:t xml:space="preserve">o </w:t>
      </w:r>
      <w:r w:rsidR="4427BFA7" w:rsidRPr="00A842FC">
        <w:rPr>
          <w:rFonts w:eastAsia="Arial" w:cs="Arial"/>
          <w:b/>
          <w:bCs/>
          <w:sz w:val="16"/>
          <w:szCs w:val="16"/>
          <w:lang w:val="es"/>
        </w:rPr>
        <w:t xml:space="preserve">complejo, y debe </w:t>
      </w:r>
      <w:r w:rsidR="00976703" w:rsidRPr="00A842FC">
        <w:rPr>
          <w:rFonts w:cs="Arial"/>
          <w:b/>
          <w:sz w:val="16"/>
          <w:szCs w:val="16"/>
          <w:lang w:val="es-CO"/>
        </w:rPr>
        <w:t>contener</w:t>
      </w:r>
      <w:r w:rsidR="00D845C4">
        <w:rPr>
          <w:rFonts w:cs="Arial"/>
          <w:b/>
          <w:sz w:val="16"/>
          <w:szCs w:val="16"/>
          <w:lang w:val="es-CO"/>
        </w:rPr>
        <w:t xml:space="preserve">, </w:t>
      </w:r>
      <w:r w:rsidR="00976703" w:rsidRPr="00A842FC">
        <w:rPr>
          <w:rFonts w:cs="Arial"/>
          <w:b/>
          <w:sz w:val="16"/>
          <w:szCs w:val="16"/>
          <w:lang w:val="es-CO"/>
        </w:rPr>
        <w:t>como mínimo</w:t>
      </w:r>
      <w:r w:rsidR="00D845C4">
        <w:rPr>
          <w:rFonts w:cs="Arial"/>
          <w:b/>
          <w:sz w:val="16"/>
          <w:szCs w:val="16"/>
          <w:lang w:val="es-CO"/>
        </w:rPr>
        <w:t>,</w:t>
      </w:r>
      <w:r w:rsidR="00976703" w:rsidRPr="00A842FC">
        <w:rPr>
          <w:rFonts w:cs="Arial"/>
          <w:b/>
          <w:sz w:val="16"/>
          <w:szCs w:val="16"/>
          <w:lang w:val="es-CO"/>
        </w:rPr>
        <w:t xml:space="preserve"> lo siguiente</w:t>
      </w:r>
      <w:r w:rsidR="002737A5">
        <w:rPr>
          <w:rFonts w:cs="Arial"/>
          <w:b/>
          <w:sz w:val="16"/>
          <w:szCs w:val="16"/>
          <w:lang w:val="es-CO"/>
        </w:rPr>
        <w:t>:</w:t>
      </w:r>
    </w:p>
    <w:p w14:paraId="60039801" w14:textId="77777777" w:rsidR="00976703" w:rsidRPr="002B1EC9" w:rsidRDefault="00976703" w:rsidP="001C05BC">
      <w:pPr>
        <w:pBdr>
          <w:left w:val="single" w:sz="4" w:space="1" w:color="auto"/>
        </w:pBdr>
        <w:rPr>
          <w:rFonts w:cs="Arial"/>
          <w:b/>
          <w:sz w:val="16"/>
          <w:szCs w:val="16"/>
          <w:lang w:val="es-CO"/>
        </w:rPr>
      </w:pPr>
    </w:p>
    <w:p w14:paraId="53334262" w14:textId="225DBAC6" w:rsidR="00976703" w:rsidRDefault="001C05BC" w:rsidP="00A117E5">
      <w:pPr>
        <w:pBdr>
          <w:left w:val="single" w:sz="4" w:space="1" w:color="auto"/>
        </w:pBdr>
        <w:tabs>
          <w:tab w:val="left" w:pos="189"/>
        </w:tabs>
        <w:jc w:val="both"/>
        <w:rPr>
          <w:rFonts w:cs="Arial"/>
          <w:b/>
          <w:sz w:val="16"/>
          <w:szCs w:val="16"/>
          <w:lang w:val="es-CO"/>
        </w:rPr>
      </w:pPr>
      <w:r w:rsidRPr="002B1EC9">
        <w:rPr>
          <w:rFonts w:cs="Arial"/>
          <w:b/>
          <w:sz w:val="16"/>
          <w:szCs w:val="16"/>
        </w:rPr>
        <w:t>3.10.5.</w:t>
      </w:r>
      <w:r w:rsidR="00191DA4">
        <w:rPr>
          <w:rFonts w:cs="Arial"/>
          <w:b/>
          <w:sz w:val="16"/>
          <w:szCs w:val="16"/>
        </w:rPr>
        <w:t>6</w:t>
      </w:r>
      <w:r w:rsidRPr="002B1EC9">
        <w:rPr>
          <w:rFonts w:cs="Arial"/>
          <w:b/>
          <w:sz w:val="16"/>
          <w:szCs w:val="16"/>
        </w:rPr>
        <w:t>.2.</w:t>
      </w:r>
      <w:r w:rsidR="0066120D" w:rsidRPr="002B1EC9">
        <w:rPr>
          <w:rFonts w:cs="Arial"/>
          <w:b/>
          <w:sz w:val="16"/>
          <w:szCs w:val="16"/>
        </w:rPr>
        <w:t>4</w:t>
      </w:r>
      <w:r w:rsidRPr="002B1EC9">
        <w:rPr>
          <w:rFonts w:cs="Arial"/>
          <w:b/>
          <w:sz w:val="16"/>
          <w:szCs w:val="16"/>
        </w:rPr>
        <w:t xml:space="preserve">.5.1. </w:t>
      </w:r>
      <w:r w:rsidR="00976703" w:rsidRPr="002B1EC9">
        <w:rPr>
          <w:rFonts w:cs="Arial"/>
          <w:b/>
          <w:sz w:val="16"/>
          <w:szCs w:val="16"/>
          <w:lang w:val="es-CO"/>
        </w:rPr>
        <w:t>Explicación del perfil del cliente</w:t>
      </w:r>
      <w:r w:rsidR="002737A5">
        <w:rPr>
          <w:rFonts w:cs="Arial"/>
          <w:b/>
          <w:sz w:val="16"/>
          <w:szCs w:val="16"/>
          <w:lang w:val="es-CO"/>
        </w:rPr>
        <w:t>.</w:t>
      </w:r>
    </w:p>
    <w:p w14:paraId="64C623B4" w14:textId="77777777" w:rsidR="002737A5" w:rsidRPr="002B1EC9" w:rsidRDefault="002737A5" w:rsidP="00A117E5">
      <w:pPr>
        <w:pBdr>
          <w:left w:val="single" w:sz="4" w:space="1" w:color="auto"/>
        </w:pBdr>
        <w:tabs>
          <w:tab w:val="left" w:pos="189"/>
        </w:tabs>
        <w:jc w:val="both"/>
        <w:rPr>
          <w:rFonts w:cs="Arial"/>
          <w:b/>
          <w:sz w:val="16"/>
          <w:szCs w:val="16"/>
          <w:lang w:val="es-CO"/>
        </w:rPr>
      </w:pPr>
    </w:p>
    <w:p w14:paraId="2ABC458E" w14:textId="77777777" w:rsidR="00B4362C" w:rsidRDefault="001C05BC" w:rsidP="001C05BC">
      <w:pPr>
        <w:pBdr>
          <w:left w:val="single" w:sz="4" w:space="1" w:color="auto"/>
        </w:pBdr>
        <w:tabs>
          <w:tab w:val="left" w:pos="189"/>
        </w:tabs>
        <w:jc w:val="both"/>
        <w:rPr>
          <w:rFonts w:cs="Arial"/>
          <w:b/>
          <w:sz w:val="16"/>
          <w:szCs w:val="16"/>
          <w:lang w:val="es-CO"/>
        </w:rPr>
      </w:pPr>
      <w:r w:rsidRPr="002B1EC9">
        <w:rPr>
          <w:rFonts w:cs="Arial"/>
          <w:b/>
          <w:sz w:val="16"/>
          <w:szCs w:val="16"/>
        </w:rPr>
        <w:t>3.10.5.</w:t>
      </w:r>
      <w:r w:rsidR="00191DA4">
        <w:rPr>
          <w:rFonts w:cs="Arial"/>
          <w:b/>
          <w:sz w:val="16"/>
          <w:szCs w:val="16"/>
        </w:rPr>
        <w:t>6</w:t>
      </w:r>
      <w:r w:rsidRPr="002B1EC9">
        <w:rPr>
          <w:rFonts w:cs="Arial"/>
          <w:b/>
          <w:sz w:val="16"/>
          <w:szCs w:val="16"/>
        </w:rPr>
        <w:t>.2.</w:t>
      </w:r>
      <w:r w:rsidR="0066120D" w:rsidRPr="002B1EC9">
        <w:rPr>
          <w:rFonts w:cs="Arial"/>
          <w:b/>
          <w:sz w:val="16"/>
          <w:szCs w:val="16"/>
        </w:rPr>
        <w:t>4</w:t>
      </w:r>
      <w:r w:rsidRPr="002B1EC9">
        <w:rPr>
          <w:rFonts w:cs="Arial"/>
          <w:b/>
          <w:sz w:val="16"/>
          <w:szCs w:val="16"/>
        </w:rPr>
        <w:t>.5.2</w:t>
      </w:r>
      <w:r w:rsidRPr="00A44EB4">
        <w:rPr>
          <w:rFonts w:cs="Arial"/>
          <w:b/>
          <w:sz w:val="16"/>
          <w:szCs w:val="16"/>
        </w:rPr>
        <w:t xml:space="preserve">. </w:t>
      </w:r>
      <w:r w:rsidR="00976703" w:rsidRPr="004C7B24">
        <w:rPr>
          <w:rFonts w:cs="Arial"/>
          <w:b/>
          <w:sz w:val="16"/>
          <w:szCs w:val="16"/>
          <w:lang w:val="es-CO"/>
        </w:rPr>
        <w:t>Perfil del producto ofrecido</w:t>
      </w:r>
      <w:r w:rsidR="00BC61C4">
        <w:rPr>
          <w:rFonts w:cs="Arial"/>
          <w:b/>
          <w:sz w:val="16"/>
          <w:szCs w:val="16"/>
          <w:lang w:val="es-CO"/>
        </w:rPr>
        <w:t xml:space="preserve"> </w:t>
      </w:r>
      <w:r w:rsidR="004C7B24" w:rsidRPr="00A44EB4">
        <w:rPr>
          <w:rFonts w:cs="Arial"/>
          <w:b/>
          <w:sz w:val="16"/>
          <w:szCs w:val="16"/>
        </w:rPr>
        <w:t>seg</w:t>
      </w:r>
      <w:r w:rsidR="004C7B24" w:rsidRPr="00030979">
        <w:rPr>
          <w:rFonts w:cs="Arial"/>
          <w:b/>
          <w:sz w:val="16"/>
          <w:szCs w:val="16"/>
        </w:rPr>
        <w:t xml:space="preserve">ún corresponda en </w:t>
      </w:r>
      <w:r w:rsidR="004C7B24">
        <w:rPr>
          <w:rFonts w:cs="Arial"/>
          <w:b/>
          <w:sz w:val="16"/>
          <w:szCs w:val="16"/>
        </w:rPr>
        <w:t>su respectiva</w:t>
      </w:r>
      <w:r w:rsidR="004C7B24" w:rsidRPr="00030979">
        <w:rPr>
          <w:rFonts w:cs="Arial"/>
          <w:b/>
          <w:sz w:val="16"/>
          <w:szCs w:val="16"/>
        </w:rPr>
        <w:t xml:space="preserve"> nota técnica</w:t>
      </w:r>
      <w:r w:rsidR="00976703" w:rsidRPr="004C7B24">
        <w:rPr>
          <w:rFonts w:cs="Arial"/>
          <w:b/>
          <w:sz w:val="16"/>
          <w:szCs w:val="16"/>
          <w:lang w:val="es-CO"/>
        </w:rPr>
        <w:t xml:space="preserve">, el cual contenga de manera </w:t>
      </w:r>
      <w:r w:rsidR="00BF0FA0" w:rsidRPr="004C7B24">
        <w:rPr>
          <w:rFonts w:cs="Arial"/>
          <w:b/>
          <w:sz w:val="16"/>
          <w:szCs w:val="16"/>
          <w:lang w:val="es-CO"/>
        </w:rPr>
        <w:t>explícita</w:t>
      </w:r>
      <w:r w:rsidR="00976703" w:rsidRPr="004C7B24">
        <w:rPr>
          <w:rFonts w:cs="Arial"/>
          <w:b/>
          <w:sz w:val="16"/>
          <w:szCs w:val="16"/>
          <w:lang w:val="es-CO"/>
        </w:rPr>
        <w:t xml:space="preserve"> la explicación de </w:t>
      </w:r>
      <w:r w:rsidR="034508C0" w:rsidRPr="004C7B24">
        <w:rPr>
          <w:rFonts w:cs="Arial"/>
          <w:b/>
          <w:bCs/>
          <w:sz w:val="16"/>
          <w:szCs w:val="16"/>
          <w:lang w:val="es-CO"/>
        </w:rPr>
        <w:t>c</w:t>
      </w:r>
      <w:r w:rsidR="6C82AC1B" w:rsidRPr="00756E43">
        <w:rPr>
          <w:rFonts w:cs="Arial"/>
          <w:b/>
          <w:bCs/>
          <w:sz w:val="16"/>
          <w:szCs w:val="16"/>
          <w:lang w:val="es-CO"/>
        </w:rPr>
        <w:t>ó</w:t>
      </w:r>
      <w:r w:rsidR="034508C0" w:rsidRPr="00756E43">
        <w:rPr>
          <w:rFonts w:cs="Arial"/>
          <w:b/>
          <w:bCs/>
          <w:sz w:val="16"/>
          <w:szCs w:val="16"/>
          <w:lang w:val="es-CO"/>
        </w:rPr>
        <w:t>mo</w:t>
      </w:r>
      <w:r w:rsidR="00976703" w:rsidRPr="00A44EB4">
        <w:rPr>
          <w:rFonts w:cs="Arial"/>
          <w:b/>
          <w:sz w:val="16"/>
          <w:szCs w:val="16"/>
          <w:lang w:val="es-CO"/>
        </w:rPr>
        <w:t xml:space="preserve"> la modalidad y los términos recomendados para la renta vitalicia inmobiliaria se adecuan al perfil del cliente.</w:t>
      </w:r>
    </w:p>
    <w:p w14:paraId="75338349" w14:textId="34869985" w:rsidR="00976703" w:rsidRPr="002B1EC9" w:rsidRDefault="00B4362C" w:rsidP="001C05BC">
      <w:pPr>
        <w:pBdr>
          <w:left w:val="single" w:sz="4" w:space="1" w:color="auto"/>
        </w:pBdr>
        <w:tabs>
          <w:tab w:val="left" w:pos="189"/>
        </w:tabs>
        <w:jc w:val="both"/>
        <w:rPr>
          <w:rFonts w:cs="Arial"/>
          <w:b/>
          <w:sz w:val="16"/>
          <w:szCs w:val="16"/>
          <w:lang w:val="es-CO"/>
        </w:rPr>
      </w:pPr>
      <w:r w:rsidRPr="002B1EC9">
        <w:rPr>
          <w:rFonts w:cs="Arial"/>
          <w:b/>
          <w:sz w:val="16"/>
          <w:szCs w:val="16"/>
          <w:lang w:val="es-CO"/>
        </w:rPr>
        <w:t xml:space="preserve"> </w:t>
      </w:r>
    </w:p>
    <w:p w14:paraId="54408852" w14:textId="393311C9" w:rsidR="00976703" w:rsidRPr="002B1EC9" w:rsidRDefault="001C05BC" w:rsidP="001C05BC">
      <w:pPr>
        <w:pBdr>
          <w:left w:val="single" w:sz="4" w:space="1" w:color="auto"/>
        </w:pBdr>
        <w:tabs>
          <w:tab w:val="left" w:pos="189"/>
        </w:tabs>
        <w:jc w:val="both"/>
        <w:rPr>
          <w:rFonts w:cs="Arial"/>
          <w:b/>
          <w:sz w:val="16"/>
          <w:szCs w:val="16"/>
          <w:lang w:val="es-CO"/>
        </w:rPr>
      </w:pPr>
      <w:r w:rsidRPr="002B1EC9">
        <w:rPr>
          <w:rFonts w:cs="Arial"/>
          <w:b/>
          <w:sz w:val="16"/>
          <w:szCs w:val="16"/>
        </w:rPr>
        <w:t>3.10.5.</w:t>
      </w:r>
      <w:r w:rsidR="00191DA4">
        <w:rPr>
          <w:rFonts w:cs="Arial"/>
          <w:b/>
          <w:sz w:val="16"/>
          <w:szCs w:val="16"/>
        </w:rPr>
        <w:t>6</w:t>
      </w:r>
      <w:r w:rsidRPr="002B1EC9">
        <w:rPr>
          <w:rFonts w:cs="Arial"/>
          <w:b/>
          <w:sz w:val="16"/>
          <w:szCs w:val="16"/>
        </w:rPr>
        <w:t>.2.</w:t>
      </w:r>
      <w:r w:rsidR="0066120D" w:rsidRPr="002B1EC9">
        <w:rPr>
          <w:rFonts w:cs="Arial"/>
          <w:b/>
          <w:sz w:val="16"/>
          <w:szCs w:val="16"/>
        </w:rPr>
        <w:t>4</w:t>
      </w:r>
      <w:r w:rsidRPr="002B1EC9">
        <w:rPr>
          <w:rFonts w:cs="Arial"/>
          <w:b/>
          <w:sz w:val="16"/>
          <w:szCs w:val="16"/>
        </w:rPr>
        <w:t xml:space="preserve">.5.3. </w:t>
      </w:r>
      <w:r w:rsidR="00976703" w:rsidRPr="002B1EC9">
        <w:rPr>
          <w:rFonts w:cs="Arial"/>
          <w:b/>
          <w:sz w:val="16"/>
          <w:szCs w:val="16"/>
          <w:lang w:val="es-CO"/>
        </w:rPr>
        <w:t>La determinación de si la entidad aseguradora considera que el producto ofrecido es idóneo para el cliente o potencial cliente, con una síntesis de los argumentos que le sirven de fundamento.</w:t>
      </w:r>
    </w:p>
    <w:p w14:paraId="0C07A046" w14:textId="77777777" w:rsidR="00E537A9" w:rsidRPr="002B1EC9" w:rsidRDefault="00E537A9" w:rsidP="001C05BC">
      <w:pPr>
        <w:pBdr>
          <w:left w:val="single" w:sz="4" w:space="1" w:color="auto"/>
        </w:pBdr>
        <w:tabs>
          <w:tab w:val="left" w:pos="189"/>
        </w:tabs>
        <w:jc w:val="both"/>
        <w:rPr>
          <w:rFonts w:cs="Arial"/>
          <w:b/>
          <w:sz w:val="16"/>
          <w:szCs w:val="16"/>
          <w:lang w:val="es-CO"/>
        </w:rPr>
      </w:pPr>
    </w:p>
    <w:p w14:paraId="5EEE36E4" w14:textId="77777777" w:rsidR="007E27A7" w:rsidRDefault="00E537A9" w:rsidP="00174496">
      <w:pPr>
        <w:pBdr>
          <w:left w:val="single" w:sz="4" w:space="1" w:color="auto"/>
        </w:pBdr>
        <w:tabs>
          <w:tab w:val="left" w:pos="189"/>
        </w:tabs>
        <w:jc w:val="both"/>
        <w:rPr>
          <w:rFonts w:cs="Arial"/>
          <w:b/>
          <w:sz w:val="16"/>
          <w:szCs w:val="16"/>
        </w:rPr>
      </w:pPr>
      <w:r w:rsidRPr="002B1EC9">
        <w:rPr>
          <w:rFonts w:cs="Arial"/>
          <w:b/>
          <w:sz w:val="16"/>
          <w:szCs w:val="16"/>
        </w:rPr>
        <w:t>3.10.5.</w:t>
      </w:r>
      <w:r w:rsidR="00191DA4">
        <w:rPr>
          <w:rFonts w:cs="Arial"/>
          <w:b/>
          <w:sz w:val="16"/>
          <w:szCs w:val="16"/>
        </w:rPr>
        <w:t>6</w:t>
      </w:r>
      <w:r w:rsidRPr="002B1EC9">
        <w:rPr>
          <w:rFonts w:cs="Arial"/>
          <w:b/>
          <w:sz w:val="16"/>
          <w:szCs w:val="16"/>
        </w:rPr>
        <w:t>.2.4.5.4.</w:t>
      </w:r>
      <w:r w:rsidR="009057E3" w:rsidRPr="002B1EC9">
        <w:rPr>
          <w:rFonts w:cs="Arial"/>
          <w:b/>
          <w:sz w:val="16"/>
          <w:szCs w:val="16"/>
        </w:rPr>
        <w:t xml:space="preserve"> </w:t>
      </w:r>
      <w:r w:rsidR="001E3D45" w:rsidRPr="00E95423">
        <w:rPr>
          <w:rFonts w:cs="Arial"/>
          <w:b/>
          <w:sz w:val="16"/>
          <w:szCs w:val="16"/>
        </w:rPr>
        <w:t xml:space="preserve">Una descripción detallada de los costos, tarifas y comisiones asumidos por </w:t>
      </w:r>
      <w:r w:rsidR="001E3D45" w:rsidRPr="00143BAD">
        <w:rPr>
          <w:rFonts w:cs="Arial"/>
          <w:b/>
          <w:sz w:val="16"/>
          <w:szCs w:val="16"/>
        </w:rPr>
        <w:t>las entidades asegurador</w:t>
      </w:r>
      <w:r w:rsidR="00EE7ED1" w:rsidRPr="00EE05B8">
        <w:rPr>
          <w:rFonts w:cs="Arial"/>
          <w:b/>
          <w:sz w:val="16"/>
          <w:szCs w:val="16"/>
        </w:rPr>
        <w:t>as</w:t>
      </w:r>
      <w:r w:rsidR="001E3D45" w:rsidRPr="00EE05B8">
        <w:rPr>
          <w:rFonts w:cs="Arial"/>
          <w:b/>
          <w:sz w:val="16"/>
          <w:szCs w:val="16"/>
        </w:rPr>
        <w:t xml:space="preserve"> y el tomador</w:t>
      </w:r>
      <w:r w:rsidR="00D46782" w:rsidRPr="00EE05B8">
        <w:rPr>
          <w:rFonts w:cs="Arial"/>
          <w:b/>
          <w:sz w:val="16"/>
          <w:szCs w:val="16"/>
        </w:rPr>
        <w:t xml:space="preserve"> al momento de suscribir el producto, junto con</w:t>
      </w:r>
      <w:r w:rsidR="00FE2F9C" w:rsidRPr="00EE05B8">
        <w:rPr>
          <w:rFonts w:cs="Arial"/>
          <w:b/>
          <w:sz w:val="16"/>
          <w:szCs w:val="16"/>
        </w:rPr>
        <w:t xml:space="preserve"> los efectos de incluir la opción de retracto </w:t>
      </w:r>
      <w:r w:rsidR="00FD2A21" w:rsidRPr="00EE05B8">
        <w:rPr>
          <w:rFonts w:cs="Arial"/>
          <w:b/>
          <w:sz w:val="16"/>
          <w:szCs w:val="16"/>
        </w:rPr>
        <w:t xml:space="preserve">en </w:t>
      </w:r>
      <w:r w:rsidR="00F4251B" w:rsidRPr="00EE05B8">
        <w:rPr>
          <w:rFonts w:cs="Arial"/>
          <w:b/>
          <w:sz w:val="16"/>
          <w:szCs w:val="16"/>
        </w:rPr>
        <w:t>el valor de</w:t>
      </w:r>
      <w:r w:rsidR="002B25C2" w:rsidRPr="00EE05B8">
        <w:rPr>
          <w:rFonts w:cs="Arial"/>
          <w:b/>
          <w:sz w:val="16"/>
          <w:szCs w:val="16"/>
        </w:rPr>
        <w:t xml:space="preserve">l pago periódico </w:t>
      </w:r>
      <w:r w:rsidR="00F4251B" w:rsidRPr="00EE05B8">
        <w:rPr>
          <w:rFonts w:cs="Arial"/>
          <w:b/>
          <w:sz w:val="16"/>
          <w:szCs w:val="16"/>
        </w:rPr>
        <w:t xml:space="preserve">y en los costos, tarifas y comisiones asumidos por las entidades aseguradoras. </w:t>
      </w:r>
    </w:p>
    <w:p w14:paraId="2806BCCB" w14:textId="77777777" w:rsidR="007E27A7" w:rsidRDefault="007E27A7" w:rsidP="00174496">
      <w:pPr>
        <w:pBdr>
          <w:left w:val="single" w:sz="4" w:space="1" w:color="auto"/>
        </w:pBdr>
        <w:tabs>
          <w:tab w:val="left" w:pos="189"/>
        </w:tabs>
        <w:jc w:val="both"/>
        <w:rPr>
          <w:rFonts w:cs="Arial"/>
          <w:b/>
          <w:sz w:val="16"/>
          <w:szCs w:val="16"/>
        </w:rPr>
      </w:pPr>
    </w:p>
    <w:p w14:paraId="33B8B2FC" w14:textId="00D2F049" w:rsidR="002056A4" w:rsidRDefault="002B25C2" w:rsidP="00174496">
      <w:pPr>
        <w:pBdr>
          <w:left w:val="single" w:sz="4" w:space="1" w:color="auto"/>
        </w:pBdr>
        <w:tabs>
          <w:tab w:val="left" w:pos="189"/>
        </w:tabs>
        <w:jc w:val="both"/>
        <w:rPr>
          <w:rFonts w:cs="Arial"/>
          <w:b/>
          <w:sz w:val="16"/>
          <w:szCs w:val="16"/>
        </w:rPr>
      </w:pPr>
      <w:r w:rsidRPr="00EE05B8">
        <w:rPr>
          <w:rFonts w:cs="Arial"/>
          <w:b/>
          <w:sz w:val="16"/>
          <w:szCs w:val="16"/>
        </w:rPr>
        <w:t xml:space="preserve">Adicionalmente, las entidades aseguradoras deben </w:t>
      </w:r>
      <w:r w:rsidR="00EE05B8" w:rsidRPr="00EE05B8">
        <w:rPr>
          <w:rFonts w:cs="Arial"/>
          <w:b/>
          <w:sz w:val="16"/>
          <w:szCs w:val="16"/>
        </w:rPr>
        <w:t xml:space="preserve">incluir </w:t>
      </w:r>
      <w:r w:rsidR="00D46782" w:rsidRPr="00EE05B8">
        <w:rPr>
          <w:rFonts w:cs="Arial"/>
          <w:b/>
          <w:sz w:val="16"/>
          <w:szCs w:val="16"/>
        </w:rPr>
        <w:t xml:space="preserve">una estimación </w:t>
      </w:r>
      <w:r w:rsidR="00192915" w:rsidRPr="00EE05B8">
        <w:rPr>
          <w:rFonts w:cs="Arial"/>
          <w:b/>
          <w:sz w:val="16"/>
          <w:szCs w:val="16"/>
        </w:rPr>
        <w:t xml:space="preserve">detallada del pago total que tendría que asumir el tomador en el evento en que decida ejercer la opción de retracto </w:t>
      </w:r>
      <w:r w:rsidR="00EE7ED1" w:rsidRPr="00EE05B8">
        <w:rPr>
          <w:rFonts w:cs="Arial"/>
          <w:b/>
          <w:sz w:val="16"/>
          <w:szCs w:val="16"/>
        </w:rPr>
        <w:t>al finalizar el período de retracto</w:t>
      </w:r>
      <w:r w:rsidR="00BD744B" w:rsidRPr="00EE05B8">
        <w:rPr>
          <w:rFonts w:cs="Arial"/>
          <w:b/>
          <w:sz w:val="16"/>
          <w:szCs w:val="16"/>
        </w:rPr>
        <w:t xml:space="preserve">. </w:t>
      </w:r>
    </w:p>
    <w:p w14:paraId="43408966" w14:textId="77777777" w:rsidR="002056A4" w:rsidRDefault="002056A4" w:rsidP="00174496">
      <w:pPr>
        <w:pBdr>
          <w:left w:val="single" w:sz="4" w:space="1" w:color="auto"/>
        </w:pBdr>
        <w:tabs>
          <w:tab w:val="left" w:pos="189"/>
        </w:tabs>
        <w:jc w:val="both"/>
        <w:rPr>
          <w:rFonts w:cs="Arial"/>
          <w:b/>
          <w:sz w:val="16"/>
          <w:szCs w:val="16"/>
        </w:rPr>
      </w:pPr>
    </w:p>
    <w:p w14:paraId="4727AAF1" w14:textId="4FB73A33" w:rsidR="00EA5DAB" w:rsidRDefault="00A61361" w:rsidP="00174496">
      <w:pPr>
        <w:pBdr>
          <w:left w:val="single" w:sz="4" w:space="1" w:color="auto"/>
        </w:pBdr>
        <w:tabs>
          <w:tab w:val="left" w:pos="189"/>
        </w:tabs>
        <w:jc w:val="both"/>
        <w:rPr>
          <w:rFonts w:cs="Arial"/>
          <w:b/>
          <w:color w:val="000000" w:themeColor="text1"/>
          <w:sz w:val="16"/>
          <w:szCs w:val="16"/>
        </w:rPr>
      </w:pPr>
      <w:r w:rsidRPr="00EE05B8">
        <w:rPr>
          <w:rFonts w:cs="Arial"/>
          <w:b/>
          <w:color w:val="000000" w:themeColor="text1"/>
          <w:sz w:val="16"/>
          <w:szCs w:val="16"/>
        </w:rPr>
        <w:t xml:space="preserve">En caso de que el producto incluya </w:t>
      </w:r>
      <w:r w:rsidR="00C14631" w:rsidRPr="00EE05B8">
        <w:rPr>
          <w:rFonts w:cs="Arial"/>
          <w:b/>
          <w:color w:val="000000" w:themeColor="text1"/>
          <w:sz w:val="16"/>
          <w:szCs w:val="16"/>
        </w:rPr>
        <w:t>cubrimientos</w:t>
      </w:r>
      <w:r w:rsidRPr="00EE05B8">
        <w:rPr>
          <w:rFonts w:cs="Arial"/>
          <w:b/>
          <w:color w:val="000000" w:themeColor="text1"/>
          <w:sz w:val="16"/>
          <w:szCs w:val="16"/>
        </w:rPr>
        <w:t xml:space="preserve"> adicionales conforme </w:t>
      </w:r>
      <w:r w:rsidR="00B6628A" w:rsidRPr="00EE05B8">
        <w:rPr>
          <w:rFonts w:cs="Arial"/>
          <w:b/>
          <w:color w:val="000000" w:themeColor="text1"/>
          <w:sz w:val="16"/>
          <w:szCs w:val="16"/>
        </w:rPr>
        <w:t>al</w:t>
      </w:r>
      <w:r w:rsidR="00C14631" w:rsidRPr="00EE05B8">
        <w:rPr>
          <w:rFonts w:cs="Arial"/>
          <w:b/>
          <w:color w:val="000000" w:themeColor="text1"/>
          <w:sz w:val="16"/>
          <w:szCs w:val="16"/>
        </w:rPr>
        <w:t xml:space="preserve"> </w:t>
      </w:r>
      <w:r w:rsidRPr="00EE05B8">
        <w:rPr>
          <w:rFonts w:cs="Arial"/>
          <w:b/>
          <w:color w:val="000000" w:themeColor="text1"/>
          <w:sz w:val="16"/>
          <w:szCs w:val="16"/>
        </w:rPr>
        <w:t xml:space="preserve">artículo 2.31.7.1.3 del Decreto 2555 de 2010, se debe informar el impacto de </w:t>
      </w:r>
      <w:r w:rsidR="00E90048" w:rsidRPr="00EE05B8">
        <w:rPr>
          <w:rFonts w:cs="Arial"/>
          <w:b/>
          <w:color w:val="000000" w:themeColor="text1"/>
          <w:sz w:val="16"/>
          <w:szCs w:val="16"/>
        </w:rPr>
        <w:t>dichos cubrimientos</w:t>
      </w:r>
      <w:r w:rsidRPr="00EE05B8">
        <w:rPr>
          <w:rFonts w:cs="Arial"/>
          <w:b/>
          <w:color w:val="000000" w:themeColor="text1"/>
          <w:sz w:val="16"/>
          <w:szCs w:val="16"/>
        </w:rPr>
        <w:t xml:space="preserve"> sobre las rentas.</w:t>
      </w:r>
    </w:p>
    <w:p w14:paraId="15956351" w14:textId="1F0FDE17" w:rsidR="00B27DB1" w:rsidRDefault="00B27DB1" w:rsidP="00174496">
      <w:pPr>
        <w:pBdr>
          <w:left w:val="single" w:sz="4" w:space="1" w:color="auto"/>
        </w:pBdr>
        <w:tabs>
          <w:tab w:val="left" w:pos="189"/>
        </w:tabs>
        <w:jc w:val="both"/>
        <w:rPr>
          <w:rFonts w:cs="Arial"/>
          <w:b/>
          <w:color w:val="000000" w:themeColor="text1"/>
          <w:sz w:val="16"/>
          <w:szCs w:val="16"/>
        </w:rPr>
      </w:pPr>
    </w:p>
    <w:p w14:paraId="3EC7CCA8" w14:textId="2C5EBA6F" w:rsidR="00B27DB1" w:rsidRPr="002B1EC9" w:rsidRDefault="00B27DB1" w:rsidP="00174496">
      <w:pPr>
        <w:pBdr>
          <w:left w:val="single" w:sz="4" w:space="1" w:color="auto"/>
        </w:pBdr>
        <w:tabs>
          <w:tab w:val="left" w:pos="189"/>
        </w:tabs>
        <w:jc w:val="both"/>
        <w:rPr>
          <w:rFonts w:cs="Arial"/>
          <w:b/>
          <w:sz w:val="16"/>
          <w:szCs w:val="16"/>
        </w:rPr>
      </w:pPr>
      <w:r w:rsidRPr="002B1EC9">
        <w:rPr>
          <w:rFonts w:cs="Arial"/>
          <w:b/>
          <w:sz w:val="16"/>
          <w:szCs w:val="16"/>
        </w:rPr>
        <w:t>3.10.5.</w:t>
      </w:r>
      <w:r>
        <w:rPr>
          <w:rFonts w:cs="Arial"/>
          <w:b/>
          <w:sz w:val="16"/>
          <w:szCs w:val="16"/>
        </w:rPr>
        <w:t>6</w:t>
      </w:r>
      <w:r w:rsidRPr="002B1EC9">
        <w:rPr>
          <w:rFonts w:cs="Arial"/>
          <w:b/>
          <w:sz w:val="16"/>
          <w:szCs w:val="16"/>
        </w:rPr>
        <w:t>.2.4.5.</w:t>
      </w:r>
      <w:r>
        <w:rPr>
          <w:rFonts w:cs="Arial"/>
          <w:b/>
          <w:sz w:val="16"/>
          <w:szCs w:val="16"/>
        </w:rPr>
        <w:t>5</w:t>
      </w:r>
      <w:r w:rsidRPr="002B1EC9">
        <w:rPr>
          <w:rFonts w:cs="Arial"/>
          <w:b/>
          <w:sz w:val="16"/>
          <w:szCs w:val="16"/>
        </w:rPr>
        <w:t>.</w:t>
      </w:r>
      <w:r w:rsidR="008F24E6">
        <w:rPr>
          <w:rFonts w:cs="Arial"/>
          <w:b/>
          <w:sz w:val="16"/>
          <w:szCs w:val="16"/>
        </w:rPr>
        <w:t xml:space="preserve"> Descripción detallada de los derechos y deberes de los tomadores y/o </w:t>
      </w:r>
      <w:proofErr w:type="gramStart"/>
      <w:r w:rsidR="008F24E6">
        <w:rPr>
          <w:rFonts w:cs="Arial"/>
          <w:b/>
          <w:sz w:val="16"/>
          <w:szCs w:val="16"/>
        </w:rPr>
        <w:t>beneficiarios</w:t>
      </w:r>
      <w:proofErr w:type="gramEnd"/>
      <w:r w:rsidR="00FB606E">
        <w:rPr>
          <w:rFonts w:cs="Arial"/>
          <w:b/>
          <w:sz w:val="16"/>
          <w:szCs w:val="16"/>
        </w:rPr>
        <w:t xml:space="preserve"> así como de</w:t>
      </w:r>
      <w:r w:rsidR="002F0D41">
        <w:rPr>
          <w:rFonts w:cs="Arial"/>
          <w:b/>
          <w:sz w:val="16"/>
          <w:szCs w:val="16"/>
        </w:rPr>
        <w:t xml:space="preserve"> las entidades aseguradoras </w:t>
      </w:r>
      <w:r w:rsidR="00FB606E">
        <w:rPr>
          <w:rFonts w:cs="Arial"/>
          <w:b/>
          <w:sz w:val="16"/>
          <w:szCs w:val="16"/>
        </w:rPr>
        <w:t xml:space="preserve">por la celebración de la operación. </w:t>
      </w:r>
    </w:p>
    <w:p w14:paraId="5FF31429" w14:textId="77777777" w:rsidR="00C10DD9" w:rsidRPr="002B1EC9" w:rsidRDefault="00C10DD9" w:rsidP="00174496">
      <w:pPr>
        <w:pBdr>
          <w:left w:val="single" w:sz="4" w:space="1" w:color="auto"/>
        </w:pBdr>
        <w:tabs>
          <w:tab w:val="left" w:pos="189"/>
        </w:tabs>
        <w:jc w:val="both"/>
        <w:rPr>
          <w:rFonts w:cs="Arial"/>
          <w:b/>
          <w:sz w:val="16"/>
          <w:szCs w:val="16"/>
        </w:rPr>
      </w:pPr>
    </w:p>
    <w:p w14:paraId="7BC947CD" w14:textId="3564BAD3" w:rsidR="00C10DD9" w:rsidRPr="002B1EC9" w:rsidRDefault="00E832D5" w:rsidP="0008384B">
      <w:pPr>
        <w:pBdr>
          <w:left w:val="single" w:sz="4" w:space="1" w:color="auto"/>
        </w:pBdr>
        <w:tabs>
          <w:tab w:val="left" w:pos="189"/>
        </w:tabs>
        <w:jc w:val="both"/>
        <w:rPr>
          <w:rFonts w:cs="Arial"/>
          <w:b/>
          <w:sz w:val="16"/>
          <w:szCs w:val="16"/>
        </w:rPr>
      </w:pPr>
      <w:r w:rsidRPr="002B1EC9">
        <w:rPr>
          <w:rFonts w:cs="Arial"/>
          <w:b/>
          <w:sz w:val="16"/>
          <w:szCs w:val="16"/>
        </w:rPr>
        <w:t>3.10.5.</w:t>
      </w:r>
      <w:r w:rsidR="00191DA4">
        <w:rPr>
          <w:rFonts w:cs="Arial"/>
          <w:b/>
          <w:sz w:val="16"/>
          <w:szCs w:val="16"/>
        </w:rPr>
        <w:t>7</w:t>
      </w:r>
      <w:r w:rsidRPr="002B1EC9">
        <w:rPr>
          <w:rFonts w:cs="Arial"/>
          <w:b/>
          <w:sz w:val="16"/>
          <w:szCs w:val="16"/>
        </w:rPr>
        <w:t>.</w:t>
      </w:r>
      <w:r w:rsidR="00777849" w:rsidRPr="002B1EC9">
        <w:rPr>
          <w:rFonts w:cs="Arial"/>
          <w:b/>
          <w:sz w:val="16"/>
          <w:szCs w:val="16"/>
        </w:rPr>
        <w:t xml:space="preserve"> Autorización de </w:t>
      </w:r>
      <w:r w:rsidR="00925A18" w:rsidRPr="002B1EC9">
        <w:rPr>
          <w:rFonts w:cs="Arial"/>
          <w:b/>
          <w:sz w:val="16"/>
          <w:szCs w:val="16"/>
        </w:rPr>
        <w:t>nuevas</w:t>
      </w:r>
      <w:r w:rsidR="00777849" w:rsidRPr="002B1EC9">
        <w:rPr>
          <w:rFonts w:cs="Arial"/>
          <w:b/>
          <w:sz w:val="16"/>
          <w:szCs w:val="16"/>
        </w:rPr>
        <w:t xml:space="preserve"> modalidades de renta vitalicia inmobiliaria</w:t>
      </w:r>
    </w:p>
    <w:p w14:paraId="2A9F0CC9" w14:textId="77777777" w:rsidR="00E832D5" w:rsidRPr="002B1EC9" w:rsidRDefault="00E832D5" w:rsidP="0008384B">
      <w:pPr>
        <w:pBdr>
          <w:left w:val="single" w:sz="4" w:space="1" w:color="auto"/>
        </w:pBdr>
        <w:tabs>
          <w:tab w:val="left" w:pos="720"/>
        </w:tabs>
        <w:adjustRightInd w:val="0"/>
        <w:jc w:val="both"/>
        <w:rPr>
          <w:rFonts w:cs="Arial"/>
          <w:sz w:val="16"/>
          <w:szCs w:val="16"/>
          <w:lang w:val="es-CO"/>
        </w:rPr>
      </w:pPr>
    </w:p>
    <w:p w14:paraId="3C6DA89D" w14:textId="2E140C39" w:rsidR="004F064C" w:rsidRPr="002B1EC9" w:rsidRDefault="00E832D5" w:rsidP="0008384B">
      <w:pPr>
        <w:pBdr>
          <w:left w:val="single" w:sz="4" w:space="1" w:color="auto"/>
        </w:pBdr>
        <w:tabs>
          <w:tab w:val="left" w:pos="720"/>
        </w:tabs>
        <w:adjustRightInd w:val="0"/>
        <w:jc w:val="both"/>
        <w:rPr>
          <w:rFonts w:cs="Arial"/>
          <w:b/>
          <w:bCs/>
          <w:sz w:val="16"/>
          <w:szCs w:val="16"/>
          <w:lang w:val="es-CO"/>
        </w:rPr>
      </w:pPr>
      <w:r w:rsidRPr="002B1EC9">
        <w:rPr>
          <w:rFonts w:cs="Arial"/>
          <w:b/>
          <w:bCs/>
          <w:sz w:val="16"/>
          <w:szCs w:val="16"/>
          <w:lang w:val="es-CO"/>
        </w:rPr>
        <w:t xml:space="preserve">De conformidad con lo previsto en el </w:t>
      </w:r>
      <w:r w:rsidR="004F064C" w:rsidRPr="002B1EC9">
        <w:rPr>
          <w:rFonts w:cs="Arial"/>
          <w:b/>
          <w:bCs/>
          <w:sz w:val="16"/>
          <w:szCs w:val="16"/>
          <w:lang w:val="es-CO"/>
        </w:rPr>
        <w:t>parágrafo 3 del artícu</w:t>
      </w:r>
      <w:r w:rsidR="00B238A3" w:rsidRPr="002B1EC9">
        <w:rPr>
          <w:rFonts w:cs="Arial"/>
          <w:b/>
          <w:bCs/>
          <w:sz w:val="16"/>
          <w:szCs w:val="16"/>
          <w:lang w:val="es-CO"/>
        </w:rPr>
        <w:t xml:space="preserve">lo </w:t>
      </w:r>
      <w:r w:rsidR="007D0A06" w:rsidRPr="002B1EC9">
        <w:rPr>
          <w:rFonts w:cs="Arial"/>
          <w:b/>
          <w:bCs/>
          <w:sz w:val="16"/>
          <w:szCs w:val="16"/>
          <w:lang w:val="es-CO"/>
        </w:rPr>
        <w:t>2.31.7.1.2 del Decreto 2555 de 2010</w:t>
      </w:r>
      <w:r w:rsidR="00526FC4" w:rsidRPr="002B1EC9">
        <w:rPr>
          <w:rFonts w:cs="Arial"/>
          <w:b/>
          <w:bCs/>
          <w:sz w:val="16"/>
          <w:szCs w:val="16"/>
          <w:lang w:val="es-CO"/>
        </w:rPr>
        <w:t xml:space="preserve"> y sin perjuicio de lo establ</w:t>
      </w:r>
      <w:r w:rsidR="004622FC" w:rsidRPr="002B1EC9">
        <w:rPr>
          <w:rFonts w:cs="Arial"/>
          <w:b/>
          <w:bCs/>
          <w:sz w:val="16"/>
          <w:szCs w:val="16"/>
          <w:lang w:val="es-CO"/>
        </w:rPr>
        <w:t>ecido en el subnumeral 1.1. del presente Cap</w:t>
      </w:r>
      <w:r w:rsidR="00925A18" w:rsidRPr="002B1EC9">
        <w:rPr>
          <w:rFonts w:cs="Arial"/>
          <w:b/>
          <w:bCs/>
          <w:sz w:val="16"/>
          <w:szCs w:val="16"/>
          <w:lang w:val="es-CO"/>
        </w:rPr>
        <w:t>í</w:t>
      </w:r>
      <w:r w:rsidR="004622FC" w:rsidRPr="002B1EC9">
        <w:rPr>
          <w:rFonts w:cs="Arial"/>
          <w:b/>
          <w:bCs/>
          <w:sz w:val="16"/>
          <w:szCs w:val="16"/>
          <w:lang w:val="es-CO"/>
        </w:rPr>
        <w:t>tulo</w:t>
      </w:r>
      <w:r w:rsidR="007D0A06" w:rsidRPr="002B1EC9">
        <w:rPr>
          <w:rFonts w:cs="Arial"/>
          <w:b/>
          <w:bCs/>
          <w:sz w:val="16"/>
          <w:szCs w:val="16"/>
          <w:lang w:val="es-CO"/>
        </w:rPr>
        <w:t xml:space="preserve">, </w:t>
      </w:r>
      <w:r w:rsidR="00526FC4" w:rsidRPr="002B1EC9">
        <w:rPr>
          <w:rFonts w:cs="Arial"/>
          <w:b/>
          <w:bCs/>
          <w:sz w:val="16"/>
          <w:szCs w:val="16"/>
          <w:lang w:val="es-CO"/>
        </w:rPr>
        <w:t>las entidades asegurad</w:t>
      </w:r>
      <w:r w:rsidR="004622FC" w:rsidRPr="002B1EC9">
        <w:rPr>
          <w:rFonts w:cs="Arial"/>
          <w:b/>
          <w:bCs/>
          <w:sz w:val="16"/>
          <w:szCs w:val="16"/>
          <w:lang w:val="es-CO"/>
        </w:rPr>
        <w:t xml:space="preserve">oras </w:t>
      </w:r>
      <w:r w:rsidR="00707EF3" w:rsidRPr="002B1EC9">
        <w:rPr>
          <w:rFonts w:cs="Arial"/>
          <w:b/>
          <w:bCs/>
          <w:sz w:val="16"/>
          <w:szCs w:val="16"/>
          <w:lang w:val="es-CO"/>
        </w:rPr>
        <w:t>que pretend</w:t>
      </w:r>
      <w:r w:rsidR="00E83917" w:rsidRPr="002B1EC9">
        <w:rPr>
          <w:rFonts w:cs="Arial"/>
          <w:b/>
          <w:bCs/>
          <w:sz w:val="16"/>
          <w:szCs w:val="16"/>
          <w:lang w:val="es-CO"/>
        </w:rPr>
        <w:t>a</w:t>
      </w:r>
      <w:r w:rsidR="00707EF3" w:rsidRPr="002B1EC9">
        <w:rPr>
          <w:rFonts w:cs="Arial"/>
          <w:b/>
          <w:bCs/>
          <w:sz w:val="16"/>
          <w:szCs w:val="16"/>
          <w:lang w:val="es-CO"/>
        </w:rPr>
        <w:t xml:space="preserve">n ofrecer </w:t>
      </w:r>
      <w:r w:rsidR="00925A18" w:rsidRPr="002B1EC9">
        <w:rPr>
          <w:rFonts w:cs="Arial"/>
          <w:b/>
          <w:bCs/>
          <w:sz w:val="16"/>
          <w:szCs w:val="16"/>
          <w:lang w:val="es-CO"/>
        </w:rPr>
        <w:t>nuevas</w:t>
      </w:r>
      <w:r w:rsidR="00707EF3" w:rsidRPr="002B1EC9">
        <w:rPr>
          <w:rFonts w:cs="Arial"/>
          <w:b/>
          <w:bCs/>
          <w:sz w:val="16"/>
          <w:szCs w:val="16"/>
          <w:lang w:val="es-CO"/>
        </w:rPr>
        <w:t xml:space="preserve"> modalidades de renta vitalicia inmobi</w:t>
      </w:r>
      <w:r w:rsidR="0002296B" w:rsidRPr="002B1EC9">
        <w:rPr>
          <w:rFonts w:cs="Arial"/>
          <w:b/>
          <w:bCs/>
          <w:sz w:val="16"/>
          <w:szCs w:val="16"/>
          <w:lang w:val="es-CO"/>
        </w:rPr>
        <w:t>l</w:t>
      </w:r>
      <w:r w:rsidR="00707EF3" w:rsidRPr="002B1EC9">
        <w:rPr>
          <w:rFonts w:cs="Arial"/>
          <w:b/>
          <w:bCs/>
          <w:sz w:val="16"/>
          <w:szCs w:val="16"/>
          <w:lang w:val="es-CO"/>
        </w:rPr>
        <w:t>iaria diferentes a</w:t>
      </w:r>
      <w:r w:rsidR="00925A18" w:rsidRPr="002B1EC9">
        <w:rPr>
          <w:rFonts w:cs="Arial"/>
          <w:b/>
          <w:bCs/>
          <w:sz w:val="16"/>
          <w:szCs w:val="16"/>
          <w:lang w:val="es-CO"/>
        </w:rPr>
        <w:t xml:space="preserve"> las previstas en el artículo 2.31.7.1.2 del Decreto 2555 de 2010</w:t>
      </w:r>
      <w:r w:rsidR="00E83917" w:rsidRPr="002B1EC9">
        <w:rPr>
          <w:rFonts w:cs="Arial"/>
          <w:b/>
          <w:bCs/>
          <w:sz w:val="16"/>
          <w:szCs w:val="16"/>
          <w:lang w:val="es-CO"/>
        </w:rPr>
        <w:t xml:space="preserve"> </w:t>
      </w:r>
      <w:r w:rsidR="0002296B" w:rsidRPr="002B1EC9">
        <w:rPr>
          <w:rFonts w:cs="Arial"/>
          <w:b/>
          <w:bCs/>
          <w:sz w:val="16"/>
          <w:szCs w:val="16"/>
          <w:lang w:val="es-CO"/>
        </w:rPr>
        <w:t>deben contar con autorización previa de la SFC.</w:t>
      </w:r>
    </w:p>
    <w:p w14:paraId="2D3A3CEE" w14:textId="77777777" w:rsidR="00E832D5" w:rsidRPr="002B1EC9" w:rsidRDefault="00E832D5" w:rsidP="0008384B">
      <w:pPr>
        <w:pBdr>
          <w:left w:val="single" w:sz="4" w:space="1" w:color="auto"/>
        </w:pBdr>
        <w:tabs>
          <w:tab w:val="left" w:pos="720"/>
        </w:tabs>
        <w:adjustRightInd w:val="0"/>
        <w:jc w:val="both"/>
        <w:rPr>
          <w:rFonts w:cs="Arial"/>
          <w:b/>
          <w:bCs/>
          <w:sz w:val="16"/>
          <w:szCs w:val="16"/>
          <w:lang w:val="es-CO"/>
        </w:rPr>
      </w:pPr>
    </w:p>
    <w:p w14:paraId="672EDFB1" w14:textId="3F0B37E9" w:rsidR="00237391" w:rsidRDefault="00E832D5" w:rsidP="0008384B">
      <w:pPr>
        <w:pBdr>
          <w:left w:val="single" w:sz="4" w:space="1" w:color="auto"/>
        </w:pBdr>
        <w:tabs>
          <w:tab w:val="left" w:pos="720"/>
        </w:tabs>
        <w:adjustRightInd w:val="0"/>
        <w:jc w:val="both"/>
        <w:rPr>
          <w:rFonts w:cs="Arial"/>
          <w:b/>
          <w:bCs/>
          <w:sz w:val="16"/>
          <w:szCs w:val="16"/>
          <w:lang w:val="es-CO"/>
        </w:rPr>
      </w:pPr>
      <w:r w:rsidRPr="002B1EC9">
        <w:rPr>
          <w:rFonts w:cs="Arial"/>
          <w:b/>
          <w:bCs/>
          <w:sz w:val="16"/>
          <w:szCs w:val="16"/>
          <w:lang w:val="es-CO"/>
        </w:rPr>
        <w:t xml:space="preserve">Para tal efecto, en todos los casos se debe remitir un </w:t>
      </w:r>
      <w:r w:rsidR="00237391" w:rsidRPr="000D3FA7">
        <w:rPr>
          <w:rFonts w:cs="Arial"/>
          <w:b/>
          <w:bCs/>
          <w:sz w:val="16"/>
          <w:szCs w:val="16"/>
          <w:lang w:val="es-CO"/>
        </w:rPr>
        <w:t>ejemplar de la póliza con las condiciones aplicables a la nueva modalidad, así como la respectiva nota técnica, las cuales deben cumplir con la normatividad aplicable en relación con los modelos de las pólizas, tarifas, notas técnicas y anexos</w:t>
      </w:r>
      <w:r w:rsidR="00F222ED">
        <w:rPr>
          <w:rFonts w:cs="Arial"/>
          <w:b/>
          <w:bCs/>
          <w:sz w:val="16"/>
          <w:szCs w:val="16"/>
          <w:lang w:val="es-CO"/>
        </w:rPr>
        <w:t>.</w:t>
      </w:r>
      <w:r w:rsidR="00DE257F">
        <w:rPr>
          <w:rFonts w:cs="Arial"/>
          <w:b/>
          <w:bCs/>
          <w:sz w:val="16"/>
          <w:szCs w:val="16"/>
          <w:lang w:val="es-CO"/>
        </w:rPr>
        <w:t xml:space="preserve"> </w:t>
      </w:r>
      <w:r w:rsidR="00DE257F" w:rsidRPr="00756E43">
        <w:rPr>
          <w:rFonts w:cs="Arial"/>
          <w:b/>
          <w:bCs/>
          <w:sz w:val="16"/>
          <w:szCs w:val="16"/>
          <w:lang w:val="es-CO"/>
        </w:rPr>
        <w:t>Adicion</w:t>
      </w:r>
      <w:r w:rsidR="00DE257F" w:rsidRPr="00A12B14">
        <w:rPr>
          <w:rFonts w:cs="Arial"/>
          <w:b/>
          <w:bCs/>
          <w:sz w:val="16"/>
          <w:szCs w:val="16"/>
          <w:lang w:val="es-CO"/>
        </w:rPr>
        <w:t>almente, se debe adju</w:t>
      </w:r>
      <w:r w:rsidR="00477622" w:rsidRPr="00A12B14">
        <w:rPr>
          <w:rFonts w:cs="Arial"/>
          <w:b/>
          <w:bCs/>
          <w:sz w:val="16"/>
          <w:szCs w:val="16"/>
          <w:lang w:val="es-CO"/>
        </w:rPr>
        <w:t>n</w:t>
      </w:r>
      <w:r w:rsidR="00DE257F" w:rsidRPr="00A12B14">
        <w:rPr>
          <w:rFonts w:cs="Arial"/>
          <w:b/>
          <w:bCs/>
          <w:sz w:val="16"/>
          <w:szCs w:val="16"/>
          <w:lang w:val="es-CO"/>
        </w:rPr>
        <w:t xml:space="preserve">tar un documento prototipo </w:t>
      </w:r>
      <w:r w:rsidR="00691612" w:rsidRPr="00A12B14">
        <w:rPr>
          <w:rFonts w:cs="Arial"/>
          <w:b/>
          <w:bCs/>
          <w:sz w:val="16"/>
          <w:szCs w:val="16"/>
          <w:lang w:val="es-CO"/>
        </w:rPr>
        <w:t xml:space="preserve">en el </w:t>
      </w:r>
      <w:r w:rsidR="00E834A5">
        <w:rPr>
          <w:rFonts w:cs="Arial"/>
          <w:b/>
          <w:bCs/>
          <w:sz w:val="16"/>
          <w:szCs w:val="16"/>
          <w:lang w:val="es-CO"/>
        </w:rPr>
        <w:t>cual</w:t>
      </w:r>
      <w:r w:rsidR="00F07085">
        <w:rPr>
          <w:rFonts w:cs="Arial"/>
          <w:b/>
          <w:bCs/>
          <w:sz w:val="16"/>
          <w:szCs w:val="16"/>
          <w:lang w:val="es-CO"/>
        </w:rPr>
        <w:t xml:space="preserve"> </w:t>
      </w:r>
      <w:r w:rsidR="00691612" w:rsidRPr="00A12B14">
        <w:rPr>
          <w:rFonts w:cs="Arial"/>
          <w:b/>
          <w:bCs/>
          <w:sz w:val="16"/>
          <w:szCs w:val="16"/>
          <w:lang w:val="es-CO"/>
        </w:rPr>
        <w:t>conste la recomendación profesional</w:t>
      </w:r>
      <w:r w:rsidR="00477622" w:rsidRPr="00A12B14">
        <w:rPr>
          <w:rFonts w:cs="Arial"/>
          <w:b/>
          <w:bCs/>
          <w:sz w:val="16"/>
          <w:szCs w:val="16"/>
          <w:lang w:val="es-CO"/>
        </w:rPr>
        <w:t xml:space="preserve"> en un </w:t>
      </w:r>
      <w:r w:rsidR="00A12B14" w:rsidRPr="00A12B14">
        <w:rPr>
          <w:rFonts w:cs="Arial"/>
          <w:b/>
          <w:bCs/>
          <w:sz w:val="16"/>
          <w:szCs w:val="16"/>
          <w:lang w:val="es-CO"/>
        </w:rPr>
        <w:t>caso</w:t>
      </w:r>
      <w:r w:rsidR="00477622" w:rsidRPr="00A12B14">
        <w:rPr>
          <w:rFonts w:cs="Arial"/>
          <w:b/>
          <w:bCs/>
          <w:sz w:val="16"/>
          <w:szCs w:val="16"/>
          <w:lang w:val="es-CO"/>
        </w:rPr>
        <w:t xml:space="preserve"> hipot</w:t>
      </w:r>
      <w:r w:rsidR="00A12B14" w:rsidRPr="000D3FA7">
        <w:rPr>
          <w:rFonts w:cs="Arial"/>
          <w:b/>
          <w:bCs/>
          <w:sz w:val="16"/>
          <w:szCs w:val="16"/>
          <w:lang w:val="es-CO"/>
        </w:rPr>
        <w:t>é</w:t>
      </w:r>
      <w:r w:rsidR="00477622" w:rsidRPr="00756E43">
        <w:rPr>
          <w:rFonts w:cs="Arial"/>
          <w:b/>
          <w:bCs/>
          <w:sz w:val="16"/>
          <w:szCs w:val="16"/>
          <w:lang w:val="es-CO"/>
        </w:rPr>
        <w:t>tico</w:t>
      </w:r>
      <w:r w:rsidR="00F70C29">
        <w:rPr>
          <w:rFonts w:cs="Arial"/>
          <w:b/>
          <w:bCs/>
          <w:sz w:val="16"/>
          <w:szCs w:val="16"/>
          <w:lang w:val="es-CO"/>
        </w:rPr>
        <w:t xml:space="preserve"> con base a lo cual darían cumplimiento </w:t>
      </w:r>
      <w:r w:rsidR="00E92644">
        <w:rPr>
          <w:rFonts w:cs="Arial"/>
          <w:b/>
          <w:bCs/>
          <w:sz w:val="16"/>
          <w:szCs w:val="16"/>
          <w:lang w:val="es-CO"/>
        </w:rPr>
        <w:t xml:space="preserve">al subnumeral </w:t>
      </w:r>
      <w:r w:rsidR="00E92644" w:rsidRPr="002B1EC9">
        <w:rPr>
          <w:rFonts w:cs="Arial"/>
          <w:b/>
          <w:sz w:val="16"/>
          <w:szCs w:val="16"/>
        </w:rPr>
        <w:t>3.10.5.</w:t>
      </w:r>
      <w:r w:rsidR="00E92644">
        <w:rPr>
          <w:rFonts w:cs="Arial"/>
          <w:b/>
          <w:sz w:val="16"/>
          <w:szCs w:val="16"/>
        </w:rPr>
        <w:t>6</w:t>
      </w:r>
      <w:r w:rsidR="00E92644" w:rsidRPr="002B1EC9">
        <w:rPr>
          <w:rFonts w:cs="Arial"/>
          <w:b/>
          <w:sz w:val="16"/>
          <w:szCs w:val="16"/>
        </w:rPr>
        <w:t>.2.4.5</w:t>
      </w:r>
      <w:r w:rsidR="00E92644">
        <w:rPr>
          <w:rFonts w:cs="Arial"/>
          <w:b/>
          <w:sz w:val="16"/>
          <w:szCs w:val="16"/>
        </w:rPr>
        <w:t xml:space="preserve"> del presente Capítulo.</w:t>
      </w:r>
    </w:p>
    <w:p w14:paraId="43CF227B" w14:textId="77777777" w:rsidR="00070DFC" w:rsidRPr="002B1EC9" w:rsidRDefault="00070DFC" w:rsidP="0008384B">
      <w:pPr>
        <w:pBdr>
          <w:left w:val="single" w:sz="4" w:space="1" w:color="auto"/>
        </w:pBdr>
        <w:tabs>
          <w:tab w:val="left" w:pos="720"/>
        </w:tabs>
        <w:adjustRightInd w:val="0"/>
        <w:jc w:val="both"/>
        <w:rPr>
          <w:rFonts w:cs="Arial"/>
          <w:b/>
          <w:bCs/>
          <w:sz w:val="16"/>
          <w:szCs w:val="16"/>
          <w:lang w:val="es-CO"/>
        </w:rPr>
      </w:pPr>
    </w:p>
    <w:p w14:paraId="31826CFF" w14:textId="686993F2" w:rsidR="00E832D5" w:rsidRPr="002B1EC9" w:rsidRDefault="00E832D5" w:rsidP="0008384B">
      <w:pPr>
        <w:pBdr>
          <w:left w:val="single" w:sz="4" w:space="1" w:color="auto"/>
        </w:pBdr>
        <w:tabs>
          <w:tab w:val="left" w:pos="720"/>
        </w:tabs>
        <w:adjustRightInd w:val="0"/>
        <w:jc w:val="both"/>
        <w:rPr>
          <w:rFonts w:cs="Arial"/>
          <w:b/>
          <w:bCs/>
          <w:sz w:val="16"/>
          <w:szCs w:val="16"/>
          <w:lang w:val="es-CO"/>
        </w:rPr>
      </w:pPr>
      <w:r w:rsidRPr="002B1EC9">
        <w:rPr>
          <w:rFonts w:cs="Arial"/>
          <w:b/>
          <w:bCs/>
          <w:sz w:val="16"/>
          <w:szCs w:val="16"/>
          <w:lang w:val="es-CO"/>
        </w:rPr>
        <w:t xml:space="preserve">De igual forma, cualquier modificación que se pretenda realizar a las condiciones establecidas en </w:t>
      </w:r>
      <w:r w:rsidR="00070DFC" w:rsidRPr="002B1EC9">
        <w:rPr>
          <w:rFonts w:cs="Arial"/>
          <w:b/>
          <w:bCs/>
          <w:sz w:val="16"/>
          <w:szCs w:val="16"/>
          <w:lang w:val="es-CO"/>
        </w:rPr>
        <w:t>la nueva modalidad de renta vitalicia inmobiliaria</w:t>
      </w:r>
      <w:r w:rsidRPr="002B1EC9">
        <w:rPr>
          <w:rFonts w:cs="Arial"/>
          <w:b/>
          <w:bCs/>
          <w:sz w:val="16"/>
          <w:szCs w:val="16"/>
          <w:lang w:val="es-CO"/>
        </w:rPr>
        <w:t xml:space="preserve">, sus anexos </w:t>
      </w:r>
      <w:r w:rsidR="005B72B8">
        <w:rPr>
          <w:rFonts w:cs="Arial"/>
          <w:b/>
          <w:bCs/>
          <w:sz w:val="16"/>
          <w:szCs w:val="16"/>
          <w:lang w:val="es-CO"/>
        </w:rPr>
        <w:t>y/</w:t>
      </w:r>
      <w:r w:rsidRPr="002B1EC9">
        <w:rPr>
          <w:rFonts w:cs="Arial"/>
          <w:b/>
          <w:bCs/>
          <w:sz w:val="16"/>
          <w:szCs w:val="16"/>
          <w:lang w:val="es-CO"/>
        </w:rPr>
        <w:t xml:space="preserve">o a la nota técnica, se debe someter a autorización previa de la SFC. </w:t>
      </w:r>
    </w:p>
    <w:p w14:paraId="739C3911" w14:textId="77777777" w:rsidR="00E832D5" w:rsidRPr="002B1EC9" w:rsidRDefault="00E832D5" w:rsidP="0008384B">
      <w:pPr>
        <w:pBdr>
          <w:left w:val="single" w:sz="4" w:space="1" w:color="auto"/>
        </w:pBdr>
        <w:tabs>
          <w:tab w:val="left" w:pos="720"/>
        </w:tabs>
        <w:adjustRightInd w:val="0"/>
        <w:jc w:val="both"/>
        <w:rPr>
          <w:rFonts w:cs="Arial"/>
          <w:sz w:val="16"/>
          <w:szCs w:val="16"/>
          <w:lang w:val="es-CO"/>
        </w:rPr>
      </w:pPr>
    </w:p>
    <w:p w14:paraId="2E12982C" w14:textId="1E208687" w:rsidR="009C1558" w:rsidRPr="002B1EC9" w:rsidRDefault="00E832D5" w:rsidP="0008384B">
      <w:pPr>
        <w:pBdr>
          <w:left w:val="single" w:sz="4" w:space="1" w:color="auto"/>
        </w:pBdr>
        <w:tabs>
          <w:tab w:val="left" w:pos="720"/>
        </w:tabs>
        <w:adjustRightInd w:val="0"/>
        <w:jc w:val="both"/>
        <w:rPr>
          <w:rFonts w:cs="Arial"/>
          <w:b/>
          <w:bCs/>
          <w:sz w:val="16"/>
          <w:szCs w:val="16"/>
          <w:lang w:val="es-CO"/>
        </w:rPr>
      </w:pPr>
      <w:r w:rsidRPr="002B1EC9">
        <w:rPr>
          <w:rFonts w:cs="Arial"/>
          <w:b/>
          <w:bCs/>
          <w:sz w:val="16"/>
          <w:szCs w:val="16"/>
          <w:lang w:val="es-CO"/>
        </w:rPr>
        <w:t xml:space="preserve">La SFC en el ejercicio de sus facultades legales puede suspender la autorización </w:t>
      </w:r>
      <w:r w:rsidR="000C3D7A" w:rsidRPr="002B1EC9">
        <w:rPr>
          <w:rFonts w:cs="Arial"/>
          <w:b/>
          <w:bCs/>
          <w:sz w:val="16"/>
          <w:szCs w:val="16"/>
          <w:lang w:val="es-CO"/>
        </w:rPr>
        <w:t xml:space="preserve">del ofrecimiento de las nuevas modalidades de renta vitalicia inmobiliaria, en el evento en que la entidad aseguradora </w:t>
      </w:r>
      <w:r w:rsidR="0008384B" w:rsidRPr="002B1EC9">
        <w:rPr>
          <w:rFonts w:cs="Arial"/>
          <w:b/>
          <w:bCs/>
          <w:sz w:val="16"/>
          <w:szCs w:val="16"/>
          <w:lang w:val="es-CO"/>
        </w:rPr>
        <w:t xml:space="preserve">decida no </w:t>
      </w:r>
      <w:r w:rsidR="00A84756" w:rsidRPr="002B1EC9">
        <w:rPr>
          <w:rFonts w:cs="Arial"/>
          <w:b/>
          <w:bCs/>
          <w:sz w:val="16"/>
          <w:szCs w:val="16"/>
          <w:lang w:val="es-CO"/>
        </w:rPr>
        <w:t>comercializar</w:t>
      </w:r>
      <w:r w:rsidR="0008384B" w:rsidRPr="002B1EC9">
        <w:rPr>
          <w:rFonts w:cs="Arial"/>
          <w:b/>
          <w:bCs/>
          <w:sz w:val="16"/>
          <w:szCs w:val="16"/>
          <w:lang w:val="es-CO"/>
        </w:rPr>
        <w:t xml:space="preserve"> dicha modalidad durante un ti</w:t>
      </w:r>
      <w:r w:rsidR="00A84756" w:rsidRPr="002B1EC9">
        <w:rPr>
          <w:rFonts w:cs="Arial"/>
          <w:b/>
          <w:bCs/>
          <w:sz w:val="16"/>
          <w:szCs w:val="16"/>
          <w:lang w:val="es-CO"/>
        </w:rPr>
        <w:t>e</w:t>
      </w:r>
      <w:r w:rsidR="0008384B" w:rsidRPr="002B1EC9">
        <w:rPr>
          <w:rFonts w:cs="Arial"/>
          <w:b/>
          <w:bCs/>
          <w:sz w:val="16"/>
          <w:szCs w:val="16"/>
          <w:lang w:val="es-CO"/>
        </w:rPr>
        <w:t>mpo igual o superior a seis (6) meses.</w:t>
      </w:r>
    </w:p>
    <w:p w14:paraId="25CF7FE1" w14:textId="77777777" w:rsidR="004F25F3" w:rsidRPr="002B1EC9" w:rsidRDefault="004F25F3" w:rsidP="00D66BDF">
      <w:pPr>
        <w:pStyle w:val="Ttulo2"/>
        <w:keepNext w:val="0"/>
        <w:numPr>
          <w:ilvl w:val="0"/>
          <w:numId w:val="0"/>
        </w:numPr>
        <w:rPr>
          <w:szCs w:val="16"/>
        </w:rPr>
      </w:pPr>
    </w:p>
    <w:p w14:paraId="4B6E4EA8" w14:textId="77777777" w:rsidR="00B10D26" w:rsidRPr="002B1EC9" w:rsidRDefault="00B10D26" w:rsidP="000C014B">
      <w:pPr>
        <w:pStyle w:val="Ttulo2"/>
        <w:keepNext w:val="0"/>
        <w:numPr>
          <w:ilvl w:val="0"/>
          <w:numId w:val="0"/>
        </w:numPr>
        <w:rPr>
          <w:szCs w:val="16"/>
        </w:rPr>
      </w:pPr>
      <w:r w:rsidRPr="002B1EC9">
        <w:rPr>
          <w:szCs w:val="16"/>
        </w:rPr>
        <w:t>3.11. Reglas aplicables al Seguro de Beneficios Económicos Periódicos - BEPS</w:t>
      </w:r>
      <w:bookmarkEnd w:id="0"/>
    </w:p>
    <w:p w14:paraId="61CC5CB8" w14:textId="77777777" w:rsidR="00B10D26" w:rsidRPr="002B1EC9" w:rsidRDefault="00B10D26" w:rsidP="00BE660C">
      <w:pPr>
        <w:tabs>
          <w:tab w:val="left" w:pos="720"/>
          <w:tab w:val="left" w:pos="1064"/>
          <w:tab w:val="left" w:pos="2057"/>
        </w:tabs>
        <w:ind w:right="51"/>
        <w:jc w:val="both"/>
        <w:rPr>
          <w:rFonts w:cs="Arial"/>
          <w:b/>
          <w:sz w:val="16"/>
          <w:szCs w:val="16"/>
        </w:rPr>
      </w:pPr>
    </w:p>
    <w:p w14:paraId="780DE8F0" w14:textId="77777777" w:rsidR="00B10D26" w:rsidRPr="002B1EC9" w:rsidRDefault="00B10D26" w:rsidP="00BE660C">
      <w:pPr>
        <w:tabs>
          <w:tab w:val="left" w:pos="720"/>
          <w:tab w:val="left" w:pos="1064"/>
          <w:tab w:val="left" w:pos="2057"/>
        </w:tabs>
        <w:ind w:right="51"/>
        <w:jc w:val="both"/>
        <w:rPr>
          <w:rFonts w:cs="Arial"/>
          <w:sz w:val="16"/>
          <w:szCs w:val="16"/>
        </w:rPr>
      </w:pPr>
      <w:r w:rsidRPr="002B1EC9">
        <w:rPr>
          <w:rFonts w:cs="Arial"/>
          <w:sz w:val="16"/>
          <w:szCs w:val="16"/>
        </w:rPr>
        <w:t xml:space="preserve">De conformidad con lo dispuesto en el art. 48 de la Constitución Política, en el art. 87 de la Ley 1328 de 2009 y </w:t>
      </w:r>
      <w:r w:rsidR="00356E1E" w:rsidRPr="002B1EC9">
        <w:rPr>
          <w:rFonts w:cs="Arial"/>
          <w:sz w:val="16"/>
          <w:szCs w:val="16"/>
        </w:rPr>
        <w:t xml:space="preserve">en </w:t>
      </w:r>
      <w:r w:rsidRPr="002B1EC9">
        <w:rPr>
          <w:rFonts w:cs="Arial"/>
          <w:sz w:val="16"/>
          <w:szCs w:val="16"/>
        </w:rPr>
        <w:t xml:space="preserve">el Decreto 0604 de 2013, el </w:t>
      </w:r>
      <w:r w:rsidR="00356E1E" w:rsidRPr="002B1EC9">
        <w:rPr>
          <w:rFonts w:cs="Arial"/>
          <w:sz w:val="16"/>
          <w:szCs w:val="16"/>
        </w:rPr>
        <w:t>s</w:t>
      </w:r>
      <w:r w:rsidRPr="002B1EC9">
        <w:rPr>
          <w:rFonts w:cs="Arial"/>
          <w:sz w:val="16"/>
          <w:szCs w:val="16"/>
        </w:rPr>
        <w:t xml:space="preserve">ervicio </w:t>
      </w:r>
      <w:r w:rsidR="00356E1E" w:rsidRPr="002B1EC9">
        <w:rPr>
          <w:rFonts w:cs="Arial"/>
          <w:sz w:val="16"/>
          <w:szCs w:val="16"/>
        </w:rPr>
        <w:t>s</w:t>
      </w:r>
      <w:r w:rsidRPr="002B1EC9">
        <w:rPr>
          <w:rFonts w:cs="Arial"/>
          <w:sz w:val="16"/>
          <w:szCs w:val="16"/>
        </w:rPr>
        <w:t xml:space="preserve">ocial </w:t>
      </w:r>
      <w:r w:rsidR="00356E1E" w:rsidRPr="002B1EC9">
        <w:rPr>
          <w:rFonts w:cs="Arial"/>
          <w:sz w:val="16"/>
          <w:szCs w:val="16"/>
        </w:rPr>
        <w:t>c</w:t>
      </w:r>
      <w:r w:rsidRPr="002B1EC9">
        <w:rPr>
          <w:rFonts w:cs="Arial"/>
          <w:sz w:val="16"/>
          <w:szCs w:val="16"/>
        </w:rPr>
        <w:t xml:space="preserve">omplementario de </w:t>
      </w:r>
      <w:r w:rsidR="00356E1E" w:rsidRPr="002B1EC9">
        <w:rPr>
          <w:rFonts w:cs="Arial"/>
          <w:sz w:val="16"/>
          <w:szCs w:val="16"/>
        </w:rPr>
        <w:t>b</w:t>
      </w:r>
      <w:r w:rsidRPr="002B1EC9">
        <w:rPr>
          <w:rFonts w:cs="Arial"/>
          <w:sz w:val="16"/>
          <w:szCs w:val="16"/>
        </w:rPr>
        <w:t xml:space="preserve">eneficios </w:t>
      </w:r>
      <w:r w:rsidR="00356E1E" w:rsidRPr="002B1EC9">
        <w:rPr>
          <w:rFonts w:cs="Arial"/>
          <w:sz w:val="16"/>
          <w:szCs w:val="16"/>
        </w:rPr>
        <w:t>e</w:t>
      </w:r>
      <w:r w:rsidRPr="002B1EC9">
        <w:rPr>
          <w:rFonts w:cs="Arial"/>
          <w:sz w:val="16"/>
          <w:szCs w:val="16"/>
        </w:rPr>
        <w:t xml:space="preserve">conómicos </w:t>
      </w:r>
      <w:r w:rsidR="00356E1E" w:rsidRPr="002B1EC9">
        <w:rPr>
          <w:rFonts w:cs="Arial"/>
          <w:sz w:val="16"/>
          <w:szCs w:val="16"/>
        </w:rPr>
        <w:t>p</w:t>
      </w:r>
      <w:r w:rsidRPr="002B1EC9">
        <w:rPr>
          <w:rFonts w:cs="Arial"/>
          <w:sz w:val="16"/>
          <w:szCs w:val="16"/>
        </w:rPr>
        <w:t xml:space="preserve">eriódicos - BEPS permite mediante la contratación de una anualidad vitalicia, conceder beneficios económicos periódicos inferiores al salario mínimo mensual legal vigente, a aquellas personas que se encuentren vinculadas a la administradora del mecanismo BEPS y no cumplan con las condiciones requeridas para tener derecho a una pensión. En virtud de lo anterior, las </w:t>
      </w:r>
      <w:r w:rsidR="00535EFF" w:rsidRPr="002B1EC9">
        <w:rPr>
          <w:rFonts w:cs="Arial"/>
          <w:sz w:val="16"/>
          <w:szCs w:val="16"/>
        </w:rPr>
        <w:t>aseguradora</w:t>
      </w:r>
      <w:r w:rsidRPr="002B1EC9">
        <w:rPr>
          <w:rFonts w:cs="Arial"/>
          <w:sz w:val="16"/>
          <w:szCs w:val="16"/>
        </w:rPr>
        <w:t>s de vida que decidan</w:t>
      </w:r>
      <w:r w:rsidRPr="002B1EC9">
        <w:rPr>
          <w:rFonts w:cs="Arial"/>
          <w:color w:val="000000"/>
          <w:sz w:val="16"/>
          <w:szCs w:val="16"/>
        </w:rPr>
        <w:t xml:space="preserve"> ofrecer la anualidad vitalicia mediante el ramo de seguros BEPS,</w:t>
      </w:r>
      <w:r w:rsidRPr="002B1EC9">
        <w:rPr>
          <w:rFonts w:cs="Arial"/>
          <w:sz w:val="16"/>
          <w:szCs w:val="16"/>
        </w:rPr>
        <w:t xml:space="preserve"> deben atender las siguientes instrucciones:</w:t>
      </w:r>
    </w:p>
    <w:p w14:paraId="48AE472F" w14:textId="77777777" w:rsidR="00B10D26" w:rsidRPr="002B1EC9" w:rsidRDefault="00B10D26" w:rsidP="00BE660C">
      <w:pPr>
        <w:tabs>
          <w:tab w:val="left" w:pos="720"/>
          <w:tab w:val="left" w:pos="1064"/>
          <w:tab w:val="left" w:pos="2057"/>
        </w:tabs>
        <w:ind w:right="51"/>
        <w:jc w:val="both"/>
        <w:rPr>
          <w:rFonts w:cs="Arial"/>
          <w:sz w:val="16"/>
          <w:szCs w:val="16"/>
        </w:rPr>
      </w:pPr>
    </w:p>
    <w:p w14:paraId="60EDA3A0" w14:textId="77777777" w:rsidR="00B10D26" w:rsidRPr="002B1EC9" w:rsidRDefault="00B10D26" w:rsidP="00BE660C">
      <w:pPr>
        <w:tabs>
          <w:tab w:val="left" w:pos="720"/>
          <w:tab w:val="left" w:pos="1064"/>
          <w:tab w:val="left" w:pos="2057"/>
        </w:tabs>
        <w:ind w:right="51"/>
        <w:jc w:val="both"/>
        <w:rPr>
          <w:rFonts w:cs="Arial"/>
          <w:sz w:val="16"/>
          <w:szCs w:val="16"/>
        </w:rPr>
      </w:pPr>
      <w:r w:rsidRPr="002B1EC9">
        <w:rPr>
          <w:rFonts w:cs="Arial"/>
          <w:sz w:val="16"/>
          <w:szCs w:val="16"/>
        </w:rPr>
        <w:t xml:space="preserve">3.11.1. Nota </w:t>
      </w:r>
      <w:r w:rsidR="00F260AB" w:rsidRPr="002B1EC9">
        <w:rPr>
          <w:rFonts w:cs="Arial"/>
          <w:sz w:val="16"/>
          <w:szCs w:val="16"/>
        </w:rPr>
        <w:t>t</w:t>
      </w:r>
      <w:r w:rsidRPr="002B1EC9">
        <w:rPr>
          <w:rFonts w:cs="Arial"/>
          <w:sz w:val="16"/>
          <w:szCs w:val="16"/>
        </w:rPr>
        <w:t xml:space="preserve">écnica </w:t>
      </w:r>
    </w:p>
    <w:p w14:paraId="17AB0AE4" w14:textId="77777777" w:rsidR="00B10D26" w:rsidRPr="002B1EC9" w:rsidRDefault="00B10D26" w:rsidP="00BE660C">
      <w:pPr>
        <w:tabs>
          <w:tab w:val="left" w:pos="720"/>
          <w:tab w:val="left" w:pos="1064"/>
          <w:tab w:val="left" w:pos="2057"/>
        </w:tabs>
        <w:ind w:right="51"/>
        <w:jc w:val="both"/>
        <w:rPr>
          <w:rFonts w:cs="Arial"/>
          <w:sz w:val="16"/>
          <w:szCs w:val="16"/>
        </w:rPr>
      </w:pPr>
    </w:p>
    <w:p w14:paraId="17CD9789" w14:textId="77777777" w:rsidR="00B10D26" w:rsidRPr="002B1EC9" w:rsidRDefault="00B10D26" w:rsidP="00BE660C">
      <w:pPr>
        <w:tabs>
          <w:tab w:val="left" w:pos="720"/>
          <w:tab w:val="left" w:pos="1064"/>
          <w:tab w:val="left" w:pos="2057"/>
        </w:tabs>
        <w:ind w:right="51"/>
        <w:jc w:val="both"/>
        <w:rPr>
          <w:rFonts w:cs="Arial"/>
          <w:sz w:val="16"/>
          <w:szCs w:val="16"/>
        </w:rPr>
      </w:pPr>
      <w:r w:rsidRPr="002B1EC9">
        <w:rPr>
          <w:rFonts w:cs="Arial"/>
          <w:sz w:val="16"/>
          <w:szCs w:val="16"/>
        </w:rPr>
        <w:t xml:space="preserve">De conformidad con las facultades otorgadas a esta Superintendencia en el art. 24 A del Decreto 0604 de 2013, se adopta la nota técnica para el ramo de seguros BEPS en </w:t>
      </w:r>
      <w:r w:rsidR="00BB7D9F" w:rsidRPr="002B1EC9">
        <w:rPr>
          <w:rFonts w:cs="Arial"/>
          <w:sz w:val="16"/>
          <w:szCs w:val="16"/>
        </w:rPr>
        <w:t>el a</w:t>
      </w:r>
      <w:r w:rsidRPr="002B1EC9">
        <w:rPr>
          <w:rFonts w:cs="Arial"/>
          <w:sz w:val="16"/>
          <w:szCs w:val="16"/>
        </w:rPr>
        <w:t xml:space="preserve">nexo 9 del presente </w:t>
      </w:r>
      <w:r w:rsidR="00F260AB" w:rsidRPr="002B1EC9">
        <w:rPr>
          <w:rFonts w:cs="Arial"/>
          <w:sz w:val="16"/>
          <w:szCs w:val="16"/>
        </w:rPr>
        <w:t>Capítulo</w:t>
      </w:r>
      <w:r w:rsidRPr="002B1EC9">
        <w:rPr>
          <w:rFonts w:cs="Arial"/>
          <w:sz w:val="16"/>
          <w:szCs w:val="16"/>
        </w:rPr>
        <w:t>, la cual describe y sustenta la metodología utilizada para el cálculo de las primas y reservas técnicas del ramo.</w:t>
      </w:r>
    </w:p>
    <w:p w14:paraId="453B19EB" w14:textId="77777777" w:rsidR="00B10D26" w:rsidRPr="002B1EC9" w:rsidRDefault="00B10D26" w:rsidP="00BE660C">
      <w:pPr>
        <w:tabs>
          <w:tab w:val="left" w:pos="720"/>
          <w:tab w:val="left" w:pos="1064"/>
          <w:tab w:val="left" w:pos="2057"/>
        </w:tabs>
        <w:ind w:right="51"/>
        <w:jc w:val="both"/>
        <w:rPr>
          <w:rFonts w:cs="Arial"/>
          <w:sz w:val="16"/>
          <w:szCs w:val="16"/>
        </w:rPr>
      </w:pPr>
    </w:p>
    <w:p w14:paraId="075E1A3A" w14:textId="77777777" w:rsidR="00B10D26" w:rsidRPr="002B1EC9" w:rsidRDefault="00B10D26" w:rsidP="00BE660C">
      <w:pPr>
        <w:tabs>
          <w:tab w:val="left" w:pos="720"/>
          <w:tab w:val="left" w:pos="1064"/>
          <w:tab w:val="left" w:pos="2057"/>
        </w:tabs>
        <w:ind w:right="51"/>
        <w:jc w:val="both"/>
        <w:rPr>
          <w:rFonts w:cs="Arial"/>
          <w:sz w:val="16"/>
          <w:szCs w:val="16"/>
        </w:rPr>
      </w:pPr>
      <w:r w:rsidRPr="002B1EC9">
        <w:rPr>
          <w:rFonts w:cs="Arial"/>
          <w:sz w:val="16"/>
          <w:szCs w:val="16"/>
        </w:rPr>
        <w:t xml:space="preserve">3.11.2. Autorización </w:t>
      </w:r>
      <w:r w:rsidR="00F260AB" w:rsidRPr="002B1EC9">
        <w:rPr>
          <w:rFonts w:cs="Arial"/>
          <w:sz w:val="16"/>
          <w:szCs w:val="16"/>
        </w:rPr>
        <w:t>e</w:t>
      </w:r>
      <w:r w:rsidRPr="002B1EC9">
        <w:rPr>
          <w:rFonts w:cs="Arial"/>
          <w:sz w:val="16"/>
          <w:szCs w:val="16"/>
        </w:rPr>
        <w:t xml:space="preserve">special del </w:t>
      </w:r>
      <w:r w:rsidR="00F260AB" w:rsidRPr="002B1EC9">
        <w:rPr>
          <w:rFonts w:cs="Arial"/>
          <w:sz w:val="16"/>
          <w:szCs w:val="16"/>
        </w:rPr>
        <w:t>r</w:t>
      </w:r>
      <w:r w:rsidRPr="002B1EC9">
        <w:rPr>
          <w:rFonts w:cs="Arial"/>
          <w:sz w:val="16"/>
          <w:szCs w:val="16"/>
        </w:rPr>
        <w:t xml:space="preserve">amo de </w:t>
      </w:r>
      <w:r w:rsidR="00F260AB" w:rsidRPr="002B1EC9">
        <w:rPr>
          <w:rFonts w:cs="Arial"/>
          <w:sz w:val="16"/>
          <w:szCs w:val="16"/>
        </w:rPr>
        <w:t>s</w:t>
      </w:r>
      <w:r w:rsidRPr="002B1EC9">
        <w:rPr>
          <w:rFonts w:cs="Arial"/>
          <w:sz w:val="16"/>
          <w:szCs w:val="16"/>
        </w:rPr>
        <w:t>eguro BEP</w:t>
      </w:r>
      <w:r w:rsidRPr="002B1EC9">
        <w:rPr>
          <w:rFonts w:cs="Arial"/>
          <w:color w:val="000000"/>
          <w:sz w:val="16"/>
          <w:szCs w:val="16"/>
        </w:rPr>
        <w:t>S</w:t>
      </w:r>
      <w:r w:rsidRPr="002B1EC9">
        <w:rPr>
          <w:rFonts w:cs="Arial"/>
          <w:sz w:val="16"/>
          <w:szCs w:val="16"/>
        </w:rPr>
        <w:t xml:space="preserve"> </w:t>
      </w:r>
    </w:p>
    <w:p w14:paraId="4020CBFB" w14:textId="77777777" w:rsidR="00B10D26" w:rsidRPr="002B1EC9" w:rsidRDefault="00B10D26" w:rsidP="00BE660C">
      <w:pPr>
        <w:tabs>
          <w:tab w:val="left" w:pos="720"/>
          <w:tab w:val="left" w:pos="1064"/>
          <w:tab w:val="left" w:pos="2057"/>
        </w:tabs>
        <w:ind w:right="51"/>
        <w:jc w:val="both"/>
        <w:rPr>
          <w:rFonts w:cs="Arial"/>
          <w:sz w:val="16"/>
          <w:szCs w:val="16"/>
        </w:rPr>
      </w:pPr>
    </w:p>
    <w:p w14:paraId="453E3CC4" w14:textId="77777777" w:rsidR="0015138B" w:rsidRPr="002B1EC9" w:rsidRDefault="00B10D26" w:rsidP="00BE660C">
      <w:pPr>
        <w:tabs>
          <w:tab w:val="left" w:pos="720"/>
          <w:tab w:val="left" w:pos="1064"/>
          <w:tab w:val="left" w:pos="2057"/>
        </w:tabs>
        <w:ind w:right="51"/>
        <w:jc w:val="both"/>
        <w:rPr>
          <w:rFonts w:cs="Arial"/>
          <w:sz w:val="16"/>
          <w:szCs w:val="16"/>
        </w:rPr>
      </w:pPr>
      <w:r w:rsidRPr="002B1EC9">
        <w:rPr>
          <w:rFonts w:cs="Arial"/>
          <w:sz w:val="16"/>
          <w:szCs w:val="16"/>
        </w:rPr>
        <w:t xml:space="preserve">Las entidades aseguradoras de vida que tengan </w:t>
      </w:r>
      <w:r w:rsidR="00BB7D9F" w:rsidRPr="002B1EC9">
        <w:rPr>
          <w:rFonts w:cs="Arial"/>
          <w:sz w:val="16"/>
          <w:szCs w:val="16"/>
        </w:rPr>
        <w:t>aprobado el ramo de seguros de p</w:t>
      </w:r>
      <w:r w:rsidRPr="002B1EC9">
        <w:rPr>
          <w:rFonts w:cs="Arial"/>
          <w:sz w:val="16"/>
          <w:szCs w:val="16"/>
        </w:rPr>
        <w:t>ensiones Ley 100, no están obligadas a acreditar el cumplimiento de las reglas para la autorización de los ramos de seguros establecidas</w:t>
      </w:r>
      <w:r w:rsidR="00F743DD" w:rsidRPr="002B1EC9">
        <w:rPr>
          <w:rFonts w:cs="Arial"/>
          <w:sz w:val="16"/>
          <w:szCs w:val="16"/>
        </w:rPr>
        <w:t xml:space="preserve"> en</w:t>
      </w:r>
      <w:r w:rsidRPr="002B1EC9">
        <w:rPr>
          <w:rFonts w:cs="Arial"/>
          <w:sz w:val="16"/>
          <w:szCs w:val="16"/>
        </w:rPr>
        <w:t xml:space="preserve"> </w:t>
      </w:r>
      <w:r w:rsidR="008C2BF8" w:rsidRPr="002B1EC9">
        <w:rPr>
          <w:rFonts w:cs="Arial"/>
          <w:sz w:val="16"/>
          <w:szCs w:val="16"/>
        </w:rPr>
        <w:t>la lista de chequeo en cuanto hace al estudio de mercado y a la incidencia técnica financiera y administrativa</w:t>
      </w:r>
      <w:r w:rsidR="001D365B" w:rsidRPr="002B1EC9">
        <w:rPr>
          <w:rFonts w:cs="Arial"/>
          <w:sz w:val="16"/>
          <w:szCs w:val="16"/>
        </w:rPr>
        <w:t xml:space="preserve"> que ocasiona la apertura del ramo,</w:t>
      </w:r>
      <w:r w:rsidRPr="002B1EC9">
        <w:rPr>
          <w:rFonts w:cs="Arial"/>
          <w:sz w:val="16"/>
          <w:szCs w:val="16"/>
        </w:rPr>
        <w:t xml:space="preserve"> </w:t>
      </w:r>
      <w:r w:rsidRPr="002B1EC9">
        <w:rPr>
          <w:rFonts w:cs="Arial"/>
          <w:color w:val="000000"/>
          <w:sz w:val="16"/>
          <w:szCs w:val="16"/>
        </w:rPr>
        <w:t xml:space="preserve">salvo lo dispuesto en </w:t>
      </w:r>
      <w:r w:rsidR="001D365B" w:rsidRPr="002B1EC9">
        <w:rPr>
          <w:rFonts w:cs="Arial"/>
          <w:sz w:val="16"/>
          <w:szCs w:val="16"/>
        </w:rPr>
        <w:t>cuanto a las proyecciones de los resultados esperados para los 3 primeros años de operación del producto y su incidencia en los indicadores de capital mínimo, margen de solvencia, patrimonio requerido por ramos y patrimonio técnico</w:t>
      </w:r>
      <w:r w:rsidR="006C38CD" w:rsidRPr="002B1EC9">
        <w:rPr>
          <w:rFonts w:cs="Arial"/>
          <w:sz w:val="16"/>
          <w:szCs w:val="16"/>
        </w:rPr>
        <w:t xml:space="preserve"> a que se refiere el numeral</w:t>
      </w:r>
      <w:r w:rsidR="0015138B" w:rsidRPr="002B1EC9">
        <w:rPr>
          <w:rFonts w:cs="Arial"/>
          <w:sz w:val="16"/>
          <w:szCs w:val="16"/>
        </w:rPr>
        <w:t xml:space="preserve"> 4 de la lista de chequeo identificada con el código M-LC-AUT-027.</w:t>
      </w:r>
      <w:r w:rsidR="006C38CD" w:rsidRPr="002B1EC9">
        <w:rPr>
          <w:rFonts w:cs="Arial"/>
          <w:sz w:val="16"/>
          <w:szCs w:val="16"/>
        </w:rPr>
        <w:t xml:space="preserve"> </w:t>
      </w:r>
    </w:p>
    <w:p w14:paraId="7FAE0A35" w14:textId="77777777" w:rsidR="0015138B" w:rsidRPr="002B1EC9" w:rsidRDefault="0015138B" w:rsidP="00BE660C">
      <w:pPr>
        <w:tabs>
          <w:tab w:val="left" w:pos="720"/>
          <w:tab w:val="left" w:pos="1064"/>
          <w:tab w:val="left" w:pos="2057"/>
        </w:tabs>
        <w:ind w:right="51"/>
        <w:jc w:val="both"/>
        <w:rPr>
          <w:rFonts w:cs="Arial"/>
          <w:sz w:val="16"/>
          <w:szCs w:val="16"/>
        </w:rPr>
      </w:pPr>
    </w:p>
    <w:p w14:paraId="52CA9FBE" w14:textId="77777777" w:rsidR="00B10D26" w:rsidRPr="002B1EC9" w:rsidRDefault="0015138B" w:rsidP="00BE660C">
      <w:pPr>
        <w:tabs>
          <w:tab w:val="left" w:pos="720"/>
          <w:tab w:val="left" w:pos="1064"/>
          <w:tab w:val="left" w:pos="2057"/>
        </w:tabs>
        <w:ind w:right="51"/>
        <w:jc w:val="both"/>
        <w:rPr>
          <w:rFonts w:cs="Arial"/>
          <w:color w:val="000000"/>
          <w:sz w:val="16"/>
          <w:szCs w:val="16"/>
        </w:rPr>
      </w:pPr>
      <w:r w:rsidRPr="002B1EC9">
        <w:rPr>
          <w:rFonts w:cs="Arial"/>
          <w:color w:val="000000"/>
          <w:sz w:val="16"/>
          <w:szCs w:val="16"/>
        </w:rPr>
        <w:t xml:space="preserve"> </w:t>
      </w:r>
      <w:r w:rsidR="00B10D26" w:rsidRPr="002B1EC9">
        <w:rPr>
          <w:rFonts w:cs="Arial"/>
          <w:color w:val="000000"/>
          <w:sz w:val="16"/>
          <w:szCs w:val="16"/>
        </w:rPr>
        <w:t>Las demás entidades aseguradoras deb</w:t>
      </w:r>
      <w:r w:rsidR="00F260AB" w:rsidRPr="002B1EC9">
        <w:rPr>
          <w:rFonts w:cs="Arial"/>
          <w:color w:val="000000"/>
          <w:sz w:val="16"/>
          <w:szCs w:val="16"/>
        </w:rPr>
        <w:t>e</w:t>
      </w:r>
      <w:r w:rsidR="00B10D26" w:rsidRPr="002B1EC9">
        <w:rPr>
          <w:rFonts w:cs="Arial"/>
          <w:color w:val="000000"/>
          <w:sz w:val="16"/>
          <w:szCs w:val="16"/>
        </w:rPr>
        <w:t>n atender el régimen general de autorización.</w:t>
      </w:r>
    </w:p>
    <w:p w14:paraId="425F2C0B" w14:textId="77777777" w:rsidR="00B10D26" w:rsidRPr="002B1EC9" w:rsidRDefault="00B10D26" w:rsidP="00BE660C">
      <w:pPr>
        <w:tabs>
          <w:tab w:val="left" w:pos="720"/>
          <w:tab w:val="left" w:pos="1064"/>
          <w:tab w:val="left" w:pos="2057"/>
        </w:tabs>
        <w:ind w:right="51"/>
        <w:jc w:val="both"/>
        <w:rPr>
          <w:rFonts w:cs="Arial"/>
          <w:sz w:val="16"/>
          <w:szCs w:val="16"/>
        </w:rPr>
      </w:pPr>
    </w:p>
    <w:p w14:paraId="58296AAD" w14:textId="77777777" w:rsidR="00B10D26" w:rsidRPr="002B1EC9" w:rsidRDefault="00B10D26" w:rsidP="00BE660C">
      <w:pPr>
        <w:tabs>
          <w:tab w:val="left" w:pos="720"/>
          <w:tab w:val="left" w:pos="1064"/>
          <w:tab w:val="left" w:pos="2057"/>
        </w:tabs>
        <w:ind w:right="356"/>
        <w:jc w:val="both"/>
        <w:rPr>
          <w:rFonts w:cs="Arial"/>
          <w:sz w:val="16"/>
          <w:szCs w:val="16"/>
        </w:rPr>
      </w:pPr>
      <w:r w:rsidRPr="002B1EC9">
        <w:rPr>
          <w:rFonts w:cs="Arial"/>
          <w:sz w:val="16"/>
          <w:szCs w:val="16"/>
        </w:rPr>
        <w:t xml:space="preserve">3.11.3. Condiciones </w:t>
      </w:r>
      <w:r w:rsidR="00F260AB" w:rsidRPr="002B1EC9">
        <w:rPr>
          <w:rFonts w:cs="Arial"/>
          <w:sz w:val="16"/>
          <w:szCs w:val="16"/>
        </w:rPr>
        <w:t>g</w:t>
      </w:r>
      <w:r w:rsidRPr="002B1EC9">
        <w:rPr>
          <w:rFonts w:cs="Arial"/>
          <w:sz w:val="16"/>
          <w:szCs w:val="16"/>
        </w:rPr>
        <w:t xml:space="preserve">enerales de la </w:t>
      </w:r>
      <w:r w:rsidR="00F260AB" w:rsidRPr="002B1EC9">
        <w:rPr>
          <w:rFonts w:cs="Arial"/>
          <w:sz w:val="16"/>
          <w:szCs w:val="16"/>
        </w:rPr>
        <w:t>p</w:t>
      </w:r>
      <w:r w:rsidRPr="002B1EC9">
        <w:rPr>
          <w:rFonts w:cs="Arial"/>
          <w:sz w:val="16"/>
          <w:szCs w:val="16"/>
        </w:rPr>
        <w:t>óliza</w:t>
      </w:r>
    </w:p>
    <w:p w14:paraId="47EE5008" w14:textId="77777777" w:rsidR="00B10D26" w:rsidRPr="002B1EC9" w:rsidRDefault="00B10D26" w:rsidP="00BE660C">
      <w:pPr>
        <w:tabs>
          <w:tab w:val="left" w:pos="720"/>
          <w:tab w:val="left" w:pos="1064"/>
          <w:tab w:val="left" w:pos="2057"/>
        </w:tabs>
        <w:ind w:right="356"/>
        <w:jc w:val="both"/>
        <w:rPr>
          <w:rFonts w:cs="Arial"/>
          <w:sz w:val="16"/>
          <w:szCs w:val="16"/>
        </w:rPr>
      </w:pPr>
    </w:p>
    <w:p w14:paraId="1C810CF0" w14:textId="77777777" w:rsidR="00B10D26" w:rsidRPr="002B1EC9" w:rsidRDefault="00B10D26" w:rsidP="00BE660C">
      <w:pPr>
        <w:tabs>
          <w:tab w:val="left" w:pos="720"/>
        </w:tabs>
        <w:jc w:val="both"/>
        <w:rPr>
          <w:rFonts w:cs="Arial"/>
          <w:sz w:val="16"/>
          <w:szCs w:val="16"/>
        </w:rPr>
      </w:pPr>
      <w:r w:rsidRPr="002B1EC9">
        <w:rPr>
          <w:rFonts w:cs="Arial"/>
          <w:sz w:val="16"/>
          <w:szCs w:val="16"/>
        </w:rPr>
        <w:t xml:space="preserve">En desarrollo de la previsión contenida en el numeral 2 del art. 184 del EOSF, y para garantizar el cumplimiento de lo dispuesto en el numeral 1 del art. 12 del Decreto 0604 de 2013, a </w:t>
      </w:r>
      <w:proofErr w:type="gramStart"/>
      <w:r w:rsidRPr="002B1EC9">
        <w:rPr>
          <w:rFonts w:cs="Arial"/>
          <w:sz w:val="16"/>
          <w:szCs w:val="16"/>
        </w:rPr>
        <w:t>continuación</w:t>
      </w:r>
      <w:proofErr w:type="gramEnd"/>
      <w:r w:rsidRPr="002B1EC9">
        <w:rPr>
          <w:rFonts w:cs="Arial"/>
          <w:sz w:val="16"/>
          <w:szCs w:val="16"/>
        </w:rPr>
        <w:t xml:space="preserve"> se establecen los requisitos que deben reunir las pólizas del ramo de seguro BEPS: </w:t>
      </w:r>
    </w:p>
    <w:p w14:paraId="1DDA1859" w14:textId="77777777" w:rsidR="00B10D26" w:rsidRPr="002B1EC9" w:rsidRDefault="00B10D26" w:rsidP="00BE660C">
      <w:pPr>
        <w:tabs>
          <w:tab w:val="left" w:pos="720"/>
        </w:tabs>
        <w:jc w:val="both"/>
        <w:rPr>
          <w:rFonts w:cs="Arial"/>
          <w:sz w:val="16"/>
          <w:szCs w:val="16"/>
        </w:rPr>
      </w:pPr>
    </w:p>
    <w:p w14:paraId="52E4DAE8" w14:textId="77777777" w:rsidR="00B10D26" w:rsidRPr="002B1EC9" w:rsidRDefault="00B10D26" w:rsidP="00BE660C">
      <w:pPr>
        <w:tabs>
          <w:tab w:val="left" w:pos="720"/>
        </w:tabs>
        <w:jc w:val="both"/>
        <w:rPr>
          <w:rFonts w:cs="Arial"/>
          <w:sz w:val="16"/>
          <w:szCs w:val="16"/>
        </w:rPr>
      </w:pPr>
      <w:r w:rsidRPr="002B1EC9">
        <w:rPr>
          <w:rFonts w:cs="Arial"/>
          <w:sz w:val="16"/>
          <w:szCs w:val="16"/>
        </w:rPr>
        <w:t xml:space="preserve">3.11.3.1 Definiciones. </w:t>
      </w:r>
    </w:p>
    <w:p w14:paraId="30AEE88C" w14:textId="77777777" w:rsidR="00B10D26" w:rsidRPr="002B1EC9" w:rsidRDefault="00B10D26" w:rsidP="00BE660C">
      <w:pPr>
        <w:tabs>
          <w:tab w:val="left" w:pos="720"/>
        </w:tabs>
        <w:jc w:val="both"/>
        <w:rPr>
          <w:rFonts w:cs="Arial"/>
          <w:sz w:val="16"/>
          <w:szCs w:val="16"/>
        </w:rPr>
      </w:pPr>
    </w:p>
    <w:p w14:paraId="411C1CC6" w14:textId="77777777" w:rsidR="00B10D26" w:rsidRPr="002B1EC9" w:rsidRDefault="00B10D26" w:rsidP="00BE660C">
      <w:pPr>
        <w:tabs>
          <w:tab w:val="left" w:pos="720"/>
        </w:tabs>
        <w:jc w:val="both"/>
        <w:rPr>
          <w:rFonts w:cs="Arial"/>
          <w:sz w:val="16"/>
          <w:szCs w:val="16"/>
        </w:rPr>
      </w:pPr>
      <w:r w:rsidRPr="002B1EC9">
        <w:rPr>
          <w:rFonts w:cs="Arial"/>
          <w:sz w:val="16"/>
          <w:szCs w:val="16"/>
        </w:rPr>
        <w:t>Para efectos del presente seguro se entiende por:</w:t>
      </w:r>
    </w:p>
    <w:p w14:paraId="6E88B091" w14:textId="77777777" w:rsidR="00B10D26" w:rsidRPr="002B1EC9" w:rsidRDefault="00B10D26" w:rsidP="00BE660C">
      <w:pPr>
        <w:tabs>
          <w:tab w:val="left" w:pos="720"/>
        </w:tabs>
        <w:jc w:val="both"/>
        <w:rPr>
          <w:rFonts w:cs="Arial"/>
          <w:sz w:val="16"/>
          <w:szCs w:val="16"/>
        </w:rPr>
      </w:pPr>
    </w:p>
    <w:p w14:paraId="7F03D486" w14:textId="5EFF8CAB" w:rsidR="00270DDD" w:rsidRDefault="00B10D26" w:rsidP="003641B9">
      <w:pPr>
        <w:tabs>
          <w:tab w:val="left" w:pos="720"/>
        </w:tabs>
        <w:jc w:val="both"/>
        <w:rPr>
          <w:rFonts w:cs="Arial"/>
          <w:sz w:val="16"/>
          <w:szCs w:val="16"/>
        </w:rPr>
      </w:pPr>
      <w:r w:rsidRPr="002B1EC9">
        <w:rPr>
          <w:rFonts w:cs="Arial"/>
          <w:sz w:val="16"/>
          <w:szCs w:val="16"/>
        </w:rPr>
        <w:t xml:space="preserve">3.11.3.1.1. Tomador, asegurado y beneficiario. La persona vinculada al </w:t>
      </w:r>
      <w:r w:rsidR="00F260AB" w:rsidRPr="002B1EC9">
        <w:rPr>
          <w:rFonts w:cs="Arial"/>
          <w:sz w:val="16"/>
          <w:szCs w:val="16"/>
        </w:rPr>
        <w:t>s</w:t>
      </w:r>
      <w:r w:rsidRPr="002B1EC9">
        <w:rPr>
          <w:rFonts w:cs="Arial"/>
          <w:sz w:val="16"/>
          <w:szCs w:val="16"/>
        </w:rPr>
        <w:t xml:space="preserve">ervicio </w:t>
      </w:r>
      <w:r w:rsidR="00F260AB" w:rsidRPr="002B1EC9">
        <w:rPr>
          <w:rFonts w:cs="Arial"/>
          <w:sz w:val="16"/>
          <w:szCs w:val="16"/>
        </w:rPr>
        <w:t>s</w:t>
      </w:r>
      <w:r w:rsidRPr="002B1EC9">
        <w:rPr>
          <w:rFonts w:cs="Arial"/>
          <w:sz w:val="16"/>
          <w:szCs w:val="16"/>
        </w:rPr>
        <w:t xml:space="preserve">ocial </w:t>
      </w:r>
      <w:r w:rsidR="00F260AB" w:rsidRPr="002B1EC9">
        <w:rPr>
          <w:rFonts w:cs="Arial"/>
          <w:sz w:val="16"/>
          <w:szCs w:val="16"/>
        </w:rPr>
        <w:t>c</w:t>
      </w:r>
      <w:r w:rsidRPr="002B1EC9">
        <w:rPr>
          <w:rFonts w:cs="Arial"/>
          <w:sz w:val="16"/>
          <w:szCs w:val="16"/>
        </w:rPr>
        <w:t>omplementario BEPS que cumpla los requisitos señalados en el art. 11 del Decreto 0604 de 2013 y opte por contratar una anualidad vitalicia en los términos del numeral 1 del art. 12 del Decreto 0604 de 2013</w:t>
      </w:r>
      <w:r w:rsidR="00270DDD">
        <w:rPr>
          <w:rFonts w:cs="Arial"/>
          <w:sz w:val="16"/>
          <w:szCs w:val="16"/>
        </w:rPr>
        <w:t>.</w:t>
      </w:r>
    </w:p>
    <w:p w14:paraId="543231F0" w14:textId="77777777" w:rsidR="00D14579" w:rsidRPr="002B1EC9" w:rsidRDefault="00D14579" w:rsidP="00BE660C">
      <w:pPr>
        <w:tabs>
          <w:tab w:val="left" w:pos="720"/>
        </w:tabs>
        <w:jc w:val="both"/>
        <w:rPr>
          <w:rFonts w:cs="Arial"/>
          <w:sz w:val="16"/>
          <w:szCs w:val="16"/>
        </w:rPr>
      </w:pPr>
    </w:p>
    <w:p w14:paraId="0D7D1835" w14:textId="77777777" w:rsidR="007E27A7" w:rsidRDefault="00B10D26" w:rsidP="00BE660C">
      <w:pPr>
        <w:tabs>
          <w:tab w:val="left" w:pos="720"/>
        </w:tabs>
        <w:jc w:val="both"/>
        <w:rPr>
          <w:rFonts w:cs="Arial"/>
          <w:sz w:val="16"/>
          <w:szCs w:val="16"/>
        </w:rPr>
        <w:sectPr w:rsidR="007E27A7" w:rsidSect="00B269D7">
          <w:footerReference w:type="default" r:id="rId21"/>
          <w:pgSz w:w="12240" w:h="18720" w:code="257"/>
          <w:pgMar w:top="1417" w:right="1701" w:bottom="1417" w:left="1701" w:header="709" w:footer="865" w:gutter="0"/>
          <w:pgNumType w:start="31"/>
          <w:cols w:space="708"/>
          <w:docGrid w:linePitch="360"/>
        </w:sectPr>
      </w:pPr>
      <w:r w:rsidRPr="002B1EC9">
        <w:rPr>
          <w:rFonts w:cs="Arial"/>
          <w:sz w:val="16"/>
          <w:szCs w:val="16"/>
        </w:rPr>
        <w:t xml:space="preserve">3.11.3.1.2. Amparo. En virtud del </w:t>
      </w:r>
      <w:r w:rsidR="00F260AB" w:rsidRPr="002B1EC9">
        <w:rPr>
          <w:rFonts w:cs="Arial"/>
          <w:sz w:val="16"/>
          <w:szCs w:val="16"/>
        </w:rPr>
        <w:t xml:space="preserve">ramo </w:t>
      </w:r>
      <w:r w:rsidRPr="002B1EC9">
        <w:rPr>
          <w:rFonts w:cs="Arial"/>
          <w:sz w:val="16"/>
          <w:szCs w:val="16"/>
        </w:rPr>
        <w:t>BEPS la entidad aseguradora se obliga a pagar, bimestralmente y hasta la muerte del asegurado,</w:t>
      </w:r>
      <w:r w:rsidRPr="002B1EC9">
        <w:rPr>
          <w:rFonts w:cs="Arial"/>
          <w:color w:val="000000"/>
          <w:sz w:val="16"/>
          <w:szCs w:val="16"/>
        </w:rPr>
        <w:t xml:space="preserve"> </w:t>
      </w:r>
      <w:r w:rsidRPr="002B1EC9">
        <w:rPr>
          <w:rFonts w:cs="Arial"/>
          <w:sz w:val="16"/>
          <w:szCs w:val="16"/>
        </w:rPr>
        <w:t>el valor del beneficio económico periódico, de conformidad con lo previsto en el numeral 1 del art. 12 del Decreto 0604 de 2013.</w:t>
      </w:r>
    </w:p>
    <w:p w14:paraId="565A58F2" w14:textId="25857F9B" w:rsidR="00B10D26" w:rsidRPr="002B1EC9" w:rsidRDefault="00B10D26" w:rsidP="00BE660C">
      <w:pPr>
        <w:tabs>
          <w:tab w:val="left" w:pos="720"/>
        </w:tabs>
        <w:jc w:val="both"/>
        <w:rPr>
          <w:rFonts w:cs="Arial"/>
          <w:sz w:val="16"/>
          <w:szCs w:val="16"/>
        </w:rPr>
      </w:pPr>
    </w:p>
    <w:p w14:paraId="63131168" w14:textId="77777777" w:rsidR="00B10D26" w:rsidRPr="002B1EC9" w:rsidRDefault="00B10D26" w:rsidP="00BE660C">
      <w:pPr>
        <w:tabs>
          <w:tab w:val="left" w:pos="720"/>
        </w:tabs>
        <w:jc w:val="both"/>
        <w:rPr>
          <w:rFonts w:cs="Arial"/>
          <w:sz w:val="16"/>
          <w:szCs w:val="16"/>
        </w:rPr>
      </w:pPr>
    </w:p>
    <w:p w14:paraId="3AEB20C0" w14:textId="4B38DC8C" w:rsidR="00B10D26" w:rsidRDefault="00B10D26" w:rsidP="00BE660C">
      <w:pPr>
        <w:tabs>
          <w:tab w:val="left" w:pos="720"/>
        </w:tabs>
        <w:jc w:val="both"/>
        <w:rPr>
          <w:rFonts w:cs="Arial"/>
          <w:sz w:val="16"/>
          <w:szCs w:val="16"/>
        </w:rPr>
      </w:pPr>
      <w:r w:rsidRPr="002B1EC9">
        <w:rPr>
          <w:rFonts w:cs="Arial"/>
          <w:sz w:val="16"/>
          <w:szCs w:val="16"/>
        </w:rPr>
        <w:t xml:space="preserve">3.11.3.1.3. Exclusiones. </w:t>
      </w:r>
      <w:r w:rsidRPr="002B1EC9">
        <w:rPr>
          <w:rFonts w:cs="Arial"/>
          <w:sz w:val="16"/>
          <w:szCs w:val="16"/>
          <w:lang w:val="es-CO"/>
        </w:rPr>
        <w:t xml:space="preserve">La anualidad vitalicia no </w:t>
      </w:r>
      <w:r w:rsidR="00CC2C5E" w:rsidRPr="002B1EC9">
        <w:rPr>
          <w:rFonts w:cs="Arial"/>
          <w:sz w:val="16"/>
          <w:szCs w:val="16"/>
          <w:lang w:val="es-CO"/>
        </w:rPr>
        <w:t>está</w:t>
      </w:r>
      <w:r w:rsidRPr="002B1EC9">
        <w:rPr>
          <w:rFonts w:cs="Arial"/>
          <w:sz w:val="16"/>
          <w:szCs w:val="16"/>
          <w:lang w:val="es-CO"/>
        </w:rPr>
        <w:t xml:space="preserve"> sujeta a ninguna exclusión.</w:t>
      </w:r>
      <w:r w:rsidR="00E0173F" w:rsidRPr="002B1EC9">
        <w:rPr>
          <w:rFonts w:cs="Arial"/>
          <w:sz w:val="16"/>
          <w:szCs w:val="16"/>
        </w:rPr>
        <w:t xml:space="preserve"> </w:t>
      </w:r>
    </w:p>
    <w:p w14:paraId="29F07448" w14:textId="77777777" w:rsidR="007E27A7" w:rsidRPr="002B1EC9" w:rsidRDefault="007E27A7" w:rsidP="00BE660C">
      <w:pPr>
        <w:tabs>
          <w:tab w:val="left" w:pos="720"/>
        </w:tabs>
        <w:jc w:val="both"/>
        <w:rPr>
          <w:rFonts w:cs="Arial"/>
          <w:sz w:val="16"/>
          <w:szCs w:val="16"/>
        </w:rPr>
      </w:pPr>
    </w:p>
    <w:p w14:paraId="695444AF" w14:textId="77777777" w:rsidR="00F260AB" w:rsidRPr="002B1EC9" w:rsidRDefault="00B10D26" w:rsidP="00BE660C">
      <w:pPr>
        <w:tabs>
          <w:tab w:val="left" w:pos="720"/>
        </w:tabs>
        <w:jc w:val="both"/>
        <w:rPr>
          <w:rFonts w:cs="Arial"/>
          <w:sz w:val="16"/>
          <w:szCs w:val="16"/>
        </w:rPr>
      </w:pPr>
      <w:r w:rsidRPr="002B1EC9">
        <w:rPr>
          <w:rFonts w:cs="Arial"/>
          <w:sz w:val="16"/>
          <w:szCs w:val="16"/>
        </w:rPr>
        <w:t xml:space="preserve">3.11.3.1.4. Reajuste de valores. El beneficio económico periódico que otorga la póliza </w:t>
      </w:r>
      <w:r w:rsidR="00F260AB" w:rsidRPr="002B1EC9">
        <w:rPr>
          <w:rFonts w:cs="Arial"/>
          <w:sz w:val="16"/>
          <w:szCs w:val="16"/>
        </w:rPr>
        <w:t>debe</w:t>
      </w:r>
      <w:r w:rsidRPr="002B1EC9">
        <w:rPr>
          <w:rFonts w:cs="Arial"/>
          <w:sz w:val="16"/>
          <w:szCs w:val="16"/>
        </w:rPr>
        <w:t xml:space="preserve"> reajustar</w:t>
      </w:r>
      <w:r w:rsidR="00F260AB" w:rsidRPr="002B1EC9">
        <w:rPr>
          <w:rFonts w:cs="Arial"/>
          <w:sz w:val="16"/>
          <w:szCs w:val="16"/>
        </w:rPr>
        <w:t xml:space="preserve">se </w:t>
      </w:r>
      <w:r w:rsidRPr="002B1EC9">
        <w:rPr>
          <w:rFonts w:cs="Arial"/>
          <w:sz w:val="16"/>
          <w:szCs w:val="16"/>
        </w:rPr>
        <w:t>cada año de acuerdo con la variación porcentual del IPC certificado por el DANE para el año inmediatamente anterior, tal como lo dispone el numeral 1 del art. 12 del Decreto 0604 de 2013</w:t>
      </w:r>
      <w:r w:rsidR="00F260AB" w:rsidRPr="002B1EC9">
        <w:rPr>
          <w:rFonts w:cs="Arial"/>
          <w:sz w:val="16"/>
          <w:szCs w:val="16"/>
        </w:rPr>
        <w:t>.</w:t>
      </w:r>
    </w:p>
    <w:p w14:paraId="60DBCCBB" w14:textId="77777777" w:rsidR="00F260AB" w:rsidRPr="002B1EC9" w:rsidRDefault="00F260AB" w:rsidP="00BE660C">
      <w:pPr>
        <w:tabs>
          <w:tab w:val="left" w:pos="720"/>
        </w:tabs>
        <w:jc w:val="both"/>
        <w:rPr>
          <w:rFonts w:cs="Arial"/>
          <w:sz w:val="16"/>
          <w:szCs w:val="16"/>
        </w:rPr>
      </w:pPr>
    </w:p>
    <w:p w14:paraId="143ABF57" w14:textId="57023157" w:rsidR="00B10D26" w:rsidRDefault="00B10D26" w:rsidP="00FF313E">
      <w:pPr>
        <w:tabs>
          <w:tab w:val="left" w:pos="720"/>
        </w:tabs>
        <w:jc w:val="both"/>
        <w:rPr>
          <w:rFonts w:cs="Arial"/>
          <w:sz w:val="16"/>
          <w:szCs w:val="16"/>
        </w:rPr>
      </w:pPr>
      <w:r w:rsidRPr="002B1EC9">
        <w:rPr>
          <w:rFonts w:cs="Arial"/>
          <w:sz w:val="16"/>
          <w:szCs w:val="16"/>
        </w:rPr>
        <w:t xml:space="preserve">3.11.3.1.5. Prima. La prima es única pagadera por una sola vez por la entidad administradora del mecanismo BEPS. La prima pura se </w:t>
      </w:r>
      <w:r w:rsidR="00F743DD" w:rsidRPr="002B1EC9">
        <w:rPr>
          <w:rFonts w:cs="Arial"/>
          <w:sz w:val="16"/>
          <w:szCs w:val="16"/>
        </w:rPr>
        <w:t xml:space="preserve">debe </w:t>
      </w:r>
      <w:r w:rsidRPr="002B1EC9">
        <w:rPr>
          <w:rFonts w:cs="Arial"/>
          <w:sz w:val="16"/>
          <w:szCs w:val="16"/>
        </w:rPr>
        <w:t xml:space="preserve">sufragar con cargo a los recursos ahorrados, los rendimientos generados, el subsidio periódico otorgado por el Estado, y si es del caso, los recursos que se tengan en el SGP a título de indemnización sustitutiva o devolución de saldos, según el régimen al cual se encuentre afiliado. Los costos de administración </w:t>
      </w:r>
      <w:r w:rsidR="00E444A0" w:rsidRPr="002B1EC9">
        <w:rPr>
          <w:rFonts w:cs="Arial"/>
          <w:sz w:val="16"/>
          <w:szCs w:val="16"/>
        </w:rPr>
        <w:t xml:space="preserve">deben </w:t>
      </w:r>
      <w:r w:rsidRPr="002B1EC9">
        <w:rPr>
          <w:rFonts w:cs="Arial"/>
          <w:sz w:val="16"/>
          <w:szCs w:val="16"/>
        </w:rPr>
        <w:t xml:space="preserve">ser sufragados con cargo al </w:t>
      </w:r>
      <w:r w:rsidR="00F260AB" w:rsidRPr="002B1EC9">
        <w:rPr>
          <w:rFonts w:cs="Arial"/>
          <w:sz w:val="16"/>
          <w:szCs w:val="16"/>
        </w:rPr>
        <w:t>p</w:t>
      </w:r>
      <w:r w:rsidRPr="002B1EC9">
        <w:rPr>
          <w:rFonts w:cs="Arial"/>
          <w:sz w:val="16"/>
          <w:szCs w:val="16"/>
        </w:rPr>
        <w:t xml:space="preserve">resupuesto </w:t>
      </w:r>
      <w:r w:rsidR="00F260AB" w:rsidRPr="002B1EC9">
        <w:rPr>
          <w:rFonts w:cs="Arial"/>
          <w:sz w:val="16"/>
          <w:szCs w:val="16"/>
        </w:rPr>
        <w:t>g</w:t>
      </w:r>
      <w:r w:rsidRPr="002B1EC9">
        <w:rPr>
          <w:rFonts w:cs="Arial"/>
          <w:sz w:val="16"/>
          <w:szCs w:val="16"/>
        </w:rPr>
        <w:t>eneral de la Nación</w:t>
      </w:r>
    </w:p>
    <w:p w14:paraId="494DB4E3" w14:textId="77777777" w:rsidR="00FF313E" w:rsidRPr="002B1EC9" w:rsidRDefault="00FF313E" w:rsidP="00FF313E">
      <w:pPr>
        <w:tabs>
          <w:tab w:val="left" w:pos="720"/>
        </w:tabs>
        <w:jc w:val="both"/>
        <w:rPr>
          <w:rFonts w:cs="Arial"/>
          <w:sz w:val="16"/>
          <w:szCs w:val="16"/>
        </w:rPr>
      </w:pPr>
    </w:p>
    <w:p w14:paraId="2CCB2F12" w14:textId="77777777" w:rsidR="00B10D26" w:rsidRPr="002B1EC9" w:rsidRDefault="00B10D26" w:rsidP="00BE660C">
      <w:pPr>
        <w:tabs>
          <w:tab w:val="left" w:pos="720"/>
        </w:tabs>
        <w:jc w:val="both"/>
        <w:rPr>
          <w:rFonts w:cs="Arial"/>
          <w:sz w:val="16"/>
          <w:szCs w:val="16"/>
        </w:rPr>
      </w:pPr>
      <w:r w:rsidRPr="002B1EC9">
        <w:rPr>
          <w:rFonts w:cs="Arial"/>
          <w:sz w:val="16"/>
          <w:szCs w:val="16"/>
        </w:rPr>
        <w:t>En el cálculo del beneficio no se inclu</w:t>
      </w:r>
      <w:r w:rsidR="00F743DD" w:rsidRPr="002B1EC9">
        <w:rPr>
          <w:rFonts w:cs="Arial"/>
          <w:sz w:val="16"/>
          <w:szCs w:val="16"/>
        </w:rPr>
        <w:t>ye</w:t>
      </w:r>
      <w:r w:rsidRPr="002B1EC9">
        <w:rPr>
          <w:rFonts w:cs="Arial"/>
          <w:sz w:val="16"/>
          <w:szCs w:val="16"/>
        </w:rPr>
        <w:t>n los gastos derivados de la contratación del seguro, ni los costos asociados a la administración de la anualidad vitalicia.</w:t>
      </w:r>
    </w:p>
    <w:p w14:paraId="09D97D70" w14:textId="77777777" w:rsidR="00B10D26" w:rsidRPr="002B1EC9" w:rsidRDefault="00B10D26" w:rsidP="00BE660C">
      <w:pPr>
        <w:tabs>
          <w:tab w:val="left" w:pos="720"/>
        </w:tabs>
        <w:jc w:val="both"/>
        <w:rPr>
          <w:rFonts w:cs="Arial"/>
          <w:sz w:val="16"/>
          <w:szCs w:val="16"/>
        </w:rPr>
      </w:pPr>
    </w:p>
    <w:p w14:paraId="77ADF87E" w14:textId="77777777" w:rsidR="00B10D26" w:rsidRPr="002B1EC9" w:rsidRDefault="00B10D26" w:rsidP="00BE660C">
      <w:pPr>
        <w:tabs>
          <w:tab w:val="left" w:pos="720"/>
        </w:tabs>
        <w:jc w:val="both"/>
        <w:rPr>
          <w:rFonts w:cs="Arial"/>
          <w:sz w:val="16"/>
          <w:szCs w:val="16"/>
        </w:rPr>
      </w:pPr>
      <w:r w:rsidRPr="002B1EC9">
        <w:rPr>
          <w:rFonts w:cs="Arial"/>
          <w:sz w:val="16"/>
          <w:szCs w:val="16"/>
        </w:rPr>
        <w:t>La prima no p</w:t>
      </w:r>
      <w:r w:rsidR="00F260AB" w:rsidRPr="002B1EC9">
        <w:rPr>
          <w:rFonts w:cs="Arial"/>
          <w:sz w:val="16"/>
          <w:szCs w:val="16"/>
        </w:rPr>
        <w:t>uede</w:t>
      </w:r>
      <w:r w:rsidRPr="002B1EC9">
        <w:rPr>
          <w:rFonts w:cs="Arial"/>
          <w:sz w:val="16"/>
          <w:szCs w:val="16"/>
        </w:rPr>
        <w:t xml:space="preserve"> incluir ningún monto destinado al pago de comisiones de intermediación de seguros en virtud de lo señalado en el parágrafo 1 del art. 12 ibídem.</w:t>
      </w:r>
    </w:p>
    <w:p w14:paraId="6822EC90" w14:textId="77777777" w:rsidR="00B10D26" w:rsidRPr="002B1EC9" w:rsidRDefault="00B10D26" w:rsidP="00BE660C">
      <w:pPr>
        <w:tabs>
          <w:tab w:val="left" w:pos="720"/>
        </w:tabs>
        <w:jc w:val="both"/>
        <w:rPr>
          <w:rFonts w:cs="Arial"/>
          <w:sz w:val="16"/>
          <w:szCs w:val="16"/>
        </w:rPr>
      </w:pPr>
    </w:p>
    <w:p w14:paraId="1EDA34A5" w14:textId="77777777" w:rsidR="00B10D26" w:rsidRPr="002B1EC9" w:rsidRDefault="00B10D26" w:rsidP="00BE660C">
      <w:pPr>
        <w:tabs>
          <w:tab w:val="left" w:pos="720"/>
        </w:tabs>
        <w:jc w:val="both"/>
        <w:rPr>
          <w:rFonts w:cs="Arial"/>
          <w:sz w:val="16"/>
          <w:szCs w:val="16"/>
        </w:rPr>
      </w:pPr>
      <w:r w:rsidRPr="002B1EC9">
        <w:rPr>
          <w:rFonts w:cs="Arial"/>
          <w:sz w:val="16"/>
          <w:szCs w:val="16"/>
        </w:rPr>
        <w:t xml:space="preserve">3.11.3.1.6. Pago del </w:t>
      </w:r>
      <w:r w:rsidR="00F260AB" w:rsidRPr="002B1EC9">
        <w:rPr>
          <w:rFonts w:cs="Arial"/>
          <w:sz w:val="16"/>
          <w:szCs w:val="16"/>
        </w:rPr>
        <w:t>b</w:t>
      </w:r>
      <w:r w:rsidRPr="002B1EC9">
        <w:rPr>
          <w:rFonts w:cs="Arial"/>
          <w:sz w:val="16"/>
          <w:szCs w:val="16"/>
        </w:rPr>
        <w:t xml:space="preserve">eneficio </w:t>
      </w:r>
      <w:r w:rsidR="00F260AB" w:rsidRPr="002B1EC9">
        <w:rPr>
          <w:rFonts w:cs="Arial"/>
          <w:sz w:val="16"/>
          <w:szCs w:val="16"/>
        </w:rPr>
        <w:t>e</w:t>
      </w:r>
      <w:r w:rsidRPr="002B1EC9">
        <w:rPr>
          <w:rFonts w:cs="Arial"/>
          <w:sz w:val="16"/>
          <w:szCs w:val="16"/>
        </w:rPr>
        <w:t xml:space="preserve">conómico </w:t>
      </w:r>
      <w:r w:rsidR="00F260AB" w:rsidRPr="002B1EC9">
        <w:rPr>
          <w:rFonts w:cs="Arial"/>
          <w:sz w:val="16"/>
          <w:szCs w:val="16"/>
        </w:rPr>
        <w:t>p</w:t>
      </w:r>
      <w:r w:rsidRPr="002B1EC9">
        <w:rPr>
          <w:rFonts w:cs="Arial"/>
          <w:sz w:val="16"/>
          <w:szCs w:val="16"/>
        </w:rPr>
        <w:t>eriódico. El beneficio que se devengue en virtud de esta póliza se paga en forma bimestral, el día y lugar que establezca la entidad aseguradora, sin embargo</w:t>
      </w:r>
      <w:r w:rsidR="00F260AB" w:rsidRPr="002B1EC9">
        <w:rPr>
          <w:rFonts w:cs="Arial"/>
          <w:sz w:val="16"/>
          <w:szCs w:val="16"/>
        </w:rPr>
        <w:t>,</w:t>
      </w:r>
      <w:r w:rsidRPr="002B1EC9">
        <w:rPr>
          <w:rFonts w:cs="Arial"/>
          <w:sz w:val="16"/>
          <w:szCs w:val="16"/>
        </w:rPr>
        <w:t xml:space="preserve"> el tiempo transcurrido entre la fecha de emisión de la póliza y la fecha del primer pago no p</w:t>
      </w:r>
      <w:r w:rsidR="00F743DD" w:rsidRPr="002B1EC9">
        <w:rPr>
          <w:rFonts w:cs="Arial"/>
          <w:sz w:val="16"/>
          <w:szCs w:val="16"/>
        </w:rPr>
        <w:t>uede</w:t>
      </w:r>
      <w:r w:rsidRPr="002B1EC9">
        <w:rPr>
          <w:rFonts w:cs="Arial"/>
          <w:sz w:val="16"/>
          <w:szCs w:val="16"/>
        </w:rPr>
        <w:t xml:space="preserve"> ser superior a 2 meses. En ningún caso</w:t>
      </w:r>
      <w:r w:rsidR="00F260AB" w:rsidRPr="002B1EC9">
        <w:rPr>
          <w:rFonts w:cs="Arial"/>
          <w:sz w:val="16"/>
          <w:szCs w:val="16"/>
        </w:rPr>
        <w:t>,</w:t>
      </w:r>
      <w:r w:rsidRPr="002B1EC9">
        <w:rPr>
          <w:rFonts w:cs="Arial"/>
          <w:sz w:val="16"/>
          <w:szCs w:val="16"/>
        </w:rPr>
        <w:t xml:space="preserve"> </w:t>
      </w:r>
      <w:r w:rsidR="00F260AB" w:rsidRPr="002B1EC9">
        <w:rPr>
          <w:rFonts w:cs="Arial"/>
          <w:sz w:val="16"/>
          <w:szCs w:val="16"/>
        </w:rPr>
        <w:t>pueden</w:t>
      </w:r>
      <w:r w:rsidRPr="002B1EC9">
        <w:rPr>
          <w:rFonts w:cs="Arial"/>
          <w:sz w:val="16"/>
          <w:szCs w:val="16"/>
        </w:rPr>
        <w:t xml:space="preserve"> devengar</w:t>
      </w:r>
      <w:r w:rsidR="00F260AB" w:rsidRPr="002B1EC9">
        <w:rPr>
          <w:rFonts w:cs="Arial"/>
          <w:sz w:val="16"/>
          <w:szCs w:val="16"/>
        </w:rPr>
        <w:t>se</w:t>
      </w:r>
      <w:r w:rsidRPr="002B1EC9">
        <w:rPr>
          <w:rFonts w:cs="Arial"/>
          <w:sz w:val="16"/>
          <w:szCs w:val="16"/>
        </w:rPr>
        <w:t xml:space="preserve"> intereses ni reajustes por atrasos en el cobro del beneficio que sean imputables al asegurado. </w:t>
      </w:r>
    </w:p>
    <w:p w14:paraId="342259BC" w14:textId="77777777" w:rsidR="00B10D26" w:rsidRPr="002B1EC9" w:rsidRDefault="00B10D26" w:rsidP="00BE660C">
      <w:pPr>
        <w:tabs>
          <w:tab w:val="left" w:pos="720"/>
        </w:tabs>
        <w:jc w:val="both"/>
        <w:rPr>
          <w:rFonts w:cs="Arial"/>
          <w:sz w:val="16"/>
          <w:szCs w:val="16"/>
        </w:rPr>
      </w:pPr>
    </w:p>
    <w:p w14:paraId="24D95931" w14:textId="77777777" w:rsidR="00B10D26" w:rsidRPr="002B1EC9" w:rsidRDefault="00B10D26" w:rsidP="00BE660C">
      <w:pPr>
        <w:tabs>
          <w:tab w:val="left" w:pos="720"/>
        </w:tabs>
        <w:jc w:val="both"/>
        <w:rPr>
          <w:rFonts w:cs="Arial"/>
          <w:sz w:val="16"/>
          <w:szCs w:val="16"/>
        </w:rPr>
      </w:pPr>
      <w:r w:rsidRPr="002B1EC9">
        <w:rPr>
          <w:rFonts w:cs="Arial"/>
          <w:sz w:val="16"/>
          <w:szCs w:val="16"/>
        </w:rPr>
        <w:t>3.11.3.1.7. Fecha de vigencia. Este seguro t</w:t>
      </w:r>
      <w:r w:rsidR="00F743DD" w:rsidRPr="002B1EC9">
        <w:rPr>
          <w:rFonts w:cs="Arial"/>
          <w:sz w:val="16"/>
          <w:szCs w:val="16"/>
        </w:rPr>
        <w:t>i</w:t>
      </w:r>
      <w:r w:rsidRPr="002B1EC9">
        <w:rPr>
          <w:rFonts w:cs="Arial"/>
          <w:sz w:val="16"/>
          <w:szCs w:val="16"/>
        </w:rPr>
        <w:t>en</w:t>
      </w:r>
      <w:r w:rsidR="00F743DD" w:rsidRPr="002B1EC9">
        <w:rPr>
          <w:rFonts w:cs="Arial"/>
          <w:sz w:val="16"/>
          <w:szCs w:val="16"/>
        </w:rPr>
        <w:t>e</w:t>
      </w:r>
      <w:r w:rsidRPr="002B1EC9">
        <w:rPr>
          <w:rFonts w:cs="Arial"/>
          <w:sz w:val="16"/>
          <w:szCs w:val="16"/>
        </w:rPr>
        <w:t xml:space="preserve"> vigencia a partir de la fecha de emisión de la póliza, previo pago de la prima por parte de la administradora del mecanismo BEPS a la respectiva entidad aseguradora.</w:t>
      </w:r>
    </w:p>
    <w:p w14:paraId="413F62C0" w14:textId="77777777" w:rsidR="00B10D26" w:rsidRPr="002B1EC9" w:rsidRDefault="00B10D26" w:rsidP="00BE660C">
      <w:pPr>
        <w:tabs>
          <w:tab w:val="left" w:pos="720"/>
        </w:tabs>
        <w:jc w:val="both"/>
        <w:rPr>
          <w:rFonts w:cs="Arial"/>
          <w:sz w:val="16"/>
          <w:szCs w:val="16"/>
        </w:rPr>
      </w:pPr>
    </w:p>
    <w:p w14:paraId="37BC3133" w14:textId="51033656" w:rsidR="00B10D26" w:rsidRPr="002B1EC9" w:rsidRDefault="00B10D26" w:rsidP="00BE660C">
      <w:pPr>
        <w:tabs>
          <w:tab w:val="left" w:pos="720"/>
        </w:tabs>
        <w:jc w:val="both"/>
        <w:rPr>
          <w:rFonts w:cs="Arial"/>
          <w:sz w:val="16"/>
          <w:szCs w:val="16"/>
        </w:rPr>
      </w:pPr>
      <w:r w:rsidRPr="002B1EC9">
        <w:rPr>
          <w:rFonts w:cs="Arial"/>
          <w:sz w:val="16"/>
          <w:szCs w:val="16"/>
        </w:rPr>
        <w:t>3.11.3.1.8. Irrevocabilidad. Sin perjuicio de lo dispuesto en el EOSF sobre cesión de activos, pasivos y contratos y demás normas relativas al funcionamiento de las instituciones financieras, ninguna de las partes puede poner término anticipado al contrato de seguro BEPS, el cual debe permanecer vigente hasta la muerte del asegurado.</w:t>
      </w:r>
      <w:r w:rsidR="00756E43" w:rsidRPr="002B1EC9" w:rsidDel="00756E43">
        <w:rPr>
          <w:rFonts w:cs="Arial"/>
          <w:sz w:val="16"/>
          <w:szCs w:val="16"/>
        </w:rPr>
        <w:t xml:space="preserve"> </w:t>
      </w:r>
    </w:p>
    <w:p w14:paraId="49B83603" w14:textId="77777777" w:rsidR="00B10D26" w:rsidRPr="002B1EC9" w:rsidRDefault="00B10D26" w:rsidP="00BE660C">
      <w:pPr>
        <w:tabs>
          <w:tab w:val="left" w:pos="720"/>
        </w:tabs>
        <w:jc w:val="both"/>
        <w:rPr>
          <w:rFonts w:cs="Arial"/>
          <w:sz w:val="16"/>
          <w:szCs w:val="16"/>
        </w:rPr>
      </w:pPr>
    </w:p>
    <w:p w14:paraId="4005BBA4" w14:textId="679B3695" w:rsidR="00CF17D5" w:rsidRPr="00CD186B" w:rsidRDefault="00B10D26" w:rsidP="00BE660C">
      <w:pPr>
        <w:jc w:val="both"/>
        <w:rPr>
          <w:rFonts w:cs="Arial"/>
          <w:sz w:val="16"/>
          <w:szCs w:val="16"/>
          <w:lang w:val="es-MX"/>
        </w:rPr>
      </w:pPr>
      <w:r w:rsidRPr="002B1EC9">
        <w:rPr>
          <w:rFonts w:cs="Arial"/>
          <w:color w:val="000000"/>
          <w:sz w:val="16"/>
          <w:szCs w:val="16"/>
        </w:rPr>
        <w:t xml:space="preserve">3.11.3.1.9. </w:t>
      </w:r>
      <w:r w:rsidRPr="002B1EC9">
        <w:rPr>
          <w:rFonts w:cs="Arial"/>
          <w:sz w:val="16"/>
          <w:szCs w:val="16"/>
        </w:rPr>
        <w:t xml:space="preserve">Prohibición de </w:t>
      </w:r>
      <w:r w:rsidR="00F260AB" w:rsidRPr="002B1EC9">
        <w:rPr>
          <w:rFonts w:cs="Arial"/>
          <w:sz w:val="16"/>
          <w:szCs w:val="16"/>
        </w:rPr>
        <w:t>b</w:t>
      </w:r>
      <w:r w:rsidRPr="002B1EC9">
        <w:rPr>
          <w:rFonts w:cs="Arial"/>
          <w:sz w:val="16"/>
          <w:szCs w:val="16"/>
        </w:rPr>
        <w:t xml:space="preserve">eneficios </w:t>
      </w:r>
      <w:r w:rsidR="00F260AB" w:rsidRPr="002B1EC9">
        <w:rPr>
          <w:rFonts w:cs="Arial"/>
          <w:sz w:val="16"/>
          <w:szCs w:val="16"/>
        </w:rPr>
        <w:t>a</w:t>
      </w:r>
      <w:r w:rsidRPr="002B1EC9">
        <w:rPr>
          <w:rFonts w:cs="Arial"/>
          <w:sz w:val="16"/>
          <w:szCs w:val="16"/>
        </w:rPr>
        <w:t>dicionales. Los recursos ahorrados dentro del mecanismo BEPS, el valor de sus rendimientos, el subsidio periódico otorgado por el Estado, según el caso, y los aportes que eventualmente el beneficiario tenga en el SGP, tienen una destinación específica bajo los postulados del Decreto 0604 de 2013, por consiguiente, no es viable la destinación de dichos recursos al financiamiento de otros beneficios o cobertura</w:t>
      </w:r>
      <w:r w:rsidR="00756E43">
        <w:rPr>
          <w:rFonts w:cs="Arial"/>
          <w:sz w:val="16"/>
          <w:szCs w:val="16"/>
        </w:rPr>
        <w:t>.</w:t>
      </w:r>
    </w:p>
    <w:sectPr w:rsidR="00CF17D5" w:rsidRPr="00CD186B" w:rsidSect="00B269D7">
      <w:footerReference w:type="default" r:id="rId22"/>
      <w:pgSz w:w="12240" w:h="18720" w:code="257"/>
      <w:pgMar w:top="1417" w:right="1701" w:bottom="1417" w:left="1701" w:header="709" w:footer="865"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453D66" w14:textId="77777777" w:rsidR="00731A57" w:rsidRDefault="00731A57" w:rsidP="00492483">
      <w:r>
        <w:separator/>
      </w:r>
    </w:p>
  </w:endnote>
  <w:endnote w:type="continuationSeparator" w:id="0">
    <w:p w14:paraId="29D961DD" w14:textId="77777777" w:rsidR="00731A57" w:rsidRDefault="00731A57" w:rsidP="00492483">
      <w:r>
        <w:continuationSeparator/>
      </w:r>
    </w:p>
  </w:endnote>
  <w:endnote w:type="continuationNotice" w:id="1">
    <w:p w14:paraId="04CD9F14" w14:textId="77777777" w:rsidR="00731A57" w:rsidRDefault="00731A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83098" w14:textId="77777777" w:rsidR="004E0AD6" w:rsidRDefault="004E0AD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3C8E1" w14:textId="63D332E7" w:rsidR="00FA03A0" w:rsidRDefault="00FA03A0" w:rsidP="00FA03A0">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w:t>
    </w:r>
    <w:r w:rsidR="003641B9">
      <w:rPr>
        <w:b/>
        <w:sz w:val="18"/>
        <w:szCs w:val="18"/>
      </w:rPr>
      <w:t>29</w:t>
    </w:r>
  </w:p>
  <w:p w14:paraId="763E3EAB" w14:textId="7DDEFE08" w:rsidR="00FA03A0" w:rsidRPr="00492483" w:rsidRDefault="00FA03A0" w:rsidP="00FA03A0">
    <w:pPr>
      <w:pStyle w:val="Piedepgina"/>
      <w:rPr>
        <w:b/>
        <w:sz w:val="18"/>
        <w:szCs w:val="18"/>
      </w:rPr>
    </w:pPr>
    <w:r>
      <w:rPr>
        <w:b/>
        <w:sz w:val="18"/>
        <w:szCs w:val="18"/>
      </w:rPr>
      <w:t>Circular Externa 025 de 2017</w:t>
    </w:r>
    <w:r>
      <w:rPr>
        <w:b/>
        <w:sz w:val="18"/>
        <w:szCs w:val="18"/>
      </w:rPr>
      <w:tab/>
      <w:t xml:space="preserve">                                                                                            </w:t>
    </w:r>
    <w:r w:rsidR="003641B9">
      <w:rPr>
        <w:b/>
        <w:sz w:val="18"/>
        <w:szCs w:val="18"/>
      </w:rPr>
      <w:t xml:space="preserve"> </w:t>
    </w:r>
    <w:r>
      <w:rPr>
        <w:b/>
        <w:sz w:val="18"/>
        <w:szCs w:val="18"/>
      </w:rPr>
      <w:t xml:space="preserve"> </w:t>
    </w:r>
    <w:proofErr w:type="gramStart"/>
    <w:r w:rsidR="003641B9">
      <w:rPr>
        <w:b/>
        <w:sz w:val="18"/>
        <w:szCs w:val="18"/>
      </w:rPr>
      <w:t>Noviembre</w:t>
    </w:r>
    <w:proofErr w:type="gramEnd"/>
    <w:r>
      <w:rPr>
        <w:b/>
        <w:sz w:val="18"/>
        <w:szCs w:val="18"/>
      </w:rPr>
      <w:t xml:space="preserve"> de 20</w:t>
    </w:r>
    <w:r w:rsidR="003641B9">
      <w:rPr>
        <w:b/>
        <w:sz w:val="18"/>
        <w:szCs w:val="18"/>
      </w:rPr>
      <w:t>20</w:t>
    </w:r>
  </w:p>
  <w:p w14:paraId="76442F0E" w14:textId="77777777" w:rsidR="00FA03A0" w:rsidRDefault="00FA03A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7239C" w14:textId="419B64DC" w:rsidR="0075151A" w:rsidRPr="00112228" w:rsidRDefault="0075151A"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1</w:t>
    </w:r>
    <w:r w:rsidR="00FA03A0">
      <w:rPr>
        <w:b/>
        <w:sz w:val="18"/>
        <w:szCs w:val="18"/>
      </w:rPr>
      <w:t>5</w:t>
    </w:r>
  </w:p>
  <w:p w14:paraId="373E1687" w14:textId="79DAF783" w:rsidR="0075151A" w:rsidRPr="00112228" w:rsidRDefault="0075151A" w:rsidP="00924F40">
    <w:pPr>
      <w:pStyle w:val="Piedepgina"/>
      <w:rPr>
        <w:b/>
        <w:sz w:val="18"/>
        <w:szCs w:val="18"/>
      </w:rPr>
    </w:pPr>
    <w:r>
      <w:rPr>
        <w:b/>
        <w:sz w:val="18"/>
        <w:szCs w:val="18"/>
      </w:rPr>
      <w:t xml:space="preserve">Circular Externa </w:t>
    </w:r>
    <w:r w:rsidR="009C5758">
      <w:rPr>
        <w:b/>
        <w:sz w:val="18"/>
        <w:szCs w:val="18"/>
      </w:rPr>
      <w:t>036</w:t>
    </w:r>
    <w:r>
      <w:rPr>
        <w:b/>
        <w:sz w:val="18"/>
        <w:szCs w:val="18"/>
      </w:rPr>
      <w:t xml:space="preserve"> de </w:t>
    </w:r>
    <w:r w:rsidRPr="00112228">
      <w:rPr>
        <w:b/>
        <w:sz w:val="18"/>
        <w:szCs w:val="18"/>
      </w:rPr>
      <w:t>20</w:t>
    </w:r>
    <w:r>
      <w:rPr>
        <w:b/>
        <w:sz w:val="18"/>
        <w:szCs w:val="18"/>
      </w:rPr>
      <w:t xml:space="preserve">20 </w:t>
    </w:r>
    <w:r w:rsidRPr="00112228">
      <w:rPr>
        <w:b/>
        <w:sz w:val="18"/>
        <w:szCs w:val="18"/>
      </w:rPr>
      <w:tab/>
      <w:t xml:space="preserve">                                                                        </w:t>
    </w:r>
    <w:r>
      <w:rPr>
        <w:b/>
        <w:sz w:val="18"/>
        <w:szCs w:val="18"/>
      </w:rPr>
      <w:t xml:space="preserve">                     </w:t>
    </w:r>
    <w:proofErr w:type="gramStart"/>
    <w:r w:rsidR="006378F5">
      <w:rPr>
        <w:b/>
        <w:sz w:val="18"/>
        <w:szCs w:val="18"/>
      </w:rPr>
      <w:t>Diciembre</w:t>
    </w:r>
    <w:proofErr w:type="gramEnd"/>
    <w:r>
      <w:rPr>
        <w:b/>
        <w:sz w:val="18"/>
        <w:szCs w:val="18"/>
      </w:rPr>
      <w:t xml:space="preserve"> de 2020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E346C" w14:textId="4889EE93" w:rsidR="00E5411F" w:rsidRPr="00112228" w:rsidRDefault="00E5411F"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16 </w:t>
    </w:r>
  </w:p>
  <w:p w14:paraId="4E3075E2" w14:textId="45272FA8" w:rsidR="00E5411F" w:rsidRPr="00112228" w:rsidRDefault="00E5411F" w:rsidP="00924F40">
    <w:pPr>
      <w:pStyle w:val="Piedepgina"/>
      <w:rPr>
        <w:b/>
        <w:sz w:val="18"/>
        <w:szCs w:val="18"/>
      </w:rPr>
    </w:pPr>
    <w:r>
      <w:rPr>
        <w:b/>
        <w:sz w:val="18"/>
        <w:szCs w:val="18"/>
      </w:rPr>
      <w:t xml:space="preserve">Circular Externa </w:t>
    </w:r>
    <w:proofErr w:type="gramStart"/>
    <w:r w:rsidR="009C5758">
      <w:rPr>
        <w:b/>
        <w:sz w:val="18"/>
        <w:szCs w:val="18"/>
      </w:rPr>
      <w:t>036</w:t>
    </w:r>
    <w:r>
      <w:rPr>
        <w:b/>
        <w:sz w:val="18"/>
        <w:szCs w:val="18"/>
      </w:rPr>
      <w:t xml:space="preserve">  de</w:t>
    </w:r>
    <w:proofErr w:type="gramEnd"/>
    <w:r>
      <w:rPr>
        <w:b/>
        <w:sz w:val="18"/>
        <w:szCs w:val="18"/>
      </w:rPr>
      <w:t xml:space="preserve"> </w:t>
    </w:r>
    <w:r w:rsidRPr="00112228">
      <w:rPr>
        <w:b/>
        <w:sz w:val="18"/>
        <w:szCs w:val="18"/>
      </w:rPr>
      <w:t>20</w:t>
    </w:r>
    <w:r>
      <w:rPr>
        <w:b/>
        <w:sz w:val="18"/>
        <w:szCs w:val="18"/>
      </w:rPr>
      <w:t xml:space="preserve">20 </w:t>
    </w:r>
    <w:r w:rsidRPr="00112228">
      <w:rPr>
        <w:b/>
        <w:sz w:val="18"/>
        <w:szCs w:val="18"/>
      </w:rPr>
      <w:tab/>
      <w:t xml:space="preserve">                                                                        </w:t>
    </w:r>
    <w:r>
      <w:rPr>
        <w:b/>
        <w:sz w:val="18"/>
        <w:szCs w:val="18"/>
      </w:rPr>
      <w:t xml:space="preserve">                     </w:t>
    </w:r>
    <w:r w:rsidR="006378F5">
      <w:rPr>
        <w:b/>
        <w:sz w:val="18"/>
        <w:szCs w:val="18"/>
      </w:rPr>
      <w:t xml:space="preserve">Diciembre </w:t>
    </w:r>
    <w:r>
      <w:rPr>
        <w:b/>
        <w:sz w:val="18"/>
        <w:szCs w:val="18"/>
      </w:rPr>
      <w:t>de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1BA88" w14:textId="6E926301" w:rsidR="00DC1567" w:rsidRPr="00112228" w:rsidRDefault="00DC1567" w:rsidP="00924F40">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16 - 1</w:t>
    </w:r>
  </w:p>
  <w:p w14:paraId="079DCA1A" w14:textId="776C64CA" w:rsidR="00DC1567" w:rsidRPr="00112228" w:rsidRDefault="00DC1567" w:rsidP="00924F40">
    <w:pPr>
      <w:pStyle w:val="Piedepgina"/>
      <w:rPr>
        <w:b/>
        <w:sz w:val="18"/>
        <w:szCs w:val="18"/>
      </w:rPr>
    </w:pPr>
    <w:r>
      <w:rPr>
        <w:b/>
        <w:sz w:val="18"/>
        <w:szCs w:val="18"/>
      </w:rPr>
      <w:t xml:space="preserve">Circular </w:t>
    </w:r>
    <w:proofErr w:type="gramStart"/>
    <w:r>
      <w:rPr>
        <w:b/>
        <w:sz w:val="18"/>
        <w:szCs w:val="18"/>
      </w:rPr>
      <w:t xml:space="preserve">Externa  </w:t>
    </w:r>
    <w:r w:rsidR="009C5758">
      <w:rPr>
        <w:b/>
        <w:sz w:val="18"/>
        <w:szCs w:val="18"/>
      </w:rPr>
      <w:t>036</w:t>
    </w:r>
    <w:proofErr w:type="gramEnd"/>
    <w:r>
      <w:rPr>
        <w:b/>
        <w:sz w:val="18"/>
        <w:szCs w:val="18"/>
      </w:rPr>
      <w:t xml:space="preserve">  de </w:t>
    </w:r>
    <w:r w:rsidRPr="00112228">
      <w:rPr>
        <w:b/>
        <w:sz w:val="18"/>
        <w:szCs w:val="18"/>
      </w:rPr>
      <w:t>20</w:t>
    </w:r>
    <w:r>
      <w:rPr>
        <w:b/>
        <w:sz w:val="18"/>
        <w:szCs w:val="18"/>
      </w:rPr>
      <w:t xml:space="preserve">20 </w:t>
    </w:r>
    <w:r w:rsidRPr="00112228">
      <w:rPr>
        <w:b/>
        <w:sz w:val="18"/>
        <w:szCs w:val="18"/>
      </w:rPr>
      <w:tab/>
      <w:t xml:space="preserve">                                                                        </w:t>
    </w:r>
    <w:r>
      <w:rPr>
        <w:b/>
        <w:sz w:val="18"/>
        <w:szCs w:val="18"/>
      </w:rPr>
      <w:t xml:space="preserve">                     </w:t>
    </w:r>
    <w:r w:rsidR="006378F5">
      <w:rPr>
        <w:b/>
        <w:sz w:val="18"/>
        <w:szCs w:val="18"/>
      </w:rPr>
      <w:t xml:space="preserve">Diciembre </w:t>
    </w:r>
    <w:r>
      <w:rPr>
        <w:b/>
        <w:sz w:val="18"/>
        <w:szCs w:val="18"/>
      </w:rPr>
      <w:t>de 2020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ABFD0" w14:textId="43D66AAA" w:rsidR="00E0173F" w:rsidRDefault="00E0173F"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29 </w:t>
    </w:r>
  </w:p>
  <w:p w14:paraId="169D36A7" w14:textId="505F4C59" w:rsidR="00E0173F" w:rsidRPr="00492483" w:rsidRDefault="00E0173F" w:rsidP="007656FF">
    <w:pPr>
      <w:pStyle w:val="Piedepgina"/>
      <w:rPr>
        <w:b/>
        <w:sz w:val="18"/>
        <w:szCs w:val="18"/>
      </w:rPr>
    </w:pPr>
    <w:r>
      <w:rPr>
        <w:b/>
        <w:sz w:val="18"/>
        <w:szCs w:val="18"/>
      </w:rPr>
      <w:t xml:space="preserve">Circular Externa </w:t>
    </w:r>
    <w:proofErr w:type="gramStart"/>
    <w:r w:rsidR="009C5758">
      <w:rPr>
        <w:b/>
        <w:sz w:val="18"/>
        <w:szCs w:val="18"/>
      </w:rPr>
      <w:t>036</w:t>
    </w:r>
    <w:r>
      <w:rPr>
        <w:b/>
        <w:sz w:val="18"/>
        <w:szCs w:val="18"/>
      </w:rPr>
      <w:t xml:space="preserve">  de</w:t>
    </w:r>
    <w:proofErr w:type="gramEnd"/>
    <w:r>
      <w:rPr>
        <w:b/>
        <w:sz w:val="18"/>
        <w:szCs w:val="18"/>
      </w:rPr>
      <w:t xml:space="preserve"> 2020</w:t>
    </w:r>
    <w:r>
      <w:rPr>
        <w:b/>
        <w:sz w:val="18"/>
        <w:szCs w:val="18"/>
      </w:rPr>
      <w:tab/>
      <w:t xml:space="preserve">                                                                                              </w:t>
    </w:r>
    <w:r w:rsidR="006378F5">
      <w:rPr>
        <w:b/>
        <w:sz w:val="18"/>
        <w:szCs w:val="18"/>
      </w:rPr>
      <w:t xml:space="preserve">Diciembre </w:t>
    </w:r>
    <w:r>
      <w:rPr>
        <w:b/>
        <w:sz w:val="18"/>
        <w:szCs w:val="18"/>
      </w:rPr>
      <w:t>de 2020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DD37F" w14:textId="6BAED089" w:rsidR="00B4362C" w:rsidRDefault="00B4362C"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29 - 1</w:t>
    </w:r>
  </w:p>
  <w:p w14:paraId="59578CCC" w14:textId="0DC36D00" w:rsidR="00B4362C" w:rsidRPr="00492483" w:rsidRDefault="00B4362C" w:rsidP="007656FF">
    <w:pPr>
      <w:pStyle w:val="Piedepgina"/>
      <w:rPr>
        <w:b/>
        <w:sz w:val="18"/>
        <w:szCs w:val="18"/>
      </w:rPr>
    </w:pPr>
    <w:r>
      <w:rPr>
        <w:b/>
        <w:sz w:val="18"/>
        <w:szCs w:val="18"/>
      </w:rPr>
      <w:t xml:space="preserve">Circular Externa </w:t>
    </w:r>
    <w:r w:rsidR="009C5758">
      <w:rPr>
        <w:b/>
        <w:sz w:val="18"/>
        <w:szCs w:val="18"/>
      </w:rPr>
      <w:t>036</w:t>
    </w:r>
    <w:r>
      <w:rPr>
        <w:b/>
        <w:sz w:val="18"/>
        <w:szCs w:val="18"/>
      </w:rPr>
      <w:t xml:space="preserve"> de 2020</w:t>
    </w:r>
    <w:r>
      <w:rPr>
        <w:b/>
        <w:sz w:val="18"/>
        <w:szCs w:val="18"/>
      </w:rPr>
      <w:tab/>
      <w:t xml:space="preserve">                                                                                              </w:t>
    </w:r>
    <w:proofErr w:type="gramStart"/>
    <w:r>
      <w:rPr>
        <w:b/>
        <w:sz w:val="18"/>
        <w:szCs w:val="18"/>
      </w:rPr>
      <w:t>Diciembre</w:t>
    </w:r>
    <w:proofErr w:type="gramEnd"/>
    <w:r>
      <w:rPr>
        <w:b/>
        <w:sz w:val="18"/>
        <w:szCs w:val="18"/>
      </w:rPr>
      <w:t xml:space="preserve"> de 2020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2CA21" w14:textId="1C9204A4" w:rsidR="00270DDD" w:rsidRDefault="00270DDD"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29 - 2</w:t>
    </w:r>
  </w:p>
  <w:p w14:paraId="56F13252" w14:textId="257B9AA5" w:rsidR="00270DDD" w:rsidRPr="00492483" w:rsidRDefault="00270DDD" w:rsidP="007656FF">
    <w:pPr>
      <w:pStyle w:val="Piedepgina"/>
      <w:rPr>
        <w:b/>
        <w:sz w:val="18"/>
        <w:szCs w:val="18"/>
      </w:rPr>
    </w:pPr>
    <w:r>
      <w:rPr>
        <w:b/>
        <w:sz w:val="18"/>
        <w:szCs w:val="18"/>
      </w:rPr>
      <w:t xml:space="preserve">Circular Externa </w:t>
    </w:r>
    <w:proofErr w:type="gramStart"/>
    <w:r w:rsidR="009C5758">
      <w:rPr>
        <w:b/>
        <w:sz w:val="18"/>
        <w:szCs w:val="18"/>
      </w:rPr>
      <w:t>036</w:t>
    </w:r>
    <w:r>
      <w:rPr>
        <w:b/>
        <w:sz w:val="18"/>
        <w:szCs w:val="18"/>
      </w:rPr>
      <w:t xml:space="preserve">  de</w:t>
    </w:r>
    <w:proofErr w:type="gramEnd"/>
    <w:r>
      <w:rPr>
        <w:b/>
        <w:sz w:val="18"/>
        <w:szCs w:val="18"/>
      </w:rPr>
      <w:t xml:space="preserve"> 2020</w:t>
    </w:r>
    <w:r>
      <w:rPr>
        <w:b/>
        <w:sz w:val="18"/>
        <w:szCs w:val="18"/>
      </w:rPr>
      <w:tab/>
      <w:t xml:space="preserve">                                                                                              </w:t>
    </w:r>
    <w:r w:rsidR="006378F5">
      <w:rPr>
        <w:b/>
        <w:sz w:val="18"/>
        <w:szCs w:val="18"/>
      </w:rPr>
      <w:t xml:space="preserve">Diciembre </w:t>
    </w:r>
    <w:r>
      <w:rPr>
        <w:b/>
        <w:sz w:val="18"/>
        <w:szCs w:val="18"/>
      </w:rPr>
      <w:t>de 2020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2B3D9" w14:textId="041C59C0" w:rsidR="002828E9" w:rsidRDefault="002828E9" w:rsidP="00BE660C">
    <w:pPr>
      <w:pStyle w:val="Piedepgina"/>
      <w:tabs>
        <w:tab w:val="clear" w:pos="8504"/>
        <w:tab w:val="right" w:pos="8789"/>
      </w:tabs>
      <w:rPr>
        <w:b/>
        <w:sz w:val="18"/>
        <w:szCs w:val="18"/>
      </w:rPr>
    </w:pPr>
    <w:r w:rsidRPr="00492483">
      <w:rPr>
        <w:b/>
        <w:sz w:val="18"/>
        <w:szCs w:val="18"/>
      </w:rPr>
      <w:t xml:space="preserve">PARTE </w:t>
    </w:r>
    <w:proofErr w:type="gramStart"/>
    <w:r w:rsidRPr="00492483">
      <w:rPr>
        <w:b/>
        <w:sz w:val="18"/>
        <w:szCs w:val="18"/>
      </w:rPr>
      <w:t>II  TÍTULO</w:t>
    </w:r>
    <w:proofErr w:type="gramEnd"/>
    <w:r w:rsidRPr="00492483">
      <w:rPr>
        <w:b/>
        <w:sz w:val="18"/>
        <w:szCs w:val="18"/>
      </w:rPr>
      <w:t xml:space="preserve"> IV CAPÍTULO </w:t>
    </w:r>
    <w:r>
      <w:rPr>
        <w:b/>
        <w:sz w:val="18"/>
        <w:szCs w:val="18"/>
      </w:rPr>
      <w:t>II</w:t>
    </w:r>
    <w:r>
      <w:rPr>
        <w:b/>
        <w:sz w:val="18"/>
        <w:szCs w:val="18"/>
      </w:rPr>
      <w:tab/>
    </w:r>
    <w:r>
      <w:rPr>
        <w:b/>
        <w:sz w:val="18"/>
        <w:szCs w:val="18"/>
      </w:rPr>
      <w:tab/>
      <w:t xml:space="preserve">   PÁGINA 29 - 3</w:t>
    </w:r>
  </w:p>
  <w:p w14:paraId="417A5DF4" w14:textId="300D431C" w:rsidR="002828E9" w:rsidRPr="00492483" w:rsidRDefault="002828E9" w:rsidP="007656FF">
    <w:pPr>
      <w:pStyle w:val="Piedepgina"/>
      <w:rPr>
        <w:b/>
        <w:sz w:val="18"/>
        <w:szCs w:val="18"/>
      </w:rPr>
    </w:pPr>
    <w:r>
      <w:rPr>
        <w:b/>
        <w:sz w:val="18"/>
        <w:szCs w:val="18"/>
      </w:rPr>
      <w:t xml:space="preserve">Circular </w:t>
    </w:r>
    <w:proofErr w:type="gramStart"/>
    <w:r>
      <w:rPr>
        <w:b/>
        <w:sz w:val="18"/>
        <w:szCs w:val="18"/>
      </w:rPr>
      <w:t xml:space="preserve">Externa </w:t>
    </w:r>
    <w:r w:rsidR="004E0AD6">
      <w:rPr>
        <w:b/>
        <w:sz w:val="18"/>
        <w:szCs w:val="18"/>
      </w:rPr>
      <w:t xml:space="preserve"> </w:t>
    </w:r>
    <w:r w:rsidR="009C5758">
      <w:rPr>
        <w:b/>
        <w:sz w:val="18"/>
        <w:szCs w:val="18"/>
      </w:rPr>
      <w:t>036</w:t>
    </w:r>
    <w:proofErr w:type="gramEnd"/>
    <w:r>
      <w:rPr>
        <w:b/>
        <w:sz w:val="18"/>
        <w:szCs w:val="18"/>
      </w:rPr>
      <w:t xml:space="preserve">  de 2020</w:t>
    </w:r>
    <w:r>
      <w:rPr>
        <w:b/>
        <w:sz w:val="18"/>
        <w:szCs w:val="18"/>
      </w:rPr>
      <w:tab/>
      <w:t xml:space="preserve">                                                                                              </w:t>
    </w:r>
    <w:r w:rsidR="006378F5">
      <w:rPr>
        <w:b/>
        <w:sz w:val="18"/>
        <w:szCs w:val="18"/>
      </w:rPr>
      <w:t xml:space="preserve">Diciembre </w:t>
    </w:r>
    <w:r>
      <w:rPr>
        <w:b/>
        <w:sz w:val="18"/>
        <w:szCs w:val="18"/>
      </w:rPr>
      <w:t>de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17EA40" w14:textId="77777777" w:rsidR="00731A57" w:rsidRDefault="00731A57" w:rsidP="00492483">
      <w:r>
        <w:separator/>
      </w:r>
    </w:p>
  </w:footnote>
  <w:footnote w:type="continuationSeparator" w:id="0">
    <w:p w14:paraId="56C8D617" w14:textId="77777777" w:rsidR="00731A57" w:rsidRDefault="00731A57" w:rsidP="00492483">
      <w:r>
        <w:continuationSeparator/>
      </w:r>
    </w:p>
  </w:footnote>
  <w:footnote w:type="continuationNotice" w:id="1">
    <w:p w14:paraId="73541F86" w14:textId="77777777" w:rsidR="00731A57" w:rsidRDefault="00731A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1C915" w14:textId="77777777" w:rsidR="004E0AD6" w:rsidRDefault="004E0AD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26F36" w14:textId="77777777" w:rsidR="00FA03A0" w:rsidRDefault="00FA03A0" w:rsidP="00FA03A0">
    <w:pPr>
      <w:pStyle w:val="Encabezado"/>
      <w:jc w:val="center"/>
      <w:rPr>
        <w:b/>
        <w:sz w:val="24"/>
        <w:szCs w:val="24"/>
      </w:rPr>
    </w:pPr>
    <w:r w:rsidRPr="00492483">
      <w:rPr>
        <w:b/>
        <w:sz w:val="24"/>
        <w:szCs w:val="24"/>
      </w:rPr>
      <w:t>SUPERINTENDENCIA FINANCIERA DE COLOMBIA</w:t>
    </w:r>
  </w:p>
  <w:p w14:paraId="4B26B617" w14:textId="77777777" w:rsidR="00FA03A0" w:rsidRDefault="00FA03A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582CE" w14:textId="77777777" w:rsidR="00551949" w:rsidRDefault="00551949" w:rsidP="00551949">
    <w:pPr>
      <w:pStyle w:val="Encabezado"/>
      <w:jc w:val="center"/>
      <w:rPr>
        <w:b/>
        <w:sz w:val="24"/>
        <w:szCs w:val="24"/>
      </w:rPr>
    </w:pPr>
    <w:r w:rsidRPr="00492483">
      <w:rPr>
        <w:b/>
        <w:sz w:val="24"/>
        <w:szCs w:val="24"/>
      </w:rPr>
      <w:t>SUPERINTENDENCIA FINANCIERA DE COLOMBIA</w:t>
    </w:r>
  </w:p>
  <w:p w14:paraId="7B4DB9B0" w14:textId="77777777" w:rsidR="00551949" w:rsidRDefault="0055194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99AA72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14256FE"/>
    <w:multiLevelType w:val="multilevel"/>
    <w:tmpl w:val="0C52262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480" w:hanging="4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93F37D2"/>
    <w:multiLevelType w:val="multilevel"/>
    <w:tmpl w:val="A42CB8FA"/>
    <w:lvl w:ilvl="0">
      <w:start w:val="1"/>
      <w:numFmt w:val="decimal"/>
      <w:pStyle w:val="Ttulo1"/>
      <w:lvlText w:val="%1."/>
      <w:lvlJc w:val="left"/>
      <w:pPr>
        <w:tabs>
          <w:tab w:val="num" w:pos="709"/>
        </w:tabs>
        <w:ind w:left="0" w:firstLine="0"/>
      </w:pPr>
      <w:rPr>
        <w:rFonts w:hint="default"/>
        <w:b/>
        <w:color w:val="auto"/>
      </w:rPr>
    </w:lvl>
    <w:lvl w:ilvl="1">
      <w:start w:val="1"/>
      <w:numFmt w:val="decimal"/>
      <w:pStyle w:val="Ttulo2"/>
      <w:lvlText w:val="%1.%2."/>
      <w:lvlJc w:val="left"/>
      <w:pPr>
        <w:tabs>
          <w:tab w:val="num" w:pos="1135"/>
        </w:tabs>
        <w:ind w:left="-141" w:firstLine="709"/>
      </w:pPr>
      <w:rPr>
        <w:rFonts w:hint="default"/>
        <w:b/>
        <w:i w:val="0"/>
      </w:rPr>
    </w:lvl>
    <w:lvl w:ilvl="2">
      <w:start w:val="1"/>
      <w:numFmt w:val="decimal"/>
      <w:lvlText w:val="%1.%2.%3."/>
      <w:lvlJc w:val="left"/>
      <w:pPr>
        <w:tabs>
          <w:tab w:val="num" w:pos="1844"/>
        </w:tabs>
        <w:ind w:left="568" w:firstLine="567"/>
      </w:pPr>
      <w:rPr>
        <w:rFonts w:ascii="Arial" w:hAnsi="Arial" w:cs="Arial" w:hint="default"/>
        <w:b/>
        <w:i w:val="0"/>
        <w:color w:val="000000" w:themeColor="text1"/>
      </w:rPr>
    </w:lvl>
    <w:lvl w:ilvl="3">
      <w:start w:val="1"/>
      <w:numFmt w:val="decimal"/>
      <w:lvlText w:val="%1.%2.%3.%4."/>
      <w:lvlJc w:val="left"/>
      <w:pPr>
        <w:tabs>
          <w:tab w:val="num" w:pos="2693"/>
        </w:tabs>
        <w:ind w:left="1276" w:firstLine="709"/>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CC451FC"/>
    <w:multiLevelType w:val="multilevel"/>
    <w:tmpl w:val="05CA5E50"/>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2"/>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5090652"/>
    <w:multiLevelType w:val="multilevel"/>
    <w:tmpl w:val="4B0A3CC4"/>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7"/>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A105BBD"/>
    <w:multiLevelType w:val="multilevel"/>
    <w:tmpl w:val="769A8A84"/>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7"/>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C6F6801"/>
    <w:multiLevelType w:val="multilevel"/>
    <w:tmpl w:val="7138EAC0"/>
    <w:lvl w:ilvl="0">
      <w:start w:val="1"/>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3"/>
      <w:numFmt w:val="decimal"/>
      <w:lvlText w:val="%1.%2.%3"/>
      <w:lvlJc w:val="left"/>
      <w:pPr>
        <w:ind w:left="480" w:hanging="48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2D5001EC"/>
    <w:multiLevelType w:val="multilevel"/>
    <w:tmpl w:val="D05AB23A"/>
    <w:lvl w:ilvl="0">
      <w:start w:val="2"/>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BA55AD6"/>
    <w:multiLevelType w:val="multilevel"/>
    <w:tmpl w:val="769A8A84"/>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7"/>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0" w15:restartNumberingAfterBreak="0">
    <w:nsid w:val="5B1D30CA"/>
    <w:multiLevelType w:val="multilevel"/>
    <w:tmpl w:val="B3F2EB70"/>
    <w:lvl w:ilvl="0">
      <w:start w:val="1"/>
      <w:numFmt w:val="decimal"/>
      <w:pStyle w:val="Titulo2"/>
      <w:lvlText w:val="%1."/>
      <w:lvlJc w:val="left"/>
      <w:pPr>
        <w:tabs>
          <w:tab w:val="num" w:pos="786"/>
        </w:tabs>
        <w:ind w:left="426" w:firstLine="0"/>
      </w:pPr>
      <w:rPr>
        <w:rFonts w:ascii="Arial" w:hAnsi="Arial" w:hint="default"/>
        <w:b/>
        <w:i w:val="0"/>
        <w:sz w:val="24"/>
      </w:rPr>
    </w:lvl>
    <w:lvl w:ilvl="1">
      <w:start w:val="1"/>
      <w:numFmt w:val="decimal"/>
      <w:pStyle w:val="Titulo"/>
      <w:lvlText w:val="%1.%2."/>
      <w:lvlJc w:val="left"/>
      <w:pPr>
        <w:tabs>
          <w:tab w:val="num" w:pos="360"/>
        </w:tabs>
        <w:ind w:left="360" w:hanging="360"/>
      </w:pPr>
      <w:rPr>
        <w:rFonts w:ascii="Arial" w:hAnsi="Arial" w:cs="Arial" w:hint="default"/>
        <w:b/>
        <w:sz w:val="22"/>
        <w:szCs w:val="22"/>
      </w:rPr>
    </w:lvl>
    <w:lvl w:ilvl="2">
      <w:start w:val="1"/>
      <w:numFmt w:val="decimal"/>
      <w:lvlText w:val="%1.%2.%3"/>
      <w:lvlJc w:val="left"/>
      <w:pPr>
        <w:tabs>
          <w:tab w:val="num" w:pos="720"/>
        </w:tabs>
        <w:ind w:left="0" w:firstLine="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B656EB3"/>
    <w:multiLevelType w:val="multilevel"/>
    <w:tmpl w:val="71F083EE"/>
    <w:lvl w:ilvl="0">
      <w:start w:val="2"/>
      <w:numFmt w:val="decimal"/>
      <w:lvlText w:val="%1."/>
      <w:lvlJc w:val="left"/>
      <w:pPr>
        <w:ind w:left="528" w:hanging="528"/>
      </w:pPr>
      <w:rPr>
        <w:rFonts w:cs="Times New Roman" w:hint="default"/>
        <w:b w:val="0"/>
      </w:rPr>
    </w:lvl>
    <w:lvl w:ilvl="1">
      <w:start w:val="1"/>
      <w:numFmt w:val="decimal"/>
      <w:lvlText w:val="%1.%2."/>
      <w:lvlJc w:val="left"/>
      <w:pPr>
        <w:ind w:left="528" w:hanging="528"/>
      </w:pPr>
      <w:rPr>
        <w:rFonts w:cs="Times New Roman" w:hint="default"/>
        <w:b w:val="0"/>
      </w:rPr>
    </w:lvl>
    <w:lvl w:ilvl="2">
      <w:start w:val="1"/>
      <w:numFmt w:val="decimal"/>
      <w:lvlText w:val="%1.%2.%3."/>
      <w:lvlJc w:val="left"/>
      <w:pPr>
        <w:ind w:left="720" w:hanging="720"/>
      </w:pPr>
      <w:rPr>
        <w:rFonts w:cs="Times New Roman" w:hint="default"/>
        <w:b/>
        <w:bCs/>
      </w:rPr>
    </w:lvl>
    <w:lvl w:ilvl="3">
      <w:start w:val="2"/>
      <w:numFmt w:val="decimal"/>
      <w:lvlText w:val="%1.%2.%3.%4."/>
      <w:lvlJc w:val="left"/>
      <w:pPr>
        <w:ind w:left="720" w:hanging="720"/>
      </w:pPr>
      <w:rPr>
        <w:rFonts w:cs="Times New Roman" w:hint="default"/>
        <w:b/>
        <w:bCs/>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080" w:hanging="1080"/>
      </w:pPr>
      <w:rPr>
        <w:rFonts w:cs="Times New Roman" w:hint="default"/>
        <w:b w:val="0"/>
      </w:rPr>
    </w:lvl>
    <w:lvl w:ilvl="7">
      <w:start w:val="1"/>
      <w:numFmt w:val="decimal"/>
      <w:lvlText w:val="%1.%2.%3.%4.%5.%6.%7.%8."/>
      <w:lvlJc w:val="left"/>
      <w:pPr>
        <w:ind w:left="1080" w:hanging="108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12" w15:restartNumberingAfterBreak="0">
    <w:nsid w:val="63BC6D94"/>
    <w:multiLevelType w:val="multilevel"/>
    <w:tmpl w:val="06D6C000"/>
    <w:lvl w:ilvl="0">
      <w:start w:val="2"/>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3"/>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A3775CE"/>
    <w:multiLevelType w:val="multilevel"/>
    <w:tmpl w:val="5AE8093E"/>
    <w:lvl w:ilvl="0">
      <w:start w:val="2"/>
      <w:numFmt w:val="decimal"/>
      <w:lvlText w:val="%1."/>
      <w:lvlJc w:val="left"/>
      <w:pPr>
        <w:ind w:left="528" w:hanging="528"/>
      </w:pPr>
      <w:rPr>
        <w:rFonts w:hint="default"/>
      </w:rPr>
    </w:lvl>
    <w:lvl w:ilvl="1">
      <w:start w:val="1"/>
      <w:numFmt w:val="decimal"/>
      <w:lvlText w:val="%1.%2."/>
      <w:lvlJc w:val="left"/>
      <w:pPr>
        <w:ind w:left="528" w:hanging="52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0"/>
  </w:num>
  <w:num w:numId="3">
    <w:abstractNumId w:val="3"/>
  </w:num>
  <w:num w:numId="4">
    <w:abstractNumId w:val="11"/>
  </w:num>
  <w:num w:numId="5">
    <w:abstractNumId w:val="13"/>
  </w:num>
  <w:num w:numId="6">
    <w:abstractNumId w:val="10"/>
  </w:num>
  <w:num w:numId="7">
    <w:abstractNumId w:val="1"/>
  </w:num>
  <w:num w:numId="8">
    <w:abstractNumId w:val="12"/>
  </w:num>
  <w:num w:numId="9">
    <w:abstractNumId w:val="7"/>
  </w:num>
  <w:num w:numId="10">
    <w:abstractNumId w:val="4"/>
  </w:num>
  <w:num w:numId="11">
    <w:abstractNumId w:val="5"/>
  </w:num>
  <w:num w:numId="12">
    <w:abstractNumId w:val="8"/>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D26"/>
    <w:rsid w:val="00001954"/>
    <w:rsid w:val="00002C66"/>
    <w:rsid w:val="000034D6"/>
    <w:rsid w:val="00003574"/>
    <w:rsid w:val="00004BB2"/>
    <w:rsid w:val="00005BBA"/>
    <w:rsid w:val="00012F7E"/>
    <w:rsid w:val="0001349D"/>
    <w:rsid w:val="00013649"/>
    <w:rsid w:val="000137C4"/>
    <w:rsid w:val="00013B39"/>
    <w:rsid w:val="00014D10"/>
    <w:rsid w:val="0002070D"/>
    <w:rsid w:val="00020E0F"/>
    <w:rsid w:val="0002296B"/>
    <w:rsid w:val="00023BA7"/>
    <w:rsid w:val="00024726"/>
    <w:rsid w:val="00026038"/>
    <w:rsid w:val="000264E5"/>
    <w:rsid w:val="000270CA"/>
    <w:rsid w:val="000279AA"/>
    <w:rsid w:val="0003074C"/>
    <w:rsid w:val="0003164A"/>
    <w:rsid w:val="00040273"/>
    <w:rsid w:val="000419B2"/>
    <w:rsid w:val="00045DBD"/>
    <w:rsid w:val="000506D4"/>
    <w:rsid w:val="00052D1A"/>
    <w:rsid w:val="000575D3"/>
    <w:rsid w:val="000610CD"/>
    <w:rsid w:val="000657F2"/>
    <w:rsid w:val="00066761"/>
    <w:rsid w:val="0006696C"/>
    <w:rsid w:val="00067A1E"/>
    <w:rsid w:val="0007082E"/>
    <w:rsid w:val="00070DFC"/>
    <w:rsid w:val="000716F4"/>
    <w:rsid w:val="00072B88"/>
    <w:rsid w:val="00073004"/>
    <w:rsid w:val="00073677"/>
    <w:rsid w:val="000737B6"/>
    <w:rsid w:val="000738D7"/>
    <w:rsid w:val="0007444C"/>
    <w:rsid w:val="00075327"/>
    <w:rsid w:val="00075CE4"/>
    <w:rsid w:val="00076416"/>
    <w:rsid w:val="00076465"/>
    <w:rsid w:val="00080E0C"/>
    <w:rsid w:val="00081EE8"/>
    <w:rsid w:val="0008384B"/>
    <w:rsid w:val="000843BE"/>
    <w:rsid w:val="00085FF6"/>
    <w:rsid w:val="000918B6"/>
    <w:rsid w:val="0009238F"/>
    <w:rsid w:val="00092548"/>
    <w:rsid w:val="00092E18"/>
    <w:rsid w:val="000936CD"/>
    <w:rsid w:val="000977F4"/>
    <w:rsid w:val="000A0022"/>
    <w:rsid w:val="000A377B"/>
    <w:rsid w:val="000A3FBA"/>
    <w:rsid w:val="000A44CA"/>
    <w:rsid w:val="000A4702"/>
    <w:rsid w:val="000A4859"/>
    <w:rsid w:val="000B16B8"/>
    <w:rsid w:val="000B1910"/>
    <w:rsid w:val="000B723D"/>
    <w:rsid w:val="000B751D"/>
    <w:rsid w:val="000C014B"/>
    <w:rsid w:val="000C3D7A"/>
    <w:rsid w:val="000C641A"/>
    <w:rsid w:val="000D066C"/>
    <w:rsid w:val="000D11EA"/>
    <w:rsid w:val="000D2019"/>
    <w:rsid w:val="000D2203"/>
    <w:rsid w:val="000D25B0"/>
    <w:rsid w:val="000D2E23"/>
    <w:rsid w:val="000D3236"/>
    <w:rsid w:val="000D3F79"/>
    <w:rsid w:val="000D3FA7"/>
    <w:rsid w:val="000D715A"/>
    <w:rsid w:val="000D7A15"/>
    <w:rsid w:val="000D7CEE"/>
    <w:rsid w:val="000E0325"/>
    <w:rsid w:val="000E0EC9"/>
    <w:rsid w:val="000E13A1"/>
    <w:rsid w:val="000E2A34"/>
    <w:rsid w:val="000E405C"/>
    <w:rsid w:val="000E4BE9"/>
    <w:rsid w:val="000E57E0"/>
    <w:rsid w:val="000E5C53"/>
    <w:rsid w:val="000E62D2"/>
    <w:rsid w:val="000E722D"/>
    <w:rsid w:val="000E7357"/>
    <w:rsid w:val="000F0432"/>
    <w:rsid w:val="000F19C5"/>
    <w:rsid w:val="000F3725"/>
    <w:rsid w:val="000F46C6"/>
    <w:rsid w:val="000F483D"/>
    <w:rsid w:val="000F546C"/>
    <w:rsid w:val="000F5C2B"/>
    <w:rsid w:val="000F67D2"/>
    <w:rsid w:val="001029BA"/>
    <w:rsid w:val="001048D7"/>
    <w:rsid w:val="00105912"/>
    <w:rsid w:val="00110225"/>
    <w:rsid w:val="0011394A"/>
    <w:rsid w:val="0011422B"/>
    <w:rsid w:val="00122B80"/>
    <w:rsid w:val="0012303C"/>
    <w:rsid w:val="001265D4"/>
    <w:rsid w:val="00126FFB"/>
    <w:rsid w:val="00127D78"/>
    <w:rsid w:val="0013054F"/>
    <w:rsid w:val="00130B9B"/>
    <w:rsid w:val="0013125F"/>
    <w:rsid w:val="00135617"/>
    <w:rsid w:val="00136CD8"/>
    <w:rsid w:val="00140612"/>
    <w:rsid w:val="0014184B"/>
    <w:rsid w:val="00143BAD"/>
    <w:rsid w:val="00144075"/>
    <w:rsid w:val="0015075B"/>
    <w:rsid w:val="0015138B"/>
    <w:rsid w:val="00151482"/>
    <w:rsid w:val="00153DC3"/>
    <w:rsid w:val="0015456E"/>
    <w:rsid w:val="00156D25"/>
    <w:rsid w:val="00157EEB"/>
    <w:rsid w:val="001602EA"/>
    <w:rsid w:val="00164E93"/>
    <w:rsid w:val="0016508F"/>
    <w:rsid w:val="001651B4"/>
    <w:rsid w:val="00167EF2"/>
    <w:rsid w:val="001703CE"/>
    <w:rsid w:val="001705A0"/>
    <w:rsid w:val="00170E14"/>
    <w:rsid w:val="00171F38"/>
    <w:rsid w:val="001725CC"/>
    <w:rsid w:val="001730BD"/>
    <w:rsid w:val="001732E6"/>
    <w:rsid w:val="00173F21"/>
    <w:rsid w:val="00174077"/>
    <w:rsid w:val="00174496"/>
    <w:rsid w:val="0017619B"/>
    <w:rsid w:val="001764A2"/>
    <w:rsid w:val="00176559"/>
    <w:rsid w:val="00176C47"/>
    <w:rsid w:val="00176F95"/>
    <w:rsid w:val="0017779E"/>
    <w:rsid w:val="00181359"/>
    <w:rsid w:val="001838D5"/>
    <w:rsid w:val="0018399B"/>
    <w:rsid w:val="00186B93"/>
    <w:rsid w:val="00187299"/>
    <w:rsid w:val="00191718"/>
    <w:rsid w:val="001919AF"/>
    <w:rsid w:val="00191DA4"/>
    <w:rsid w:val="0019270C"/>
    <w:rsid w:val="00192915"/>
    <w:rsid w:val="0019509C"/>
    <w:rsid w:val="00196D54"/>
    <w:rsid w:val="00196E35"/>
    <w:rsid w:val="001978F4"/>
    <w:rsid w:val="001A04C5"/>
    <w:rsid w:val="001A0F4F"/>
    <w:rsid w:val="001A1150"/>
    <w:rsid w:val="001A2557"/>
    <w:rsid w:val="001A2E70"/>
    <w:rsid w:val="001A3245"/>
    <w:rsid w:val="001A38F6"/>
    <w:rsid w:val="001B01ED"/>
    <w:rsid w:val="001B0554"/>
    <w:rsid w:val="001B05A7"/>
    <w:rsid w:val="001B4B0C"/>
    <w:rsid w:val="001B74D2"/>
    <w:rsid w:val="001C05BC"/>
    <w:rsid w:val="001C07E1"/>
    <w:rsid w:val="001C0AA8"/>
    <w:rsid w:val="001C0BF1"/>
    <w:rsid w:val="001C1CE0"/>
    <w:rsid w:val="001C3A29"/>
    <w:rsid w:val="001C44B8"/>
    <w:rsid w:val="001C6233"/>
    <w:rsid w:val="001C7A02"/>
    <w:rsid w:val="001C7E57"/>
    <w:rsid w:val="001D1677"/>
    <w:rsid w:val="001D1FF1"/>
    <w:rsid w:val="001D365B"/>
    <w:rsid w:val="001D57B2"/>
    <w:rsid w:val="001D5A98"/>
    <w:rsid w:val="001D6B0B"/>
    <w:rsid w:val="001D747C"/>
    <w:rsid w:val="001E04E5"/>
    <w:rsid w:val="001E3D45"/>
    <w:rsid w:val="001E482A"/>
    <w:rsid w:val="001E4D89"/>
    <w:rsid w:val="001E58E9"/>
    <w:rsid w:val="001E66C8"/>
    <w:rsid w:val="001E6FD6"/>
    <w:rsid w:val="001F06D4"/>
    <w:rsid w:val="001F1460"/>
    <w:rsid w:val="001F3025"/>
    <w:rsid w:val="001F3F47"/>
    <w:rsid w:val="001F609E"/>
    <w:rsid w:val="001F6302"/>
    <w:rsid w:val="001F6F70"/>
    <w:rsid w:val="00201C94"/>
    <w:rsid w:val="002032CD"/>
    <w:rsid w:val="002048AE"/>
    <w:rsid w:val="00204AD3"/>
    <w:rsid w:val="002054DA"/>
    <w:rsid w:val="002056A4"/>
    <w:rsid w:val="0020697D"/>
    <w:rsid w:val="00207916"/>
    <w:rsid w:val="00210EE0"/>
    <w:rsid w:val="002143AD"/>
    <w:rsid w:val="002147E4"/>
    <w:rsid w:val="00220555"/>
    <w:rsid w:val="002205BD"/>
    <w:rsid w:val="00220B39"/>
    <w:rsid w:val="0022339C"/>
    <w:rsid w:val="0022442A"/>
    <w:rsid w:val="00224B58"/>
    <w:rsid w:val="00225181"/>
    <w:rsid w:val="002270AC"/>
    <w:rsid w:val="00227A92"/>
    <w:rsid w:val="0023419C"/>
    <w:rsid w:val="002341DB"/>
    <w:rsid w:val="00234D08"/>
    <w:rsid w:val="002358E6"/>
    <w:rsid w:val="00236061"/>
    <w:rsid w:val="002361E9"/>
    <w:rsid w:val="002369F5"/>
    <w:rsid w:val="00237391"/>
    <w:rsid w:val="0024216F"/>
    <w:rsid w:val="00242CDF"/>
    <w:rsid w:val="00243B4D"/>
    <w:rsid w:val="00245FCB"/>
    <w:rsid w:val="0024751A"/>
    <w:rsid w:val="00250E0D"/>
    <w:rsid w:val="00251AFF"/>
    <w:rsid w:val="002528E9"/>
    <w:rsid w:val="00260ED2"/>
    <w:rsid w:val="00261AFF"/>
    <w:rsid w:val="00263440"/>
    <w:rsid w:val="00263B23"/>
    <w:rsid w:val="002648AA"/>
    <w:rsid w:val="00270DDD"/>
    <w:rsid w:val="002736F5"/>
    <w:rsid w:val="002737A5"/>
    <w:rsid w:val="00273EA0"/>
    <w:rsid w:val="002746C7"/>
    <w:rsid w:val="0027612D"/>
    <w:rsid w:val="0027703F"/>
    <w:rsid w:val="00281216"/>
    <w:rsid w:val="002816C8"/>
    <w:rsid w:val="002828E9"/>
    <w:rsid w:val="00285BF5"/>
    <w:rsid w:val="002879E3"/>
    <w:rsid w:val="00287CAF"/>
    <w:rsid w:val="00287D88"/>
    <w:rsid w:val="002903B1"/>
    <w:rsid w:val="002947BB"/>
    <w:rsid w:val="002949DE"/>
    <w:rsid w:val="002A03C5"/>
    <w:rsid w:val="002A11F6"/>
    <w:rsid w:val="002A1822"/>
    <w:rsid w:val="002A1A12"/>
    <w:rsid w:val="002A1ED1"/>
    <w:rsid w:val="002A3DD4"/>
    <w:rsid w:val="002A4AD7"/>
    <w:rsid w:val="002A53EC"/>
    <w:rsid w:val="002B0368"/>
    <w:rsid w:val="002B1EC9"/>
    <w:rsid w:val="002B25C2"/>
    <w:rsid w:val="002B266E"/>
    <w:rsid w:val="002B2B15"/>
    <w:rsid w:val="002B2FC0"/>
    <w:rsid w:val="002B4DDB"/>
    <w:rsid w:val="002B56A3"/>
    <w:rsid w:val="002B7DFB"/>
    <w:rsid w:val="002C089D"/>
    <w:rsid w:val="002C0D6B"/>
    <w:rsid w:val="002C10F8"/>
    <w:rsid w:val="002C2B33"/>
    <w:rsid w:val="002C3513"/>
    <w:rsid w:val="002C35FA"/>
    <w:rsid w:val="002C39D4"/>
    <w:rsid w:val="002C39F7"/>
    <w:rsid w:val="002C3CAD"/>
    <w:rsid w:val="002C4BA8"/>
    <w:rsid w:val="002C5FC4"/>
    <w:rsid w:val="002C63C2"/>
    <w:rsid w:val="002D38CA"/>
    <w:rsid w:val="002D48E3"/>
    <w:rsid w:val="002D5EBF"/>
    <w:rsid w:val="002D7890"/>
    <w:rsid w:val="002E0135"/>
    <w:rsid w:val="002E1D26"/>
    <w:rsid w:val="002E4739"/>
    <w:rsid w:val="002E560C"/>
    <w:rsid w:val="002E5AF1"/>
    <w:rsid w:val="002E720C"/>
    <w:rsid w:val="002E769D"/>
    <w:rsid w:val="002E77F6"/>
    <w:rsid w:val="002F0396"/>
    <w:rsid w:val="002F05ED"/>
    <w:rsid w:val="002F0931"/>
    <w:rsid w:val="002F0AED"/>
    <w:rsid w:val="002F0D41"/>
    <w:rsid w:val="002F11E5"/>
    <w:rsid w:val="002F421D"/>
    <w:rsid w:val="002F706A"/>
    <w:rsid w:val="002F7C96"/>
    <w:rsid w:val="00300643"/>
    <w:rsid w:val="00301BCA"/>
    <w:rsid w:val="00301DDD"/>
    <w:rsid w:val="00305D53"/>
    <w:rsid w:val="0030627A"/>
    <w:rsid w:val="00306657"/>
    <w:rsid w:val="00307E53"/>
    <w:rsid w:val="00307FE3"/>
    <w:rsid w:val="00310A43"/>
    <w:rsid w:val="00311B81"/>
    <w:rsid w:val="00311C17"/>
    <w:rsid w:val="003137BE"/>
    <w:rsid w:val="00314A34"/>
    <w:rsid w:val="0031632A"/>
    <w:rsid w:val="00316631"/>
    <w:rsid w:val="003171C9"/>
    <w:rsid w:val="0031790A"/>
    <w:rsid w:val="00317F40"/>
    <w:rsid w:val="00320355"/>
    <w:rsid w:val="00320373"/>
    <w:rsid w:val="003203D9"/>
    <w:rsid w:val="00322C61"/>
    <w:rsid w:val="00322D5D"/>
    <w:rsid w:val="00325394"/>
    <w:rsid w:val="00325C17"/>
    <w:rsid w:val="0033092B"/>
    <w:rsid w:val="00330B58"/>
    <w:rsid w:val="0033261E"/>
    <w:rsid w:val="00335AE0"/>
    <w:rsid w:val="00336B03"/>
    <w:rsid w:val="0034057B"/>
    <w:rsid w:val="00342869"/>
    <w:rsid w:val="00342B0D"/>
    <w:rsid w:val="00342EBF"/>
    <w:rsid w:val="0034431E"/>
    <w:rsid w:val="003459AB"/>
    <w:rsid w:val="00346B22"/>
    <w:rsid w:val="00347290"/>
    <w:rsid w:val="00347EB8"/>
    <w:rsid w:val="0035079A"/>
    <w:rsid w:val="0035140F"/>
    <w:rsid w:val="003525B1"/>
    <w:rsid w:val="00354A49"/>
    <w:rsid w:val="003559A5"/>
    <w:rsid w:val="00355BB9"/>
    <w:rsid w:val="00356E1E"/>
    <w:rsid w:val="00357B39"/>
    <w:rsid w:val="0036181D"/>
    <w:rsid w:val="00362229"/>
    <w:rsid w:val="003637EB"/>
    <w:rsid w:val="003641B9"/>
    <w:rsid w:val="00367F31"/>
    <w:rsid w:val="00372A10"/>
    <w:rsid w:val="00380B50"/>
    <w:rsid w:val="00382012"/>
    <w:rsid w:val="003832F2"/>
    <w:rsid w:val="00383961"/>
    <w:rsid w:val="00383A6C"/>
    <w:rsid w:val="003846D5"/>
    <w:rsid w:val="00385373"/>
    <w:rsid w:val="00385BCC"/>
    <w:rsid w:val="003906BA"/>
    <w:rsid w:val="00395D9A"/>
    <w:rsid w:val="00396357"/>
    <w:rsid w:val="00396A98"/>
    <w:rsid w:val="00396BE7"/>
    <w:rsid w:val="00397F0B"/>
    <w:rsid w:val="003A1063"/>
    <w:rsid w:val="003A27A3"/>
    <w:rsid w:val="003A5A95"/>
    <w:rsid w:val="003A6DD0"/>
    <w:rsid w:val="003A6EEA"/>
    <w:rsid w:val="003B186E"/>
    <w:rsid w:val="003B1BDE"/>
    <w:rsid w:val="003B2959"/>
    <w:rsid w:val="003B2C62"/>
    <w:rsid w:val="003B2EFD"/>
    <w:rsid w:val="003B469A"/>
    <w:rsid w:val="003B6189"/>
    <w:rsid w:val="003C10CD"/>
    <w:rsid w:val="003C16D0"/>
    <w:rsid w:val="003C1B64"/>
    <w:rsid w:val="003C2785"/>
    <w:rsid w:val="003C3A07"/>
    <w:rsid w:val="003C5BC2"/>
    <w:rsid w:val="003C68AB"/>
    <w:rsid w:val="003C6D53"/>
    <w:rsid w:val="003C75AB"/>
    <w:rsid w:val="003D049C"/>
    <w:rsid w:val="003D1C88"/>
    <w:rsid w:val="003D21E5"/>
    <w:rsid w:val="003D362E"/>
    <w:rsid w:val="003D510A"/>
    <w:rsid w:val="003D5254"/>
    <w:rsid w:val="003E0130"/>
    <w:rsid w:val="003E276C"/>
    <w:rsid w:val="003E2D34"/>
    <w:rsid w:val="003E2EE0"/>
    <w:rsid w:val="003E38F9"/>
    <w:rsid w:val="003E5403"/>
    <w:rsid w:val="003E6E0D"/>
    <w:rsid w:val="003E7A8D"/>
    <w:rsid w:val="003E7B30"/>
    <w:rsid w:val="003E7D43"/>
    <w:rsid w:val="003F147D"/>
    <w:rsid w:val="003F249B"/>
    <w:rsid w:val="003F24F2"/>
    <w:rsid w:val="003F28AE"/>
    <w:rsid w:val="003F43C3"/>
    <w:rsid w:val="003F4C7E"/>
    <w:rsid w:val="003F510A"/>
    <w:rsid w:val="003F64D4"/>
    <w:rsid w:val="003F7A0C"/>
    <w:rsid w:val="00400D75"/>
    <w:rsid w:val="00401B96"/>
    <w:rsid w:val="00404019"/>
    <w:rsid w:val="0040522C"/>
    <w:rsid w:val="00407AD7"/>
    <w:rsid w:val="00412DCD"/>
    <w:rsid w:val="00412FB7"/>
    <w:rsid w:val="004144BB"/>
    <w:rsid w:val="00414686"/>
    <w:rsid w:val="004206A9"/>
    <w:rsid w:val="00420851"/>
    <w:rsid w:val="00421135"/>
    <w:rsid w:val="0042183A"/>
    <w:rsid w:val="00422967"/>
    <w:rsid w:val="004233F9"/>
    <w:rsid w:val="00424426"/>
    <w:rsid w:val="00430A1B"/>
    <w:rsid w:val="004327E5"/>
    <w:rsid w:val="004374F1"/>
    <w:rsid w:val="00441C51"/>
    <w:rsid w:val="0044387A"/>
    <w:rsid w:val="0044569B"/>
    <w:rsid w:val="0044762A"/>
    <w:rsid w:val="00451035"/>
    <w:rsid w:val="00451622"/>
    <w:rsid w:val="004522BE"/>
    <w:rsid w:val="004527A8"/>
    <w:rsid w:val="00455477"/>
    <w:rsid w:val="004559FD"/>
    <w:rsid w:val="00456320"/>
    <w:rsid w:val="00456321"/>
    <w:rsid w:val="0046009E"/>
    <w:rsid w:val="00461A3F"/>
    <w:rsid w:val="00462163"/>
    <w:rsid w:val="004622FC"/>
    <w:rsid w:val="004629A7"/>
    <w:rsid w:val="004642AC"/>
    <w:rsid w:val="00465179"/>
    <w:rsid w:val="0046583E"/>
    <w:rsid w:val="00467DF0"/>
    <w:rsid w:val="00471FD4"/>
    <w:rsid w:val="00472A8A"/>
    <w:rsid w:val="00473C0A"/>
    <w:rsid w:val="004744E0"/>
    <w:rsid w:val="00474CB3"/>
    <w:rsid w:val="004764F2"/>
    <w:rsid w:val="00477622"/>
    <w:rsid w:val="00480E8E"/>
    <w:rsid w:val="00484AA1"/>
    <w:rsid w:val="00485BBD"/>
    <w:rsid w:val="004861CD"/>
    <w:rsid w:val="00486645"/>
    <w:rsid w:val="0048745B"/>
    <w:rsid w:val="00492483"/>
    <w:rsid w:val="00494B2C"/>
    <w:rsid w:val="00494B38"/>
    <w:rsid w:val="00497539"/>
    <w:rsid w:val="004A2458"/>
    <w:rsid w:val="004A2612"/>
    <w:rsid w:val="004A291C"/>
    <w:rsid w:val="004A3B50"/>
    <w:rsid w:val="004A455D"/>
    <w:rsid w:val="004A4D2E"/>
    <w:rsid w:val="004A511F"/>
    <w:rsid w:val="004A5D76"/>
    <w:rsid w:val="004A76F5"/>
    <w:rsid w:val="004B101B"/>
    <w:rsid w:val="004B201E"/>
    <w:rsid w:val="004B24C9"/>
    <w:rsid w:val="004B2D5E"/>
    <w:rsid w:val="004B3720"/>
    <w:rsid w:val="004B3A3B"/>
    <w:rsid w:val="004B4624"/>
    <w:rsid w:val="004B518D"/>
    <w:rsid w:val="004C0D8A"/>
    <w:rsid w:val="004C114E"/>
    <w:rsid w:val="004C3AFE"/>
    <w:rsid w:val="004C5598"/>
    <w:rsid w:val="004C5656"/>
    <w:rsid w:val="004C5AA6"/>
    <w:rsid w:val="004C76CF"/>
    <w:rsid w:val="004C7B24"/>
    <w:rsid w:val="004D1464"/>
    <w:rsid w:val="004D1C0E"/>
    <w:rsid w:val="004D4EF8"/>
    <w:rsid w:val="004D5493"/>
    <w:rsid w:val="004E0AD6"/>
    <w:rsid w:val="004E2E38"/>
    <w:rsid w:val="004E4273"/>
    <w:rsid w:val="004E432E"/>
    <w:rsid w:val="004F049E"/>
    <w:rsid w:val="004F064C"/>
    <w:rsid w:val="004F220D"/>
    <w:rsid w:val="004F25F3"/>
    <w:rsid w:val="004F5B8D"/>
    <w:rsid w:val="004F6650"/>
    <w:rsid w:val="004F66EC"/>
    <w:rsid w:val="004F68FE"/>
    <w:rsid w:val="004F732C"/>
    <w:rsid w:val="00503D43"/>
    <w:rsid w:val="00504B1C"/>
    <w:rsid w:val="00504F46"/>
    <w:rsid w:val="00505157"/>
    <w:rsid w:val="005072C6"/>
    <w:rsid w:val="005118B2"/>
    <w:rsid w:val="00512F64"/>
    <w:rsid w:val="005135B2"/>
    <w:rsid w:val="00515183"/>
    <w:rsid w:val="005153B4"/>
    <w:rsid w:val="00515817"/>
    <w:rsid w:val="005163EA"/>
    <w:rsid w:val="005215E8"/>
    <w:rsid w:val="00521F04"/>
    <w:rsid w:val="00523903"/>
    <w:rsid w:val="00523965"/>
    <w:rsid w:val="00526411"/>
    <w:rsid w:val="00526FC4"/>
    <w:rsid w:val="00527855"/>
    <w:rsid w:val="00527E8E"/>
    <w:rsid w:val="005304D3"/>
    <w:rsid w:val="00531CD4"/>
    <w:rsid w:val="00532409"/>
    <w:rsid w:val="00532C5A"/>
    <w:rsid w:val="00532F5A"/>
    <w:rsid w:val="00533E05"/>
    <w:rsid w:val="00534815"/>
    <w:rsid w:val="00535EFF"/>
    <w:rsid w:val="00537D44"/>
    <w:rsid w:val="00540A72"/>
    <w:rsid w:val="00544B2B"/>
    <w:rsid w:val="00545783"/>
    <w:rsid w:val="00546DC0"/>
    <w:rsid w:val="005475DD"/>
    <w:rsid w:val="00550926"/>
    <w:rsid w:val="00551949"/>
    <w:rsid w:val="00551BE7"/>
    <w:rsid w:val="00556C6B"/>
    <w:rsid w:val="0056598A"/>
    <w:rsid w:val="00570039"/>
    <w:rsid w:val="005724E8"/>
    <w:rsid w:val="005729F7"/>
    <w:rsid w:val="0057373F"/>
    <w:rsid w:val="00574DA9"/>
    <w:rsid w:val="005752D6"/>
    <w:rsid w:val="005762E5"/>
    <w:rsid w:val="005769DB"/>
    <w:rsid w:val="00577AB4"/>
    <w:rsid w:val="00582894"/>
    <w:rsid w:val="0058372F"/>
    <w:rsid w:val="00584293"/>
    <w:rsid w:val="00585D4C"/>
    <w:rsid w:val="005862D4"/>
    <w:rsid w:val="0058635F"/>
    <w:rsid w:val="00586363"/>
    <w:rsid w:val="0058648A"/>
    <w:rsid w:val="005917D0"/>
    <w:rsid w:val="00592102"/>
    <w:rsid w:val="005943E5"/>
    <w:rsid w:val="00596E51"/>
    <w:rsid w:val="00597C15"/>
    <w:rsid w:val="005A0461"/>
    <w:rsid w:val="005A076F"/>
    <w:rsid w:val="005A1D62"/>
    <w:rsid w:val="005A3F50"/>
    <w:rsid w:val="005A55BA"/>
    <w:rsid w:val="005A5AB6"/>
    <w:rsid w:val="005A6218"/>
    <w:rsid w:val="005A711E"/>
    <w:rsid w:val="005B1718"/>
    <w:rsid w:val="005B1EB6"/>
    <w:rsid w:val="005B3730"/>
    <w:rsid w:val="005B3FAF"/>
    <w:rsid w:val="005B40CC"/>
    <w:rsid w:val="005B6EBA"/>
    <w:rsid w:val="005B72B8"/>
    <w:rsid w:val="005C1416"/>
    <w:rsid w:val="005C2242"/>
    <w:rsid w:val="005C2CB9"/>
    <w:rsid w:val="005C2FA6"/>
    <w:rsid w:val="005C3D6B"/>
    <w:rsid w:val="005C40FE"/>
    <w:rsid w:val="005C50AD"/>
    <w:rsid w:val="005C6EEC"/>
    <w:rsid w:val="005C74F4"/>
    <w:rsid w:val="005C7F8E"/>
    <w:rsid w:val="005D0B6F"/>
    <w:rsid w:val="005D0D1A"/>
    <w:rsid w:val="005D174E"/>
    <w:rsid w:val="005D3DC8"/>
    <w:rsid w:val="005D3F43"/>
    <w:rsid w:val="005D4962"/>
    <w:rsid w:val="005D4A9E"/>
    <w:rsid w:val="005D7C05"/>
    <w:rsid w:val="005D7D43"/>
    <w:rsid w:val="005E0138"/>
    <w:rsid w:val="005E1DE5"/>
    <w:rsid w:val="005E5A15"/>
    <w:rsid w:val="005E608F"/>
    <w:rsid w:val="005F0A05"/>
    <w:rsid w:val="005F0B65"/>
    <w:rsid w:val="005F29C7"/>
    <w:rsid w:val="005F34F3"/>
    <w:rsid w:val="005F396C"/>
    <w:rsid w:val="00602CAA"/>
    <w:rsid w:val="00603701"/>
    <w:rsid w:val="00604387"/>
    <w:rsid w:val="00606888"/>
    <w:rsid w:val="006072F4"/>
    <w:rsid w:val="0061048A"/>
    <w:rsid w:val="0061212E"/>
    <w:rsid w:val="0061233F"/>
    <w:rsid w:val="00612518"/>
    <w:rsid w:val="00612ABD"/>
    <w:rsid w:val="00613BB0"/>
    <w:rsid w:val="00613C24"/>
    <w:rsid w:val="00614885"/>
    <w:rsid w:val="0061689D"/>
    <w:rsid w:val="00616BEF"/>
    <w:rsid w:val="00622816"/>
    <w:rsid w:val="00623E4D"/>
    <w:rsid w:val="00623F20"/>
    <w:rsid w:val="00624EFF"/>
    <w:rsid w:val="00626BB7"/>
    <w:rsid w:val="006279F9"/>
    <w:rsid w:val="006332AF"/>
    <w:rsid w:val="006338AE"/>
    <w:rsid w:val="0063584E"/>
    <w:rsid w:val="00636401"/>
    <w:rsid w:val="006368D1"/>
    <w:rsid w:val="006378F5"/>
    <w:rsid w:val="006406EF"/>
    <w:rsid w:val="00641648"/>
    <w:rsid w:val="00641D7A"/>
    <w:rsid w:val="00644B50"/>
    <w:rsid w:val="006456C0"/>
    <w:rsid w:val="00650387"/>
    <w:rsid w:val="00651F47"/>
    <w:rsid w:val="00652BFA"/>
    <w:rsid w:val="00652DE0"/>
    <w:rsid w:val="006535FE"/>
    <w:rsid w:val="00657F81"/>
    <w:rsid w:val="0066120D"/>
    <w:rsid w:val="0066236C"/>
    <w:rsid w:val="00663055"/>
    <w:rsid w:val="00663985"/>
    <w:rsid w:val="00663E76"/>
    <w:rsid w:val="00664A40"/>
    <w:rsid w:val="0066678C"/>
    <w:rsid w:val="00673C0B"/>
    <w:rsid w:val="00674ED5"/>
    <w:rsid w:val="00676156"/>
    <w:rsid w:val="006765D0"/>
    <w:rsid w:val="00676B45"/>
    <w:rsid w:val="00677DBD"/>
    <w:rsid w:val="006830FE"/>
    <w:rsid w:val="00683CCF"/>
    <w:rsid w:val="00685351"/>
    <w:rsid w:val="00690BE3"/>
    <w:rsid w:val="00691612"/>
    <w:rsid w:val="00692A66"/>
    <w:rsid w:val="00693623"/>
    <w:rsid w:val="0069385F"/>
    <w:rsid w:val="00696338"/>
    <w:rsid w:val="00697A0C"/>
    <w:rsid w:val="00697CF2"/>
    <w:rsid w:val="006A1699"/>
    <w:rsid w:val="006A3E14"/>
    <w:rsid w:val="006A3E44"/>
    <w:rsid w:val="006A55F1"/>
    <w:rsid w:val="006A5A6E"/>
    <w:rsid w:val="006A620A"/>
    <w:rsid w:val="006A6498"/>
    <w:rsid w:val="006B1084"/>
    <w:rsid w:val="006B1797"/>
    <w:rsid w:val="006B2BDD"/>
    <w:rsid w:val="006B31E5"/>
    <w:rsid w:val="006B4996"/>
    <w:rsid w:val="006B5135"/>
    <w:rsid w:val="006C1BD2"/>
    <w:rsid w:val="006C1BEF"/>
    <w:rsid w:val="006C1F9F"/>
    <w:rsid w:val="006C38CD"/>
    <w:rsid w:val="006C4427"/>
    <w:rsid w:val="006C6720"/>
    <w:rsid w:val="006C6AAA"/>
    <w:rsid w:val="006D0A6E"/>
    <w:rsid w:val="006D0D83"/>
    <w:rsid w:val="006D32F2"/>
    <w:rsid w:val="006D3CC5"/>
    <w:rsid w:val="006D4737"/>
    <w:rsid w:val="006E0163"/>
    <w:rsid w:val="006E0D9E"/>
    <w:rsid w:val="006E283D"/>
    <w:rsid w:val="006E3BE7"/>
    <w:rsid w:val="006E3FB5"/>
    <w:rsid w:val="006E7E9B"/>
    <w:rsid w:val="006F0EA5"/>
    <w:rsid w:val="006F1F63"/>
    <w:rsid w:val="006F5DF4"/>
    <w:rsid w:val="006F717F"/>
    <w:rsid w:val="006F7D8A"/>
    <w:rsid w:val="00700153"/>
    <w:rsid w:val="00703FD6"/>
    <w:rsid w:val="007050A9"/>
    <w:rsid w:val="0070543E"/>
    <w:rsid w:val="00706D0A"/>
    <w:rsid w:val="0070755B"/>
    <w:rsid w:val="00707EF3"/>
    <w:rsid w:val="00710339"/>
    <w:rsid w:val="00711B9F"/>
    <w:rsid w:val="00712658"/>
    <w:rsid w:val="00713731"/>
    <w:rsid w:val="0071379A"/>
    <w:rsid w:val="00713FF2"/>
    <w:rsid w:val="00714583"/>
    <w:rsid w:val="00714B0E"/>
    <w:rsid w:val="00714F5C"/>
    <w:rsid w:val="007151AD"/>
    <w:rsid w:val="0071553F"/>
    <w:rsid w:val="00716EB1"/>
    <w:rsid w:val="00720434"/>
    <w:rsid w:val="00721F0C"/>
    <w:rsid w:val="00722A3D"/>
    <w:rsid w:val="00724288"/>
    <w:rsid w:val="00726C0A"/>
    <w:rsid w:val="00726F2C"/>
    <w:rsid w:val="007279E6"/>
    <w:rsid w:val="00727A79"/>
    <w:rsid w:val="00727CD1"/>
    <w:rsid w:val="00731A57"/>
    <w:rsid w:val="0073212E"/>
    <w:rsid w:val="00733424"/>
    <w:rsid w:val="00733EBB"/>
    <w:rsid w:val="0073626C"/>
    <w:rsid w:val="0073714A"/>
    <w:rsid w:val="007439A1"/>
    <w:rsid w:val="00744EE9"/>
    <w:rsid w:val="0075151A"/>
    <w:rsid w:val="00753291"/>
    <w:rsid w:val="00754302"/>
    <w:rsid w:val="00754FA7"/>
    <w:rsid w:val="00755594"/>
    <w:rsid w:val="007555AA"/>
    <w:rsid w:val="00755B07"/>
    <w:rsid w:val="00756BF9"/>
    <w:rsid w:val="00756D3D"/>
    <w:rsid w:val="00756E43"/>
    <w:rsid w:val="00760EC5"/>
    <w:rsid w:val="007632A0"/>
    <w:rsid w:val="007638EF"/>
    <w:rsid w:val="007656FF"/>
    <w:rsid w:val="00766CD3"/>
    <w:rsid w:val="00767117"/>
    <w:rsid w:val="007675AF"/>
    <w:rsid w:val="0077275B"/>
    <w:rsid w:val="0077468A"/>
    <w:rsid w:val="00777849"/>
    <w:rsid w:val="0078196E"/>
    <w:rsid w:val="0078594E"/>
    <w:rsid w:val="00786ABF"/>
    <w:rsid w:val="0078742C"/>
    <w:rsid w:val="00790ABC"/>
    <w:rsid w:val="00791586"/>
    <w:rsid w:val="00791CAF"/>
    <w:rsid w:val="00792F20"/>
    <w:rsid w:val="00794428"/>
    <w:rsid w:val="007952B2"/>
    <w:rsid w:val="007961CB"/>
    <w:rsid w:val="007963EF"/>
    <w:rsid w:val="00796861"/>
    <w:rsid w:val="007A36DC"/>
    <w:rsid w:val="007A3F68"/>
    <w:rsid w:val="007A4F98"/>
    <w:rsid w:val="007A70EB"/>
    <w:rsid w:val="007A73D3"/>
    <w:rsid w:val="007A7A53"/>
    <w:rsid w:val="007B0902"/>
    <w:rsid w:val="007B1B5F"/>
    <w:rsid w:val="007B30C2"/>
    <w:rsid w:val="007B344D"/>
    <w:rsid w:val="007B4474"/>
    <w:rsid w:val="007B4668"/>
    <w:rsid w:val="007B676C"/>
    <w:rsid w:val="007C0D7E"/>
    <w:rsid w:val="007C1869"/>
    <w:rsid w:val="007C1A14"/>
    <w:rsid w:val="007C3F0A"/>
    <w:rsid w:val="007C55F7"/>
    <w:rsid w:val="007C6898"/>
    <w:rsid w:val="007D0A06"/>
    <w:rsid w:val="007D1514"/>
    <w:rsid w:val="007D1B0E"/>
    <w:rsid w:val="007D2B67"/>
    <w:rsid w:val="007D3ED6"/>
    <w:rsid w:val="007D5F19"/>
    <w:rsid w:val="007D7CC3"/>
    <w:rsid w:val="007D7D7E"/>
    <w:rsid w:val="007E1FEE"/>
    <w:rsid w:val="007E27A7"/>
    <w:rsid w:val="007E565E"/>
    <w:rsid w:val="007E626D"/>
    <w:rsid w:val="007F1418"/>
    <w:rsid w:val="007F28C1"/>
    <w:rsid w:val="007F29A9"/>
    <w:rsid w:val="007F2CE4"/>
    <w:rsid w:val="007F3306"/>
    <w:rsid w:val="007F3CBB"/>
    <w:rsid w:val="007F5CFC"/>
    <w:rsid w:val="007F761D"/>
    <w:rsid w:val="007F7F3D"/>
    <w:rsid w:val="00800E52"/>
    <w:rsid w:val="0080135E"/>
    <w:rsid w:val="0080345A"/>
    <w:rsid w:val="00810126"/>
    <w:rsid w:val="008113E0"/>
    <w:rsid w:val="0081220B"/>
    <w:rsid w:val="00815194"/>
    <w:rsid w:val="00815B27"/>
    <w:rsid w:val="00816A0F"/>
    <w:rsid w:val="0082135F"/>
    <w:rsid w:val="00822FDE"/>
    <w:rsid w:val="00824725"/>
    <w:rsid w:val="00826842"/>
    <w:rsid w:val="00827D83"/>
    <w:rsid w:val="0083089F"/>
    <w:rsid w:val="00831E85"/>
    <w:rsid w:val="00833555"/>
    <w:rsid w:val="0083376E"/>
    <w:rsid w:val="00836738"/>
    <w:rsid w:val="00836DC7"/>
    <w:rsid w:val="00837042"/>
    <w:rsid w:val="00842CE1"/>
    <w:rsid w:val="008442DF"/>
    <w:rsid w:val="00845C92"/>
    <w:rsid w:val="0084660B"/>
    <w:rsid w:val="00846D11"/>
    <w:rsid w:val="00847B2F"/>
    <w:rsid w:val="0085004D"/>
    <w:rsid w:val="00854DAD"/>
    <w:rsid w:val="00855310"/>
    <w:rsid w:val="00855CF3"/>
    <w:rsid w:val="00857675"/>
    <w:rsid w:val="00860A8C"/>
    <w:rsid w:val="00864B30"/>
    <w:rsid w:val="00865C2D"/>
    <w:rsid w:val="00867730"/>
    <w:rsid w:val="008711B0"/>
    <w:rsid w:val="00872E9A"/>
    <w:rsid w:val="00873434"/>
    <w:rsid w:val="008741AB"/>
    <w:rsid w:val="0087493B"/>
    <w:rsid w:val="00874BB1"/>
    <w:rsid w:val="008753E4"/>
    <w:rsid w:val="00875D9C"/>
    <w:rsid w:val="008762F1"/>
    <w:rsid w:val="008764BC"/>
    <w:rsid w:val="00877319"/>
    <w:rsid w:val="00877E5F"/>
    <w:rsid w:val="00880705"/>
    <w:rsid w:val="00880BCD"/>
    <w:rsid w:val="008824EC"/>
    <w:rsid w:val="008826F5"/>
    <w:rsid w:val="00883206"/>
    <w:rsid w:val="008854F3"/>
    <w:rsid w:val="00886D28"/>
    <w:rsid w:val="008870B9"/>
    <w:rsid w:val="00895630"/>
    <w:rsid w:val="008962B2"/>
    <w:rsid w:val="0089669F"/>
    <w:rsid w:val="00897CD4"/>
    <w:rsid w:val="008A0B8D"/>
    <w:rsid w:val="008A4FCB"/>
    <w:rsid w:val="008A6690"/>
    <w:rsid w:val="008A677E"/>
    <w:rsid w:val="008A7D58"/>
    <w:rsid w:val="008B19E0"/>
    <w:rsid w:val="008B28E5"/>
    <w:rsid w:val="008B2914"/>
    <w:rsid w:val="008B3467"/>
    <w:rsid w:val="008B5074"/>
    <w:rsid w:val="008B5B6E"/>
    <w:rsid w:val="008B75FC"/>
    <w:rsid w:val="008C13AD"/>
    <w:rsid w:val="008C2BF8"/>
    <w:rsid w:val="008C3344"/>
    <w:rsid w:val="008C38D4"/>
    <w:rsid w:val="008C3C29"/>
    <w:rsid w:val="008C3E4C"/>
    <w:rsid w:val="008C579C"/>
    <w:rsid w:val="008C78F3"/>
    <w:rsid w:val="008D047B"/>
    <w:rsid w:val="008D0976"/>
    <w:rsid w:val="008D0A5E"/>
    <w:rsid w:val="008D2A1D"/>
    <w:rsid w:val="008D2C0B"/>
    <w:rsid w:val="008D5590"/>
    <w:rsid w:val="008D63A1"/>
    <w:rsid w:val="008D64AD"/>
    <w:rsid w:val="008D6A5D"/>
    <w:rsid w:val="008D7FD4"/>
    <w:rsid w:val="008E1DED"/>
    <w:rsid w:val="008E31D7"/>
    <w:rsid w:val="008E3BE4"/>
    <w:rsid w:val="008F1C15"/>
    <w:rsid w:val="008F24E6"/>
    <w:rsid w:val="008F3E8B"/>
    <w:rsid w:val="008F479E"/>
    <w:rsid w:val="008F5906"/>
    <w:rsid w:val="008F60D9"/>
    <w:rsid w:val="008F6BF5"/>
    <w:rsid w:val="008F6D78"/>
    <w:rsid w:val="008F7C78"/>
    <w:rsid w:val="00901FC1"/>
    <w:rsid w:val="0090278E"/>
    <w:rsid w:val="009030F0"/>
    <w:rsid w:val="00903454"/>
    <w:rsid w:val="009036C2"/>
    <w:rsid w:val="009057E3"/>
    <w:rsid w:val="009061C2"/>
    <w:rsid w:val="009062D1"/>
    <w:rsid w:val="009064DD"/>
    <w:rsid w:val="00906D6F"/>
    <w:rsid w:val="009106F3"/>
    <w:rsid w:val="00910A2C"/>
    <w:rsid w:val="00913B37"/>
    <w:rsid w:val="009146A4"/>
    <w:rsid w:val="009151B4"/>
    <w:rsid w:val="009153EA"/>
    <w:rsid w:val="009203A4"/>
    <w:rsid w:val="009214C2"/>
    <w:rsid w:val="009234CC"/>
    <w:rsid w:val="0092493B"/>
    <w:rsid w:val="00924F40"/>
    <w:rsid w:val="009256E7"/>
    <w:rsid w:val="00925A18"/>
    <w:rsid w:val="00927B6A"/>
    <w:rsid w:val="00927BD3"/>
    <w:rsid w:val="0093157B"/>
    <w:rsid w:val="00931831"/>
    <w:rsid w:val="00934CFC"/>
    <w:rsid w:val="00935FCB"/>
    <w:rsid w:val="009400F1"/>
    <w:rsid w:val="00941030"/>
    <w:rsid w:val="00941AEF"/>
    <w:rsid w:val="00941C63"/>
    <w:rsid w:val="0094237D"/>
    <w:rsid w:val="0094312F"/>
    <w:rsid w:val="00943C76"/>
    <w:rsid w:val="00944195"/>
    <w:rsid w:val="009454F9"/>
    <w:rsid w:val="009455D3"/>
    <w:rsid w:val="00945838"/>
    <w:rsid w:val="0095003A"/>
    <w:rsid w:val="00950BEC"/>
    <w:rsid w:val="00951196"/>
    <w:rsid w:val="00954646"/>
    <w:rsid w:val="009579DF"/>
    <w:rsid w:val="00960AFB"/>
    <w:rsid w:val="00961ECC"/>
    <w:rsid w:val="009652A2"/>
    <w:rsid w:val="009664AC"/>
    <w:rsid w:val="00967870"/>
    <w:rsid w:val="00971596"/>
    <w:rsid w:val="009721F1"/>
    <w:rsid w:val="00972FCB"/>
    <w:rsid w:val="00976703"/>
    <w:rsid w:val="00984652"/>
    <w:rsid w:val="00985556"/>
    <w:rsid w:val="009855C4"/>
    <w:rsid w:val="009867EC"/>
    <w:rsid w:val="00986CA7"/>
    <w:rsid w:val="00986D8B"/>
    <w:rsid w:val="00990CEB"/>
    <w:rsid w:val="00990DC7"/>
    <w:rsid w:val="00990FEC"/>
    <w:rsid w:val="009917D5"/>
    <w:rsid w:val="00992151"/>
    <w:rsid w:val="009921D4"/>
    <w:rsid w:val="0099233C"/>
    <w:rsid w:val="0099369A"/>
    <w:rsid w:val="009A132A"/>
    <w:rsid w:val="009A1A10"/>
    <w:rsid w:val="009A22D9"/>
    <w:rsid w:val="009A2834"/>
    <w:rsid w:val="009A48EF"/>
    <w:rsid w:val="009A49F2"/>
    <w:rsid w:val="009B022E"/>
    <w:rsid w:val="009B173C"/>
    <w:rsid w:val="009B4A7D"/>
    <w:rsid w:val="009B4D75"/>
    <w:rsid w:val="009B5348"/>
    <w:rsid w:val="009B72EB"/>
    <w:rsid w:val="009B79DA"/>
    <w:rsid w:val="009C073E"/>
    <w:rsid w:val="009C1558"/>
    <w:rsid w:val="009C2B17"/>
    <w:rsid w:val="009C4B99"/>
    <w:rsid w:val="009C5758"/>
    <w:rsid w:val="009D0E41"/>
    <w:rsid w:val="009D1B3F"/>
    <w:rsid w:val="009D2571"/>
    <w:rsid w:val="009D3988"/>
    <w:rsid w:val="009D671E"/>
    <w:rsid w:val="009E1DFA"/>
    <w:rsid w:val="009E2DA5"/>
    <w:rsid w:val="009E403F"/>
    <w:rsid w:val="009E5987"/>
    <w:rsid w:val="009E614F"/>
    <w:rsid w:val="009E7446"/>
    <w:rsid w:val="009F11C8"/>
    <w:rsid w:val="009F155D"/>
    <w:rsid w:val="009F3DA9"/>
    <w:rsid w:val="009F4C32"/>
    <w:rsid w:val="009F62AA"/>
    <w:rsid w:val="00A0237C"/>
    <w:rsid w:val="00A024EF"/>
    <w:rsid w:val="00A02F7F"/>
    <w:rsid w:val="00A030B1"/>
    <w:rsid w:val="00A045D2"/>
    <w:rsid w:val="00A117E5"/>
    <w:rsid w:val="00A12698"/>
    <w:rsid w:val="00A12B14"/>
    <w:rsid w:val="00A12D8D"/>
    <w:rsid w:val="00A13A6F"/>
    <w:rsid w:val="00A14EC2"/>
    <w:rsid w:val="00A15397"/>
    <w:rsid w:val="00A15E68"/>
    <w:rsid w:val="00A175E1"/>
    <w:rsid w:val="00A23536"/>
    <w:rsid w:val="00A277ED"/>
    <w:rsid w:val="00A27B6F"/>
    <w:rsid w:val="00A31A3A"/>
    <w:rsid w:val="00A32B50"/>
    <w:rsid w:val="00A34C3B"/>
    <w:rsid w:val="00A34CBA"/>
    <w:rsid w:val="00A350EA"/>
    <w:rsid w:val="00A3752B"/>
    <w:rsid w:val="00A41CEF"/>
    <w:rsid w:val="00A437A8"/>
    <w:rsid w:val="00A44EB4"/>
    <w:rsid w:val="00A4565A"/>
    <w:rsid w:val="00A47F10"/>
    <w:rsid w:val="00A50FDC"/>
    <w:rsid w:val="00A513A2"/>
    <w:rsid w:val="00A53EEA"/>
    <w:rsid w:val="00A54B3A"/>
    <w:rsid w:val="00A55933"/>
    <w:rsid w:val="00A566DD"/>
    <w:rsid w:val="00A5690F"/>
    <w:rsid w:val="00A61361"/>
    <w:rsid w:val="00A632BB"/>
    <w:rsid w:val="00A646A3"/>
    <w:rsid w:val="00A654CA"/>
    <w:rsid w:val="00A66530"/>
    <w:rsid w:val="00A719AC"/>
    <w:rsid w:val="00A74191"/>
    <w:rsid w:val="00A769E8"/>
    <w:rsid w:val="00A76D51"/>
    <w:rsid w:val="00A774DB"/>
    <w:rsid w:val="00A80962"/>
    <w:rsid w:val="00A80B9B"/>
    <w:rsid w:val="00A82385"/>
    <w:rsid w:val="00A82BF4"/>
    <w:rsid w:val="00A830EC"/>
    <w:rsid w:val="00A83C67"/>
    <w:rsid w:val="00A83F50"/>
    <w:rsid w:val="00A842FC"/>
    <w:rsid w:val="00A84756"/>
    <w:rsid w:val="00A849E4"/>
    <w:rsid w:val="00A92F8B"/>
    <w:rsid w:val="00A932FC"/>
    <w:rsid w:val="00A947A3"/>
    <w:rsid w:val="00A95197"/>
    <w:rsid w:val="00A95BDA"/>
    <w:rsid w:val="00A95C9E"/>
    <w:rsid w:val="00A96494"/>
    <w:rsid w:val="00A96883"/>
    <w:rsid w:val="00AA011B"/>
    <w:rsid w:val="00AA01A1"/>
    <w:rsid w:val="00AA0261"/>
    <w:rsid w:val="00AA0CDD"/>
    <w:rsid w:val="00AA2CA7"/>
    <w:rsid w:val="00AA31FD"/>
    <w:rsid w:val="00AA3347"/>
    <w:rsid w:val="00AA3DC6"/>
    <w:rsid w:val="00AA4693"/>
    <w:rsid w:val="00AA4AF7"/>
    <w:rsid w:val="00AA5F41"/>
    <w:rsid w:val="00AA6DFB"/>
    <w:rsid w:val="00AA72D2"/>
    <w:rsid w:val="00AA7F20"/>
    <w:rsid w:val="00AB0460"/>
    <w:rsid w:val="00AB4DA6"/>
    <w:rsid w:val="00AB65B5"/>
    <w:rsid w:val="00AB7B08"/>
    <w:rsid w:val="00AB7C37"/>
    <w:rsid w:val="00AB7C41"/>
    <w:rsid w:val="00AC03A2"/>
    <w:rsid w:val="00AC1A0F"/>
    <w:rsid w:val="00AC4555"/>
    <w:rsid w:val="00AC5626"/>
    <w:rsid w:val="00AD183A"/>
    <w:rsid w:val="00AD71C7"/>
    <w:rsid w:val="00AD7BEC"/>
    <w:rsid w:val="00AE1B72"/>
    <w:rsid w:val="00AE4834"/>
    <w:rsid w:val="00AE52D0"/>
    <w:rsid w:val="00AE6C6D"/>
    <w:rsid w:val="00AE6CDD"/>
    <w:rsid w:val="00AF0EE3"/>
    <w:rsid w:val="00AF2DDD"/>
    <w:rsid w:val="00AF3541"/>
    <w:rsid w:val="00AF4369"/>
    <w:rsid w:val="00AF65E1"/>
    <w:rsid w:val="00AF6AF8"/>
    <w:rsid w:val="00AF6D88"/>
    <w:rsid w:val="00AF7058"/>
    <w:rsid w:val="00AF778D"/>
    <w:rsid w:val="00AF79E4"/>
    <w:rsid w:val="00B0173E"/>
    <w:rsid w:val="00B025B1"/>
    <w:rsid w:val="00B029F0"/>
    <w:rsid w:val="00B042F4"/>
    <w:rsid w:val="00B043F2"/>
    <w:rsid w:val="00B04BE9"/>
    <w:rsid w:val="00B066D6"/>
    <w:rsid w:val="00B10D26"/>
    <w:rsid w:val="00B10F12"/>
    <w:rsid w:val="00B1167B"/>
    <w:rsid w:val="00B15608"/>
    <w:rsid w:val="00B15C22"/>
    <w:rsid w:val="00B17003"/>
    <w:rsid w:val="00B204CB"/>
    <w:rsid w:val="00B20C7D"/>
    <w:rsid w:val="00B21212"/>
    <w:rsid w:val="00B238A3"/>
    <w:rsid w:val="00B24209"/>
    <w:rsid w:val="00B2460A"/>
    <w:rsid w:val="00B264C9"/>
    <w:rsid w:val="00B269D7"/>
    <w:rsid w:val="00B27DB1"/>
    <w:rsid w:val="00B30839"/>
    <w:rsid w:val="00B31231"/>
    <w:rsid w:val="00B34174"/>
    <w:rsid w:val="00B34CE8"/>
    <w:rsid w:val="00B40D8E"/>
    <w:rsid w:val="00B42273"/>
    <w:rsid w:val="00B4362C"/>
    <w:rsid w:val="00B4638A"/>
    <w:rsid w:val="00B471D2"/>
    <w:rsid w:val="00B47A30"/>
    <w:rsid w:val="00B51543"/>
    <w:rsid w:val="00B5269D"/>
    <w:rsid w:val="00B53744"/>
    <w:rsid w:val="00B538E8"/>
    <w:rsid w:val="00B53B77"/>
    <w:rsid w:val="00B54925"/>
    <w:rsid w:val="00B54D4D"/>
    <w:rsid w:val="00B5542A"/>
    <w:rsid w:val="00B567E9"/>
    <w:rsid w:val="00B60010"/>
    <w:rsid w:val="00B60618"/>
    <w:rsid w:val="00B625FF"/>
    <w:rsid w:val="00B646BA"/>
    <w:rsid w:val="00B649DD"/>
    <w:rsid w:val="00B6628A"/>
    <w:rsid w:val="00B66452"/>
    <w:rsid w:val="00B6679B"/>
    <w:rsid w:val="00B70F0B"/>
    <w:rsid w:val="00B71B55"/>
    <w:rsid w:val="00B7282B"/>
    <w:rsid w:val="00B82E38"/>
    <w:rsid w:val="00B831FA"/>
    <w:rsid w:val="00B854F5"/>
    <w:rsid w:val="00B85679"/>
    <w:rsid w:val="00B9010D"/>
    <w:rsid w:val="00B90EDB"/>
    <w:rsid w:val="00B95756"/>
    <w:rsid w:val="00BA1095"/>
    <w:rsid w:val="00BA2943"/>
    <w:rsid w:val="00BA4DD6"/>
    <w:rsid w:val="00BA6C74"/>
    <w:rsid w:val="00BA7F82"/>
    <w:rsid w:val="00BB1E7A"/>
    <w:rsid w:val="00BB2872"/>
    <w:rsid w:val="00BB362A"/>
    <w:rsid w:val="00BB363A"/>
    <w:rsid w:val="00BB3F47"/>
    <w:rsid w:val="00BB75C9"/>
    <w:rsid w:val="00BB7D9F"/>
    <w:rsid w:val="00BC149E"/>
    <w:rsid w:val="00BC15A9"/>
    <w:rsid w:val="00BC1D6E"/>
    <w:rsid w:val="00BC39B9"/>
    <w:rsid w:val="00BC3E4E"/>
    <w:rsid w:val="00BC5C85"/>
    <w:rsid w:val="00BC61C4"/>
    <w:rsid w:val="00BC6B3B"/>
    <w:rsid w:val="00BC6CCF"/>
    <w:rsid w:val="00BC73BF"/>
    <w:rsid w:val="00BD01E9"/>
    <w:rsid w:val="00BD0DA9"/>
    <w:rsid w:val="00BD2B20"/>
    <w:rsid w:val="00BD3B1D"/>
    <w:rsid w:val="00BD744B"/>
    <w:rsid w:val="00BD76C3"/>
    <w:rsid w:val="00BE0B41"/>
    <w:rsid w:val="00BE1323"/>
    <w:rsid w:val="00BE235D"/>
    <w:rsid w:val="00BE31F6"/>
    <w:rsid w:val="00BE660C"/>
    <w:rsid w:val="00BE7CD4"/>
    <w:rsid w:val="00BF0FA0"/>
    <w:rsid w:val="00BF29B1"/>
    <w:rsid w:val="00BF3776"/>
    <w:rsid w:val="00BF3BB8"/>
    <w:rsid w:val="00C00D99"/>
    <w:rsid w:val="00C01890"/>
    <w:rsid w:val="00C02753"/>
    <w:rsid w:val="00C05DA1"/>
    <w:rsid w:val="00C06D80"/>
    <w:rsid w:val="00C07267"/>
    <w:rsid w:val="00C07C8D"/>
    <w:rsid w:val="00C07F20"/>
    <w:rsid w:val="00C1070A"/>
    <w:rsid w:val="00C10DD9"/>
    <w:rsid w:val="00C11005"/>
    <w:rsid w:val="00C11E2B"/>
    <w:rsid w:val="00C143BE"/>
    <w:rsid w:val="00C14631"/>
    <w:rsid w:val="00C157AD"/>
    <w:rsid w:val="00C157D1"/>
    <w:rsid w:val="00C159A3"/>
    <w:rsid w:val="00C1685F"/>
    <w:rsid w:val="00C17506"/>
    <w:rsid w:val="00C17D76"/>
    <w:rsid w:val="00C2042B"/>
    <w:rsid w:val="00C20FFF"/>
    <w:rsid w:val="00C22E49"/>
    <w:rsid w:val="00C23AF0"/>
    <w:rsid w:val="00C24E30"/>
    <w:rsid w:val="00C24FB3"/>
    <w:rsid w:val="00C25876"/>
    <w:rsid w:val="00C335D9"/>
    <w:rsid w:val="00C378A0"/>
    <w:rsid w:val="00C40A03"/>
    <w:rsid w:val="00C40A3A"/>
    <w:rsid w:val="00C42367"/>
    <w:rsid w:val="00C43A35"/>
    <w:rsid w:val="00C4470B"/>
    <w:rsid w:val="00C4514C"/>
    <w:rsid w:val="00C46FE8"/>
    <w:rsid w:val="00C50400"/>
    <w:rsid w:val="00C523DF"/>
    <w:rsid w:val="00C53E3C"/>
    <w:rsid w:val="00C56BAB"/>
    <w:rsid w:val="00C5711D"/>
    <w:rsid w:val="00C5713B"/>
    <w:rsid w:val="00C64E5A"/>
    <w:rsid w:val="00C65E81"/>
    <w:rsid w:val="00C66A3E"/>
    <w:rsid w:val="00C66D0B"/>
    <w:rsid w:val="00C67800"/>
    <w:rsid w:val="00C706A7"/>
    <w:rsid w:val="00C71D56"/>
    <w:rsid w:val="00C72F41"/>
    <w:rsid w:val="00C7481A"/>
    <w:rsid w:val="00C75A7A"/>
    <w:rsid w:val="00C76289"/>
    <w:rsid w:val="00C76C36"/>
    <w:rsid w:val="00C77F3E"/>
    <w:rsid w:val="00C81C50"/>
    <w:rsid w:val="00C825C3"/>
    <w:rsid w:val="00C9139C"/>
    <w:rsid w:val="00C93BD3"/>
    <w:rsid w:val="00C95545"/>
    <w:rsid w:val="00C95C73"/>
    <w:rsid w:val="00C973AE"/>
    <w:rsid w:val="00CA007B"/>
    <w:rsid w:val="00CA0CF3"/>
    <w:rsid w:val="00CA13F4"/>
    <w:rsid w:val="00CA1875"/>
    <w:rsid w:val="00CA2E23"/>
    <w:rsid w:val="00CA5C26"/>
    <w:rsid w:val="00CA689C"/>
    <w:rsid w:val="00CA775D"/>
    <w:rsid w:val="00CB16FC"/>
    <w:rsid w:val="00CB3DC9"/>
    <w:rsid w:val="00CB43EF"/>
    <w:rsid w:val="00CB5299"/>
    <w:rsid w:val="00CC1D13"/>
    <w:rsid w:val="00CC288E"/>
    <w:rsid w:val="00CC2C5E"/>
    <w:rsid w:val="00CC4069"/>
    <w:rsid w:val="00CC5D86"/>
    <w:rsid w:val="00CC5ED9"/>
    <w:rsid w:val="00CD150C"/>
    <w:rsid w:val="00CD186B"/>
    <w:rsid w:val="00CD20C0"/>
    <w:rsid w:val="00CD2CBE"/>
    <w:rsid w:val="00CD3AB2"/>
    <w:rsid w:val="00CD4032"/>
    <w:rsid w:val="00CD43FE"/>
    <w:rsid w:val="00CD4BF2"/>
    <w:rsid w:val="00CD4CB9"/>
    <w:rsid w:val="00CE6110"/>
    <w:rsid w:val="00CE746D"/>
    <w:rsid w:val="00CF01A6"/>
    <w:rsid w:val="00CF17D5"/>
    <w:rsid w:val="00CF278B"/>
    <w:rsid w:val="00CF27F1"/>
    <w:rsid w:val="00CF3439"/>
    <w:rsid w:val="00CF4711"/>
    <w:rsid w:val="00CF5286"/>
    <w:rsid w:val="00CF72B1"/>
    <w:rsid w:val="00CF7A2D"/>
    <w:rsid w:val="00CF7D9B"/>
    <w:rsid w:val="00CF7DE6"/>
    <w:rsid w:val="00D02088"/>
    <w:rsid w:val="00D05293"/>
    <w:rsid w:val="00D05BA6"/>
    <w:rsid w:val="00D131DC"/>
    <w:rsid w:val="00D13AE5"/>
    <w:rsid w:val="00D14579"/>
    <w:rsid w:val="00D14957"/>
    <w:rsid w:val="00D14C24"/>
    <w:rsid w:val="00D16D89"/>
    <w:rsid w:val="00D2222D"/>
    <w:rsid w:val="00D22A3D"/>
    <w:rsid w:val="00D22ADB"/>
    <w:rsid w:val="00D24320"/>
    <w:rsid w:val="00D26691"/>
    <w:rsid w:val="00D27C88"/>
    <w:rsid w:val="00D30FB9"/>
    <w:rsid w:val="00D325F0"/>
    <w:rsid w:val="00D36881"/>
    <w:rsid w:val="00D405B6"/>
    <w:rsid w:val="00D421BA"/>
    <w:rsid w:val="00D42DD4"/>
    <w:rsid w:val="00D4384A"/>
    <w:rsid w:val="00D439A8"/>
    <w:rsid w:val="00D44B25"/>
    <w:rsid w:val="00D451A3"/>
    <w:rsid w:val="00D46605"/>
    <w:rsid w:val="00D46782"/>
    <w:rsid w:val="00D47E0B"/>
    <w:rsid w:val="00D5244A"/>
    <w:rsid w:val="00D532C9"/>
    <w:rsid w:val="00D53B6C"/>
    <w:rsid w:val="00D54236"/>
    <w:rsid w:val="00D56B7F"/>
    <w:rsid w:val="00D57096"/>
    <w:rsid w:val="00D57529"/>
    <w:rsid w:val="00D6056F"/>
    <w:rsid w:val="00D6470B"/>
    <w:rsid w:val="00D64A73"/>
    <w:rsid w:val="00D6565C"/>
    <w:rsid w:val="00D6580C"/>
    <w:rsid w:val="00D65CB9"/>
    <w:rsid w:val="00D6666A"/>
    <w:rsid w:val="00D66BDF"/>
    <w:rsid w:val="00D67096"/>
    <w:rsid w:val="00D7022C"/>
    <w:rsid w:val="00D713D6"/>
    <w:rsid w:val="00D71F0F"/>
    <w:rsid w:val="00D7265E"/>
    <w:rsid w:val="00D73F5B"/>
    <w:rsid w:val="00D80B5B"/>
    <w:rsid w:val="00D8114C"/>
    <w:rsid w:val="00D82AB5"/>
    <w:rsid w:val="00D845C4"/>
    <w:rsid w:val="00D90594"/>
    <w:rsid w:val="00D90ABA"/>
    <w:rsid w:val="00D90BC6"/>
    <w:rsid w:val="00D90CA0"/>
    <w:rsid w:val="00D91A9A"/>
    <w:rsid w:val="00D91C9C"/>
    <w:rsid w:val="00D95E0B"/>
    <w:rsid w:val="00D963AE"/>
    <w:rsid w:val="00D97943"/>
    <w:rsid w:val="00D97D59"/>
    <w:rsid w:val="00DA1DEF"/>
    <w:rsid w:val="00DA249B"/>
    <w:rsid w:val="00DA2C50"/>
    <w:rsid w:val="00DA3EAA"/>
    <w:rsid w:val="00DA55DF"/>
    <w:rsid w:val="00DA6586"/>
    <w:rsid w:val="00DA6607"/>
    <w:rsid w:val="00DA66CD"/>
    <w:rsid w:val="00DB0DA4"/>
    <w:rsid w:val="00DB2CF8"/>
    <w:rsid w:val="00DB393B"/>
    <w:rsid w:val="00DB3C51"/>
    <w:rsid w:val="00DB6D92"/>
    <w:rsid w:val="00DC0779"/>
    <w:rsid w:val="00DC1567"/>
    <w:rsid w:val="00DC15B9"/>
    <w:rsid w:val="00DC1B89"/>
    <w:rsid w:val="00DC22FD"/>
    <w:rsid w:val="00DC32C6"/>
    <w:rsid w:val="00DC5779"/>
    <w:rsid w:val="00DC6008"/>
    <w:rsid w:val="00DC6CF3"/>
    <w:rsid w:val="00DC6DB9"/>
    <w:rsid w:val="00DD11D2"/>
    <w:rsid w:val="00DD2A2F"/>
    <w:rsid w:val="00DD4AFE"/>
    <w:rsid w:val="00DD4B9D"/>
    <w:rsid w:val="00DD6972"/>
    <w:rsid w:val="00DD703B"/>
    <w:rsid w:val="00DD725D"/>
    <w:rsid w:val="00DE0B49"/>
    <w:rsid w:val="00DE257F"/>
    <w:rsid w:val="00DF305F"/>
    <w:rsid w:val="00DF4703"/>
    <w:rsid w:val="00DF50EA"/>
    <w:rsid w:val="00DF6D7D"/>
    <w:rsid w:val="00DF7F05"/>
    <w:rsid w:val="00DF7F4F"/>
    <w:rsid w:val="00E00EEC"/>
    <w:rsid w:val="00E01174"/>
    <w:rsid w:val="00E0173F"/>
    <w:rsid w:val="00E02295"/>
    <w:rsid w:val="00E024AF"/>
    <w:rsid w:val="00E02D41"/>
    <w:rsid w:val="00E02E7A"/>
    <w:rsid w:val="00E0324E"/>
    <w:rsid w:val="00E04FA1"/>
    <w:rsid w:val="00E0605B"/>
    <w:rsid w:val="00E060FD"/>
    <w:rsid w:val="00E0731D"/>
    <w:rsid w:val="00E1024F"/>
    <w:rsid w:val="00E12BAA"/>
    <w:rsid w:val="00E162DC"/>
    <w:rsid w:val="00E165E5"/>
    <w:rsid w:val="00E166BE"/>
    <w:rsid w:val="00E17B5C"/>
    <w:rsid w:val="00E20188"/>
    <w:rsid w:val="00E21C96"/>
    <w:rsid w:val="00E22244"/>
    <w:rsid w:val="00E22DBF"/>
    <w:rsid w:val="00E24094"/>
    <w:rsid w:val="00E25EB0"/>
    <w:rsid w:val="00E2653E"/>
    <w:rsid w:val="00E273B9"/>
    <w:rsid w:val="00E27E03"/>
    <w:rsid w:val="00E303EC"/>
    <w:rsid w:val="00E31533"/>
    <w:rsid w:val="00E3370C"/>
    <w:rsid w:val="00E35086"/>
    <w:rsid w:val="00E361DB"/>
    <w:rsid w:val="00E376F1"/>
    <w:rsid w:val="00E40732"/>
    <w:rsid w:val="00E42A6C"/>
    <w:rsid w:val="00E43237"/>
    <w:rsid w:val="00E444A0"/>
    <w:rsid w:val="00E44F53"/>
    <w:rsid w:val="00E46358"/>
    <w:rsid w:val="00E46CB9"/>
    <w:rsid w:val="00E4737E"/>
    <w:rsid w:val="00E5027B"/>
    <w:rsid w:val="00E50E33"/>
    <w:rsid w:val="00E52503"/>
    <w:rsid w:val="00E52697"/>
    <w:rsid w:val="00E5331D"/>
    <w:rsid w:val="00E537A9"/>
    <w:rsid w:val="00E5411F"/>
    <w:rsid w:val="00E60256"/>
    <w:rsid w:val="00E6258D"/>
    <w:rsid w:val="00E634E1"/>
    <w:rsid w:val="00E6573F"/>
    <w:rsid w:val="00E65E0D"/>
    <w:rsid w:val="00E6721F"/>
    <w:rsid w:val="00E67B0B"/>
    <w:rsid w:val="00E70B4E"/>
    <w:rsid w:val="00E70E6B"/>
    <w:rsid w:val="00E77EEA"/>
    <w:rsid w:val="00E82019"/>
    <w:rsid w:val="00E832D5"/>
    <w:rsid w:val="00E834A5"/>
    <w:rsid w:val="00E83917"/>
    <w:rsid w:val="00E85B00"/>
    <w:rsid w:val="00E87F78"/>
    <w:rsid w:val="00E90048"/>
    <w:rsid w:val="00E9058C"/>
    <w:rsid w:val="00E91528"/>
    <w:rsid w:val="00E925C5"/>
    <w:rsid w:val="00E92644"/>
    <w:rsid w:val="00E928C8"/>
    <w:rsid w:val="00E92A1C"/>
    <w:rsid w:val="00E95423"/>
    <w:rsid w:val="00EA3DAA"/>
    <w:rsid w:val="00EA4DA1"/>
    <w:rsid w:val="00EA5DAB"/>
    <w:rsid w:val="00EA6B9C"/>
    <w:rsid w:val="00EB046B"/>
    <w:rsid w:val="00EB12AC"/>
    <w:rsid w:val="00EB494E"/>
    <w:rsid w:val="00EC011C"/>
    <w:rsid w:val="00EC17D0"/>
    <w:rsid w:val="00EC348A"/>
    <w:rsid w:val="00EC7BA5"/>
    <w:rsid w:val="00ED1290"/>
    <w:rsid w:val="00ED26EA"/>
    <w:rsid w:val="00ED38E2"/>
    <w:rsid w:val="00ED470E"/>
    <w:rsid w:val="00ED4D05"/>
    <w:rsid w:val="00ED5078"/>
    <w:rsid w:val="00ED529A"/>
    <w:rsid w:val="00ED66F4"/>
    <w:rsid w:val="00ED74AC"/>
    <w:rsid w:val="00ED7A57"/>
    <w:rsid w:val="00EE0018"/>
    <w:rsid w:val="00EE05B8"/>
    <w:rsid w:val="00EE13A7"/>
    <w:rsid w:val="00EE19A4"/>
    <w:rsid w:val="00EE5E69"/>
    <w:rsid w:val="00EE72C7"/>
    <w:rsid w:val="00EE7ED1"/>
    <w:rsid w:val="00EF20D1"/>
    <w:rsid w:val="00EF44B1"/>
    <w:rsid w:val="00EF67C2"/>
    <w:rsid w:val="00F018CD"/>
    <w:rsid w:val="00F01A00"/>
    <w:rsid w:val="00F02198"/>
    <w:rsid w:val="00F06EE6"/>
    <w:rsid w:val="00F07085"/>
    <w:rsid w:val="00F11752"/>
    <w:rsid w:val="00F174C0"/>
    <w:rsid w:val="00F222ED"/>
    <w:rsid w:val="00F22484"/>
    <w:rsid w:val="00F22FAC"/>
    <w:rsid w:val="00F238FC"/>
    <w:rsid w:val="00F260AB"/>
    <w:rsid w:val="00F2639D"/>
    <w:rsid w:val="00F307F7"/>
    <w:rsid w:val="00F3081A"/>
    <w:rsid w:val="00F339B9"/>
    <w:rsid w:val="00F340B6"/>
    <w:rsid w:val="00F34B94"/>
    <w:rsid w:val="00F34BD4"/>
    <w:rsid w:val="00F34CCB"/>
    <w:rsid w:val="00F350A4"/>
    <w:rsid w:val="00F403E6"/>
    <w:rsid w:val="00F407D1"/>
    <w:rsid w:val="00F4251B"/>
    <w:rsid w:val="00F43BF8"/>
    <w:rsid w:val="00F45179"/>
    <w:rsid w:val="00F45E7E"/>
    <w:rsid w:val="00F4695E"/>
    <w:rsid w:val="00F470DD"/>
    <w:rsid w:val="00F50037"/>
    <w:rsid w:val="00F55689"/>
    <w:rsid w:val="00F5592B"/>
    <w:rsid w:val="00F56311"/>
    <w:rsid w:val="00F56CD5"/>
    <w:rsid w:val="00F6063B"/>
    <w:rsid w:val="00F63A7D"/>
    <w:rsid w:val="00F63FE3"/>
    <w:rsid w:val="00F64054"/>
    <w:rsid w:val="00F64B40"/>
    <w:rsid w:val="00F70C29"/>
    <w:rsid w:val="00F72782"/>
    <w:rsid w:val="00F74217"/>
    <w:rsid w:val="00F743DD"/>
    <w:rsid w:val="00F75A20"/>
    <w:rsid w:val="00F7629E"/>
    <w:rsid w:val="00F83E82"/>
    <w:rsid w:val="00F840FC"/>
    <w:rsid w:val="00F845FE"/>
    <w:rsid w:val="00F84714"/>
    <w:rsid w:val="00F848BB"/>
    <w:rsid w:val="00F85342"/>
    <w:rsid w:val="00F904B2"/>
    <w:rsid w:val="00F90C94"/>
    <w:rsid w:val="00F922F8"/>
    <w:rsid w:val="00F92529"/>
    <w:rsid w:val="00F92B8A"/>
    <w:rsid w:val="00F92C47"/>
    <w:rsid w:val="00F942D4"/>
    <w:rsid w:val="00F95383"/>
    <w:rsid w:val="00F96964"/>
    <w:rsid w:val="00F9726D"/>
    <w:rsid w:val="00FA03A0"/>
    <w:rsid w:val="00FA0FC1"/>
    <w:rsid w:val="00FA279B"/>
    <w:rsid w:val="00FA2CEE"/>
    <w:rsid w:val="00FA2EA9"/>
    <w:rsid w:val="00FA30E8"/>
    <w:rsid w:val="00FA39C2"/>
    <w:rsid w:val="00FA49B6"/>
    <w:rsid w:val="00FA520A"/>
    <w:rsid w:val="00FB17B6"/>
    <w:rsid w:val="00FB1E7D"/>
    <w:rsid w:val="00FB2C93"/>
    <w:rsid w:val="00FB2F90"/>
    <w:rsid w:val="00FB4288"/>
    <w:rsid w:val="00FB606E"/>
    <w:rsid w:val="00FB6DC8"/>
    <w:rsid w:val="00FC13BF"/>
    <w:rsid w:val="00FC1633"/>
    <w:rsid w:val="00FC1BC6"/>
    <w:rsid w:val="00FC3751"/>
    <w:rsid w:val="00FC3923"/>
    <w:rsid w:val="00FC7312"/>
    <w:rsid w:val="00FD037D"/>
    <w:rsid w:val="00FD2A21"/>
    <w:rsid w:val="00FD466C"/>
    <w:rsid w:val="00FD69DD"/>
    <w:rsid w:val="00FE1CB3"/>
    <w:rsid w:val="00FE1D92"/>
    <w:rsid w:val="00FE2F9C"/>
    <w:rsid w:val="00FE3C26"/>
    <w:rsid w:val="00FE4FAA"/>
    <w:rsid w:val="00FE5105"/>
    <w:rsid w:val="00FE6ADD"/>
    <w:rsid w:val="00FF2D88"/>
    <w:rsid w:val="00FF313E"/>
    <w:rsid w:val="00FF62CB"/>
    <w:rsid w:val="00FF7804"/>
    <w:rsid w:val="034508C0"/>
    <w:rsid w:val="2C99C37A"/>
    <w:rsid w:val="4427BFA7"/>
    <w:rsid w:val="45F22AD6"/>
    <w:rsid w:val="4CFF1124"/>
    <w:rsid w:val="5BF7212C"/>
    <w:rsid w:val="607CE434"/>
    <w:rsid w:val="6817BB54"/>
    <w:rsid w:val="6C82AC1B"/>
    <w:rsid w:val="7704C826"/>
    <w:rsid w:val="7C1C01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897DEA"/>
  <w15:docId w15:val="{C0035006-DB76-254C-88F5-0889ACD1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hidden/>
    <w:rsid w:val="00CD4BF2"/>
    <w:rPr>
      <w:rFonts w:ascii="Arial" w:hAnsi="Arial"/>
      <w:sz w:val="24"/>
      <w:lang w:eastAsia="es-CO"/>
    </w:rPr>
  </w:style>
  <w:style w:type="paragraph" w:styleId="Ttulo1">
    <w:name w:val="heading 1"/>
    <w:basedOn w:val="Normal"/>
    <w:next w:val="Normal"/>
    <w:link w:val="Ttulo1Car"/>
    <w:uiPriority w:val="9"/>
    <w:qFormat/>
    <w:rsid w:val="001029BA"/>
    <w:pPr>
      <w:keepNext/>
      <w:numPr>
        <w:numId w:val="14"/>
      </w:numPr>
      <w:spacing w:before="240" w:after="60"/>
      <w:outlineLvl w:val="0"/>
    </w:pPr>
    <w:rPr>
      <w:rFonts w:cs="Arial"/>
      <w:b/>
      <w:bCs/>
      <w:caps/>
      <w:kern w:val="32"/>
      <w:sz w:val="16"/>
      <w:szCs w:val="32"/>
    </w:rPr>
  </w:style>
  <w:style w:type="paragraph" w:styleId="Ttulo2">
    <w:name w:val="heading 2"/>
    <w:basedOn w:val="Normal"/>
    <w:next w:val="Normal"/>
    <w:link w:val="Ttulo2Car"/>
    <w:uiPriority w:val="9"/>
    <w:qFormat/>
    <w:rsid w:val="002A11F6"/>
    <w:pPr>
      <w:keepNext/>
      <w:numPr>
        <w:ilvl w:val="1"/>
        <w:numId w:val="14"/>
      </w:numPr>
      <w:outlineLvl w:val="1"/>
    </w:pPr>
    <w:rPr>
      <w:rFonts w:cs="Arial"/>
      <w:b/>
      <w:bCs/>
      <w:iCs/>
      <w:sz w:val="16"/>
      <w:szCs w:val="28"/>
    </w:rPr>
  </w:style>
  <w:style w:type="paragraph" w:styleId="Ttulo3">
    <w:name w:val="heading 3"/>
    <w:basedOn w:val="Normal"/>
    <w:next w:val="Normal"/>
    <w:link w:val="Ttulo3Car"/>
    <w:uiPriority w:val="9"/>
    <w:qFormat/>
    <w:rsid w:val="00AB0460"/>
    <w:pPr>
      <w:keepNext/>
      <w:tabs>
        <w:tab w:val="num" w:pos="720"/>
        <w:tab w:val="num" w:pos="1844"/>
      </w:tabs>
      <w:spacing w:before="240" w:after="60"/>
      <w:ind w:left="568" w:firstLine="567"/>
      <w:outlineLvl w:val="2"/>
    </w:pPr>
    <w:rPr>
      <w:rFonts w:cs="Arial"/>
      <w:b/>
      <w:bCs/>
      <w:szCs w:val="26"/>
    </w:rPr>
  </w:style>
  <w:style w:type="paragraph" w:styleId="Ttulo4">
    <w:name w:val="heading 4"/>
    <w:basedOn w:val="Normal"/>
    <w:next w:val="Normal"/>
    <w:link w:val="Ttulo4Car"/>
    <w:uiPriority w:val="9"/>
    <w:qFormat/>
    <w:rsid w:val="00AB0460"/>
    <w:pPr>
      <w:keepNext/>
      <w:tabs>
        <w:tab w:val="num" w:pos="864"/>
        <w:tab w:val="num" w:pos="2693"/>
      </w:tabs>
      <w:spacing w:before="240" w:after="60"/>
      <w:ind w:left="1276" w:firstLine="709"/>
      <w:outlineLvl w:val="3"/>
    </w:pPr>
    <w:rPr>
      <w:bCs/>
      <w:szCs w:val="28"/>
    </w:rPr>
  </w:style>
  <w:style w:type="paragraph" w:styleId="Ttulo5">
    <w:name w:val="heading 5"/>
    <w:basedOn w:val="Normal"/>
    <w:next w:val="Normal"/>
    <w:link w:val="Ttulo5Car"/>
    <w:qFormat/>
    <w:rsid w:val="00AB0460"/>
    <w:pPr>
      <w:numPr>
        <w:ilvl w:val="4"/>
        <w:numId w:val="1"/>
      </w:numPr>
      <w:spacing w:before="240" w:after="60"/>
      <w:outlineLvl w:val="4"/>
    </w:pPr>
    <w:rPr>
      <w:b/>
      <w:bCs/>
      <w:iCs/>
      <w:szCs w:val="26"/>
      <w:u w:val="single"/>
    </w:rPr>
  </w:style>
  <w:style w:type="paragraph" w:styleId="Ttulo6">
    <w:name w:val="heading 6"/>
    <w:basedOn w:val="Normal"/>
    <w:link w:val="Ttulo6Car"/>
    <w:qFormat/>
    <w:rsid w:val="00AB0460"/>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1"/>
      </w:numPr>
      <w:spacing w:before="240" w:after="60"/>
      <w:outlineLvl w:val="6"/>
    </w:pPr>
    <w:rPr>
      <w:szCs w:val="24"/>
    </w:rPr>
  </w:style>
  <w:style w:type="paragraph" w:styleId="Ttulo8">
    <w:name w:val="heading 8"/>
    <w:basedOn w:val="Normal"/>
    <w:next w:val="Normal"/>
    <w:link w:val="Ttulo8Car"/>
    <w:qFormat/>
    <w:rsid w:val="00AB0460"/>
    <w:pPr>
      <w:numPr>
        <w:ilvl w:val="7"/>
        <w:numId w:val="1"/>
      </w:numPr>
      <w:spacing w:before="240" w:after="60"/>
      <w:outlineLvl w:val="7"/>
    </w:pPr>
    <w:rPr>
      <w:i/>
      <w:iCs/>
      <w:szCs w:val="24"/>
    </w:rPr>
  </w:style>
  <w:style w:type="paragraph" w:styleId="Ttulo9">
    <w:name w:val="heading 9"/>
    <w:basedOn w:val="Normal"/>
    <w:next w:val="Normal"/>
    <w:link w:val="Ttulo9Car"/>
    <w:qFormat/>
    <w:rsid w:val="00AB0460"/>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1029BA"/>
    <w:rPr>
      <w:rFonts w:ascii="Arial" w:hAnsi="Arial" w:cs="Arial"/>
      <w:b/>
      <w:bCs/>
      <w:caps/>
      <w:kern w:val="32"/>
      <w:sz w:val="16"/>
      <w:szCs w:val="32"/>
      <w:lang w:eastAsia="es-CO"/>
    </w:rPr>
  </w:style>
  <w:style w:type="character" w:customStyle="1" w:styleId="Ttulo2Car">
    <w:name w:val="Título 2 Car"/>
    <w:link w:val="Ttulo2"/>
    <w:rsid w:val="002A11F6"/>
    <w:rPr>
      <w:rFonts w:ascii="Arial" w:hAnsi="Arial" w:cs="Arial"/>
      <w:b/>
      <w:bCs/>
      <w:iCs/>
      <w:sz w:val="16"/>
      <w:szCs w:val="28"/>
      <w:lang w:eastAsia="es-CO"/>
    </w:rPr>
  </w:style>
  <w:style w:type="character" w:customStyle="1" w:styleId="Ttulo3Car">
    <w:name w:val="Título 3 Car"/>
    <w:link w:val="Ttulo3"/>
    <w:uiPriority w:val="9"/>
    <w:rsid w:val="00AB0460"/>
    <w:rPr>
      <w:rFonts w:ascii="Arial" w:hAnsi="Arial" w:cs="Arial"/>
      <w:b/>
      <w:bCs/>
      <w:sz w:val="24"/>
      <w:szCs w:val="26"/>
      <w:lang w:eastAsia="es-CO"/>
    </w:rPr>
  </w:style>
  <w:style w:type="character" w:customStyle="1" w:styleId="Ttulo4Car">
    <w:name w:val="Título 4 Car"/>
    <w:link w:val="Ttulo4"/>
    <w:uiPriority w:val="9"/>
    <w:rsid w:val="00AB0460"/>
    <w:rPr>
      <w:rFonts w:ascii="Arial" w:hAnsi="Arial"/>
      <w:bCs/>
      <w:sz w:val="24"/>
      <w:szCs w:val="28"/>
      <w:lang w:eastAsia="es-CO"/>
    </w:rPr>
  </w:style>
  <w:style w:type="character" w:customStyle="1" w:styleId="Ttulo5Car">
    <w:name w:val="Título 5 Car"/>
    <w:link w:val="Ttulo5"/>
    <w:rsid w:val="00AB0460"/>
    <w:rPr>
      <w:rFonts w:ascii="Arial" w:hAnsi="Arial"/>
      <w:b/>
      <w:bCs/>
      <w:iCs/>
      <w:sz w:val="24"/>
      <w:szCs w:val="26"/>
      <w:u w:val="single"/>
      <w:lang w:eastAsia="es-CO"/>
    </w:rPr>
  </w:style>
  <w:style w:type="character" w:customStyle="1" w:styleId="Ttulo6Car">
    <w:name w:val="Título 6 Car"/>
    <w:link w:val="Ttulo6"/>
    <w:rsid w:val="00AB0460"/>
    <w:rPr>
      <w:rFonts w:ascii="Arial" w:hAnsi="Arial"/>
      <w:b/>
      <w:bCs/>
      <w:sz w:val="15"/>
      <w:szCs w:val="15"/>
      <w:lang w:eastAsia="es-CO"/>
    </w:rPr>
  </w:style>
  <w:style w:type="character" w:customStyle="1" w:styleId="Ttulo7Car">
    <w:name w:val="Título 7 Car"/>
    <w:link w:val="Ttulo7"/>
    <w:rsid w:val="00AB0460"/>
    <w:rPr>
      <w:rFonts w:ascii="Arial" w:hAnsi="Arial"/>
      <w:sz w:val="24"/>
      <w:szCs w:val="24"/>
      <w:lang w:eastAsia="es-CO"/>
    </w:rPr>
  </w:style>
  <w:style w:type="character" w:customStyle="1" w:styleId="Ttulo8Car">
    <w:name w:val="Título 8 Car"/>
    <w:link w:val="Ttulo8"/>
    <w:rsid w:val="00AB0460"/>
    <w:rPr>
      <w:rFonts w:ascii="Arial" w:hAnsi="Arial"/>
      <w:i/>
      <w:iCs/>
      <w:sz w:val="24"/>
      <w:szCs w:val="24"/>
      <w:lang w:eastAsia="es-CO"/>
    </w:rPr>
  </w:style>
  <w:style w:type="character" w:customStyle="1" w:styleId="Ttulo9Car">
    <w:name w:val="Título 9 Car"/>
    <w:link w:val="Ttulo9"/>
    <w:rsid w:val="00AB0460"/>
    <w:rPr>
      <w:rFonts w:ascii="Arial" w:hAnsi="Arial" w:cs="Arial"/>
      <w:sz w:val="22"/>
      <w:szCs w:val="22"/>
      <w:lang w:eastAsia="es-CO"/>
    </w:rPr>
  </w:style>
  <w:style w:type="paragraph" w:styleId="Textodebloque">
    <w:name w:val="Block Text"/>
    <w:basedOn w:val="Normal"/>
    <w:rsid w:val="00B10D26"/>
    <w:pPr>
      <w:tabs>
        <w:tab w:val="left" w:pos="12474"/>
      </w:tabs>
      <w:ind w:left="426" w:right="192"/>
    </w:pPr>
    <w:rPr>
      <w:sz w:val="18"/>
    </w:rPr>
  </w:style>
  <w:style w:type="paragraph" w:styleId="Ttulo">
    <w:name w:val="Title"/>
    <w:basedOn w:val="Normal"/>
    <w:link w:val="TtuloCar"/>
    <w:qFormat/>
    <w:rsid w:val="00B10D26"/>
    <w:pPr>
      <w:jc w:val="center"/>
    </w:pPr>
    <w:rPr>
      <w:b/>
      <w:sz w:val="18"/>
    </w:rPr>
  </w:style>
  <w:style w:type="character" w:customStyle="1" w:styleId="TtuloCar">
    <w:name w:val="Título Car"/>
    <w:link w:val="Ttulo"/>
    <w:rsid w:val="00B10D26"/>
    <w:rPr>
      <w:rFonts w:ascii="Arial" w:hAnsi="Arial"/>
      <w:b/>
      <w:sz w:val="18"/>
      <w:lang w:val="es-ES" w:eastAsia="es-CO"/>
    </w:rPr>
  </w:style>
  <w:style w:type="character" w:styleId="Nmerodepgina">
    <w:name w:val="page number"/>
    <w:uiPriority w:val="99"/>
    <w:rsid w:val="00B10D26"/>
  </w:style>
  <w:style w:type="paragraph" w:styleId="Sangra2detindependiente">
    <w:name w:val="Body Text Indent 2"/>
    <w:basedOn w:val="Normal"/>
    <w:link w:val="Sangra2detindependienteCar"/>
    <w:rsid w:val="00B10D26"/>
    <w:pPr>
      <w:ind w:left="360"/>
      <w:jc w:val="both"/>
    </w:pPr>
    <w:rPr>
      <w:sz w:val="18"/>
    </w:rPr>
  </w:style>
  <w:style w:type="character" w:customStyle="1" w:styleId="Sangra2detindependienteCar">
    <w:name w:val="Sangría 2 de t. independiente Car"/>
    <w:link w:val="Sangra2detindependiente"/>
    <w:rsid w:val="00B10D26"/>
    <w:rPr>
      <w:rFonts w:ascii="Arial" w:hAnsi="Arial"/>
      <w:sz w:val="18"/>
      <w:lang w:val="es-ES" w:eastAsia="es-CO"/>
    </w:rPr>
  </w:style>
  <w:style w:type="paragraph" w:customStyle="1" w:styleId="Textoindependiente21">
    <w:name w:val="Texto independiente 21"/>
    <w:basedOn w:val="Normal"/>
    <w:rsid w:val="00B10D26"/>
    <w:pPr>
      <w:tabs>
        <w:tab w:val="left" w:pos="851"/>
      </w:tabs>
      <w:jc w:val="both"/>
    </w:pPr>
    <w:rPr>
      <w:sz w:val="18"/>
      <w:lang w:val="es-ES_tradnl"/>
    </w:rPr>
  </w:style>
  <w:style w:type="paragraph" w:styleId="Textoindependiente2">
    <w:name w:val="Body Text 2"/>
    <w:basedOn w:val="Normal"/>
    <w:link w:val="Textoindependiente2Car"/>
    <w:rsid w:val="00B10D26"/>
    <w:pPr>
      <w:ind w:right="356"/>
      <w:jc w:val="both"/>
    </w:pPr>
    <w:rPr>
      <w:b/>
      <w:sz w:val="22"/>
      <w:lang w:val="x-none"/>
    </w:rPr>
  </w:style>
  <w:style w:type="character" w:customStyle="1" w:styleId="Textoindependiente2Car">
    <w:name w:val="Texto independiente 2 Car"/>
    <w:link w:val="Textoindependiente2"/>
    <w:rsid w:val="00B10D26"/>
    <w:rPr>
      <w:rFonts w:ascii="Arial" w:hAnsi="Arial"/>
      <w:b/>
      <w:sz w:val="22"/>
      <w:lang w:val="x-none" w:eastAsia="es-CO"/>
    </w:rPr>
  </w:style>
  <w:style w:type="paragraph" w:styleId="Textoindependiente">
    <w:name w:val="Body Text"/>
    <w:basedOn w:val="Normal"/>
    <w:link w:val="TextoindependienteCar"/>
    <w:rsid w:val="00B10D26"/>
    <w:pPr>
      <w:jc w:val="both"/>
    </w:pPr>
    <w:rPr>
      <w:b/>
      <w:sz w:val="18"/>
      <w:lang w:val="x-none"/>
    </w:rPr>
  </w:style>
  <w:style w:type="character" w:customStyle="1" w:styleId="TextoindependienteCar">
    <w:name w:val="Texto independiente Car"/>
    <w:link w:val="Textoindependiente"/>
    <w:rsid w:val="00B10D26"/>
    <w:rPr>
      <w:rFonts w:ascii="Arial" w:hAnsi="Arial"/>
      <w:b/>
      <w:sz w:val="18"/>
      <w:lang w:val="x-none" w:eastAsia="es-CO"/>
    </w:rPr>
  </w:style>
  <w:style w:type="paragraph" w:styleId="Piedepgina">
    <w:name w:val="footer"/>
    <w:basedOn w:val="Normal"/>
    <w:link w:val="PiedepginaCar"/>
    <w:rsid w:val="00B10D26"/>
    <w:pPr>
      <w:tabs>
        <w:tab w:val="center" w:pos="4252"/>
        <w:tab w:val="right" w:pos="8504"/>
      </w:tabs>
    </w:pPr>
    <w:rPr>
      <w:sz w:val="20"/>
      <w:lang w:val="es-ES_tradnl"/>
    </w:rPr>
  </w:style>
  <w:style w:type="character" w:customStyle="1" w:styleId="PiedepginaCar">
    <w:name w:val="Pie de página Car"/>
    <w:link w:val="Piedepgina"/>
    <w:rsid w:val="00B10D26"/>
    <w:rPr>
      <w:rFonts w:ascii="Arial" w:hAnsi="Arial"/>
      <w:lang w:val="es-ES_tradnl" w:eastAsia="es-CO"/>
    </w:rPr>
  </w:style>
  <w:style w:type="paragraph" w:styleId="Textoindependiente3">
    <w:name w:val="Body Text 3"/>
    <w:basedOn w:val="Normal"/>
    <w:link w:val="Textoindependiente3Car"/>
    <w:rsid w:val="00B10D26"/>
    <w:pPr>
      <w:jc w:val="both"/>
    </w:pPr>
    <w:rPr>
      <w:b/>
      <w:spacing w:val="20"/>
      <w:sz w:val="16"/>
    </w:rPr>
  </w:style>
  <w:style w:type="character" w:customStyle="1" w:styleId="Textoindependiente3Car">
    <w:name w:val="Texto independiente 3 Car"/>
    <w:link w:val="Textoindependiente3"/>
    <w:rsid w:val="00B10D26"/>
    <w:rPr>
      <w:rFonts w:ascii="Arial" w:hAnsi="Arial"/>
      <w:b/>
      <w:spacing w:val="20"/>
      <w:sz w:val="16"/>
      <w:lang w:val="es-ES" w:eastAsia="es-CO"/>
    </w:rPr>
  </w:style>
  <w:style w:type="paragraph" w:styleId="Sangradetextonormal">
    <w:name w:val="Body Text Indent"/>
    <w:basedOn w:val="Normal"/>
    <w:link w:val="SangradetextonormalCar"/>
    <w:rsid w:val="00B10D26"/>
    <w:pPr>
      <w:tabs>
        <w:tab w:val="left" w:pos="851"/>
      </w:tabs>
      <w:jc w:val="both"/>
    </w:pPr>
    <w:rPr>
      <w:sz w:val="18"/>
      <w:lang w:val="es-ES_tradnl" w:eastAsia="es-ES"/>
    </w:rPr>
  </w:style>
  <w:style w:type="character" w:customStyle="1" w:styleId="SangradetextonormalCar">
    <w:name w:val="Sangría de texto normal Car"/>
    <w:link w:val="Sangradetextonormal"/>
    <w:rsid w:val="00B10D26"/>
    <w:rPr>
      <w:rFonts w:ascii="Arial" w:hAnsi="Arial"/>
      <w:sz w:val="18"/>
      <w:lang w:val="es-ES_tradnl" w:eastAsia="es-ES"/>
    </w:rPr>
  </w:style>
  <w:style w:type="paragraph" w:customStyle="1" w:styleId="Textoindependiente31">
    <w:name w:val="Texto independiente 31"/>
    <w:basedOn w:val="Normal"/>
    <w:rsid w:val="00B10D26"/>
    <w:pPr>
      <w:jc w:val="both"/>
    </w:pPr>
    <w:rPr>
      <w:sz w:val="28"/>
      <w:lang w:val="es-ES_tradnl"/>
    </w:rPr>
  </w:style>
  <w:style w:type="paragraph" w:styleId="Sangra3detindependiente">
    <w:name w:val="Body Text Indent 3"/>
    <w:basedOn w:val="Normal"/>
    <w:link w:val="Sangra3detindependienteCar"/>
    <w:rsid w:val="00B10D26"/>
    <w:pPr>
      <w:ind w:left="709"/>
      <w:jc w:val="both"/>
    </w:pPr>
    <w:rPr>
      <w:lang w:val="x-none"/>
    </w:rPr>
  </w:style>
  <w:style w:type="character" w:customStyle="1" w:styleId="Sangra3detindependienteCar">
    <w:name w:val="Sangría 3 de t. independiente Car"/>
    <w:link w:val="Sangra3detindependiente"/>
    <w:rsid w:val="00B10D26"/>
    <w:rPr>
      <w:rFonts w:ascii="Arial" w:hAnsi="Arial"/>
      <w:sz w:val="24"/>
      <w:lang w:val="x-none" w:eastAsia="es-CO"/>
    </w:rPr>
  </w:style>
  <w:style w:type="paragraph" w:styleId="Encabezado">
    <w:name w:val="header"/>
    <w:basedOn w:val="Normal"/>
    <w:link w:val="EncabezadoCar"/>
    <w:rsid w:val="00B10D26"/>
    <w:pPr>
      <w:tabs>
        <w:tab w:val="center" w:pos="4419"/>
        <w:tab w:val="right" w:pos="8838"/>
      </w:tabs>
      <w:jc w:val="both"/>
    </w:pPr>
    <w:rPr>
      <w:sz w:val="20"/>
      <w:lang w:val="es-ES_tradnl"/>
    </w:rPr>
  </w:style>
  <w:style w:type="character" w:customStyle="1" w:styleId="EncabezadoCar">
    <w:name w:val="Encabezado Car"/>
    <w:link w:val="Encabezado"/>
    <w:rsid w:val="00B10D26"/>
    <w:rPr>
      <w:rFonts w:ascii="Arial" w:hAnsi="Arial"/>
      <w:lang w:val="es-ES_tradnl" w:eastAsia="es-CO"/>
    </w:rPr>
  </w:style>
  <w:style w:type="paragraph" w:styleId="Listaconvietas">
    <w:name w:val="List Bullet"/>
    <w:basedOn w:val="Normal"/>
    <w:link w:val="ListaconvietasCar"/>
    <w:autoRedefine/>
    <w:rsid w:val="00B10D26"/>
    <w:pPr>
      <w:numPr>
        <w:numId w:val="2"/>
      </w:numPr>
    </w:pPr>
  </w:style>
  <w:style w:type="character" w:customStyle="1" w:styleId="ListaconvietasCar">
    <w:name w:val="Lista con viñetas Car"/>
    <w:link w:val="Listaconvietas"/>
    <w:rsid w:val="00B10D26"/>
    <w:rPr>
      <w:rFonts w:ascii="Arial" w:hAnsi="Arial"/>
      <w:sz w:val="24"/>
      <w:lang w:eastAsia="es-CO"/>
    </w:rPr>
  </w:style>
  <w:style w:type="paragraph" w:customStyle="1" w:styleId="Textoindependiente210">
    <w:name w:val="Texto independiente 21"/>
    <w:basedOn w:val="Normal"/>
    <w:rsid w:val="00B10D26"/>
    <w:pPr>
      <w:tabs>
        <w:tab w:val="left" w:pos="851"/>
      </w:tabs>
      <w:jc w:val="both"/>
    </w:pPr>
    <w:rPr>
      <w:sz w:val="18"/>
      <w:lang w:val="es-ES_tradnl"/>
    </w:rPr>
  </w:style>
  <w:style w:type="paragraph" w:customStyle="1" w:styleId="Textoindependiente22">
    <w:name w:val="Texto independiente 22"/>
    <w:basedOn w:val="Normal"/>
    <w:rsid w:val="00B10D26"/>
    <w:pPr>
      <w:tabs>
        <w:tab w:val="left" w:pos="851"/>
      </w:tabs>
      <w:jc w:val="both"/>
    </w:pPr>
    <w:rPr>
      <w:sz w:val="18"/>
      <w:lang w:val="es-ES_tradnl"/>
    </w:rPr>
  </w:style>
  <w:style w:type="character" w:styleId="Hipervnculo">
    <w:name w:val="Hyperlink"/>
    <w:uiPriority w:val="99"/>
    <w:unhideWhenUsed/>
    <w:rsid w:val="00B10D26"/>
    <w:rPr>
      <w:color w:val="0000FF"/>
      <w:u w:val="single"/>
    </w:rPr>
  </w:style>
  <w:style w:type="paragraph" w:styleId="Textodeglobo">
    <w:name w:val="Balloon Text"/>
    <w:basedOn w:val="Normal"/>
    <w:link w:val="TextodegloboCar"/>
    <w:rsid w:val="00B10D26"/>
    <w:rPr>
      <w:rFonts w:ascii="Lucida Grande" w:hAnsi="Lucida Grande"/>
      <w:sz w:val="18"/>
      <w:szCs w:val="18"/>
    </w:rPr>
  </w:style>
  <w:style w:type="character" w:customStyle="1" w:styleId="TextodegloboCar">
    <w:name w:val="Texto de globo Car"/>
    <w:link w:val="Textodeglobo"/>
    <w:rsid w:val="00B10D26"/>
    <w:rPr>
      <w:rFonts w:ascii="Lucida Grande" w:hAnsi="Lucida Grande"/>
      <w:sz w:val="18"/>
      <w:szCs w:val="18"/>
      <w:lang w:val="es-ES" w:eastAsia="es-CO"/>
    </w:rPr>
  </w:style>
  <w:style w:type="character" w:styleId="Refdecomentario">
    <w:name w:val="annotation reference"/>
    <w:rsid w:val="00B10D26"/>
    <w:rPr>
      <w:sz w:val="18"/>
      <w:szCs w:val="18"/>
    </w:rPr>
  </w:style>
  <w:style w:type="paragraph" w:styleId="Textocomentario">
    <w:name w:val="annotation text"/>
    <w:basedOn w:val="Normal"/>
    <w:link w:val="TextocomentarioCar"/>
    <w:rsid w:val="00B10D26"/>
    <w:rPr>
      <w:szCs w:val="24"/>
    </w:rPr>
  </w:style>
  <w:style w:type="character" w:customStyle="1" w:styleId="TextocomentarioCar">
    <w:name w:val="Texto comentario Car"/>
    <w:link w:val="Textocomentario"/>
    <w:rsid w:val="00B10D26"/>
    <w:rPr>
      <w:rFonts w:ascii="Arial" w:hAnsi="Arial"/>
      <w:sz w:val="24"/>
      <w:szCs w:val="24"/>
      <w:lang w:val="es-ES" w:eastAsia="es-CO"/>
    </w:rPr>
  </w:style>
  <w:style w:type="paragraph" w:styleId="Asuntodelcomentario">
    <w:name w:val="annotation subject"/>
    <w:basedOn w:val="Textocomentario"/>
    <w:next w:val="Textocomentario"/>
    <w:link w:val="AsuntodelcomentarioCar"/>
    <w:rsid w:val="00B10D26"/>
    <w:rPr>
      <w:b/>
      <w:bCs/>
    </w:rPr>
  </w:style>
  <w:style w:type="character" w:customStyle="1" w:styleId="AsuntodelcomentarioCar">
    <w:name w:val="Asunto del comentario Car"/>
    <w:link w:val="Asuntodelcomentario"/>
    <w:rsid w:val="00B10D26"/>
    <w:rPr>
      <w:rFonts w:ascii="Arial" w:hAnsi="Arial"/>
      <w:b/>
      <w:bCs/>
      <w:sz w:val="24"/>
      <w:szCs w:val="24"/>
      <w:lang w:val="es-ES" w:eastAsia="es-CO"/>
    </w:rPr>
  </w:style>
  <w:style w:type="paragraph" w:styleId="Mapadeldocumento">
    <w:name w:val="Document Map"/>
    <w:basedOn w:val="Normal"/>
    <w:link w:val="MapadeldocumentoCar"/>
    <w:rsid w:val="00B10D26"/>
    <w:rPr>
      <w:rFonts w:ascii="Lucida Grande" w:hAnsi="Lucida Grande"/>
      <w:szCs w:val="24"/>
    </w:rPr>
  </w:style>
  <w:style w:type="character" w:customStyle="1" w:styleId="MapadeldocumentoCar">
    <w:name w:val="Mapa del documento Car"/>
    <w:link w:val="Mapadeldocumento"/>
    <w:rsid w:val="00B10D26"/>
    <w:rPr>
      <w:rFonts w:ascii="Lucida Grande" w:hAnsi="Lucida Grande"/>
      <w:sz w:val="24"/>
      <w:szCs w:val="24"/>
      <w:lang w:val="es-ES" w:eastAsia="es-CO"/>
    </w:rPr>
  </w:style>
  <w:style w:type="character" w:styleId="Hipervnculovisitado">
    <w:name w:val="FollowedHyperlink"/>
    <w:rsid w:val="00B10D26"/>
    <w:rPr>
      <w:color w:val="800080"/>
      <w:u w:val="single"/>
    </w:rPr>
  </w:style>
  <w:style w:type="paragraph" w:customStyle="1" w:styleId="Encabezadodetabladecontenido">
    <w:name w:val="Encabezado de tabla de contenido"/>
    <w:basedOn w:val="Ttulo1"/>
    <w:next w:val="Normal"/>
    <w:uiPriority w:val="39"/>
    <w:semiHidden/>
    <w:unhideWhenUsed/>
    <w:qFormat/>
    <w:rsid w:val="009214C2"/>
    <w:pPr>
      <w:keepLines/>
      <w:spacing w:before="480" w:after="0" w:line="276" w:lineRule="auto"/>
      <w:outlineLvl w:val="9"/>
    </w:pPr>
    <w:rPr>
      <w:rFonts w:ascii="Cambria" w:hAnsi="Cambria" w:cs="Times New Roman"/>
      <w:caps w:val="0"/>
      <w:color w:val="365F91"/>
      <w:kern w:val="0"/>
      <w:sz w:val="28"/>
      <w:szCs w:val="28"/>
      <w:lang w:val="es-CO"/>
    </w:rPr>
  </w:style>
  <w:style w:type="paragraph" w:styleId="TDC1">
    <w:name w:val="toc 1"/>
    <w:basedOn w:val="Normal"/>
    <w:next w:val="Normal"/>
    <w:autoRedefine/>
    <w:uiPriority w:val="39"/>
    <w:unhideWhenUsed/>
    <w:rsid w:val="009214C2"/>
    <w:pPr>
      <w:spacing w:before="240" w:after="120"/>
    </w:pPr>
    <w:rPr>
      <w:b/>
      <w:bCs/>
      <w:sz w:val="16"/>
    </w:rPr>
  </w:style>
  <w:style w:type="paragraph" w:styleId="TDC2">
    <w:name w:val="toc 2"/>
    <w:basedOn w:val="Normal"/>
    <w:next w:val="Normal"/>
    <w:autoRedefine/>
    <w:uiPriority w:val="39"/>
    <w:unhideWhenUsed/>
    <w:rsid w:val="009214C2"/>
    <w:pPr>
      <w:tabs>
        <w:tab w:val="right" w:leader="dot" w:pos="8830"/>
      </w:tabs>
      <w:ind w:left="240"/>
      <w:jc w:val="both"/>
    </w:pPr>
    <w:rPr>
      <w:iCs/>
      <w:sz w:val="16"/>
    </w:rPr>
  </w:style>
  <w:style w:type="paragraph" w:styleId="TDC3">
    <w:name w:val="toc 3"/>
    <w:basedOn w:val="Normal"/>
    <w:next w:val="Normal"/>
    <w:autoRedefine/>
    <w:uiPriority w:val="39"/>
    <w:unhideWhenUsed/>
    <w:rsid w:val="009214C2"/>
    <w:pPr>
      <w:ind w:left="480"/>
    </w:pPr>
    <w:rPr>
      <w:rFonts w:ascii="Calibri" w:hAnsi="Calibri"/>
      <w:sz w:val="20"/>
    </w:rPr>
  </w:style>
  <w:style w:type="paragraph" w:styleId="TDC4">
    <w:name w:val="toc 4"/>
    <w:basedOn w:val="Normal"/>
    <w:next w:val="Normal"/>
    <w:autoRedefine/>
    <w:uiPriority w:val="39"/>
    <w:unhideWhenUsed/>
    <w:rsid w:val="009214C2"/>
    <w:pPr>
      <w:ind w:left="720"/>
    </w:pPr>
    <w:rPr>
      <w:rFonts w:ascii="Calibri" w:hAnsi="Calibri"/>
      <w:sz w:val="20"/>
    </w:rPr>
  </w:style>
  <w:style w:type="paragraph" w:styleId="TDC5">
    <w:name w:val="toc 5"/>
    <w:basedOn w:val="Normal"/>
    <w:next w:val="Normal"/>
    <w:autoRedefine/>
    <w:uiPriority w:val="39"/>
    <w:unhideWhenUsed/>
    <w:rsid w:val="009214C2"/>
    <w:pPr>
      <w:ind w:left="960"/>
    </w:pPr>
    <w:rPr>
      <w:rFonts w:ascii="Calibri" w:hAnsi="Calibri"/>
      <w:sz w:val="20"/>
    </w:rPr>
  </w:style>
  <w:style w:type="paragraph" w:styleId="TDC6">
    <w:name w:val="toc 6"/>
    <w:basedOn w:val="Normal"/>
    <w:next w:val="Normal"/>
    <w:autoRedefine/>
    <w:uiPriority w:val="39"/>
    <w:unhideWhenUsed/>
    <w:rsid w:val="009214C2"/>
    <w:pPr>
      <w:ind w:left="1200"/>
    </w:pPr>
    <w:rPr>
      <w:rFonts w:ascii="Calibri" w:hAnsi="Calibri"/>
      <w:sz w:val="20"/>
    </w:rPr>
  </w:style>
  <w:style w:type="paragraph" w:styleId="TDC7">
    <w:name w:val="toc 7"/>
    <w:basedOn w:val="Normal"/>
    <w:next w:val="Normal"/>
    <w:autoRedefine/>
    <w:uiPriority w:val="39"/>
    <w:unhideWhenUsed/>
    <w:rsid w:val="009214C2"/>
    <w:pPr>
      <w:ind w:left="1440"/>
    </w:pPr>
    <w:rPr>
      <w:rFonts w:ascii="Calibri" w:hAnsi="Calibri"/>
      <w:sz w:val="20"/>
    </w:rPr>
  </w:style>
  <w:style w:type="paragraph" w:styleId="TDC8">
    <w:name w:val="toc 8"/>
    <w:basedOn w:val="Normal"/>
    <w:next w:val="Normal"/>
    <w:autoRedefine/>
    <w:uiPriority w:val="39"/>
    <w:unhideWhenUsed/>
    <w:rsid w:val="009214C2"/>
    <w:pPr>
      <w:ind w:left="1680"/>
    </w:pPr>
    <w:rPr>
      <w:rFonts w:ascii="Calibri" w:hAnsi="Calibri"/>
      <w:sz w:val="20"/>
    </w:rPr>
  </w:style>
  <w:style w:type="paragraph" w:styleId="TDC9">
    <w:name w:val="toc 9"/>
    <w:basedOn w:val="Normal"/>
    <w:next w:val="Normal"/>
    <w:autoRedefine/>
    <w:uiPriority w:val="39"/>
    <w:unhideWhenUsed/>
    <w:rsid w:val="009214C2"/>
    <w:pPr>
      <w:ind w:left="1920"/>
    </w:pPr>
    <w:rPr>
      <w:rFonts w:ascii="Calibri" w:hAnsi="Calibri"/>
      <w:sz w:val="20"/>
    </w:rPr>
  </w:style>
  <w:style w:type="paragraph" w:customStyle="1" w:styleId="Listaclara-nfasis31">
    <w:name w:val="Lista clara - Énfasis 31"/>
    <w:hidden/>
    <w:uiPriority w:val="71"/>
    <w:rsid w:val="00CD4BF2"/>
    <w:rPr>
      <w:rFonts w:ascii="Arial" w:hAnsi="Arial"/>
      <w:sz w:val="24"/>
      <w:lang w:eastAsia="es-CO"/>
    </w:rPr>
  </w:style>
  <w:style w:type="paragraph" w:customStyle="1" w:styleId="Textodecuerpo21">
    <w:name w:val="Texto de cuerpo 21"/>
    <w:basedOn w:val="Normal"/>
    <w:rsid w:val="00243B4D"/>
    <w:pPr>
      <w:tabs>
        <w:tab w:val="left" w:pos="851"/>
      </w:tabs>
      <w:jc w:val="both"/>
    </w:pPr>
    <w:rPr>
      <w:sz w:val="18"/>
      <w:lang w:val="es-ES_tradnl"/>
    </w:rPr>
  </w:style>
  <w:style w:type="paragraph" w:styleId="Prrafodelista">
    <w:name w:val="List Paragraph"/>
    <w:basedOn w:val="Normal"/>
    <w:uiPriority w:val="34"/>
    <w:qFormat/>
    <w:rsid w:val="00A92F8B"/>
    <w:pPr>
      <w:ind w:left="720"/>
      <w:contextualSpacing/>
    </w:pPr>
  </w:style>
  <w:style w:type="character" w:styleId="Textodelmarcadordeposicin">
    <w:name w:val="Placeholder Text"/>
    <w:basedOn w:val="Fuentedeprrafopredeter"/>
    <w:uiPriority w:val="99"/>
    <w:semiHidden/>
    <w:rsid w:val="000D7CEE"/>
    <w:rPr>
      <w:color w:val="808080"/>
    </w:rPr>
  </w:style>
  <w:style w:type="paragraph" w:customStyle="1" w:styleId="Default">
    <w:name w:val="Default"/>
    <w:uiPriority w:val="99"/>
    <w:rsid w:val="00577AB4"/>
    <w:pPr>
      <w:autoSpaceDE w:val="0"/>
      <w:autoSpaceDN w:val="0"/>
      <w:adjustRightInd w:val="0"/>
    </w:pPr>
    <w:rPr>
      <w:rFonts w:ascii="Arial" w:eastAsia="Calibri" w:hAnsi="Arial" w:cs="Arial"/>
      <w:color w:val="000000"/>
      <w:sz w:val="24"/>
      <w:szCs w:val="24"/>
      <w:lang w:val="es-CO" w:eastAsia="en-US"/>
    </w:rPr>
  </w:style>
  <w:style w:type="paragraph" w:customStyle="1" w:styleId="Titulo2">
    <w:name w:val="Titulo 2"/>
    <w:basedOn w:val="Normal"/>
    <w:rsid w:val="00577AB4"/>
    <w:pPr>
      <w:numPr>
        <w:numId w:val="6"/>
      </w:numPr>
    </w:pPr>
    <w:rPr>
      <w:rFonts w:ascii="Times New Roman" w:hAnsi="Times New Roman"/>
      <w:szCs w:val="24"/>
      <w:lang w:eastAsia="es-ES"/>
    </w:rPr>
  </w:style>
  <w:style w:type="paragraph" w:customStyle="1" w:styleId="Titulo">
    <w:name w:val="Titulo"/>
    <w:basedOn w:val="Normal"/>
    <w:rsid w:val="00577AB4"/>
    <w:pPr>
      <w:numPr>
        <w:ilvl w:val="1"/>
        <w:numId w:val="6"/>
      </w:numPr>
    </w:pPr>
    <w:rPr>
      <w:rFonts w:ascii="Times New Roman" w:hAnsi="Times New Roman"/>
      <w:szCs w:val="24"/>
      <w:lang w:eastAsia="es-ES"/>
    </w:rPr>
  </w:style>
  <w:style w:type="paragraph" w:customStyle="1" w:styleId="Textoindependiente2100">
    <w:name w:val="Texto independiente 210"/>
    <w:basedOn w:val="Normal"/>
    <w:rsid w:val="00570039"/>
    <w:pPr>
      <w:tabs>
        <w:tab w:val="left" w:pos="851"/>
      </w:tabs>
      <w:jc w:val="both"/>
    </w:pPr>
    <w:rPr>
      <w:sz w:val="18"/>
      <w:lang w:val="es-ES_tradnl"/>
    </w:rPr>
  </w:style>
  <w:style w:type="paragraph" w:customStyle="1" w:styleId="Textoindependiente21000">
    <w:name w:val="Texto independiente 2100"/>
    <w:basedOn w:val="Normal"/>
    <w:rsid w:val="005E5A15"/>
    <w:pPr>
      <w:tabs>
        <w:tab w:val="left" w:pos="851"/>
      </w:tabs>
      <w:jc w:val="both"/>
    </w:pPr>
    <w:rPr>
      <w:sz w:val="18"/>
      <w:lang w:val="es-ES_tradnl"/>
    </w:rPr>
  </w:style>
  <w:style w:type="paragraph" w:customStyle="1" w:styleId="Textoindependiente210000">
    <w:name w:val="Texto independiente 21000"/>
    <w:basedOn w:val="Normal"/>
    <w:rsid w:val="005752D6"/>
    <w:pPr>
      <w:tabs>
        <w:tab w:val="left" w:pos="851"/>
      </w:tabs>
      <w:jc w:val="both"/>
    </w:pPr>
    <w:rPr>
      <w:sz w:val="18"/>
      <w:lang w:val="es-ES_tradnl"/>
    </w:rPr>
  </w:style>
  <w:style w:type="paragraph" w:customStyle="1" w:styleId="Textoindependiente2100000">
    <w:name w:val="Texto independiente 210000"/>
    <w:basedOn w:val="Normal"/>
    <w:rsid w:val="003E6E0D"/>
    <w:pPr>
      <w:tabs>
        <w:tab w:val="left" w:pos="851"/>
      </w:tabs>
      <w:jc w:val="both"/>
    </w:pPr>
    <w:rPr>
      <w:sz w:val="18"/>
      <w:lang w:val="es-ES_tradnl"/>
    </w:rPr>
  </w:style>
  <w:style w:type="paragraph" w:customStyle="1" w:styleId="Textoindependiente21000000">
    <w:name w:val="Texto independiente 2100000"/>
    <w:basedOn w:val="Normal"/>
    <w:rsid w:val="003E6E0D"/>
    <w:pPr>
      <w:tabs>
        <w:tab w:val="left" w:pos="851"/>
      </w:tabs>
      <w:jc w:val="both"/>
    </w:pPr>
    <w:rPr>
      <w:sz w:val="18"/>
      <w:lang w:val="es-ES_tradnl"/>
    </w:rPr>
  </w:style>
  <w:style w:type="paragraph" w:customStyle="1" w:styleId="Textoindependiente210000000">
    <w:name w:val="Texto independiente 21000000"/>
    <w:basedOn w:val="Normal"/>
    <w:rsid w:val="004527A8"/>
    <w:pPr>
      <w:tabs>
        <w:tab w:val="left" w:pos="851"/>
      </w:tabs>
      <w:jc w:val="both"/>
    </w:pPr>
    <w:rPr>
      <w:sz w:val="18"/>
      <w:lang w:val="es-ES_tradnl"/>
    </w:rPr>
  </w:style>
  <w:style w:type="paragraph" w:customStyle="1" w:styleId="Textoindependiente2100000000">
    <w:name w:val="Texto independiente 210000000"/>
    <w:basedOn w:val="Normal"/>
    <w:rsid w:val="00F50037"/>
    <w:pPr>
      <w:tabs>
        <w:tab w:val="left" w:pos="851"/>
      </w:tabs>
      <w:jc w:val="both"/>
    </w:pPr>
    <w:rPr>
      <w:sz w:val="18"/>
      <w:lang w:val="es-ES_tradnl"/>
    </w:rPr>
  </w:style>
  <w:style w:type="paragraph" w:customStyle="1" w:styleId="Textoindependiente21000000000">
    <w:name w:val="Texto independiente 2100000000"/>
    <w:basedOn w:val="Normal"/>
    <w:rsid w:val="00B15608"/>
    <w:pPr>
      <w:tabs>
        <w:tab w:val="left" w:pos="851"/>
      </w:tabs>
      <w:jc w:val="both"/>
    </w:pPr>
    <w:rPr>
      <w:sz w:val="18"/>
      <w:lang w:val="es-ES_tradnl"/>
    </w:rPr>
  </w:style>
  <w:style w:type="paragraph" w:customStyle="1" w:styleId="Textoindependiente210000000000">
    <w:name w:val="Texto independiente 21000000000"/>
    <w:basedOn w:val="Normal"/>
    <w:rsid w:val="0090278E"/>
    <w:pPr>
      <w:tabs>
        <w:tab w:val="left" w:pos="851"/>
      </w:tabs>
      <w:jc w:val="both"/>
    </w:pPr>
    <w:rPr>
      <w:sz w:val="18"/>
      <w:lang w:val="es-ES_tradnl"/>
    </w:rPr>
  </w:style>
  <w:style w:type="paragraph" w:customStyle="1" w:styleId="Textoindependiente2100000000000">
    <w:name w:val="Texto independiente 210000000000"/>
    <w:basedOn w:val="Normal"/>
    <w:rsid w:val="00E6721F"/>
    <w:pPr>
      <w:tabs>
        <w:tab w:val="left" w:pos="851"/>
      </w:tabs>
      <w:jc w:val="both"/>
    </w:pPr>
    <w:rPr>
      <w:sz w:val="18"/>
      <w:lang w:val="es-ES_tradnl"/>
    </w:rPr>
  </w:style>
  <w:style w:type="paragraph" w:customStyle="1" w:styleId="Textoindependiente21000000000000">
    <w:name w:val="Texto independiente 2100000000000"/>
    <w:basedOn w:val="Normal"/>
    <w:rsid w:val="006E0D9E"/>
    <w:pPr>
      <w:tabs>
        <w:tab w:val="left" w:pos="851"/>
      </w:tabs>
      <w:jc w:val="both"/>
    </w:pPr>
    <w:rPr>
      <w:sz w:val="18"/>
      <w:lang w:val="es-ES_tradnl"/>
    </w:rPr>
  </w:style>
  <w:style w:type="paragraph" w:customStyle="1" w:styleId="Textoindependiente210000000000000">
    <w:name w:val="Texto independiente 21000000000000"/>
    <w:basedOn w:val="Normal"/>
    <w:rsid w:val="00DA55DF"/>
    <w:pPr>
      <w:tabs>
        <w:tab w:val="left" w:pos="851"/>
      </w:tabs>
      <w:jc w:val="both"/>
    </w:pPr>
    <w:rPr>
      <w:sz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738312">
      <w:bodyDiv w:val="1"/>
      <w:marLeft w:val="0"/>
      <w:marRight w:val="0"/>
      <w:marTop w:val="0"/>
      <w:marBottom w:val="0"/>
      <w:divBdr>
        <w:top w:val="none" w:sz="0" w:space="0" w:color="auto"/>
        <w:left w:val="none" w:sz="0" w:space="0" w:color="auto"/>
        <w:bottom w:val="none" w:sz="0" w:space="0" w:color="auto"/>
        <w:right w:val="none" w:sz="0" w:space="0" w:color="auto"/>
      </w:divBdr>
      <w:divsChild>
        <w:div w:id="78604222">
          <w:marLeft w:val="0"/>
          <w:marRight w:val="0"/>
          <w:marTop w:val="0"/>
          <w:marBottom w:val="0"/>
          <w:divBdr>
            <w:top w:val="none" w:sz="0" w:space="0" w:color="auto"/>
            <w:left w:val="none" w:sz="0" w:space="0" w:color="auto"/>
            <w:bottom w:val="none" w:sz="0" w:space="0" w:color="auto"/>
            <w:right w:val="none" w:sz="0" w:space="0" w:color="auto"/>
          </w:divBdr>
        </w:div>
      </w:divsChild>
    </w:div>
    <w:div w:id="267155680">
      <w:bodyDiv w:val="1"/>
      <w:marLeft w:val="0"/>
      <w:marRight w:val="0"/>
      <w:marTop w:val="0"/>
      <w:marBottom w:val="0"/>
      <w:divBdr>
        <w:top w:val="none" w:sz="0" w:space="0" w:color="auto"/>
        <w:left w:val="none" w:sz="0" w:space="0" w:color="auto"/>
        <w:bottom w:val="none" w:sz="0" w:space="0" w:color="auto"/>
        <w:right w:val="none" w:sz="0" w:space="0" w:color="auto"/>
      </w:divBdr>
    </w:div>
    <w:div w:id="613556822">
      <w:bodyDiv w:val="1"/>
      <w:marLeft w:val="0"/>
      <w:marRight w:val="0"/>
      <w:marTop w:val="0"/>
      <w:marBottom w:val="0"/>
      <w:divBdr>
        <w:top w:val="none" w:sz="0" w:space="0" w:color="auto"/>
        <w:left w:val="none" w:sz="0" w:space="0" w:color="auto"/>
        <w:bottom w:val="none" w:sz="0" w:space="0" w:color="auto"/>
        <w:right w:val="none" w:sz="0" w:space="0" w:color="auto"/>
      </w:divBdr>
      <w:divsChild>
        <w:div w:id="570819568">
          <w:marLeft w:val="0"/>
          <w:marRight w:val="0"/>
          <w:marTop w:val="0"/>
          <w:marBottom w:val="0"/>
          <w:divBdr>
            <w:top w:val="none" w:sz="0" w:space="0" w:color="auto"/>
            <w:left w:val="none" w:sz="0" w:space="0" w:color="auto"/>
            <w:bottom w:val="none" w:sz="0" w:space="0" w:color="auto"/>
            <w:right w:val="none" w:sz="0" w:space="0" w:color="auto"/>
          </w:divBdr>
          <w:divsChild>
            <w:div w:id="250624492">
              <w:marLeft w:val="0"/>
              <w:marRight w:val="0"/>
              <w:marTop w:val="0"/>
              <w:marBottom w:val="0"/>
              <w:divBdr>
                <w:top w:val="none" w:sz="0" w:space="0" w:color="auto"/>
                <w:left w:val="none" w:sz="0" w:space="0" w:color="auto"/>
                <w:bottom w:val="none" w:sz="0" w:space="0" w:color="auto"/>
                <w:right w:val="none" w:sz="0" w:space="0" w:color="auto"/>
              </w:divBdr>
              <w:divsChild>
                <w:div w:id="167141573">
                  <w:marLeft w:val="0"/>
                  <w:marRight w:val="0"/>
                  <w:marTop w:val="0"/>
                  <w:marBottom w:val="0"/>
                  <w:divBdr>
                    <w:top w:val="none" w:sz="0" w:space="0" w:color="auto"/>
                    <w:left w:val="none" w:sz="0" w:space="0" w:color="auto"/>
                    <w:bottom w:val="none" w:sz="0" w:space="0" w:color="auto"/>
                    <w:right w:val="none" w:sz="0" w:space="0" w:color="auto"/>
                  </w:divBdr>
                  <w:divsChild>
                    <w:div w:id="22711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896278">
      <w:bodyDiv w:val="1"/>
      <w:marLeft w:val="0"/>
      <w:marRight w:val="0"/>
      <w:marTop w:val="0"/>
      <w:marBottom w:val="0"/>
      <w:divBdr>
        <w:top w:val="none" w:sz="0" w:space="0" w:color="auto"/>
        <w:left w:val="none" w:sz="0" w:space="0" w:color="auto"/>
        <w:bottom w:val="none" w:sz="0" w:space="0" w:color="auto"/>
        <w:right w:val="none" w:sz="0" w:space="0" w:color="auto"/>
      </w:divBdr>
    </w:div>
    <w:div w:id="893083320">
      <w:bodyDiv w:val="1"/>
      <w:marLeft w:val="0"/>
      <w:marRight w:val="0"/>
      <w:marTop w:val="0"/>
      <w:marBottom w:val="0"/>
      <w:divBdr>
        <w:top w:val="none" w:sz="0" w:space="0" w:color="auto"/>
        <w:left w:val="none" w:sz="0" w:space="0" w:color="auto"/>
        <w:bottom w:val="none" w:sz="0" w:space="0" w:color="auto"/>
        <w:right w:val="none" w:sz="0" w:space="0" w:color="auto"/>
      </w:divBdr>
    </w:div>
    <w:div w:id="1746874200">
      <w:bodyDiv w:val="1"/>
      <w:marLeft w:val="0"/>
      <w:marRight w:val="0"/>
      <w:marTop w:val="0"/>
      <w:marBottom w:val="0"/>
      <w:divBdr>
        <w:top w:val="none" w:sz="0" w:space="0" w:color="auto"/>
        <w:left w:val="none" w:sz="0" w:space="0" w:color="auto"/>
        <w:bottom w:val="none" w:sz="0" w:space="0" w:color="auto"/>
        <w:right w:val="none" w:sz="0" w:space="0" w:color="auto"/>
      </w:divBdr>
      <w:divsChild>
        <w:div w:id="1260875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9.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127FE53B85F2B43B5723FA5C05D0431" ma:contentTypeVersion="2" ma:contentTypeDescription="Create a new document." ma:contentTypeScope="" ma:versionID="645af28fe60800511e5afc7523cd2c41">
  <xsd:schema xmlns:xsd="http://www.w3.org/2001/XMLSchema" xmlns:xs="http://www.w3.org/2001/XMLSchema" xmlns:p="http://schemas.microsoft.com/office/2006/metadata/properties" xmlns:ns2="60f5659b-5e1f-4d92-badf-f2f410893b1b" targetNamespace="http://schemas.microsoft.com/office/2006/metadata/properties" ma:root="true" ma:fieldsID="71f6068ab23573749d0c51129387f2b5" ns2:_="">
    <xsd:import namespace="60f5659b-5e1f-4d92-badf-f2f410893b1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f5659b-5e1f-4d92-badf-f2f410893b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D4D04C-4173-4748-BA9D-FAB7E48E4637}">
  <ds:schemaRefs>
    <ds:schemaRef ds:uri="http://schemas.microsoft.com/sharepoint/v3/contenttype/forms"/>
  </ds:schemaRefs>
</ds:datastoreItem>
</file>

<file path=customXml/itemProps2.xml><?xml version="1.0" encoding="utf-8"?>
<ds:datastoreItem xmlns:ds="http://schemas.openxmlformats.org/officeDocument/2006/customXml" ds:itemID="{4986AF1F-7089-4E48-AAD7-29EAA7B181BB}">
  <ds:schemaRefs>
    <ds:schemaRef ds:uri="http://schemas.openxmlformats.org/officeDocument/2006/bibliography"/>
  </ds:schemaRefs>
</ds:datastoreItem>
</file>

<file path=customXml/itemProps3.xml><?xml version="1.0" encoding="utf-8"?>
<ds:datastoreItem xmlns:ds="http://schemas.openxmlformats.org/officeDocument/2006/customXml" ds:itemID="{700585B0-73FA-4969-8C2C-35E725799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f5659b-5e1f-4d92-badf-f2f410893b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684EA1-4EE2-409C-A396-7AB7492130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7</Pages>
  <Words>5433</Words>
  <Characters>29883</Characters>
  <Application>Microsoft Office Word</Application>
  <DocSecurity>0</DocSecurity>
  <Lines>249</Lines>
  <Paragraphs>70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35246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 Castañeda</dc:creator>
  <cp:keywords/>
  <cp:lastModifiedBy>Gabriel Armando Ospina Garcia</cp:lastModifiedBy>
  <cp:revision>154</cp:revision>
  <dcterms:created xsi:type="dcterms:W3CDTF">2020-11-26T19:10:00Z</dcterms:created>
  <dcterms:modified xsi:type="dcterms:W3CDTF">2020-12-14T20:02:00Z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0x0101004127FE53B85F2B43B5723FA5C05D0431</vt:lpwstr>
  </property>
</Properties>
</file>