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EFA" w:rsidRPr="005D21AF" w:rsidRDefault="00886EFA" w:rsidP="00886EFA">
      <w:pPr>
        <w:jc w:val="center"/>
        <w:rPr>
          <w:rFonts w:ascii="Arial" w:hAnsi="Arial" w:cs="Arial"/>
          <w:b/>
          <w:sz w:val="16"/>
          <w:szCs w:val="16"/>
        </w:rPr>
      </w:pPr>
      <w:r w:rsidRPr="005D21AF">
        <w:rPr>
          <w:rFonts w:ascii="Arial" w:hAnsi="Arial" w:cs="Arial"/>
          <w:b/>
          <w:sz w:val="16"/>
          <w:szCs w:val="16"/>
        </w:rPr>
        <w:t>PARTE I</w:t>
      </w:r>
    </w:p>
    <w:p w:rsidR="00886EFA" w:rsidRPr="005D21AF" w:rsidRDefault="00886EFA" w:rsidP="00886EFA">
      <w:pPr>
        <w:jc w:val="center"/>
        <w:rPr>
          <w:rFonts w:ascii="Arial" w:hAnsi="Arial" w:cs="Arial"/>
          <w:b/>
          <w:sz w:val="16"/>
          <w:szCs w:val="16"/>
        </w:rPr>
      </w:pPr>
      <w:r w:rsidRPr="005D21AF">
        <w:rPr>
          <w:rFonts w:ascii="Arial" w:hAnsi="Arial" w:cs="Arial"/>
          <w:b/>
          <w:bCs/>
          <w:sz w:val="16"/>
          <w:szCs w:val="16"/>
        </w:rPr>
        <w:t>INSTRUCCIONES GENERALES APLICABLES A LAS ENTIDADES VIGILADAS</w:t>
      </w:r>
    </w:p>
    <w:p w:rsidR="00886EFA" w:rsidRPr="005D21AF" w:rsidRDefault="00886EFA" w:rsidP="00886EFA">
      <w:pPr>
        <w:jc w:val="center"/>
        <w:rPr>
          <w:rFonts w:ascii="Arial" w:hAnsi="Arial" w:cs="Arial"/>
          <w:b/>
          <w:sz w:val="16"/>
          <w:szCs w:val="16"/>
        </w:rPr>
      </w:pPr>
      <w:r w:rsidRPr="005D21AF">
        <w:rPr>
          <w:rFonts w:ascii="Arial" w:hAnsi="Arial" w:cs="Arial"/>
          <w:b/>
          <w:sz w:val="16"/>
          <w:szCs w:val="16"/>
        </w:rPr>
        <w:t>TÍTULO IV</w:t>
      </w:r>
    </w:p>
    <w:p w:rsidR="00886EFA" w:rsidRPr="005D21AF" w:rsidRDefault="00886EFA" w:rsidP="00886EFA">
      <w:pPr>
        <w:jc w:val="center"/>
        <w:rPr>
          <w:rFonts w:ascii="Arial" w:hAnsi="Arial" w:cs="Arial"/>
          <w:b/>
          <w:sz w:val="16"/>
          <w:szCs w:val="16"/>
        </w:rPr>
      </w:pPr>
      <w:r w:rsidRPr="005D21AF">
        <w:rPr>
          <w:rFonts w:ascii="Arial" w:hAnsi="Arial" w:cs="Arial"/>
          <w:b/>
          <w:sz w:val="16"/>
          <w:szCs w:val="16"/>
        </w:rPr>
        <w:t>DEBERES Y RESPONSABILIDADES</w:t>
      </w:r>
    </w:p>
    <w:p w:rsidR="00886EFA" w:rsidRPr="005D21AF" w:rsidRDefault="00886EFA" w:rsidP="00886EFA">
      <w:pPr>
        <w:jc w:val="center"/>
        <w:rPr>
          <w:rFonts w:ascii="Arial" w:hAnsi="Arial" w:cs="Arial"/>
          <w:b/>
          <w:sz w:val="16"/>
          <w:szCs w:val="16"/>
        </w:rPr>
      </w:pPr>
    </w:p>
    <w:p w:rsidR="00886EFA" w:rsidRDefault="00886EFA" w:rsidP="00886EFA">
      <w:pPr>
        <w:jc w:val="center"/>
        <w:rPr>
          <w:rFonts w:ascii="Arial" w:hAnsi="Arial" w:cs="Arial"/>
          <w:b/>
          <w:bCs/>
          <w:sz w:val="16"/>
          <w:szCs w:val="16"/>
        </w:rPr>
      </w:pPr>
      <w:r w:rsidRPr="005D21AF">
        <w:rPr>
          <w:rFonts w:ascii="Arial" w:hAnsi="Arial" w:cs="Arial"/>
          <w:b/>
          <w:bCs/>
          <w:sz w:val="16"/>
          <w:szCs w:val="16"/>
        </w:rPr>
        <w:t>CAPÍTULO II: ACTUACIONES ANTE LA SUPERINTENDENCIA FINANCIERA DE COLOMBIA</w:t>
      </w:r>
    </w:p>
    <w:p w:rsidR="00886EFA" w:rsidRPr="00521DF8" w:rsidRDefault="00886EFA" w:rsidP="00886EFA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:rsidR="00886EFA" w:rsidRPr="00243854" w:rsidRDefault="00886EFA" w:rsidP="00886EFA">
      <w:pPr>
        <w:pStyle w:val="Encabezadodetabladecontenido"/>
        <w:spacing w:before="0"/>
        <w:rPr>
          <w:rFonts w:ascii="Arial" w:hAnsi="Arial" w:cs="Arial"/>
          <w:color w:val="auto"/>
          <w:sz w:val="8"/>
          <w:szCs w:val="16"/>
        </w:rPr>
      </w:pPr>
      <w:r w:rsidRPr="00521DF8">
        <w:rPr>
          <w:rFonts w:ascii="Arial" w:hAnsi="Arial" w:cs="Arial"/>
          <w:color w:val="auto"/>
          <w:sz w:val="16"/>
          <w:szCs w:val="16"/>
          <w:lang w:val="es-ES"/>
        </w:rPr>
        <w:t>CONTENIDO</w:t>
      </w:r>
    </w:p>
    <w:p w:rsidR="00886EFA" w:rsidRPr="00AB59A2" w:rsidRDefault="00886EFA" w:rsidP="00112C4C">
      <w:pPr>
        <w:pStyle w:val="TDC1"/>
        <w:tabs>
          <w:tab w:val="right" w:leader="dot" w:pos="8830"/>
        </w:tabs>
        <w:rPr>
          <w:noProof/>
        </w:rPr>
      </w:pPr>
      <w:r w:rsidRPr="00AB59A2">
        <w:rPr>
          <w:noProof/>
        </w:rPr>
        <w:fldChar w:fldCharType="begin"/>
      </w:r>
      <w:r w:rsidRPr="00AB59A2">
        <w:rPr>
          <w:noProof/>
        </w:rPr>
        <w:instrText xml:space="preserve"> TOC \o "1-2" \h \z \u </w:instrText>
      </w:r>
      <w:r w:rsidRPr="00AB59A2">
        <w:rPr>
          <w:noProof/>
        </w:rPr>
        <w:fldChar w:fldCharType="separate"/>
      </w:r>
      <w:r>
        <w:rPr>
          <w:noProof/>
        </w:rPr>
        <w:t>1. POSESIÓN DE CARGOS DE DIRECCIÓN Y CONTROL</w:t>
      </w:r>
    </w:p>
    <w:p w:rsidR="00886EFA" w:rsidRPr="00AB59A2" w:rsidRDefault="00886EFA" w:rsidP="00112C4C">
      <w:pPr>
        <w:pStyle w:val="TDC2"/>
        <w:rPr>
          <w:iCs w:val="0"/>
        </w:rPr>
      </w:pPr>
      <w:r w:rsidRPr="00AB59A2">
        <w:t>1.1. Cargos en los que se requiere posesión ante la SFC</w:t>
      </w:r>
    </w:p>
    <w:p w:rsidR="00886EFA" w:rsidRPr="00781EF5" w:rsidRDefault="00886EFA" w:rsidP="00781EF5">
      <w:pPr>
        <w:pStyle w:val="TDC2"/>
        <w:pBdr>
          <w:left w:val="single" w:sz="4" w:space="4" w:color="auto"/>
        </w:pBdr>
        <w:rPr>
          <w:b/>
          <w:iCs w:val="0"/>
        </w:rPr>
      </w:pPr>
      <w:r w:rsidRPr="00781EF5">
        <w:rPr>
          <w:b/>
        </w:rPr>
        <w:t>1.2. Eventos en los que no se requiere</w:t>
      </w:r>
      <w:r w:rsidR="00781EF5">
        <w:rPr>
          <w:b/>
        </w:rPr>
        <w:t xml:space="preserve"> tramitar </w:t>
      </w:r>
      <w:r w:rsidRPr="00781EF5">
        <w:rPr>
          <w:b/>
        </w:rPr>
        <w:t>posesión</w:t>
      </w:r>
    </w:p>
    <w:p w:rsidR="00886EFA" w:rsidRPr="00AB59A2" w:rsidRDefault="00886EFA" w:rsidP="00112C4C">
      <w:pPr>
        <w:pStyle w:val="TDC2"/>
        <w:rPr>
          <w:iCs w:val="0"/>
        </w:rPr>
      </w:pPr>
      <w:r w:rsidRPr="00AB59A2">
        <w:t>1.3. Funciones del responsable del trámite de posesión</w:t>
      </w:r>
    </w:p>
    <w:p w:rsidR="001A30CC" w:rsidRDefault="00886EFA" w:rsidP="00112C4C">
      <w:pPr>
        <w:pStyle w:val="TDC2"/>
      </w:pPr>
      <w:r w:rsidRPr="00AB59A2">
        <w:t>1.4. Reglas relativas al trámite de posesión</w:t>
      </w:r>
    </w:p>
    <w:p w:rsidR="00886EFA" w:rsidRPr="00AB59A2" w:rsidRDefault="00886EFA" w:rsidP="00112C4C">
      <w:pPr>
        <w:pStyle w:val="TDC2"/>
        <w:rPr>
          <w:iCs w:val="0"/>
        </w:rPr>
      </w:pPr>
      <w:r w:rsidRPr="00AB59A2">
        <w:t>1.5. Situaciones que ponen fin al ejercicio de los cargos que requieren posesión ante la SFC</w:t>
      </w:r>
    </w:p>
    <w:p w:rsidR="00886EFA" w:rsidRPr="00AB59A2" w:rsidRDefault="00886EFA" w:rsidP="00112C4C">
      <w:pPr>
        <w:pStyle w:val="TDC2"/>
        <w:rPr>
          <w:iCs w:val="0"/>
        </w:rPr>
      </w:pPr>
      <w:r w:rsidRPr="00AB59A2">
        <w:t>1.6. Posesión del revisor fiscal</w:t>
      </w:r>
    </w:p>
    <w:p w:rsidR="00886EFA" w:rsidRPr="00AB59A2" w:rsidRDefault="00886EFA" w:rsidP="00112C4C">
      <w:pPr>
        <w:pStyle w:val="TDC2"/>
        <w:rPr>
          <w:iCs w:val="0"/>
        </w:rPr>
      </w:pPr>
      <w:r w:rsidRPr="00AB59A2">
        <w:t>1.7. Posesión e información que deben suministrar las entidades vigiladas a la SFC sobre el Defensor del Consumidor Financiero - DCF</w:t>
      </w:r>
    </w:p>
    <w:p w:rsidR="00886EFA" w:rsidRPr="00AB59A2" w:rsidRDefault="00886EFA" w:rsidP="00112C4C">
      <w:pPr>
        <w:pStyle w:val="TDC1"/>
        <w:tabs>
          <w:tab w:val="right" w:leader="dot" w:pos="8830"/>
        </w:tabs>
        <w:rPr>
          <w:noProof/>
        </w:rPr>
      </w:pPr>
      <w:r>
        <w:rPr>
          <w:noProof/>
        </w:rPr>
        <w:t>2. CAMBIOS DE DOMICILIO</w:t>
      </w:r>
    </w:p>
    <w:p w:rsidR="00886EFA" w:rsidRPr="00D21AF4" w:rsidRDefault="00886EFA" w:rsidP="00112C4C">
      <w:pPr>
        <w:pStyle w:val="TDC2"/>
        <w:rPr>
          <w:iCs w:val="0"/>
        </w:rPr>
      </w:pPr>
      <w:r w:rsidRPr="00D21AF4">
        <w:t>2.1. Información a remitir</w:t>
      </w:r>
    </w:p>
    <w:p w:rsidR="00886EFA" w:rsidRPr="00AB59A2" w:rsidRDefault="00886EFA" w:rsidP="00112C4C">
      <w:pPr>
        <w:pStyle w:val="TDC2"/>
        <w:rPr>
          <w:iCs w:val="0"/>
        </w:rPr>
      </w:pPr>
      <w:r w:rsidRPr="00AB59A2">
        <w:t>2.2. Suministro de información posterior a la desvinculación de la entidad</w:t>
      </w:r>
    </w:p>
    <w:p w:rsidR="00886EFA" w:rsidRPr="00AB59A2" w:rsidRDefault="00886EFA" w:rsidP="00112C4C">
      <w:pPr>
        <w:pStyle w:val="TDC2"/>
        <w:rPr>
          <w:iCs w:val="0"/>
        </w:rPr>
      </w:pPr>
      <w:r w:rsidRPr="00AB59A2">
        <w:t>2.3. Información sobre antecedentes</w:t>
      </w:r>
    </w:p>
    <w:p w:rsidR="00886EFA" w:rsidRPr="00AB59A2" w:rsidRDefault="00886EFA" w:rsidP="00112C4C">
      <w:pPr>
        <w:pStyle w:val="TDC2"/>
        <w:rPr>
          <w:iCs w:val="0"/>
        </w:rPr>
      </w:pPr>
      <w:r w:rsidRPr="00AB59A2">
        <w:t>2.4. Dirección de notificación para actuaciones específicas</w:t>
      </w:r>
    </w:p>
    <w:p w:rsidR="00886EFA" w:rsidRPr="00AB59A2" w:rsidRDefault="00886EFA" w:rsidP="00112C4C">
      <w:pPr>
        <w:pStyle w:val="TDC1"/>
        <w:tabs>
          <w:tab w:val="right" w:leader="dot" w:pos="8830"/>
        </w:tabs>
        <w:rPr>
          <w:noProof/>
        </w:rPr>
      </w:pPr>
      <w:r>
        <w:rPr>
          <w:noProof/>
        </w:rPr>
        <w:t>3. DERECHO DE PETICIÓN</w:t>
      </w:r>
    </w:p>
    <w:p w:rsidR="00886EFA" w:rsidRPr="00AB59A2" w:rsidRDefault="00886EFA" w:rsidP="00112C4C">
      <w:pPr>
        <w:pStyle w:val="TDC2"/>
        <w:rPr>
          <w:iCs w:val="0"/>
        </w:rPr>
      </w:pPr>
      <w:r w:rsidRPr="00AB59A2">
        <w:t>3.1. Procedencia</w:t>
      </w:r>
    </w:p>
    <w:p w:rsidR="00886EFA" w:rsidRPr="00AB59A2" w:rsidRDefault="00886EFA" w:rsidP="00112C4C">
      <w:pPr>
        <w:pStyle w:val="TDC2"/>
        <w:rPr>
          <w:iCs w:val="0"/>
        </w:rPr>
      </w:pPr>
      <w:r w:rsidRPr="00AB59A2">
        <w:t>3.2. Requisitos</w:t>
      </w:r>
    </w:p>
    <w:p w:rsidR="00886EFA" w:rsidRDefault="00886EFA" w:rsidP="00112C4C">
      <w:pPr>
        <w:pStyle w:val="TDC2"/>
        <w:rPr>
          <w:iCs w:val="0"/>
        </w:rPr>
      </w:pPr>
      <w:r w:rsidRPr="00AB59A2">
        <w:t>3.</w:t>
      </w:r>
      <w:r>
        <w:t>3</w:t>
      </w:r>
      <w:r w:rsidRPr="00AB59A2">
        <w:t>. Presentación y radicación</w:t>
      </w:r>
      <w:r>
        <w:t xml:space="preserve"> </w:t>
      </w:r>
    </w:p>
    <w:p w:rsidR="00886EFA" w:rsidRDefault="00886EFA" w:rsidP="00112C4C">
      <w:pPr>
        <w:pStyle w:val="TDC2"/>
        <w:rPr>
          <w:iCs w:val="0"/>
        </w:rPr>
      </w:pPr>
      <w:r w:rsidRPr="00AB59A2">
        <w:t>3.</w:t>
      </w:r>
      <w:r>
        <w:t>4</w:t>
      </w:r>
      <w:r w:rsidRPr="00AB59A2">
        <w:t>. P</w:t>
      </w:r>
      <w:r>
        <w:t xml:space="preserve">eticiones incompletas </w:t>
      </w:r>
    </w:p>
    <w:p w:rsidR="00886EFA" w:rsidRDefault="00886EFA" w:rsidP="00112C4C">
      <w:pPr>
        <w:pStyle w:val="TDC2"/>
        <w:rPr>
          <w:iCs w:val="0"/>
        </w:rPr>
      </w:pPr>
      <w:r w:rsidRPr="00AB59A2">
        <w:t>3.5. Peticiones verbales</w:t>
      </w:r>
      <w:r>
        <w:t xml:space="preserve"> </w:t>
      </w:r>
    </w:p>
    <w:p w:rsidR="00886EFA" w:rsidRPr="00AB59A2" w:rsidRDefault="00886EFA" w:rsidP="00112C4C">
      <w:pPr>
        <w:pStyle w:val="TDC2"/>
        <w:rPr>
          <w:iCs w:val="0"/>
        </w:rPr>
      </w:pPr>
      <w:r w:rsidRPr="00AB59A2">
        <w:t>3.</w:t>
      </w:r>
      <w:r>
        <w:t xml:space="preserve">6. </w:t>
      </w:r>
      <w:r w:rsidRPr="00243854">
        <w:t>Peticiones reiterativas, análogas, oscuras e irrespetuosas</w:t>
      </w:r>
    </w:p>
    <w:p w:rsidR="00886EFA" w:rsidRPr="00AB59A2" w:rsidRDefault="00886EFA" w:rsidP="00112C4C">
      <w:pPr>
        <w:pStyle w:val="TDC2"/>
        <w:rPr>
          <w:iCs w:val="0"/>
        </w:rPr>
      </w:pPr>
      <w:r w:rsidRPr="00AB59A2">
        <w:t>3.</w:t>
      </w:r>
      <w:r>
        <w:t>7</w:t>
      </w:r>
      <w:r w:rsidRPr="00AB59A2">
        <w:t>. Desistimiento</w:t>
      </w:r>
    </w:p>
    <w:p w:rsidR="00886EFA" w:rsidRPr="00AB59A2" w:rsidRDefault="00886EFA" w:rsidP="00112C4C">
      <w:pPr>
        <w:pStyle w:val="TDC2"/>
        <w:rPr>
          <w:iCs w:val="0"/>
        </w:rPr>
      </w:pPr>
      <w:r w:rsidRPr="00AB59A2">
        <w:t>3.</w:t>
      </w:r>
      <w:r>
        <w:t>8</w:t>
      </w:r>
      <w:r w:rsidRPr="00AB59A2">
        <w:t>. Término para resolver las peticiones</w:t>
      </w:r>
    </w:p>
    <w:p w:rsidR="00886EFA" w:rsidRDefault="00886EFA" w:rsidP="00112C4C">
      <w:pPr>
        <w:pStyle w:val="TDC2"/>
        <w:rPr>
          <w:iCs w:val="0"/>
        </w:rPr>
      </w:pPr>
      <w:r w:rsidRPr="00AB59A2">
        <w:t>3.9. Atención prioritaria</w:t>
      </w:r>
      <w:r>
        <w:t xml:space="preserve"> y preferencial </w:t>
      </w:r>
    </w:p>
    <w:p w:rsidR="00886EFA" w:rsidRDefault="00886EFA" w:rsidP="00112C4C">
      <w:pPr>
        <w:pStyle w:val="TDC2"/>
        <w:rPr>
          <w:iCs w:val="0"/>
        </w:rPr>
      </w:pPr>
      <w:r w:rsidRPr="00AB59A2">
        <w:t>3.</w:t>
      </w:r>
      <w:r>
        <w:t>10</w:t>
      </w:r>
      <w:r w:rsidRPr="00AB59A2">
        <w:t>. Interrupción o suspensión de términos</w:t>
      </w:r>
    </w:p>
    <w:p w:rsidR="00886EFA" w:rsidRPr="00323DEC" w:rsidRDefault="00886EFA" w:rsidP="00112C4C">
      <w:pPr>
        <w:pStyle w:val="TDC2"/>
      </w:pPr>
      <w:r w:rsidRPr="00323DEC">
        <w:t>3.11. Traslados por falta de competencia</w:t>
      </w:r>
    </w:p>
    <w:p w:rsidR="00886EFA" w:rsidRPr="00323DEC" w:rsidRDefault="00886EFA" w:rsidP="00112C4C">
      <w:pPr>
        <w:pStyle w:val="TDC2"/>
        <w:rPr>
          <w:iCs w:val="0"/>
        </w:rPr>
      </w:pPr>
      <w:r w:rsidRPr="00323DEC">
        <w:t>3.12</w:t>
      </w:r>
      <w:r>
        <w:t>.</w:t>
      </w:r>
      <w:r w:rsidRPr="00323DEC">
        <w:t xml:space="preserve"> Solicitudes de información reservada</w:t>
      </w:r>
    </w:p>
    <w:p w:rsidR="00886EFA" w:rsidRDefault="00886EFA" w:rsidP="00112C4C">
      <w:pPr>
        <w:pStyle w:val="TDC1"/>
        <w:tabs>
          <w:tab w:val="right" w:leader="dot" w:pos="8830"/>
        </w:tabs>
        <w:rPr>
          <w:noProof/>
        </w:rPr>
      </w:pPr>
      <w:r>
        <w:rPr>
          <w:noProof/>
        </w:rPr>
        <w:t>4. INFORMACIÓN GENERAL</w:t>
      </w:r>
    </w:p>
    <w:p w:rsidR="00886EFA" w:rsidRDefault="00886EFA" w:rsidP="00112C4C">
      <w:pPr>
        <w:pStyle w:val="TDC1"/>
        <w:tabs>
          <w:tab w:val="right" w:leader="dot" w:pos="8830"/>
        </w:tabs>
        <w:rPr>
          <w:noProof/>
        </w:rPr>
      </w:pPr>
      <w:r>
        <w:rPr>
          <w:noProof/>
        </w:rPr>
        <w:t>5. CONSULTA DE DOCUMENTOS Y EXPEDICIÓN DE COPIAS O FOTOCOPIAS</w:t>
      </w:r>
    </w:p>
    <w:p w:rsidR="00886EFA" w:rsidRDefault="00886EFA" w:rsidP="00112C4C">
      <w:pPr>
        <w:pStyle w:val="TDC1"/>
        <w:tabs>
          <w:tab w:val="right" w:leader="dot" w:pos="8830"/>
        </w:tabs>
        <w:rPr>
          <w:noProof/>
        </w:rPr>
      </w:pPr>
      <w:r>
        <w:rPr>
          <w:noProof/>
        </w:rPr>
        <w:t>6. APODERADOS</w:t>
      </w:r>
    </w:p>
    <w:p w:rsidR="00886EFA" w:rsidRPr="00152626" w:rsidRDefault="00886EFA" w:rsidP="00112C4C">
      <w:pPr>
        <w:pStyle w:val="TDC2"/>
        <w:rPr>
          <w:iCs w:val="0"/>
        </w:rPr>
      </w:pPr>
      <w:r w:rsidRPr="00152626">
        <w:t>6.1. Actuaciones que incluyan actos de apoderamiento</w:t>
      </w:r>
    </w:p>
    <w:p w:rsidR="00886EFA" w:rsidRPr="00AB59A2" w:rsidRDefault="00886EFA" w:rsidP="00112C4C">
      <w:pPr>
        <w:pStyle w:val="TDC2"/>
        <w:rPr>
          <w:iCs w:val="0"/>
        </w:rPr>
      </w:pPr>
      <w:r>
        <w:t>6</w:t>
      </w:r>
      <w:r w:rsidRPr="00AB59A2">
        <w:t>.2. Trámite</w:t>
      </w:r>
    </w:p>
    <w:p w:rsidR="00886EFA" w:rsidRPr="00AB59A2" w:rsidRDefault="00886EFA" w:rsidP="00112C4C">
      <w:pPr>
        <w:pStyle w:val="TDC1"/>
        <w:tabs>
          <w:tab w:val="right" w:leader="dot" w:pos="8830"/>
        </w:tabs>
        <w:rPr>
          <w:noProof/>
        </w:rPr>
      </w:pPr>
      <w:r>
        <w:rPr>
          <w:noProof/>
        </w:rPr>
        <w:t>7. RECURSOS EN LA VÍA GUBERNATIVA</w:t>
      </w:r>
    </w:p>
    <w:p w:rsidR="00886EFA" w:rsidRPr="00AB59A2" w:rsidRDefault="00886EFA" w:rsidP="00112C4C">
      <w:pPr>
        <w:pStyle w:val="TDC2"/>
        <w:rPr>
          <w:iCs w:val="0"/>
        </w:rPr>
      </w:pPr>
      <w:r>
        <w:t>7</w:t>
      </w:r>
      <w:r w:rsidRPr="00AB59A2">
        <w:t>.1. Procedencia</w:t>
      </w:r>
    </w:p>
    <w:p w:rsidR="00886EFA" w:rsidRPr="00AB59A2" w:rsidRDefault="00886EFA" w:rsidP="00112C4C">
      <w:pPr>
        <w:pStyle w:val="TDC2"/>
        <w:rPr>
          <w:iCs w:val="0"/>
        </w:rPr>
      </w:pPr>
      <w:r>
        <w:t>7</w:t>
      </w:r>
      <w:r w:rsidRPr="00AB59A2">
        <w:t>.2. Oportunidad y presentación</w:t>
      </w:r>
    </w:p>
    <w:p w:rsidR="00886EFA" w:rsidRPr="00152626" w:rsidRDefault="00886EFA" w:rsidP="00112C4C">
      <w:pPr>
        <w:pStyle w:val="TDC1"/>
        <w:tabs>
          <w:tab w:val="right" w:leader="dot" w:pos="8830"/>
        </w:tabs>
        <w:rPr>
          <w:noProof/>
        </w:rPr>
      </w:pPr>
      <w:r w:rsidRPr="00152626">
        <w:rPr>
          <w:noProof/>
        </w:rPr>
        <w:t>8. QUEJAS</w:t>
      </w:r>
    </w:p>
    <w:p w:rsidR="00886EFA" w:rsidRPr="00152626" w:rsidRDefault="00886EFA" w:rsidP="00112C4C">
      <w:pPr>
        <w:pStyle w:val="TDC2"/>
        <w:rPr>
          <w:iCs w:val="0"/>
        </w:rPr>
      </w:pPr>
      <w:r w:rsidRPr="00152626">
        <w:t>8.1. Procedencia</w:t>
      </w:r>
    </w:p>
    <w:p w:rsidR="00886EFA" w:rsidRPr="00152626" w:rsidRDefault="00886EFA" w:rsidP="00112C4C">
      <w:pPr>
        <w:pStyle w:val="TDC2"/>
        <w:rPr>
          <w:iCs w:val="0"/>
        </w:rPr>
      </w:pPr>
      <w:r w:rsidRPr="00152626">
        <w:t>8.2. Requisitos</w:t>
      </w:r>
    </w:p>
    <w:p w:rsidR="00886EFA" w:rsidRPr="00152626" w:rsidRDefault="00886EFA" w:rsidP="00112C4C">
      <w:pPr>
        <w:pStyle w:val="TDC2"/>
        <w:rPr>
          <w:iCs w:val="0"/>
        </w:rPr>
      </w:pPr>
      <w:r w:rsidRPr="00152626">
        <w:t>8.3. Términos</w:t>
      </w:r>
    </w:p>
    <w:p w:rsidR="00886EFA" w:rsidRPr="00152626" w:rsidRDefault="00886EFA" w:rsidP="00112C4C">
      <w:pPr>
        <w:pStyle w:val="TDC2"/>
        <w:rPr>
          <w:iCs w:val="0"/>
        </w:rPr>
      </w:pPr>
      <w:r w:rsidRPr="00152626">
        <w:t>8.4. Trámite de las quejas</w:t>
      </w:r>
    </w:p>
    <w:p w:rsidR="00886EFA" w:rsidRPr="00A717D9" w:rsidRDefault="00886EFA" w:rsidP="00112C4C">
      <w:pPr>
        <w:pStyle w:val="TDC2"/>
        <w:rPr>
          <w:iCs w:val="0"/>
        </w:rPr>
      </w:pPr>
      <w:r w:rsidRPr="00152626">
        <w:t>8.5. Quejas exprés</w:t>
      </w:r>
    </w:p>
    <w:p w:rsidR="00886EFA" w:rsidRPr="00A717D9" w:rsidRDefault="00886EFA" w:rsidP="00112C4C">
      <w:pPr>
        <w:pStyle w:val="TDC2"/>
        <w:rPr>
          <w:iCs w:val="0"/>
        </w:rPr>
      </w:pPr>
      <w:r>
        <w:t>8</w:t>
      </w:r>
      <w:r w:rsidRPr="00A717D9">
        <w:t>.6. Quejas por mal funcionamiento de los servicios de la SFC</w:t>
      </w:r>
    </w:p>
    <w:p w:rsidR="00886EFA" w:rsidRPr="00AB59A2" w:rsidRDefault="00886EFA" w:rsidP="00112C4C">
      <w:pPr>
        <w:pStyle w:val="TDC1"/>
        <w:tabs>
          <w:tab w:val="right" w:leader="dot" w:pos="8830"/>
        </w:tabs>
        <w:rPr>
          <w:noProof/>
        </w:rPr>
      </w:pPr>
      <w:r>
        <w:rPr>
          <w:noProof/>
        </w:rPr>
        <w:t>9. REGLAS RELATIVAS A LA EXPEDICION DE CERTIFICACIONES POR PARTE DE LA SFC</w:t>
      </w:r>
    </w:p>
    <w:p w:rsidR="00886EFA" w:rsidRPr="00AB59A2" w:rsidRDefault="00886EFA" w:rsidP="00112C4C">
      <w:pPr>
        <w:pStyle w:val="TDC2"/>
        <w:rPr>
          <w:iCs w:val="0"/>
        </w:rPr>
      </w:pPr>
      <w:r>
        <w:t>9</w:t>
      </w:r>
      <w:r w:rsidRPr="00AB59A2">
        <w:t>.1. Dependencia responsable</w:t>
      </w:r>
    </w:p>
    <w:p w:rsidR="00886EFA" w:rsidRPr="00AB59A2" w:rsidRDefault="00886EFA" w:rsidP="00112C4C">
      <w:pPr>
        <w:pStyle w:val="TDC2"/>
        <w:rPr>
          <w:iCs w:val="0"/>
        </w:rPr>
      </w:pPr>
      <w:r>
        <w:t>9</w:t>
      </w:r>
      <w:r w:rsidRPr="00AB59A2">
        <w:t>.2. Certificaciones que debe expedir la SFC</w:t>
      </w:r>
    </w:p>
    <w:p w:rsidR="00886EFA" w:rsidRPr="00AB59A2" w:rsidRDefault="00886EFA" w:rsidP="00112C4C">
      <w:pPr>
        <w:pStyle w:val="TDC2"/>
        <w:rPr>
          <w:iCs w:val="0"/>
        </w:rPr>
      </w:pPr>
      <w:r>
        <w:t>9</w:t>
      </w:r>
      <w:r w:rsidRPr="00AB59A2">
        <w:t>.3. Trámite para la solicitud de certificaciones</w:t>
      </w:r>
    </w:p>
    <w:p w:rsidR="00886EFA" w:rsidRPr="00AB59A2" w:rsidRDefault="00886EFA" w:rsidP="00112C4C">
      <w:pPr>
        <w:pStyle w:val="TDC2"/>
      </w:pPr>
    </w:p>
    <w:p w:rsidR="00886EFA" w:rsidRDefault="00886EFA" w:rsidP="00112C4C">
      <w:pPr>
        <w:rPr>
          <w:rFonts w:ascii="Arial" w:hAnsi="Arial"/>
          <w:b/>
          <w:bCs/>
          <w:noProof/>
          <w:sz w:val="16"/>
          <w:szCs w:val="20"/>
        </w:rPr>
      </w:pPr>
      <w:r>
        <w:rPr>
          <w:rFonts w:ascii="Arial" w:hAnsi="Arial"/>
          <w:b/>
          <w:bCs/>
          <w:noProof/>
          <w:sz w:val="16"/>
          <w:szCs w:val="20"/>
        </w:rPr>
        <w:t>10</w:t>
      </w:r>
      <w:r w:rsidRPr="00AB59A2">
        <w:rPr>
          <w:rFonts w:ascii="Arial" w:hAnsi="Arial"/>
          <w:b/>
          <w:bCs/>
          <w:noProof/>
          <w:sz w:val="16"/>
          <w:szCs w:val="20"/>
        </w:rPr>
        <w:t>. INSTRUCCIONES PARA EL DILIGENCIAMIENTO DE LA</w:t>
      </w:r>
      <w:r>
        <w:rPr>
          <w:rFonts w:ascii="Arial" w:hAnsi="Arial"/>
          <w:b/>
          <w:bCs/>
          <w:noProof/>
          <w:sz w:val="16"/>
          <w:szCs w:val="20"/>
        </w:rPr>
        <w:t>S COMUNICACIONES DIRIGIDAS A LA SFC</w:t>
      </w:r>
      <w:r w:rsidRPr="00AB59A2">
        <w:rPr>
          <w:rFonts w:ascii="Arial" w:hAnsi="Arial"/>
          <w:b/>
          <w:bCs/>
          <w:noProof/>
          <w:sz w:val="16"/>
          <w:szCs w:val="20"/>
        </w:rPr>
        <w:fldChar w:fldCharType="end"/>
      </w:r>
      <w:bookmarkStart w:id="0" w:name="_GoBack"/>
      <w:bookmarkEnd w:id="0"/>
    </w:p>
    <w:sectPr w:rsidR="00886EFA" w:rsidSect="00363F25">
      <w:footerReference w:type="default" r:id="rId8"/>
      <w:endnotePr>
        <w:numFmt w:val="decimal"/>
      </w:endnotePr>
      <w:pgSz w:w="12240" w:h="18720" w:code="14"/>
      <w:pgMar w:top="1418" w:right="1701" w:bottom="1418" w:left="1701" w:header="1134" w:footer="1134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9D7" w:rsidRDefault="007C29D7">
      <w:r>
        <w:separator/>
      </w:r>
    </w:p>
  </w:endnote>
  <w:endnote w:type="continuationSeparator" w:id="0">
    <w:p w:rsidR="007C29D7" w:rsidRDefault="007C2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D78" w:rsidRPr="008A06E6" w:rsidRDefault="00506D78" w:rsidP="00A745DE">
    <w:pPr>
      <w:pStyle w:val="Piedepgina"/>
      <w:tabs>
        <w:tab w:val="clear" w:pos="4252"/>
        <w:tab w:val="clear" w:pos="8504"/>
        <w:tab w:val="center" w:pos="8505"/>
      </w:tabs>
      <w:jc w:val="both"/>
      <w:rPr>
        <w:rFonts w:ascii="Arial" w:hAnsi="Arial" w:cs="Arial"/>
        <w:b/>
        <w:spacing w:val="20"/>
        <w:sz w:val="18"/>
        <w:szCs w:val="18"/>
        <w:lang w:val="es-CO"/>
      </w:rPr>
    </w:pPr>
  </w:p>
  <w:p w:rsidR="00506D78" w:rsidRPr="00841140" w:rsidRDefault="00506D78" w:rsidP="008A2933">
    <w:pPr>
      <w:pStyle w:val="Piedepgina"/>
      <w:tabs>
        <w:tab w:val="clear" w:pos="4252"/>
        <w:tab w:val="clear" w:pos="8504"/>
        <w:tab w:val="center" w:pos="8505"/>
      </w:tabs>
      <w:jc w:val="both"/>
      <w:rPr>
        <w:rFonts w:ascii="Arial" w:hAnsi="Arial" w:cs="Arial"/>
        <w:b/>
        <w:color w:val="FFFFFF" w:themeColor="background1"/>
        <w:spacing w:val="20"/>
        <w:sz w:val="18"/>
        <w:szCs w:val="18"/>
        <w:lang w:val="es-CO"/>
      </w:rPr>
    </w:pPr>
    <w:r w:rsidRPr="00271EFA">
      <w:rPr>
        <w:rFonts w:ascii="Arial" w:hAnsi="Arial" w:cs="Arial"/>
        <w:b/>
        <w:spacing w:val="20"/>
        <w:sz w:val="18"/>
        <w:szCs w:val="18"/>
        <w:lang w:val="es-CO"/>
      </w:rPr>
      <w:t xml:space="preserve">PARTE I – TÍTULO IV – </w:t>
    </w:r>
    <w:r w:rsidRPr="003D00A1">
      <w:rPr>
        <w:rFonts w:ascii="Arial" w:hAnsi="Arial" w:cs="Arial"/>
        <w:b/>
        <w:spacing w:val="20"/>
        <w:sz w:val="18"/>
        <w:szCs w:val="18"/>
        <w:lang w:val="es-CO"/>
      </w:rPr>
      <w:t>CAPÍTULO</w:t>
    </w:r>
    <w:r>
      <w:rPr>
        <w:rFonts w:ascii="Arial" w:hAnsi="Arial" w:cs="Arial"/>
        <w:b/>
        <w:spacing w:val="20"/>
        <w:sz w:val="18"/>
        <w:szCs w:val="18"/>
        <w:lang w:val="es-CO"/>
      </w:rPr>
      <w:t xml:space="preserve"> II                                                        PÁGINA </w:t>
    </w:r>
    <w:r w:rsidRPr="00841140">
      <w:rPr>
        <w:rFonts w:ascii="Arial" w:hAnsi="Arial" w:cs="Arial"/>
        <w:b/>
        <w:color w:val="FFFFFF" w:themeColor="background1"/>
        <w:spacing w:val="20"/>
        <w:sz w:val="18"/>
        <w:szCs w:val="18"/>
        <w:lang w:val="es-CO"/>
      </w:rPr>
      <w:t>11</w:t>
    </w:r>
  </w:p>
  <w:p w:rsidR="00506D78" w:rsidRPr="00841140" w:rsidRDefault="00506D78" w:rsidP="008A2933">
    <w:pPr>
      <w:pStyle w:val="Piedepgina"/>
      <w:tabs>
        <w:tab w:val="clear" w:pos="4252"/>
        <w:tab w:val="clear" w:pos="8504"/>
        <w:tab w:val="center" w:pos="8505"/>
      </w:tabs>
      <w:jc w:val="both"/>
      <w:rPr>
        <w:rFonts w:ascii="Arial" w:hAnsi="Arial" w:cs="Arial"/>
        <w:b/>
        <w:spacing w:val="20"/>
        <w:sz w:val="18"/>
        <w:szCs w:val="18"/>
        <w:lang w:val="es-CO"/>
      </w:rPr>
    </w:pPr>
    <w:r w:rsidRPr="007A13C0">
      <w:rPr>
        <w:rFonts w:ascii="Arial" w:hAnsi="Arial" w:cs="Arial"/>
        <w:b/>
        <w:spacing w:val="20"/>
        <w:sz w:val="18"/>
        <w:szCs w:val="18"/>
        <w:lang w:val="es-CO"/>
      </w:rPr>
      <w:t xml:space="preserve">CIRCULAR EXTERNA </w:t>
    </w:r>
    <w:r w:rsidR="00FF31E0">
      <w:rPr>
        <w:rFonts w:ascii="Arial" w:hAnsi="Arial" w:cs="Arial"/>
        <w:b/>
        <w:spacing w:val="20"/>
        <w:sz w:val="18"/>
        <w:szCs w:val="18"/>
        <w:lang w:val="es-CO"/>
      </w:rPr>
      <w:t>036</w:t>
    </w:r>
    <w:r>
      <w:rPr>
        <w:rFonts w:ascii="Arial" w:hAnsi="Arial" w:cs="Arial"/>
        <w:b/>
        <w:spacing w:val="20"/>
        <w:sz w:val="18"/>
        <w:szCs w:val="18"/>
        <w:lang w:val="es-CO"/>
      </w:rPr>
      <w:t xml:space="preserve"> de 2017</w:t>
    </w:r>
    <w:r w:rsidRPr="007A13C0">
      <w:rPr>
        <w:rFonts w:ascii="Arial" w:hAnsi="Arial" w:cs="Arial"/>
        <w:b/>
        <w:spacing w:val="20"/>
        <w:sz w:val="18"/>
        <w:szCs w:val="18"/>
        <w:lang w:val="es-CO"/>
      </w:rPr>
      <w:tab/>
    </w:r>
    <w:r w:rsidR="00781EF5">
      <w:rPr>
        <w:rFonts w:ascii="Arial" w:hAnsi="Arial" w:cs="Arial"/>
        <w:b/>
        <w:spacing w:val="20"/>
        <w:sz w:val="18"/>
        <w:szCs w:val="18"/>
        <w:lang w:val="es-CO"/>
      </w:rPr>
      <w:t xml:space="preserve">Diciembre de </w:t>
    </w:r>
    <w:r>
      <w:rPr>
        <w:rFonts w:ascii="Arial" w:hAnsi="Arial" w:cs="Arial"/>
        <w:b/>
        <w:spacing w:val="20"/>
        <w:sz w:val="18"/>
        <w:szCs w:val="18"/>
        <w:lang w:val="es-CO"/>
      </w:rPr>
      <w:t xml:space="preserve"> </w:t>
    </w:r>
    <w:r w:rsidRPr="007A13C0">
      <w:rPr>
        <w:rFonts w:ascii="Arial" w:hAnsi="Arial" w:cs="Arial"/>
        <w:b/>
        <w:spacing w:val="20"/>
        <w:sz w:val="18"/>
        <w:szCs w:val="18"/>
        <w:lang w:val="es-CO"/>
      </w:rPr>
      <w:t>201</w:t>
    </w:r>
    <w:r>
      <w:rPr>
        <w:rFonts w:ascii="Arial" w:hAnsi="Arial" w:cs="Arial"/>
        <w:b/>
        <w:spacing w:val="20"/>
        <w:sz w:val="18"/>
        <w:szCs w:val="18"/>
        <w:lang w:val="es-CO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9D7" w:rsidRDefault="007C29D7">
      <w:r>
        <w:separator/>
      </w:r>
    </w:p>
  </w:footnote>
  <w:footnote w:type="continuationSeparator" w:id="0">
    <w:p w:rsidR="007C29D7" w:rsidRDefault="007C29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84D0815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BD10AA"/>
    <w:multiLevelType w:val="multilevel"/>
    <w:tmpl w:val="14BEFC4A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95" w:hanging="49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90A799C"/>
    <w:multiLevelType w:val="hybridMultilevel"/>
    <w:tmpl w:val="4F642EF8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564DB"/>
    <w:multiLevelType w:val="hybridMultilevel"/>
    <w:tmpl w:val="CDAE3042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13714"/>
    <w:multiLevelType w:val="multilevel"/>
    <w:tmpl w:val="8A58CA14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95" w:hanging="49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8D2639C"/>
    <w:multiLevelType w:val="hybridMultilevel"/>
    <w:tmpl w:val="40460B2E"/>
    <w:lvl w:ilvl="0" w:tplc="0C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607A29"/>
    <w:multiLevelType w:val="hybridMultilevel"/>
    <w:tmpl w:val="F9B4225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0B5BDB"/>
    <w:multiLevelType w:val="hybridMultilevel"/>
    <w:tmpl w:val="6A968F06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5A7DDE"/>
    <w:multiLevelType w:val="multilevel"/>
    <w:tmpl w:val="1686573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  <w:b/>
      </w:rPr>
    </w:lvl>
  </w:abstractNum>
  <w:abstractNum w:abstractNumId="9" w15:restartNumberingAfterBreak="0">
    <w:nsid w:val="2218397C"/>
    <w:multiLevelType w:val="hybridMultilevel"/>
    <w:tmpl w:val="8512750A"/>
    <w:lvl w:ilvl="0" w:tplc="E880FB8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748AB"/>
    <w:multiLevelType w:val="singleLevel"/>
    <w:tmpl w:val="18D2BA4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322E5965"/>
    <w:multiLevelType w:val="hybridMultilevel"/>
    <w:tmpl w:val="76C01CD0"/>
    <w:lvl w:ilvl="0" w:tplc="0C0A0019">
      <w:start w:val="1"/>
      <w:numFmt w:val="lowerLetter"/>
      <w:lvlText w:val="%1."/>
      <w:lvlJc w:val="left"/>
      <w:pPr>
        <w:ind w:left="1428" w:hanging="360"/>
      </w:p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23B4AD7"/>
    <w:multiLevelType w:val="hybridMultilevel"/>
    <w:tmpl w:val="040C8FBE"/>
    <w:lvl w:ilvl="0" w:tplc="A6E07CE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0619D4"/>
    <w:multiLevelType w:val="multilevel"/>
    <w:tmpl w:val="23F0F3E6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95" w:hanging="49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F0C617F"/>
    <w:multiLevelType w:val="hybridMultilevel"/>
    <w:tmpl w:val="1C52F1DC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3E3F60"/>
    <w:multiLevelType w:val="hybridMultilevel"/>
    <w:tmpl w:val="A2947BDC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992436"/>
    <w:multiLevelType w:val="multilevel"/>
    <w:tmpl w:val="A68AA5E0"/>
    <w:lvl w:ilvl="0">
      <w:start w:val="1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0" w:hanging="63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4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4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17" w15:restartNumberingAfterBreak="0">
    <w:nsid w:val="502B513A"/>
    <w:multiLevelType w:val="hybridMultilevel"/>
    <w:tmpl w:val="1904FB1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6C7077"/>
    <w:multiLevelType w:val="hybridMultilevel"/>
    <w:tmpl w:val="6106BDB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D61FEB"/>
    <w:multiLevelType w:val="hybridMultilevel"/>
    <w:tmpl w:val="51EA1092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DB0A10"/>
    <w:multiLevelType w:val="hybridMultilevel"/>
    <w:tmpl w:val="646888BA"/>
    <w:lvl w:ilvl="0" w:tplc="042A34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2D53CE"/>
    <w:multiLevelType w:val="hybridMultilevel"/>
    <w:tmpl w:val="93AA61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9D6D6F"/>
    <w:multiLevelType w:val="hybridMultilevel"/>
    <w:tmpl w:val="3A448E56"/>
    <w:lvl w:ilvl="0" w:tplc="1B3083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0E4B8E"/>
    <w:multiLevelType w:val="hybridMultilevel"/>
    <w:tmpl w:val="6AB2C958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2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24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4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4304335"/>
    <w:multiLevelType w:val="hybridMultilevel"/>
    <w:tmpl w:val="156C4520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5F41A0B"/>
    <w:multiLevelType w:val="hybridMultilevel"/>
    <w:tmpl w:val="912CCA94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2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24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4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89E4048"/>
    <w:multiLevelType w:val="multilevel"/>
    <w:tmpl w:val="88885540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95" w:hanging="49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68A430E5"/>
    <w:multiLevelType w:val="hybridMultilevel"/>
    <w:tmpl w:val="6DDC117A"/>
    <w:lvl w:ilvl="0" w:tplc="4BA44D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536797"/>
    <w:multiLevelType w:val="hybridMultilevel"/>
    <w:tmpl w:val="CA78F71C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2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24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4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C666055"/>
    <w:multiLevelType w:val="hybridMultilevel"/>
    <w:tmpl w:val="43F8FF0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686340"/>
    <w:multiLevelType w:val="hybridMultilevel"/>
    <w:tmpl w:val="D7928280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2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24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4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A9D2D06"/>
    <w:multiLevelType w:val="multilevel"/>
    <w:tmpl w:val="0A387236"/>
    <w:lvl w:ilvl="0">
      <w:start w:val="1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10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0" w:hanging="63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4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4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32" w15:restartNumberingAfterBreak="0">
    <w:nsid w:val="7ED053E8"/>
    <w:multiLevelType w:val="multilevel"/>
    <w:tmpl w:val="52E0CC60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95" w:hanging="49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0"/>
  </w:num>
  <w:num w:numId="2">
    <w:abstractNumId w:val="23"/>
  </w:num>
  <w:num w:numId="3">
    <w:abstractNumId w:val="28"/>
  </w:num>
  <w:num w:numId="4">
    <w:abstractNumId w:val="30"/>
  </w:num>
  <w:num w:numId="5">
    <w:abstractNumId w:val="25"/>
  </w:num>
  <w:num w:numId="6">
    <w:abstractNumId w:val="18"/>
  </w:num>
  <w:num w:numId="7">
    <w:abstractNumId w:val="17"/>
  </w:num>
  <w:num w:numId="8">
    <w:abstractNumId w:val="0"/>
  </w:num>
  <w:num w:numId="9">
    <w:abstractNumId w:val="24"/>
  </w:num>
  <w:num w:numId="10">
    <w:abstractNumId w:val="3"/>
  </w:num>
  <w:num w:numId="11">
    <w:abstractNumId w:val="19"/>
  </w:num>
  <w:num w:numId="12">
    <w:abstractNumId w:val="22"/>
  </w:num>
  <w:num w:numId="13">
    <w:abstractNumId w:val="12"/>
  </w:num>
  <w:num w:numId="14">
    <w:abstractNumId w:val="9"/>
  </w:num>
  <w:num w:numId="15">
    <w:abstractNumId w:val="7"/>
  </w:num>
  <w:num w:numId="16">
    <w:abstractNumId w:val="14"/>
  </w:num>
  <w:num w:numId="17">
    <w:abstractNumId w:val="2"/>
  </w:num>
  <w:num w:numId="18">
    <w:abstractNumId w:val="11"/>
  </w:num>
  <w:num w:numId="19">
    <w:abstractNumId w:val="5"/>
  </w:num>
  <w:num w:numId="20">
    <w:abstractNumId w:val="21"/>
  </w:num>
  <w:num w:numId="21">
    <w:abstractNumId w:val="29"/>
  </w:num>
  <w:num w:numId="22">
    <w:abstractNumId w:val="15"/>
  </w:num>
  <w:num w:numId="23">
    <w:abstractNumId w:val="8"/>
  </w:num>
  <w:num w:numId="24">
    <w:abstractNumId w:val="27"/>
  </w:num>
  <w:num w:numId="25">
    <w:abstractNumId w:val="6"/>
  </w:num>
  <w:num w:numId="26">
    <w:abstractNumId w:val="20"/>
  </w:num>
  <w:num w:numId="27">
    <w:abstractNumId w:val="1"/>
  </w:num>
  <w:num w:numId="28">
    <w:abstractNumId w:val="13"/>
  </w:num>
  <w:num w:numId="29">
    <w:abstractNumId w:val="32"/>
  </w:num>
  <w:num w:numId="30">
    <w:abstractNumId w:val="4"/>
  </w:num>
  <w:num w:numId="31">
    <w:abstractNumId w:val="26"/>
  </w:num>
  <w:num w:numId="32">
    <w:abstractNumId w:val="16"/>
  </w:num>
  <w:num w:numId="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122"/>
    <w:rsid w:val="0000151E"/>
    <w:rsid w:val="000017BA"/>
    <w:rsid w:val="00005011"/>
    <w:rsid w:val="00011310"/>
    <w:rsid w:val="0001360A"/>
    <w:rsid w:val="00017E60"/>
    <w:rsid w:val="00027713"/>
    <w:rsid w:val="00033041"/>
    <w:rsid w:val="00037F58"/>
    <w:rsid w:val="0004286C"/>
    <w:rsid w:val="000436CE"/>
    <w:rsid w:val="0004438F"/>
    <w:rsid w:val="00044BCF"/>
    <w:rsid w:val="00051FE3"/>
    <w:rsid w:val="000523D1"/>
    <w:rsid w:val="0005613B"/>
    <w:rsid w:val="000574AC"/>
    <w:rsid w:val="00065E94"/>
    <w:rsid w:val="00071853"/>
    <w:rsid w:val="00072D2E"/>
    <w:rsid w:val="0007348B"/>
    <w:rsid w:val="00073897"/>
    <w:rsid w:val="000749D6"/>
    <w:rsid w:val="00077F9B"/>
    <w:rsid w:val="0008122D"/>
    <w:rsid w:val="000853EA"/>
    <w:rsid w:val="000947E2"/>
    <w:rsid w:val="00095E10"/>
    <w:rsid w:val="000972E8"/>
    <w:rsid w:val="00097358"/>
    <w:rsid w:val="00097686"/>
    <w:rsid w:val="000B55B5"/>
    <w:rsid w:val="000C1FE4"/>
    <w:rsid w:val="000C2BED"/>
    <w:rsid w:val="000E06D9"/>
    <w:rsid w:val="000F75D8"/>
    <w:rsid w:val="000F79C5"/>
    <w:rsid w:val="00105232"/>
    <w:rsid w:val="001078FE"/>
    <w:rsid w:val="00111C79"/>
    <w:rsid w:val="00112C4C"/>
    <w:rsid w:val="00127F26"/>
    <w:rsid w:val="00134CD4"/>
    <w:rsid w:val="00135E46"/>
    <w:rsid w:val="001401A4"/>
    <w:rsid w:val="0014290C"/>
    <w:rsid w:val="00142E63"/>
    <w:rsid w:val="00146DFB"/>
    <w:rsid w:val="00170440"/>
    <w:rsid w:val="00176F35"/>
    <w:rsid w:val="001774C8"/>
    <w:rsid w:val="00182191"/>
    <w:rsid w:val="00192BA9"/>
    <w:rsid w:val="001A1A6E"/>
    <w:rsid w:val="001A30CC"/>
    <w:rsid w:val="001A4EA0"/>
    <w:rsid w:val="001A6DD4"/>
    <w:rsid w:val="001C1C6A"/>
    <w:rsid w:val="001C2067"/>
    <w:rsid w:val="001C308F"/>
    <w:rsid w:val="001C562E"/>
    <w:rsid w:val="001C703A"/>
    <w:rsid w:val="0020063C"/>
    <w:rsid w:val="00204D15"/>
    <w:rsid w:val="00207DD1"/>
    <w:rsid w:val="00211E73"/>
    <w:rsid w:val="00217775"/>
    <w:rsid w:val="00224024"/>
    <w:rsid w:val="00224F59"/>
    <w:rsid w:val="002320E5"/>
    <w:rsid w:val="00237344"/>
    <w:rsid w:val="002423AA"/>
    <w:rsid w:val="002459AC"/>
    <w:rsid w:val="00256BEB"/>
    <w:rsid w:val="00261C7A"/>
    <w:rsid w:val="00271EFA"/>
    <w:rsid w:val="0027230C"/>
    <w:rsid w:val="0028132B"/>
    <w:rsid w:val="00283374"/>
    <w:rsid w:val="002A5513"/>
    <w:rsid w:val="002A6F3B"/>
    <w:rsid w:val="002B3D5B"/>
    <w:rsid w:val="002C0B46"/>
    <w:rsid w:val="002C3B26"/>
    <w:rsid w:val="002D123B"/>
    <w:rsid w:val="002F1721"/>
    <w:rsid w:val="00304C2C"/>
    <w:rsid w:val="00307B97"/>
    <w:rsid w:val="00315EED"/>
    <w:rsid w:val="003202E9"/>
    <w:rsid w:val="00326A34"/>
    <w:rsid w:val="00327575"/>
    <w:rsid w:val="00330B78"/>
    <w:rsid w:val="00331A68"/>
    <w:rsid w:val="003332B3"/>
    <w:rsid w:val="00333A2D"/>
    <w:rsid w:val="00336351"/>
    <w:rsid w:val="00340EEA"/>
    <w:rsid w:val="00344A08"/>
    <w:rsid w:val="0034532B"/>
    <w:rsid w:val="00345936"/>
    <w:rsid w:val="00346E84"/>
    <w:rsid w:val="00347932"/>
    <w:rsid w:val="00354B7F"/>
    <w:rsid w:val="00356559"/>
    <w:rsid w:val="00356C3A"/>
    <w:rsid w:val="0036027D"/>
    <w:rsid w:val="00363F25"/>
    <w:rsid w:val="00371088"/>
    <w:rsid w:val="003759E1"/>
    <w:rsid w:val="0038019C"/>
    <w:rsid w:val="0038752B"/>
    <w:rsid w:val="003908A5"/>
    <w:rsid w:val="003917EE"/>
    <w:rsid w:val="003A5345"/>
    <w:rsid w:val="003B0DB8"/>
    <w:rsid w:val="003B590B"/>
    <w:rsid w:val="003B6D0A"/>
    <w:rsid w:val="003B6F9B"/>
    <w:rsid w:val="003C01AF"/>
    <w:rsid w:val="003D00A1"/>
    <w:rsid w:val="003D3A01"/>
    <w:rsid w:val="003F2826"/>
    <w:rsid w:val="003F33C3"/>
    <w:rsid w:val="004023A9"/>
    <w:rsid w:val="00407E90"/>
    <w:rsid w:val="004135BD"/>
    <w:rsid w:val="004270AB"/>
    <w:rsid w:val="00430F91"/>
    <w:rsid w:val="00434BE3"/>
    <w:rsid w:val="00441D8B"/>
    <w:rsid w:val="00446FBD"/>
    <w:rsid w:val="00455396"/>
    <w:rsid w:val="004601E1"/>
    <w:rsid w:val="00460699"/>
    <w:rsid w:val="00461AD3"/>
    <w:rsid w:val="004632B9"/>
    <w:rsid w:val="00466338"/>
    <w:rsid w:val="00467E95"/>
    <w:rsid w:val="00471657"/>
    <w:rsid w:val="00471E94"/>
    <w:rsid w:val="0048665D"/>
    <w:rsid w:val="00487A23"/>
    <w:rsid w:val="004A1D75"/>
    <w:rsid w:val="004B7229"/>
    <w:rsid w:val="004D1F4E"/>
    <w:rsid w:val="004D5678"/>
    <w:rsid w:val="004E1C11"/>
    <w:rsid w:val="004E37E9"/>
    <w:rsid w:val="004E39E2"/>
    <w:rsid w:val="004E42E9"/>
    <w:rsid w:val="004E477D"/>
    <w:rsid w:val="004E6C4C"/>
    <w:rsid w:val="004F23EA"/>
    <w:rsid w:val="004F368F"/>
    <w:rsid w:val="004F6860"/>
    <w:rsid w:val="00506D78"/>
    <w:rsid w:val="00521328"/>
    <w:rsid w:val="00521DF8"/>
    <w:rsid w:val="005223EE"/>
    <w:rsid w:val="005239FC"/>
    <w:rsid w:val="00526DAB"/>
    <w:rsid w:val="0052777E"/>
    <w:rsid w:val="0056462F"/>
    <w:rsid w:val="00570671"/>
    <w:rsid w:val="00570FA0"/>
    <w:rsid w:val="0057359C"/>
    <w:rsid w:val="0058105C"/>
    <w:rsid w:val="0058292C"/>
    <w:rsid w:val="00583688"/>
    <w:rsid w:val="0059568E"/>
    <w:rsid w:val="005958B9"/>
    <w:rsid w:val="005A0D41"/>
    <w:rsid w:val="005A1792"/>
    <w:rsid w:val="005A3937"/>
    <w:rsid w:val="005B45D8"/>
    <w:rsid w:val="005B4888"/>
    <w:rsid w:val="005D067A"/>
    <w:rsid w:val="005D070E"/>
    <w:rsid w:val="005D21AF"/>
    <w:rsid w:val="005D74CE"/>
    <w:rsid w:val="005E1779"/>
    <w:rsid w:val="005E3E41"/>
    <w:rsid w:val="0060015E"/>
    <w:rsid w:val="0060235E"/>
    <w:rsid w:val="00602EDC"/>
    <w:rsid w:val="00607104"/>
    <w:rsid w:val="00614B38"/>
    <w:rsid w:val="006203A4"/>
    <w:rsid w:val="00627B83"/>
    <w:rsid w:val="00631847"/>
    <w:rsid w:val="00632F3B"/>
    <w:rsid w:val="0063696B"/>
    <w:rsid w:val="006406A7"/>
    <w:rsid w:val="006420E2"/>
    <w:rsid w:val="006428A1"/>
    <w:rsid w:val="00645944"/>
    <w:rsid w:val="00663F68"/>
    <w:rsid w:val="00671187"/>
    <w:rsid w:val="006723D3"/>
    <w:rsid w:val="00675096"/>
    <w:rsid w:val="00681C23"/>
    <w:rsid w:val="00684808"/>
    <w:rsid w:val="00687424"/>
    <w:rsid w:val="0069434C"/>
    <w:rsid w:val="00694BDE"/>
    <w:rsid w:val="00696C5B"/>
    <w:rsid w:val="006A21CF"/>
    <w:rsid w:val="006A56EC"/>
    <w:rsid w:val="006C2522"/>
    <w:rsid w:val="006D24DC"/>
    <w:rsid w:val="006D649A"/>
    <w:rsid w:val="006E325F"/>
    <w:rsid w:val="006F038C"/>
    <w:rsid w:val="006F0F56"/>
    <w:rsid w:val="006F324C"/>
    <w:rsid w:val="006F3D7A"/>
    <w:rsid w:val="006F752A"/>
    <w:rsid w:val="006F756D"/>
    <w:rsid w:val="00700D7A"/>
    <w:rsid w:val="00705041"/>
    <w:rsid w:val="007122AC"/>
    <w:rsid w:val="007357E3"/>
    <w:rsid w:val="0074576A"/>
    <w:rsid w:val="00755889"/>
    <w:rsid w:val="00755BB8"/>
    <w:rsid w:val="00761DFF"/>
    <w:rsid w:val="00770B5D"/>
    <w:rsid w:val="00773EEA"/>
    <w:rsid w:val="00780D2E"/>
    <w:rsid w:val="00781EF5"/>
    <w:rsid w:val="00785754"/>
    <w:rsid w:val="00790787"/>
    <w:rsid w:val="00795EAD"/>
    <w:rsid w:val="007A5B82"/>
    <w:rsid w:val="007A74A1"/>
    <w:rsid w:val="007B75F9"/>
    <w:rsid w:val="007B7628"/>
    <w:rsid w:val="007C00E2"/>
    <w:rsid w:val="007C205D"/>
    <w:rsid w:val="007C29D7"/>
    <w:rsid w:val="007D5689"/>
    <w:rsid w:val="007E472D"/>
    <w:rsid w:val="007E47CF"/>
    <w:rsid w:val="007F20FD"/>
    <w:rsid w:val="008014D5"/>
    <w:rsid w:val="008134A3"/>
    <w:rsid w:val="00814EC6"/>
    <w:rsid w:val="008204D7"/>
    <w:rsid w:val="00822410"/>
    <w:rsid w:val="00823312"/>
    <w:rsid w:val="00826FE7"/>
    <w:rsid w:val="00841140"/>
    <w:rsid w:val="00845331"/>
    <w:rsid w:val="008567E6"/>
    <w:rsid w:val="00871A30"/>
    <w:rsid w:val="008845DE"/>
    <w:rsid w:val="008862EE"/>
    <w:rsid w:val="00886EFA"/>
    <w:rsid w:val="00891790"/>
    <w:rsid w:val="0089495F"/>
    <w:rsid w:val="008A06E6"/>
    <w:rsid w:val="008A0E4A"/>
    <w:rsid w:val="008A2933"/>
    <w:rsid w:val="008A2E43"/>
    <w:rsid w:val="008A4535"/>
    <w:rsid w:val="008B4EC9"/>
    <w:rsid w:val="008B60BF"/>
    <w:rsid w:val="008C3A21"/>
    <w:rsid w:val="008C47AB"/>
    <w:rsid w:val="008C5802"/>
    <w:rsid w:val="008C5972"/>
    <w:rsid w:val="008D07A6"/>
    <w:rsid w:val="008D0C5D"/>
    <w:rsid w:val="008D6871"/>
    <w:rsid w:val="008E1E01"/>
    <w:rsid w:val="008E212C"/>
    <w:rsid w:val="008E573A"/>
    <w:rsid w:val="008E7086"/>
    <w:rsid w:val="00905471"/>
    <w:rsid w:val="0091404E"/>
    <w:rsid w:val="00914C35"/>
    <w:rsid w:val="009165B2"/>
    <w:rsid w:val="00922755"/>
    <w:rsid w:val="0092618F"/>
    <w:rsid w:val="0093555C"/>
    <w:rsid w:val="00951DCA"/>
    <w:rsid w:val="00952FAF"/>
    <w:rsid w:val="009545DD"/>
    <w:rsid w:val="00960281"/>
    <w:rsid w:val="00966B70"/>
    <w:rsid w:val="00975830"/>
    <w:rsid w:val="00981756"/>
    <w:rsid w:val="009974C6"/>
    <w:rsid w:val="009A42ED"/>
    <w:rsid w:val="009B3B04"/>
    <w:rsid w:val="009C0833"/>
    <w:rsid w:val="009D403E"/>
    <w:rsid w:val="009F0A7B"/>
    <w:rsid w:val="009F4E44"/>
    <w:rsid w:val="009F7A8C"/>
    <w:rsid w:val="00A01A00"/>
    <w:rsid w:val="00A05027"/>
    <w:rsid w:val="00A104FE"/>
    <w:rsid w:val="00A27F8B"/>
    <w:rsid w:val="00A40EE2"/>
    <w:rsid w:val="00A50DF7"/>
    <w:rsid w:val="00A538CE"/>
    <w:rsid w:val="00A62088"/>
    <w:rsid w:val="00A745DE"/>
    <w:rsid w:val="00A9771E"/>
    <w:rsid w:val="00AB1122"/>
    <w:rsid w:val="00AB2647"/>
    <w:rsid w:val="00AB51CF"/>
    <w:rsid w:val="00AB5FBB"/>
    <w:rsid w:val="00AD1C39"/>
    <w:rsid w:val="00AE5739"/>
    <w:rsid w:val="00B01F07"/>
    <w:rsid w:val="00B03569"/>
    <w:rsid w:val="00B036C1"/>
    <w:rsid w:val="00B12B29"/>
    <w:rsid w:val="00B12D56"/>
    <w:rsid w:val="00B20CA8"/>
    <w:rsid w:val="00B322B7"/>
    <w:rsid w:val="00B35985"/>
    <w:rsid w:val="00B376F3"/>
    <w:rsid w:val="00B429A0"/>
    <w:rsid w:val="00B45AF4"/>
    <w:rsid w:val="00B51C96"/>
    <w:rsid w:val="00B55F37"/>
    <w:rsid w:val="00B57A72"/>
    <w:rsid w:val="00B676D8"/>
    <w:rsid w:val="00B700B8"/>
    <w:rsid w:val="00B72064"/>
    <w:rsid w:val="00B72447"/>
    <w:rsid w:val="00B74FD9"/>
    <w:rsid w:val="00B77BA8"/>
    <w:rsid w:val="00B83543"/>
    <w:rsid w:val="00B922C8"/>
    <w:rsid w:val="00BA01BF"/>
    <w:rsid w:val="00BA259D"/>
    <w:rsid w:val="00BA6176"/>
    <w:rsid w:val="00BB21E9"/>
    <w:rsid w:val="00BB5CD6"/>
    <w:rsid w:val="00BB6578"/>
    <w:rsid w:val="00BC352F"/>
    <w:rsid w:val="00BD69B5"/>
    <w:rsid w:val="00BE1349"/>
    <w:rsid w:val="00BE3ABC"/>
    <w:rsid w:val="00C005BB"/>
    <w:rsid w:val="00C0165F"/>
    <w:rsid w:val="00C045E3"/>
    <w:rsid w:val="00C27AC6"/>
    <w:rsid w:val="00C3037A"/>
    <w:rsid w:val="00C336B2"/>
    <w:rsid w:val="00C35DCE"/>
    <w:rsid w:val="00C37C3E"/>
    <w:rsid w:val="00C44443"/>
    <w:rsid w:val="00C54D4C"/>
    <w:rsid w:val="00C70905"/>
    <w:rsid w:val="00C71240"/>
    <w:rsid w:val="00C84725"/>
    <w:rsid w:val="00C969E3"/>
    <w:rsid w:val="00CC29A6"/>
    <w:rsid w:val="00CC4A22"/>
    <w:rsid w:val="00CC5541"/>
    <w:rsid w:val="00CD042F"/>
    <w:rsid w:val="00CD5F5A"/>
    <w:rsid w:val="00CF3BB5"/>
    <w:rsid w:val="00D007CC"/>
    <w:rsid w:val="00D0118B"/>
    <w:rsid w:val="00D30DA1"/>
    <w:rsid w:val="00D347D0"/>
    <w:rsid w:val="00D365A4"/>
    <w:rsid w:val="00D51F9D"/>
    <w:rsid w:val="00D5395A"/>
    <w:rsid w:val="00D623A0"/>
    <w:rsid w:val="00D66555"/>
    <w:rsid w:val="00D67964"/>
    <w:rsid w:val="00D81FDE"/>
    <w:rsid w:val="00D85F79"/>
    <w:rsid w:val="00D86540"/>
    <w:rsid w:val="00D91C73"/>
    <w:rsid w:val="00D96A7B"/>
    <w:rsid w:val="00DA047C"/>
    <w:rsid w:val="00DA1F08"/>
    <w:rsid w:val="00DB2CE3"/>
    <w:rsid w:val="00DB2DCD"/>
    <w:rsid w:val="00DC2BEB"/>
    <w:rsid w:val="00DC3D0D"/>
    <w:rsid w:val="00DD2EF7"/>
    <w:rsid w:val="00DD650B"/>
    <w:rsid w:val="00DD77F5"/>
    <w:rsid w:val="00DE2F81"/>
    <w:rsid w:val="00DF3104"/>
    <w:rsid w:val="00DF65E3"/>
    <w:rsid w:val="00DF7D54"/>
    <w:rsid w:val="00E267D8"/>
    <w:rsid w:val="00E438F4"/>
    <w:rsid w:val="00E55CFE"/>
    <w:rsid w:val="00E55D09"/>
    <w:rsid w:val="00E61D3F"/>
    <w:rsid w:val="00E656E1"/>
    <w:rsid w:val="00E7284C"/>
    <w:rsid w:val="00E97466"/>
    <w:rsid w:val="00EB262E"/>
    <w:rsid w:val="00EB6FFE"/>
    <w:rsid w:val="00EC69F1"/>
    <w:rsid w:val="00EC7CCE"/>
    <w:rsid w:val="00ED0402"/>
    <w:rsid w:val="00ED0459"/>
    <w:rsid w:val="00EE0945"/>
    <w:rsid w:val="00EF04C2"/>
    <w:rsid w:val="00EF1F0C"/>
    <w:rsid w:val="00EF5B15"/>
    <w:rsid w:val="00EF7C05"/>
    <w:rsid w:val="00F01D03"/>
    <w:rsid w:val="00F15FB1"/>
    <w:rsid w:val="00F21F67"/>
    <w:rsid w:val="00F23D75"/>
    <w:rsid w:val="00F24B61"/>
    <w:rsid w:val="00F25A8E"/>
    <w:rsid w:val="00F30D4A"/>
    <w:rsid w:val="00F35511"/>
    <w:rsid w:val="00F37B35"/>
    <w:rsid w:val="00F41A18"/>
    <w:rsid w:val="00F45DD6"/>
    <w:rsid w:val="00F511A3"/>
    <w:rsid w:val="00F57BA0"/>
    <w:rsid w:val="00F65D41"/>
    <w:rsid w:val="00F7018B"/>
    <w:rsid w:val="00F716AC"/>
    <w:rsid w:val="00F73DA9"/>
    <w:rsid w:val="00F74210"/>
    <w:rsid w:val="00F76901"/>
    <w:rsid w:val="00F7728E"/>
    <w:rsid w:val="00F81FC9"/>
    <w:rsid w:val="00F8227D"/>
    <w:rsid w:val="00FB1405"/>
    <w:rsid w:val="00FC627E"/>
    <w:rsid w:val="00FC67A6"/>
    <w:rsid w:val="00FD3E5A"/>
    <w:rsid w:val="00FD564A"/>
    <w:rsid w:val="00FE0D95"/>
    <w:rsid w:val="00FE28D2"/>
    <w:rsid w:val="00FE3933"/>
    <w:rsid w:val="00FF31E0"/>
    <w:rsid w:val="00FF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,"/>
  <w15:docId w15:val="{FAE7FAC1-36B5-4908-BA9F-80D485E2B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721"/>
    <w:rPr>
      <w:rFonts w:ascii="Courier New" w:hAnsi="Courier New" w:cs="Courier New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F511A3"/>
    <w:pPr>
      <w:keepNext/>
      <w:jc w:val="both"/>
      <w:outlineLvl w:val="0"/>
    </w:pPr>
    <w:rPr>
      <w:rFonts w:ascii="Arial" w:hAnsi="Arial" w:cs="Times New Roman"/>
      <w:b/>
      <w:bCs/>
      <w:caps/>
      <w:kern w:val="32"/>
      <w:sz w:val="16"/>
      <w:szCs w:val="32"/>
    </w:rPr>
  </w:style>
  <w:style w:type="paragraph" w:styleId="Ttulo2">
    <w:name w:val="heading 2"/>
    <w:basedOn w:val="Normal"/>
    <w:next w:val="Normal"/>
    <w:link w:val="Ttulo2Car"/>
    <w:uiPriority w:val="9"/>
    <w:qFormat/>
    <w:rsid w:val="00B03569"/>
    <w:pPr>
      <w:keepNext/>
      <w:jc w:val="both"/>
      <w:outlineLvl w:val="1"/>
    </w:pPr>
    <w:rPr>
      <w:rFonts w:ascii="Arial" w:hAnsi="Arial" w:cs="Times New Roman"/>
      <w:b/>
      <w:bCs/>
      <w:iCs/>
      <w:sz w:val="16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2F1721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2F1721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2F1721"/>
  </w:style>
  <w:style w:type="paragraph" w:customStyle="1" w:styleId="BodyText21">
    <w:name w:val="Body Text 21"/>
    <w:basedOn w:val="Normal"/>
    <w:rsid w:val="002F1721"/>
    <w:pPr>
      <w:tabs>
        <w:tab w:val="left" w:pos="-720"/>
      </w:tabs>
      <w:jc w:val="both"/>
    </w:pPr>
    <w:rPr>
      <w:rFonts w:ascii="Arial" w:hAnsi="Arial" w:cs="Arial"/>
      <w:spacing w:val="20"/>
      <w:sz w:val="16"/>
      <w:szCs w:val="16"/>
      <w:lang w:val="es-CO"/>
    </w:rPr>
  </w:style>
  <w:style w:type="paragraph" w:styleId="Sangradetextonormal">
    <w:name w:val="Body Text Indent"/>
    <w:basedOn w:val="Normal"/>
    <w:rsid w:val="002F1721"/>
    <w:pPr>
      <w:jc w:val="both"/>
    </w:pPr>
    <w:rPr>
      <w:b/>
      <w:bCs/>
      <w:sz w:val="16"/>
      <w:szCs w:val="16"/>
    </w:rPr>
  </w:style>
  <w:style w:type="paragraph" w:customStyle="1" w:styleId="Ttulo10">
    <w:name w:val="Título1"/>
    <w:basedOn w:val="Normal"/>
    <w:qFormat/>
    <w:rsid w:val="002F1721"/>
    <w:pPr>
      <w:suppressAutoHyphens/>
      <w:jc w:val="center"/>
    </w:pPr>
    <w:rPr>
      <w:rFonts w:ascii="Arial" w:hAnsi="Arial" w:cs="Arial"/>
      <w:b/>
      <w:bCs/>
      <w:spacing w:val="20"/>
      <w:sz w:val="16"/>
      <w:szCs w:val="16"/>
      <w:lang w:val="es-ES"/>
    </w:rPr>
  </w:style>
  <w:style w:type="paragraph" w:styleId="Textoindependiente">
    <w:name w:val="Body Text"/>
    <w:basedOn w:val="Normal"/>
    <w:rsid w:val="006F752A"/>
    <w:pPr>
      <w:spacing w:after="120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2402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24024"/>
    <w:rPr>
      <w:rFonts w:ascii="Tahoma" w:hAnsi="Tahoma" w:cs="Tahoma"/>
      <w:sz w:val="16"/>
      <w:szCs w:val="16"/>
      <w:lang w:val="es-ES_tradnl" w:eastAsia="es-CO"/>
    </w:rPr>
  </w:style>
  <w:style w:type="paragraph" w:customStyle="1" w:styleId="nfasissutil1">
    <w:name w:val="Énfasis sutil1"/>
    <w:basedOn w:val="Normal"/>
    <w:uiPriority w:val="34"/>
    <w:qFormat/>
    <w:rsid w:val="00224024"/>
    <w:pPr>
      <w:ind w:left="708"/>
    </w:pPr>
  </w:style>
  <w:style w:type="character" w:customStyle="1" w:styleId="PiedepginaCar">
    <w:name w:val="Pie de página Car"/>
    <w:link w:val="Piedepgina"/>
    <w:uiPriority w:val="99"/>
    <w:rsid w:val="00224024"/>
    <w:rPr>
      <w:rFonts w:ascii="Courier New" w:hAnsi="Courier New" w:cs="Courier New"/>
      <w:sz w:val="24"/>
      <w:szCs w:val="24"/>
      <w:lang w:val="es-ES_tradnl" w:eastAsia="es-CO"/>
    </w:rPr>
  </w:style>
  <w:style w:type="paragraph" w:customStyle="1" w:styleId="Cuadrculavistosa-nfasis61">
    <w:name w:val="Cuadrícula vistosa - Énfasis 61"/>
    <w:hidden/>
    <w:uiPriority w:val="71"/>
    <w:rsid w:val="000C1FE4"/>
    <w:rPr>
      <w:rFonts w:ascii="Courier New" w:hAnsi="Courier New" w:cs="Courier New"/>
      <w:sz w:val="24"/>
      <w:szCs w:val="24"/>
      <w:lang w:val="es-ES_tradnl"/>
    </w:rPr>
  </w:style>
  <w:style w:type="character" w:styleId="Refdecomentario">
    <w:name w:val="annotation reference"/>
    <w:semiHidden/>
    <w:unhideWhenUsed/>
    <w:rsid w:val="00256BEB"/>
    <w:rPr>
      <w:sz w:val="18"/>
      <w:szCs w:val="18"/>
    </w:rPr>
  </w:style>
  <w:style w:type="paragraph" w:styleId="Textocomentario">
    <w:name w:val="annotation text"/>
    <w:basedOn w:val="Normal"/>
    <w:link w:val="TextocomentarioCar"/>
    <w:unhideWhenUsed/>
    <w:rsid w:val="00256BEB"/>
  </w:style>
  <w:style w:type="character" w:customStyle="1" w:styleId="TextocomentarioCar">
    <w:name w:val="Texto comentario Car"/>
    <w:link w:val="Textocomentario"/>
    <w:uiPriority w:val="99"/>
    <w:rsid w:val="00256BEB"/>
    <w:rPr>
      <w:rFonts w:ascii="Courier New" w:hAnsi="Courier New" w:cs="Courier New"/>
      <w:sz w:val="24"/>
      <w:szCs w:val="24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6BEB"/>
    <w:rPr>
      <w:b/>
      <w:bCs/>
      <w:sz w:val="20"/>
      <w:szCs w:val="20"/>
    </w:rPr>
  </w:style>
  <w:style w:type="character" w:customStyle="1" w:styleId="AsuntodelcomentarioCar">
    <w:name w:val="Asunto del comentario Car"/>
    <w:link w:val="Asuntodelcomentario"/>
    <w:uiPriority w:val="99"/>
    <w:semiHidden/>
    <w:rsid w:val="00256BEB"/>
    <w:rPr>
      <w:rFonts w:ascii="Courier New" w:hAnsi="Courier New" w:cs="Courier New"/>
      <w:b/>
      <w:bCs/>
      <w:sz w:val="24"/>
      <w:szCs w:val="24"/>
      <w:lang w:eastAsia="es-CO"/>
    </w:rPr>
  </w:style>
  <w:style w:type="paragraph" w:customStyle="1" w:styleId="Sombreadomedio2-nfasis61">
    <w:name w:val="Sombreado medio 2 - Énfasis 61"/>
    <w:hidden/>
    <w:uiPriority w:val="71"/>
    <w:rsid w:val="008204D7"/>
    <w:rPr>
      <w:rFonts w:ascii="Courier New" w:hAnsi="Courier New" w:cs="Courier New"/>
      <w:sz w:val="24"/>
      <w:szCs w:val="24"/>
      <w:lang w:val="es-ES_tradnl"/>
    </w:rPr>
  </w:style>
  <w:style w:type="paragraph" w:customStyle="1" w:styleId="Listaoscura-nfasis51">
    <w:name w:val="Lista oscura - Énfasis 51"/>
    <w:basedOn w:val="Normal"/>
    <w:uiPriority w:val="34"/>
    <w:qFormat/>
    <w:rsid w:val="00F24B61"/>
    <w:pPr>
      <w:ind w:left="708"/>
    </w:pPr>
  </w:style>
  <w:style w:type="character" w:customStyle="1" w:styleId="Ttulo1Car">
    <w:name w:val="Título 1 Car"/>
    <w:link w:val="Ttulo1"/>
    <w:uiPriority w:val="9"/>
    <w:rsid w:val="00F511A3"/>
    <w:rPr>
      <w:rFonts w:ascii="Arial" w:eastAsia="Times New Roman" w:hAnsi="Arial" w:cs="Times New Roman"/>
      <w:b/>
      <w:bCs/>
      <w:caps/>
      <w:kern w:val="32"/>
      <w:sz w:val="16"/>
      <w:szCs w:val="32"/>
      <w:lang w:val="es-ES_tradnl"/>
    </w:rPr>
  </w:style>
  <w:style w:type="character" w:customStyle="1" w:styleId="Ttulo2Car">
    <w:name w:val="Título 2 Car"/>
    <w:link w:val="Ttulo2"/>
    <w:uiPriority w:val="9"/>
    <w:rsid w:val="00B03569"/>
    <w:rPr>
      <w:rFonts w:ascii="Arial" w:eastAsia="Times New Roman" w:hAnsi="Arial" w:cs="Times New Roman"/>
      <w:b/>
      <w:bCs/>
      <w:iCs/>
      <w:sz w:val="16"/>
      <w:szCs w:val="28"/>
      <w:lang w:val="es-ES_tradnl"/>
    </w:rPr>
  </w:style>
  <w:style w:type="paragraph" w:styleId="TDC1">
    <w:name w:val="toc 1"/>
    <w:basedOn w:val="Normal"/>
    <w:next w:val="Normal"/>
    <w:autoRedefine/>
    <w:uiPriority w:val="39"/>
    <w:unhideWhenUsed/>
    <w:rsid w:val="00521DF8"/>
    <w:pPr>
      <w:spacing w:before="240" w:after="120"/>
    </w:pPr>
    <w:rPr>
      <w:rFonts w:ascii="Arial" w:hAnsi="Arial"/>
      <w:b/>
      <w:bCs/>
      <w:sz w:val="16"/>
      <w:szCs w:val="20"/>
    </w:rPr>
  </w:style>
  <w:style w:type="paragraph" w:styleId="TDC2">
    <w:name w:val="toc 2"/>
    <w:basedOn w:val="Normal"/>
    <w:next w:val="Normal"/>
    <w:autoRedefine/>
    <w:uiPriority w:val="39"/>
    <w:unhideWhenUsed/>
    <w:rsid w:val="00521DF8"/>
    <w:pPr>
      <w:ind w:left="240"/>
    </w:pPr>
    <w:rPr>
      <w:rFonts w:ascii="Arial" w:hAnsi="Arial"/>
      <w:iCs/>
      <w:sz w:val="16"/>
      <w:szCs w:val="20"/>
    </w:rPr>
  </w:style>
  <w:style w:type="paragraph" w:styleId="TDC3">
    <w:name w:val="toc 3"/>
    <w:basedOn w:val="Normal"/>
    <w:next w:val="Normal"/>
    <w:autoRedefine/>
    <w:uiPriority w:val="39"/>
    <w:unhideWhenUsed/>
    <w:rsid w:val="00905471"/>
    <w:pPr>
      <w:ind w:left="480"/>
    </w:pPr>
    <w:rPr>
      <w:rFonts w:ascii="Calibri" w:hAnsi="Calibri"/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905471"/>
    <w:pPr>
      <w:ind w:left="720"/>
    </w:pPr>
    <w:rPr>
      <w:rFonts w:ascii="Calibri" w:hAnsi="Calibr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905471"/>
    <w:pPr>
      <w:ind w:left="960"/>
    </w:pPr>
    <w:rPr>
      <w:rFonts w:ascii="Calibri" w:hAnsi="Calibr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905471"/>
    <w:pPr>
      <w:ind w:left="1200"/>
    </w:pPr>
    <w:rPr>
      <w:rFonts w:ascii="Calibri" w:hAnsi="Calibr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905471"/>
    <w:pPr>
      <w:ind w:left="1440"/>
    </w:pPr>
    <w:rPr>
      <w:rFonts w:ascii="Calibri" w:hAnsi="Calibr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905471"/>
    <w:pPr>
      <w:ind w:left="1680"/>
    </w:pPr>
    <w:rPr>
      <w:rFonts w:ascii="Calibri" w:hAnsi="Calibr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905471"/>
    <w:pPr>
      <w:ind w:left="1920"/>
    </w:pPr>
    <w:rPr>
      <w:rFonts w:ascii="Calibri" w:hAnsi="Calibri"/>
      <w:sz w:val="20"/>
      <w:szCs w:val="20"/>
    </w:rPr>
  </w:style>
  <w:style w:type="character" w:styleId="Hipervnculo">
    <w:name w:val="Hyperlink"/>
    <w:uiPriority w:val="99"/>
    <w:unhideWhenUsed/>
    <w:rsid w:val="00905471"/>
    <w:rPr>
      <w:color w:val="0000FF"/>
      <w:u w:val="single"/>
    </w:rPr>
  </w:style>
  <w:style w:type="paragraph" w:customStyle="1" w:styleId="Encabezadodetabladecontenido">
    <w:name w:val="Encabezado de tabla de contenido"/>
    <w:basedOn w:val="Ttulo1"/>
    <w:next w:val="Normal"/>
    <w:uiPriority w:val="39"/>
    <w:semiHidden/>
    <w:unhideWhenUsed/>
    <w:qFormat/>
    <w:rsid w:val="00521DF8"/>
    <w:pPr>
      <w:keepLines/>
      <w:spacing w:before="480" w:line="276" w:lineRule="auto"/>
      <w:jc w:val="left"/>
      <w:outlineLvl w:val="9"/>
    </w:pPr>
    <w:rPr>
      <w:rFonts w:ascii="Cambria" w:hAnsi="Cambria"/>
      <w:caps w:val="0"/>
      <w:color w:val="365F91"/>
      <w:kern w:val="0"/>
      <w:sz w:val="28"/>
      <w:szCs w:val="28"/>
      <w:lang w:val="es-CO"/>
    </w:rPr>
  </w:style>
  <w:style w:type="paragraph" w:customStyle="1" w:styleId="Listaclara-nfasis31">
    <w:name w:val="Lista clara - Énfasis 31"/>
    <w:hidden/>
    <w:uiPriority w:val="71"/>
    <w:rsid w:val="008A06E6"/>
    <w:rPr>
      <w:rFonts w:ascii="Courier New" w:hAnsi="Courier New" w:cs="Courier New"/>
      <w:sz w:val="24"/>
      <w:szCs w:val="24"/>
      <w:lang w:val="es-ES_tradnl"/>
    </w:rPr>
  </w:style>
  <w:style w:type="paragraph" w:customStyle="1" w:styleId="Listamedia2-nfasis21">
    <w:name w:val="Lista media 2 - Énfasis 21"/>
    <w:hidden/>
    <w:uiPriority w:val="71"/>
    <w:rsid w:val="00017E60"/>
    <w:rPr>
      <w:rFonts w:ascii="Courier New" w:hAnsi="Courier New" w:cs="Courier New"/>
      <w:sz w:val="24"/>
      <w:szCs w:val="24"/>
      <w:lang w:val="es-ES_tradnl"/>
    </w:rPr>
  </w:style>
  <w:style w:type="paragraph" w:styleId="Prrafodelista">
    <w:name w:val="List Paragraph"/>
    <w:basedOn w:val="Normal"/>
    <w:uiPriority w:val="34"/>
    <w:qFormat/>
    <w:rsid w:val="00471E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9CA6B-00C0-427B-95B1-FC7027D2E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321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CAPITULO DECIMO: ACTUACIONES ANTE LA</vt:lpstr>
    </vt:vector>
  </TitlesOfParts>
  <Company>Superintendencia Bancaria</Company>
  <LinksUpToDate>false</LinksUpToDate>
  <CharactersWithSpaces>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CAPITULO DECIMO: ACTUACIONES ANTE LA</dc:title>
  <dc:creator>Soporte Técnico</dc:creator>
  <cp:lastModifiedBy>Diana Andrea Pineda Gonzalez</cp:lastModifiedBy>
  <cp:revision>3</cp:revision>
  <cp:lastPrinted>2017-11-01T21:49:00Z</cp:lastPrinted>
  <dcterms:created xsi:type="dcterms:W3CDTF">2017-12-11T15:28:00Z</dcterms:created>
  <dcterms:modified xsi:type="dcterms:W3CDTF">2017-12-11T16:32:00Z</dcterms:modified>
</cp:coreProperties>
</file>