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1F872" w14:textId="77777777" w:rsidR="00C22141" w:rsidRPr="00EA517C" w:rsidRDefault="00C22141" w:rsidP="009D7F50">
      <w:pPr>
        <w:jc w:val="center"/>
        <w:rPr>
          <w:b/>
          <w:sz w:val="16"/>
          <w:szCs w:val="16"/>
          <w:lang w:val="pt-BR"/>
        </w:rPr>
      </w:pPr>
      <w:r w:rsidRPr="00EA517C">
        <w:rPr>
          <w:b/>
          <w:sz w:val="16"/>
          <w:szCs w:val="16"/>
          <w:lang w:val="pt-BR"/>
        </w:rPr>
        <w:t>PARTE II</w:t>
      </w:r>
    </w:p>
    <w:p w14:paraId="60C4D9B2" w14:textId="77777777" w:rsidR="00C22141" w:rsidRPr="00EA517C" w:rsidRDefault="00C22141" w:rsidP="009D7F50">
      <w:pPr>
        <w:jc w:val="center"/>
        <w:rPr>
          <w:b/>
          <w:sz w:val="16"/>
          <w:szCs w:val="16"/>
          <w:lang w:val="pt-BR"/>
        </w:rPr>
      </w:pPr>
      <w:r w:rsidRPr="00EA517C">
        <w:rPr>
          <w:b/>
          <w:sz w:val="16"/>
          <w:szCs w:val="16"/>
          <w:lang w:val="pt-BR"/>
        </w:rPr>
        <w:t>MERCADO INTERMEDIADO</w:t>
      </w:r>
    </w:p>
    <w:p w14:paraId="7AE068EA" w14:textId="77777777" w:rsidR="00C22141" w:rsidRPr="00EA517C" w:rsidRDefault="00C22141" w:rsidP="009D7F50">
      <w:pPr>
        <w:jc w:val="center"/>
        <w:rPr>
          <w:b/>
          <w:sz w:val="16"/>
          <w:szCs w:val="16"/>
          <w:lang w:val="pt-BR"/>
        </w:rPr>
      </w:pPr>
    </w:p>
    <w:p w14:paraId="0E25C9DA" w14:textId="77777777" w:rsidR="00C22141" w:rsidRPr="00EA517C" w:rsidRDefault="00C22141" w:rsidP="009D7F50">
      <w:pPr>
        <w:jc w:val="center"/>
        <w:rPr>
          <w:b/>
          <w:sz w:val="16"/>
          <w:szCs w:val="16"/>
          <w:lang w:val="pt-BR"/>
        </w:rPr>
      </w:pPr>
      <w:r w:rsidRPr="00EA517C">
        <w:rPr>
          <w:b/>
          <w:sz w:val="16"/>
          <w:szCs w:val="16"/>
          <w:lang w:val="pt-BR"/>
        </w:rPr>
        <w:t>TÍTULO III</w:t>
      </w:r>
    </w:p>
    <w:p w14:paraId="5ABD78F3" w14:textId="77777777" w:rsidR="00C22141" w:rsidRPr="009D7F50" w:rsidRDefault="00C22141" w:rsidP="009D7F50">
      <w:pPr>
        <w:jc w:val="center"/>
        <w:rPr>
          <w:b/>
          <w:sz w:val="16"/>
          <w:szCs w:val="16"/>
        </w:rPr>
      </w:pPr>
      <w:r w:rsidRPr="0075232D">
        <w:rPr>
          <w:b/>
          <w:sz w:val="16"/>
          <w:szCs w:val="16"/>
        </w:rPr>
        <w:t>INSTRUCCIONES GENERALES RELA</w:t>
      </w:r>
      <w:r>
        <w:rPr>
          <w:b/>
          <w:sz w:val="16"/>
          <w:szCs w:val="16"/>
        </w:rPr>
        <w:t>TIVAS</w:t>
      </w:r>
      <w:r w:rsidRPr="00FA7FF7">
        <w:rPr>
          <w:b/>
          <w:sz w:val="16"/>
          <w:szCs w:val="16"/>
        </w:rPr>
        <w:t xml:space="preserve"> </w:t>
      </w:r>
      <w:r>
        <w:rPr>
          <w:b/>
          <w:sz w:val="16"/>
          <w:szCs w:val="16"/>
        </w:rPr>
        <w:t xml:space="preserve">A LAS OPERACIONES DE LAS </w:t>
      </w:r>
      <w:r w:rsidRPr="009D7F50">
        <w:rPr>
          <w:b/>
          <w:sz w:val="16"/>
          <w:szCs w:val="16"/>
        </w:rPr>
        <w:t>ENTIDADES ADMINISTRADORAS DE PENSIONES Y CESANTÍAS</w:t>
      </w:r>
    </w:p>
    <w:p w14:paraId="31D5EA6E" w14:textId="77777777" w:rsidR="00C22141" w:rsidRPr="00876F40" w:rsidRDefault="00C22141" w:rsidP="009D7F50">
      <w:pPr>
        <w:jc w:val="center"/>
        <w:rPr>
          <w:rFonts w:cs="Arial"/>
          <w:b/>
          <w:sz w:val="16"/>
          <w:szCs w:val="16"/>
        </w:rPr>
      </w:pPr>
    </w:p>
    <w:p w14:paraId="768F43DE" w14:textId="77777777" w:rsidR="00C22141" w:rsidRDefault="00C22141" w:rsidP="00BC4621">
      <w:pPr>
        <w:jc w:val="center"/>
        <w:rPr>
          <w:b/>
          <w:sz w:val="16"/>
          <w:szCs w:val="16"/>
        </w:rPr>
      </w:pPr>
      <w:r w:rsidRPr="009D7F50">
        <w:rPr>
          <w:b/>
          <w:sz w:val="16"/>
          <w:szCs w:val="16"/>
        </w:rPr>
        <w:t>CAPÍTULO VII: FONDOS DE PENSIONES DE JUBILACIÓN E INVALIDEZ VOLUNTARIOS</w:t>
      </w:r>
    </w:p>
    <w:p w14:paraId="712B878B" w14:textId="77777777" w:rsidR="00C22141" w:rsidRPr="009D7F50" w:rsidRDefault="00C22141" w:rsidP="009D7F50">
      <w:pPr>
        <w:rPr>
          <w:rFonts w:cs="Arial"/>
          <w:b/>
          <w:sz w:val="16"/>
          <w:szCs w:val="16"/>
        </w:rPr>
      </w:pPr>
    </w:p>
    <w:p w14:paraId="2DFBCEEA" w14:textId="77777777" w:rsidR="00C22141" w:rsidRDefault="00C22141" w:rsidP="009D7F50">
      <w:pPr>
        <w:pStyle w:val="Encabezadodetabladecontenido1"/>
        <w:spacing w:before="0"/>
        <w:rPr>
          <w:rFonts w:ascii="Arial" w:hAnsi="Arial" w:cs="Arial"/>
          <w:color w:val="auto"/>
          <w:sz w:val="16"/>
          <w:szCs w:val="16"/>
          <w:lang w:val="es-ES"/>
        </w:rPr>
      </w:pPr>
    </w:p>
    <w:p w14:paraId="303DC4BF" w14:textId="77777777" w:rsidR="00C22141" w:rsidRPr="009D7F50" w:rsidRDefault="00C22141" w:rsidP="009D7F50">
      <w:pPr>
        <w:pStyle w:val="Encabezadodetabladecontenido1"/>
        <w:spacing w:before="0"/>
        <w:rPr>
          <w:rFonts w:ascii="Arial" w:hAnsi="Arial" w:cs="Arial"/>
          <w:color w:val="auto"/>
          <w:sz w:val="16"/>
          <w:szCs w:val="16"/>
        </w:rPr>
      </w:pPr>
      <w:r w:rsidRPr="009D7F50">
        <w:rPr>
          <w:rFonts w:ascii="Arial" w:hAnsi="Arial" w:cs="Arial"/>
          <w:color w:val="auto"/>
          <w:sz w:val="16"/>
          <w:szCs w:val="16"/>
          <w:lang w:val="es-ES"/>
        </w:rPr>
        <w:t>CONTENIDO</w:t>
      </w:r>
    </w:p>
    <w:p w14:paraId="4CB18FC7" w14:textId="77777777" w:rsidR="00EA517C" w:rsidRPr="00B87F93" w:rsidRDefault="00C22141">
      <w:pPr>
        <w:pStyle w:val="TDC1"/>
        <w:tabs>
          <w:tab w:val="right" w:leader="dot" w:pos="8830"/>
        </w:tabs>
        <w:rPr>
          <w:rFonts w:ascii="Calibri" w:hAnsi="Calibri"/>
          <w:b w:val="0"/>
          <w:bCs w:val="0"/>
          <w:noProof/>
          <w:sz w:val="24"/>
          <w:szCs w:val="24"/>
          <w:lang w:eastAsia="ja-JP"/>
        </w:rPr>
      </w:pPr>
      <w:r w:rsidRPr="009D7F50">
        <w:rPr>
          <w:rFonts w:ascii="Calibri" w:hAnsi="Calibri"/>
          <w:sz w:val="20"/>
        </w:rPr>
        <w:fldChar w:fldCharType="begin"/>
      </w:r>
      <w:r w:rsidRPr="009D7F50">
        <w:rPr>
          <w:rFonts w:ascii="Calibri" w:hAnsi="Calibri"/>
          <w:sz w:val="20"/>
        </w:rPr>
        <w:instrText xml:space="preserve"> </w:instrText>
      </w:r>
      <w:r w:rsidR="002F63E3">
        <w:rPr>
          <w:rFonts w:ascii="Calibri" w:hAnsi="Calibri"/>
          <w:sz w:val="20"/>
        </w:rPr>
        <w:instrText>TOC</w:instrText>
      </w:r>
      <w:r w:rsidRPr="009D7F50">
        <w:rPr>
          <w:rFonts w:ascii="Calibri" w:hAnsi="Calibri"/>
          <w:sz w:val="20"/>
        </w:rPr>
        <w:instrText xml:space="preserve"> \o "1-2" \h \z \u </w:instrText>
      </w:r>
      <w:r w:rsidRPr="009D7F50">
        <w:rPr>
          <w:rFonts w:ascii="Calibri" w:hAnsi="Calibri"/>
          <w:sz w:val="20"/>
        </w:rPr>
        <w:fldChar w:fldCharType="separate"/>
      </w:r>
      <w:r w:rsidR="00EA517C" w:rsidRPr="00AE120C">
        <w:rPr>
          <w:noProof/>
          <w:lang w:val="es-ES"/>
        </w:rPr>
        <w:t>1. INVERSIONES ADMISIBLES</w:t>
      </w:r>
    </w:p>
    <w:p w14:paraId="52E5AE91" w14:textId="77777777" w:rsidR="00EA517C" w:rsidRPr="00B87F93" w:rsidRDefault="00EA517C">
      <w:pPr>
        <w:pStyle w:val="TDC2"/>
        <w:tabs>
          <w:tab w:val="right" w:leader="dot" w:pos="8830"/>
        </w:tabs>
        <w:rPr>
          <w:rFonts w:ascii="Calibri" w:hAnsi="Calibri"/>
          <w:iCs w:val="0"/>
          <w:noProof/>
          <w:sz w:val="24"/>
          <w:szCs w:val="24"/>
          <w:lang w:eastAsia="ja-JP"/>
        </w:rPr>
      </w:pPr>
      <w:r w:rsidRPr="00AE120C">
        <w:rPr>
          <w:noProof/>
          <w:lang w:val="es-ES"/>
        </w:rPr>
        <w:t>1.1. Títulos, valores o participaciones de emisores nacionales</w:t>
      </w:r>
    </w:p>
    <w:p w14:paraId="5066D262" w14:textId="77777777" w:rsidR="00EA517C" w:rsidRPr="00B87F93" w:rsidRDefault="00EA517C">
      <w:pPr>
        <w:pStyle w:val="TDC2"/>
        <w:tabs>
          <w:tab w:val="right" w:leader="dot" w:pos="8830"/>
        </w:tabs>
        <w:rPr>
          <w:rFonts w:ascii="Calibri" w:hAnsi="Calibri"/>
          <w:iCs w:val="0"/>
          <w:noProof/>
          <w:sz w:val="24"/>
          <w:szCs w:val="24"/>
          <w:lang w:eastAsia="ja-JP"/>
        </w:rPr>
      </w:pPr>
      <w:r w:rsidRPr="00AE120C">
        <w:rPr>
          <w:noProof/>
          <w:lang w:val="es-ES"/>
        </w:rPr>
        <w:t>1.2.  Títulos, valores o participaciones de emisores del exterior</w:t>
      </w:r>
    </w:p>
    <w:p w14:paraId="13A1CE0C" w14:textId="77777777" w:rsidR="00EA517C" w:rsidRPr="00B87F93" w:rsidRDefault="00EA517C">
      <w:pPr>
        <w:pStyle w:val="TDC2"/>
        <w:tabs>
          <w:tab w:val="right" w:leader="dot" w:pos="8830"/>
        </w:tabs>
        <w:rPr>
          <w:rFonts w:ascii="Calibri" w:hAnsi="Calibri"/>
          <w:iCs w:val="0"/>
          <w:noProof/>
          <w:sz w:val="24"/>
          <w:szCs w:val="24"/>
          <w:lang w:eastAsia="ja-JP"/>
        </w:rPr>
      </w:pPr>
      <w:r w:rsidRPr="00AE120C">
        <w:rPr>
          <w:noProof/>
          <w:lang w:val="es-ES"/>
        </w:rPr>
        <w:t>1.3. Otros activos</w:t>
      </w:r>
    </w:p>
    <w:p w14:paraId="416A7109" w14:textId="77777777" w:rsidR="00EA517C" w:rsidRPr="00B87F93" w:rsidRDefault="00EA517C">
      <w:pPr>
        <w:pStyle w:val="TDC1"/>
        <w:tabs>
          <w:tab w:val="right" w:leader="dot" w:pos="8830"/>
        </w:tabs>
        <w:rPr>
          <w:rFonts w:ascii="Calibri" w:hAnsi="Calibri"/>
          <w:b w:val="0"/>
          <w:bCs w:val="0"/>
          <w:noProof/>
          <w:sz w:val="24"/>
          <w:szCs w:val="24"/>
          <w:lang w:eastAsia="ja-JP"/>
        </w:rPr>
      </w:pPr>
      <w:r w:rsidRPr="00AE120C">
        <w:rPr>
          <w:noProof/>
          <w:lang w:val="es-ES"/>
        </w:rPr>
        <w:t>2. REQUISITOS DE CALIFICACIÓN PARA LAS INVERSIONES ADMISIBLES</w:t>
      </w:r>
    </w:p>
    <w:p w14:paraId="2B7F3578" w14:textId="77777777" w:rsidR="00EA517C" w:rsidRPr="00B87F93" w:rsidRDefault="00EA517C">
      <w:pPr>
        <w:pStyle w:val="TDC1"/>
        <w:tabs>
          <w:tab w:val="right" w:leader="dot" w:pos="8830"/>
        </w:tabs>
        <w:rPr>
          <w:rFonts w:ascii="Calibri" w:hAnsi="Calibri"/>
          <w:b w:val="0"/>
          <w:bCs w:val="0"/>
          <w:noProof/>
          <w:sz w:val="24"/>
          <w:szCs w:val="24"/>
          <w:lang w:eastAsia="ja-JP"/>
        </w:rPr>
      </w:pPr>
      <w:r w:rsidRPr="00AE120C">
        <w:rPr>
          <w:noProof/>
          <w:lang w:val="es-ES"/>
        </w:rPr>
        <w:t>3. FOROS PARA LA REALIZACIÓN DE OPERACIONES EN EL MERCADO</w:t>
      </w:r>
    </w:p>
    <w:p w14:paraId="4A331635" w14:textId="77777777" w:rsidR="00EA517C" w:rsidRPr="00B87F93" w:rsidRDefault="00EA517C">
      <w:pPr>
        <w:pStyle w:val="TDC1"/>
        <w:tabs>
          <w:tab w:val="right" w:leader="dot" w:pos="8830"/>
        </w:tabs>
        <w:rPr>
          <w:rFonts w:ascii="Calibri" w:hAnsi="Calibri"/>
          <w:b w:val="0"/>
          <w:bCs w:val="0"/>
          <w:noProof/>
          <w:sz w:val="24"/>
          <w:szCs w:val="24"/>
          <w:lang w:eastAsia="ja-JP"/>
        </w:rPr>
      </w:pPr>
      <w:r w:rsidRPr="00AE120C">
        <w:rPr>
          <w:noProof/>
          <w:lang w:val="es-ES"/>
        </w:rPr>
        <w:t>4. OPERACIONES CON INSTRUMENTOS FINANCIEROS DERIVADOS</w:t>
      </w:r>
    </w:p>
    <w:p w14:paraId="24E7D263" w14:textId="77777777" w:rsidR="00EA517C" w:rsidRPr="00B87F93" w:rsidRDefault="00EA517C">
      <w:pPr>
        <w:pStyle w:val="TDC1"/>
        <w:tabs>
          <w:tab w:val="right" w:leader="dot" w:pos="8830"/>
        </w:tabs>
        <w:rPr>
          <w:rFonts w:ascii="Calibri" w:hAnsi="Calibri"/>
          <w:b w:val="0"/>
          <w:bCs w:val="0"/>
          <w:noProof/>
          <w:sz w:val="24"/>
          <w:szCs w:val="24"/>
          <w:lang w:eastAsia="ja-JP"/>
        </w:rPr>
      </w:pPr>
      <w:r w:rsidRPr="00AE120C">
        <w:rPr>
          <w:noProof/>
          <w:lang w:val="es-ES"/>
        </w:rPr>
        <w:t>5. LÍMITES, REGLAS Y PROHIBICIÓN APLICABLES EN LA REALIZACIÓN DE OPERACIONES REPO, SIMULTÁNEAS Y DE TRANSFERENCIA TEMPORAL DE VALORES</w:t>
      </w:r>
    </w:p>
    <w:p w14:paraId="6C7EDF5A" w14:textId="77777777" w:rsidR="00EA517C" w:rsidRPr="00B87F93" w:rsidRDefault="00EA517C">
      <w:pPr>
        <w:pStyle w:val="TDC1"/>
        <w:tabs>
          <w:tab w:val="right" w:leader="dot" w:pos="8830"/>
        </w:tabs>
        <w:rPr>
          <w:rFonts w:ascii="Calibri" w:hAnsi="Calibri"/>
          <w:b w:val="0"/>
          <w:bCs w:val="0"/>
          <w:noProof/>
          <w:sz w:val="24"/>
          <w:szCs w:val="24"/>
          <w:lang w:eastAsia="ja-JP"/>
        </w:rPr>
      </w:pPr>
      <w:r w:rsidRPr="00AE120C">
        <w:rPr>
          <w:noProof/>
          <w:lang w:val="es-ES"/>
        </w:rPr>
        <w:t>6. EXCESOS EN LAS INVERSIONES Y EN LOS LÍMITES DE LOS INSTRUMENTOS FINANCIEROS DERIVADOS</w:t>
      </w:r>
    </w:p>
    <w:p w14:paraId="5A4B7329" w14:textId="77777777" w:rsidR="00EA517C" w:rsidRDefault="00EA517C">
      <w:pPr>
        <w:pStyle w:val="TDC1"/>
        <w:tabs>
          <w:tab w:val="right" w:leader="dot" w:pos="8830"/>
        </w:tabs>
        <w:rPr>
          <w:noProof/>
          <w:lang w:val="es-ES"/>
        </w:rPr>
      </w:pPr>
      <w:r w:rsidRPr="00AE120C">
        <w:rPr>
          <w:noProof/>
          <w:lang w:val="es-ES"/>
        </w:rPr>
        <w:t>7.  CUSTODIA</w:t>
      </w:r>
    </w:p>
    <w:p w14:paraId="1B8DC24A" w14:textId="77777777" w:rsidR="000520F6" w:rsidRDefault="000520F6" w:rsidP="00E263BE">
      <w:pPr>
        <w:pStyle w:val="TDC1"/>
        <w:pBdr>
          <w:left w:val="single" w:sz="4" w:space="4" w:color="auto"/>
        </w:pBdr>
        <w:tabs>
          <w:tab w:val="right" w:leader="dot" w:pos="8830"/>
        </w:tabs>
        <w:rPr>
          <w:noProof/>
          <w:lang w:val="es-ES"/>
        </w:rPr>
      </w:pPr>
      <w:r>
        <w:rPr>
          <w:noProof/>
          <w:lang w:val="es-ES"/>
        </w:rPr>
        <w:t>8.</w:t>
      </w:r>
      <w:r w:rsidR="00EE56B2">
        <w:rPr>
          <w:noProof/>
          <w:lang w:val="es-ES"/>
        </w:rPr>
        <w:t>APORTES DE BAJO MONTO EN FONDOS DE PENSIONES DE JUBILACIÓN E INVALIDEZ</w:t>
      </w:r>
    </w:p>
    <w:p w14:paraId="286354EB" w14:textId="77777777" w:rsidR="000520F6" w:rsidRDefault="000520F6" w:rsidP="00E263BE">
      <w:pPr>
        <w:pStyle w:val="TDC2"/>
        <w:pBdr>
          <w:left w:val="single" w:sz="4" w:space="4" w:color="auto"/>
        </w:pBdr>
        <w:tabs>
          <w:tab w:val="right" w:leader="dot" w:pos="8830"/>
        </w:tabs>
        <w:rPr>
          <w:noProof/>
          <w:lang w:val="es-ES"/>
        </w:rPr>
      </w:pPr>
      <w:r>
        <w:rPr>
          <w:noProof/>
          <w:lang w:val="es-ES"/>
        </w:rPr>
        <w:t>8</w:t>
      </w:r>
      <w:r w:rsidRPr="00AE120C">
        <w:rPr>
          <w:noProof/>
          <w:lang w:val="es-ES"/>
        </w:rPr>
        <w:t xml:space="preserve">.1. </w:t>
      </w:r>
      <w:r>
        <w:rPr>
          <w:noProof/>
          <w:lang w:val="es-ES"/>
        </w:rPr>
        <w:t>Carácteristicas</w:t>
      </w:r>
    </w:p>
    <w:p w14:paraId="05BD9284" w14:textId="77777777" w:rsidR="000520F6" w:rsidRDefault="000520F6" w:rsidP="00E263BE">
      <w:pPr>
        <w:pStyle w:val="TDC2"/>
        <w:pBdr>
          <w:left w:val="single" w:sz="4" w:space="4" w:color="auto"/>
        </w:pBdr>
        <w:tabs>
          <w:tab w:val="right" w:leader="dot" w:pos="8830"/>
        </w:tabs>
        <w:rPr>
          <w:noProof/>
          <w:lang w:val="es-ES"/>
        </w:rPr>
      </w:pPr>
      <w:r>
        <w:rPr>
          <w:noProof/>
          <w:lang w:val="es-ES"/>
        </w:rPr>
        <w:t>8</w:t>
      </w:r>
      <w:r w:rsidRPr="00AE120C">
        <w:rPr>
          <w:noProof/>
          <w:lang w:val="es-ES"/>
        </w:rPr>
        <w:t>.</w:t>
      </w:r>
      <w:r>
        <w:rPr>
          <w:noProof/>
          <w:lang w:val="es-ES"/>
        </w:rPr>
        <w:t>2</w:t>
      </w:r>
      <w:r w:rsidRPr="00AE120C">
        <w:rPr>
          <w:noProof/>
          <w:lang w:val="es-ES"/>
        </w:rPr>
        <w:t xml:space="preserve">. </w:t>
      </w:r>
      <w:r>
        <w:rPr>
          <w:noProof/>
          <w:lang w:val="es-ES"/>
        </w:rPr>
        <w:t>Vinculación simplificada</w:t>
      </w:r>
    </w:p>
    <w:p w14:paraId="54AA8EF2" w14:textId="77777777" w:rsidR="000520F6" w:rsidRDefault="000520F6" w:rsidP="00E263BE">
      <w:pPr>
        <w:pStyle w:val="TDC2"/>
        <w:pBdr>
          <w:left w:val="single" w:sz="4" w:space="4" w:color="auto"/>
        </w:pBdr>
        <w:tabs>
          <w:tab w:val="right" w:leader="dot" w:pos="8830"/>
        </w:tabs>
        <w:rPr>
          <w:noProof/>
          <w:lang w:val="es-ES"/>
        </w:rPr>
      </w:pPr>
      <w:r>
        <w:rPr>
          <w:noProof/>
          <w:lang w:val="es-ES"/>
        </w:rPr>
        <w:t>8</w:t>
      </w:r>
      <w:r w:rsidRPr="00AE120C">
        <w:rPr>
          <w:noProof/>
          <w:lang w:val="es-ES"/>
        </w:rPr>
        <w:t>.</w:t>
      </w:r>
      <w:r>
        <w:rPr>
          <w:noProof/>
          <w:lang w:val="es-ES"/>
        </w:rPr>
        <w:t>3</w:t>
      </w:r>
      <w:r w:rsidRPr="00AE120C">
        <w:rPr>
          <w:noProof/>
          <w:lang w:val="es-ES"/>
        </w:rPr>
        <w:t xml:space="preserve">. </w:t>
      </w:r>
      <w:r>
        <w:rPr>
          <w:noProof/>
          <w:lang w:val="es-ES"/>
        </w:rPr>
        <w:t>Información a los inversionistas</w:t>
      </w:r>
    </w:p>
    <w:p w14:paraId="2E3AAE36" w14:textId="77777777" w:rsidR="000520F6" w:rsidRDefault="000520F6" w:rsidP="00E263BE">
      <w:pPr>
        <w:pStyle w:val="TDC2"/>
        <w:pBdr>
          <w:left w:val="single" w:sz="4" w:space="4" w:color="auto"/>
        </w:pBdr>
        <w:tabs>
          <w:tab w:val="right" w:leader="dot" w:pos="8830"/>
        </w:tabs>
        <w:rPr>
          <w:noProof/>
          <w:lang w:val="es-ES"/>
        </w:rPr>
      </w:pPr>
      <w:r>
        <w:rPr>
          <w:noProof/>
          <w:lang w:val="es-ES"/>
        </w:rPr>
        <w:t xml:space="preserve">8.4. </w:t>
      </w:r>
      <w:r w:rsidRPr="000520F6">
        <w:rPr>
          <w:noProof/>
          <w:lang w:val="es-ES"/>
        </w:rPr>
        <w:t>Instrucciones especiales respecto de la administración de los riesgos de lavado de activos y financiación del terrorismo</w:t>
      </w:r>
    </w:p>
    <w:p w14:paraId="1C3A0E5C" w14:textId="77777777" w:rsidR="0034396E" w:rsidRPr="0034396E" w:rsidRDefault="0034396E" w:rsidP="00E263BE">
      <w:pPr>
        <w:pStyle w:val="TDC2"/>
        <w:pBdr>
          <w:left w:val="single" w:sz="4" w:space="4" w:color="auto"/>
        </w:pBdr>
        <w:tabs>
          <w:tab w:val="right" w:leader="dot" w:pos="8830"/>
        </w:tabs>
        <w:rPr>
          <w:noProof/>
          <w:lang w:val="es-ES"/>
        </w:rPr>
      </w:pPr>
      <w:r w:rsidRPr="0034396E">
        <w:rPr>
          <w:noProof/>
          <w:lang w:val="es-ES"/>
        </w:rPr>
        <w:t>8.5. Diligenciamiento completo de la información de conocimiento del cliente</w:t>
      </w:r>
    </w:p>
    <w:p w14:paraId="7A45907F" w14:textId="77777777" w:rsidR="0034396E" w:rsidRPr="0034396E" w:rsidRDefault="0034396E" w:rsidP="0034396E">
      <w:pPr>
        <w:rPr>
          <w:lang w:val="es-ES"/>
        </w:rPr>
      </w:pPr>
    </w:p>
    <w:p w14:paraId="59C5575D" w14:textId="77777777" w:rsidR="0034396E" w:rsidRPr="0034396E" w:rsidRDefault="0034396E" w:rsidP="0034396E">
      <w:pPr>
        <w:rPr>
          <w:lang w:val="es-ES"/>
        </w:rPr>
      </w:pPr>
    </w:p>
    <w:p w14:paraId="02B5751D" w14:textId="77777777" w:rsidR="000520F6" w:rsidRPr="000520F6" w:rsidRDefault="000520F6" w:rsidP="000520F6">
      <w:pPr>
        <w:rPr>
          <w:lang w:val="es-ES"/>
        </w:rPr>
      </w:pPr>
    </w:p>
    <w:p w14:paraId="065A8359" w14:textId="77777777" w:rsidR="000520F6" w:rsidRPr="000520F6" w:rsidRDefault="000520F6" w:rsidP="000520F6">
      <w:pPr>
        <w:rPr>
          <w:lang w:val="es-ES"/>
        </w:rPr>
      </w:pPr>
    </w:p>
    <w:p w14:paraId="596DAE72" w14:textId="77777777" w:rsidR="000520F6" w:rsidRPr="000520F6" w:rsidRDefault="000520F6" w:rsidP="000520F6">
      <w:pPr>
        <w:rPr>
          <w:lang w:val="es-ES"/>
        </w:rPr>
      </w:pPr>
    </w:p>
    <w:p w14:paraId="5FCA3653" w14:textId="77777777" w:rsidR="000520F6" w:rsidRPr="000520F6" w:rsidRDefault="000520F6" w:rsidP="000520F6">
      <w:pPr>
        <w:rPr>
          <w:lang w:val="es-ES"/>
        </w:rPr>
      </w:pPr>
    </w:p>
    <w:p w14:paraId="6B9306C9" w14:textId="77777777" w:rsidR="000520F6" w:rsidRPr="000520F6" w:rsidRDefault="000520F6" w:rsidP="000520F6">
      <w:pPr>
        <w:rPr>
          <w:lang w:val="es-ES"/>
        </w:rPr>
      </w:pPr>
    </w:p>
    <w:p w14:paraId="027837CC" w14:textId="77777777" w:rsidR="00C22141" w:rsidRDefault="00C22141" w:rsidP="00F234A8">
      <w:pPr>
        <w:rPr>
          <w:b/>
          <w:sz w:val="16"/>
          <w:szCs w:val="16"/>
        </w:rPr>
      </w:pPr>
      <w:r w:rsidRPr="009D7F50">
        <w:rPr>
          <w:rFonts w:ascii="Calibri" w:hAnsi="Calibri"/>
          <w:sz w:val="20"/>
        </w:rPr>
        <w:fldChar w:fldCharType="end"/>
      </w:r>
    </w:p>
    <w:p w14:paraId="59013A71" w14:textId="77777777" w:rsidR="00C22141" w:rsidRDefault="00C22141" w:rsidP="009D7F50">
      <w:pPr>
        <w:jc w:val="center"/>
        <w:rPr>
          <w:b/>
          <w:sz w:val="16"/>
          <w:szCs w:val="16"/>
        </w:rPr>
      </w:pPr>
    </w:p>
    <w:p w14:paraId="1F2BD6C6" w14:textId="77777777" w:rsidR="00C22141" w:rsidRDefault="00C22141" w:rsidP="009D7F50">
      <w:pPr>
        <w:jc w:val="center"/>
        <w:rPr>
          <w:b/>
          <w:sz w:val="16"/>
          <w:szCs w:val="16"/>
        </w:rPr>
      </w:pPr>
    </w:p>
    <w:p w14:paraId="6FDB2C9D" w14:textId="77777777" w:rsidR="004A776B" w:rsidRDefault="004A776B" w:rsidP="009D7F50">
      <w:pPr>
        <w:jc w:val="center"/>
        <w:rPr>
          <w:b/>
          <w:sz w:val="16"/>
          <w:szCs w:val="16"/>
        </w:rPr>
        <w:sectPr w:rsidR="004A776B" w:rsidSect="00876F40">
          <w:headerReference w:type="default" r:id="rId11"/>
          <w:footerReference w:type="default" r:id="rId12"/>
          <w:pgSz w:w="12240" w:h="18720" w:code="14"/>
          <w:pgMar w:top="1418" w:right="1701" w:bottom="1418" w:left="1701" w:header="1134" w:footer="1134" w:gutter="0"/>
          <w:paperSrc w:first="15" w:other="15"/>
          <w:pgNumType w:start="1"/>
          <w:cols w:space="720"/>
          <w:docGrid w:linePitch="245"/>
        </w:sectPr>
      </w:pPr>
    </w:p>
    <w:p w14:paraId="464B7633" w14:textId="77777777" w:rsidR="000520F6" w:rsidRDefault="000520F6" w:rsidP="004678E7">
      <w:pPr>
        <w:ind w:right="51"/>
        <w:rPr>
          <w:sz w:val="16"/>
          <w:szCs w:val="16"/>
          <w:lang w:val="es-ES"/>
        </w:rPr>
        <w:sectPr w:rsidR="000520F6" w:rsidSect="0034396E">
          <w:footerReference w:type="default" r:id="rId13"/>
          <w:type w:val="continuous"/>
          <w:pgSz w:w="12240" w:h="18720" w:code="14"/>
          <w:pgMar w:top="1418" w:right="1701" w:bottom="1418" w:left="1701" w:header="1134" w:footer="1134" w:gutter="0"/>
          <w:paperSrc w:first="15" w:other="15"/>
          <w:pgNumType w:start="1"/>
          <w:cols w:space="720"/>
          <w:docGrid w:linePitch="245"/>
        </w:sectPr>
      </w:pPr>
    </w:p>
    <w:p w14:paraId="58026369" w14:textId="77777777" w:rsidR="00C22141" w:rsidRPr="00EA517C" w:rsidRDefault="00C22141" w:rsidP="004678E7">
      <w:pPr>
        <w:ind w:right="51"/>
        <w:rPr>
          <w:sz w:val="16"/>
          <w:szCs w:val="16"/>
          <w:lang w:val="es-ES"/>
        </w:rPr>
      </w:pPr>
    </w:p>
    <w:p w14:paraId="6EAC87A9" w14:textId="77777777" w:rsidR="00C22141" w:rsidRPr="00EA517C" w:rsidRDefault="00C22141" w:rsidP="004678E7">
      <w:pPr>
        <w:ind w:right="51"/>
        <w:rPr>
          <w:sz w:val="16"/>
          <w:szCs w:val="16"/>
          <w:lang w:val="es-ES"/>
        </w:rPr>
      </w:pPr>
      <w:r w:rsidRPr="00EA517C">
        <w:rPr>
          <w:sz w:val="16"/>
          <w:szCs w:val="16"/>
          <w:lang w:val="es-ES"/>
        </w:rPr>
        <w:t xml:space="preserve">5.3. En las operaciones de transferencia temporal de valores, únicamente en calidad de “originador”, cuya cuantía no supere el 30% del activo total del respectivo fondo de conformidad con lo que se establezca dentro de las políticas de inversión </w:t>
      </w:r>
      <w:proofErr w:type="gramStart"/>
      <w:r w:rsidRPr="00EA517C">
        <w:rPr>
          <w:sz w:val="16"/>
          <w:szCs w:val="16"/>
          <w:lang w:val="es-ES"/>
        </w:rPr>
        <w:t>del mismo</w:t>
      </w:r>
      <w:proofErr w:type="gramEnd"/>
      <w:r w:rsidRPr="00EA517C">
        <w:rPr>
          <w:sz w:val="16"/>
          <w:szCs w:val="16"/>
          <w:lang w:val="es-ES"/>
        </w:rPr>
        <w:t xml:space="preserve">. </w:t>
      </w:r>
    </w:p>
    <w:p w14:paraId="6BDD5A66" w14:textId="77777777" w:rsidR="00C22141" w:rsidRPr="00EA517C" w:rsidRDefault="00C22141" w:rsidP="004678E7">
      <w:pPr>
        <w:ind w:right="51"/>
        <w:rPr>
          <w:sz w:val="16"/>
          <w:szCs w:val="16"/>
          <w:lang w:val="es-ES"/>
        </w:rPr>
      </w:pPr>
    </w:p>
    <w:p w14:paraId="25E1EC93" w14:textId="77777777" w:rsidR="00C22141" w:rsidRPr="00EA517C" w:rsidRDefault="00C22141" w:rsidP="004678E7">
      <w:pPr>
        <w:ind w:right="51"/>
        <w:rPr>
          <w:sz w:val="16"/>
          <w:szCs w:val="16"/>
        </w:rPr>
      </w:pPr>
      <w:r w:rsidRPr="00EA517C">
        <w:rPr>
          <w:sz w:val="16"/>
          <w:szCs w:val="16"/>
        </w:rPr>
        <w:t>5.4. Las administradoras de FPV p</w:t>
      </w:r>
      <w:r w:rsidR="00EA517C" w:rsidRPr="00EA517C">
        <w:rPr>
          <w:sz w:val="16"/>
          <w:szCs w:val="16"/>
        </w:rPr>
        <w:t>ueden</w:t>
      </w:r>
      <w:r w:rsidRPr="00EA517C">
        <w:rPr>
          <w:sz w:val="16"/>
          <w:szCs w:val="16"/>
        </w:rPr>
        <w:t xml:space="preserve"> participar en sistemas desarrollados para la realización de operaciones repo, simultáneas y de transferencia temporal de valores entre depositantes, administrados por Depósitos Centralizados de Valores autorizados por la SFC, con los recursos del fondo de pensiones voluntarias.</w:t>
      </w:r>
      <w:r w:rsidRPr="00EA517C">
        <w:rPr>
          <w:b/>
          <w:sz w:val="16"/>
          <w:szCs w:val="16"/>
        </w:rPr>
        <w:t xml:space="preserve"> </w:t>
      </w:r>
    </w:p>
    <w:p w14:paraId="673D7E12" w14:textId="77777777" w:rsidR="00C22141" w:rsidRPr="00EA517C" w:rsidRDefault="00C22141" w:rsidP="004678E7">
      <w:pPr>
        <w:ind w:right="51"/>
        <w:rPr>
          <w:sz w:val="16"/>
          <w:szCs w:val="16"/>
        </w:rPr>
      </w:pPr>
    </w:p>
    <w:p w14:paraId="3D1A5AFF" w14:textId="77777777" w:rsidR="00C22141" w:rsidRPr="00EA517C" w:rsidRDefault="00C22141" w:rsidP="004678E7">
      <w:pPr>
        <w:adjustRightInd w:val="0"/>
        <w:rPr>
          <w:rFonts w:cs="Arial"/>
          <w:b/>
          <w:bCs/>
          <w:color w:val="000000"/>
          <w:sz w:val="16"/>
          <w:szCs w:val="16"/>
          <w:lang w:val="es-ES"/>
        </w:rPr>
      </w:pPr>
      <w:r w:rsidRPr="00EA517C">
        <w:rPr>
          <w:sz w:val="16"/>
          <w:szCs w:val="16"/>
        </w:rPr>
        <w:t xml:space="preserve">5.5. Las administradoras de FPV con los recursos de estos fondos deben abstenerse de realizar operaciones repo, simultáneas y de transferencia temporal de </w:t>
      </w:r>
      <w:proofErr w:type="gramStart"/>
      <w:r w:rsidRPr="00EA517C">
        <w:rPr>
          <w:sz w:val="16"/>
          <w:szCs w:val="16"/>
        </w:rPr>
        <w:t>valores  en</w:t>
      </w:r>
      <w:proofErr w:type="gramEnd"/>
      <w:r w:rsidRPr="00EA517C">
        <w:rPr>
          <w:sz w:val="16"/>
          <w:szCs w:val="16"/>
        </w:rPr>
        <w:t xml:space="preserve"> el mercado mostrador con entidades vinculadas,</w:t>
      </w:r>
      <w:r w:rsidRPr="00EA517C">
        <w:rPr>
          <w:b/>
          <w:sz w:val="16"/>
          <w:szCs w:val="16"/>
        </w:rPr>
        <w:t xml:space="preserve"> </w:t>
      </w:r>
      <w:r w:rsidRPr="00EA517C">
        <w:rPr>
          <w:sz w:val="16"/>
          <w:szCs w:val="16"/>
        </w:rPr>
        <w:t>teniendo en cuenta, para el efecto, el término de vinculado descrito en el art. 2.6.12.1.15 del Decreto 2555 de 2010.</w:t>
      </w:r>
    </w:p>
    <w:p w14:paraId="3721B60A" w14:textId="77777777" w:rsidR="00C22141" w:rsidRPr="00EA517C" w:rsidRDefault="00C22141" w:rsidP="004678E7">
      <w:pPr>
        <w:rPr>
          <w:rFonts w:cs="Arial"/>
          <w:sz w:val="16"/>
          <w:szCs w:val="16"/>
          <w:lang w:val="es-ES"/>
        </w:rPr>
      </w:pPr>
    </w:p>
    <w:p w14:paraId="23516976" w14:textId="77777777" w:rsidR="00C22141" w:rsidRPr="00EA517C" w:rsidRDefault="00C22141" w:rsidP="004678E7">
      <w:pPr>
        <w:rPr>
          <w:rFonts w:cs="Arial"/>
          <w:sz w:val="16"/>
          <w:szCs w:val="16"/>
          <w:lang w:val="es-ES"/>
        </w:rPr>
      </w:pPr>
    </w:p>
    <w:p w14:paraId="0547A6D1" w14:textId="77777777" w:rsidR="00C22141" w:rsidRPr="00EA517C" w:rsidRDefault="00C22141" w:rsidP="00567FEA">
      <w:pPr>
        <w:pStyle w:val="Ttulo1"/>
        <w:rPr>
          <w:lang w:val="es-ES"/>
        </w:rPr>
      </w:pPr>
      <w:bookmarkStart w:id="0" w:name="_Toc267339176"/>
      <w:r w:rsidRPr="00EA517C">
        <w:rPr>
          <w:lang w:val="es-ES"/>
        </w:rPr>
        <w:t>6. EXCESOS EN LAS INVERSIONES Y EN LOS LÍMITES DE LOS INSTRUMENTOS FINANCIEROS DERIVADOS</w:t>
      </w:r>
      <w:bookmarkEnd w:id="0"/>
      <w:r w:rsidRPr="00EA517C">
        <w:rPr>
          <w:lang w:val="es-ES"/>
        </w:rPr>
        <w:t xml:space="preserve">  </w:t>
      </w:r>
    </w:p>
    <w:p w14:paraId="28D75653" w14:textId="77777777" w:rsidR="00C22141" w:rsidRPr="00EA517C" w:rsidRDefault="00C22141" w:rsidP="004678E7">
      <w:pPr>
        <w:numPr>
          <w:ilvl w:val="12"/>
          <w:numId w:val="0"/>
        </w:numPr>
        <w:rPr>
          <w:sz w:val="16"/>
          <w:szCs w:val="16"/>
          <w:lang w:val="es-ES"/>
        </w:rPr>
      </w:pPr>
    </w:p>
    <w:p w14:paraId="6817830B" w14:textId="77777777" w:rsidR="00C22141" w:rsidRPr="00EA517C" w:rsidRDefault="00C22141" w:rsidP="004678E7">
      <w:pPr>
        <w:numPr>
          <w:ilvl w:val="12"/>
          <w:numId w:val="0"/>
        </w:numPr>
        <w:rPr>
          <w:sz w:val="16"/>
          <w:szCs w:val="16"/>
        </w:rPr>
      </w:pPr>
      <w:r w:rsidRPr="00EA517C">
        <w:rPr>
          <w:sz w:val="16"/>
          <w:szCs w:val="16"/>
        </w:rPr>
        <w:t xml:space="preserve">Los excesos en los límites de inversión y/o en los límites de instrumentos financieros derivados que se produzcan como consecuencia de la valorización o desvalorización de las inversiones y/o de los instrumentos financieros derivados que conforman el respectivo fondo, </w:t>
      </w:r>
      <w:r w:rsidRPr="00EA517C">
        <w:rPr>
          <w:bCs/>
          <w:sz w:val="16"/>
          <w:szCs w:val="16"/>
        </w:rPr>
        <w:t>así como los que se generen por disminuciones en el valor del mismo</w:t>
      </w:r>
      <w:r w:rsidRPr="00EA517C">
        <w:rPr>
          <w:b/>
          <w:sz w:val="16"/>
          <w:szCs w:val="16"/>
        </w:rPr>
        <w:t xml:space="preserve"> </w:t>
      </w:r>
      <w:r w:rsidRPr="00EA517C">
        <w:rPr>
          <w:sz w:val="16"/>
          <w:szCs w:val="16"/>
        </w:rPr>
        <w:t xml:space="preserve">y los que se originen como consecuencia de </w:t>
      </w:r>
      <w:r w:rsidRPr="00EA517C">
        <w:rPr>
          <w:sz w:val="16"/>
          <w:szCs w:val="16"/>
          <w:lang w:val="es-ES"/>
        </w:rPr>
        <w:t>las inversiones provenientes del pago de dividendos en acciones</w:t>
      </w:r>
      <w:r w:rsidRPr="00EA517C">
        <w:rPr>
          <w:sz w:val="16"/>
          <w:szCs w:val="16"/>
        </w:rPr>
        <w:t>, p</w:t>
      </w:r>
      <w:r w:rsidR="00EA517C" w:rsidRPr="00EA517C">
        <w:rPr>
          <w:sz w:val="16"/>
          <w:szCs w:val="16"/>
        </w:rPr>
        <w:t>ueden</w:t>
      </w:r>
      <w:r w:rsidRPr="00EA517C">
        <w:rPr>
          <w:sz w:val="16"/>
          <w:szCs w:val="16"/>
        </w:rPr>
        <w:t xml:space="preserve"> ser mantenidos hasta por un período de 2 años, prorrogable previa autorización de la SFC. </w:t>
      </w:r>
    </w:p>
    <w:p w14:paraId="690B357B" w14:textId="77777777" w:rsidR="00C22141" w:rsidRPr="00EA517C" w:rsidRDefault="00C22141" w:rsidP="004678E7">
      <w:pPr>
        <w:numPr>
          <w:ilvl w:val="12"/>
          <w:numId w:val="0"/>
        </w:numPr>
        <w:rPr>
          <w:sz w:val="16"/>
          <w:szCs w:val="16"/>
          <w:lang w:val="es-ES"/>
        </w:rPr>
      </w:pPr>
    </w:p>
    <w:p w14:paraId="6E0F8C84" w14:textId="77777777" w:rsidR="00C22141" w:rsidRPr="00EA517C" w:rsidRDefault="00C22141" w:rsidP="004678E7">
      <w:pPr>
        <w:numPr>
          <w:ilvl w:val="12"/>
          <w:numId w:val="0"/>
        </w:numPr>
        <w:rPr>
          <w:sz w:val="16"/>
          <w:szCs w:val="16"/>
          <w:lang w:val="es-ES"/>
        </w:rPr>
      </w:pPr>
      <w:r w:rsidRPr="00EA517C">
        <w:rPr>
          <w:sz w:val="16"/>
          <w:szCs w:val="16"/>
          <w:lang w:val="es-ES"/>
        </w:rPr>
        <w:t xml:space="preserve">Cuando se presente un hecho no atribuible a la sociedad administradora posterior a la adquisición de una inversión o negociación de instrumentos financieros derivados que torne en inadmisible dicha inversión o instrumento(s) financiero(s), la Sociedad Administradora deberá remitir a la SFC dentro de los 10 días siguientes a la ocurrencia del hecho, un plan de ajuste o de desmonte con los respectivos análisis de riesgo e impacto. </w:t>
      </w:r>
    </w:p>
    <w:p w14:paraId="658EA62D" w14:textId="77777777" w:rsidR="00C22141" w:rsidRPr="00EA517C" w:rsidRDefault="00C22141" w:rsidP="004678E7">
      <w:pPr>
        <w:numPr>
          <w:ilvl w:val="12"/>
          <w:numId w:val="0"/>
        </w:numPr>
        <w:rPr>
          <w:sz w:val="16"/>
          <w:szCs w:val="16"/>
          <w:lang w:val="es-ES"/>
        </w:rPr>
      </w:pPr>
    </w:p>
    <w:p w14:paraId="2C8A00DD" w14:textId="77777777" w:rsidR="00C22141" w:rsidRPr="00EA517C" w:rsidRDefault="00C22141" w:rsidP="004678E7">
      <w:pPr>
        <w:numPr>
          <w:ilvl w:val="12"/>
          <w:numId w:val="0"/>
        </w:numPr>
        <w:rPr>
          <w:sz w:val="16"/>
          <w:szCs w:val="16"/>
          <w:lang w:val="es-ES"/>
        </w:rPr>
      </w:pPr>
      <w:r w:rsidRPr="00EA517C">
        <w:rPr>
          <w:sz w:val="16"/>
          <w:szCs w:val="16"/>
          <w:lang w:val="es-ES"/>
        </w:rPr>
        <w:t>Así mismo, las inversiones, la celebración de operaciones repo, simultáneas y de transferencia temporal de valores y la realización de operaciones con instrumentos financieros derivados que sean efectuadas excediendo los límites de que trata el presente Capítulo, deben ser liquidadas y desmontadas en un plazo no mayor a 3 meses, prorrogables a juicio de la SFC, sin perjuicio de las sanciones a que haya lugar.</w:t>
      </w:r>
    </w:p>
    <w:p w14:paraId="454FE312" w14:textId="77777777" w:rsidR="00C22141" w:rsidRPr="00EA517C" w:rsidRDefault="00C22141" w:rsidP="004678E7">
      <w:pPr>
        <w:ind w:right="51"/>
        <w:rPr>
          <w:b/>
          <w:sz w:val="16"/>
          <w:szCs w:val="16"/>
          <w:lang w:val="es-ES"/>
        </w:rPr>
      </w:pPr>
    </w:p>
    <w:p w14:paraId="24C6F9A4" w14:textId="77777777" w:rsidR="00C22141" w:rsidRPr="00EA517C" w:rsidRDefault="00C22141" w:rsidP="004678E7">
      <w:pPr>
        <w:ind w:right="51"/>
        <w:rPr>
          <w:b/>
          <w:sz w:val="16"/>
          <w:szCs w:val="16"/>
          <w:lang w:val="es-ES"/>
        </w:rPr>
      </w:pPr>
    </w:p>
    <w:p w14:paraId="0063C2BA" w14:textId="77777777" w:rsidR="00C22141" w:rsidRPr="00EA517C" w:rsidRDefault="00C22141" w:rsidP="00567FEA">
      <w:pPr>
        <w:pStyle w:val="Ttulo1"/>
        <w:rPr>
          <w:lang w:val="es-ES"/>
        </w:rPr>
      </w:pPr>
      <w:bookmarkStart w:id="1" w:name="_Toc267339177"/>
      <w:r w:rsidRPr="00EA517C">
        <w:rPr>
          <w:lang w:val="es-ES"/>
        </w:rPr>
        <w:t>7.  CUSTODIA</w:t>
      </w:r>
      <w:bookmarkEnd w:id="1"/>
    </w:p>
    <w:p w14:paraId="0E320B40" w14:textId="77777777" w:rsidR="00C22141" w:rsidRPr="00EA517C" w:rsidRDefault="00C22141" w:rsidP="004678E7">
      <w:pPr>
        <w:numPr>
          <w:ilvl w:val="12"/>
          <w:numId w:val="0"/>
        </w:numPr>
        <w:rPr>
          <w:sz w:val="16"/>
          <w:szCs w:val="16"/>
          <w:lang w:val="es-ES"/>
        </w:rPr>
      </w:pPr>
    </w:p>
    <w:p w14:paraId="30E65A23" w14:textId="77777777" w:rsidR="00C22141" w:rsidRPr="00EA517C" w:rsidRDefault="00C22141" w:rsidP="004678E7">
      <w:pPr>
        <w:numPr>
          <w:ilvl w:val="12"/>
          <w:numId w:val="0"/>
        </w:numPr>
        <w:rPr>
          <w:sz w:val="16"/>
          <w:szCs w:val="16"/>
          <w:lang w:val="es-ES"/>
        </w:rPr>
      </w:pPr>
      <w:r w:rsidRPr="00EA517C">
        <w:rPr>
          <w:sz w:val="16"/>
          <w:szCs w:val="16"/>
          <w:lang w:val="es-ES"/>
        </w:rPr>
        <w:t>La totalidad de los títulos o valores representativos de las inversiones de los fondos de pensiones, deben mantenerse en todo momento en el depósito central de valores - DCV del Banco de la República o en un depósito centralizado de valores debidamente autorizado para funcionar por la SFC.</w:t>
      </w:r>
    </w:p>
    <w:p w14:paraId="101CC84A" w14:textId="77777777" w:rsidR="00C22141" w:rsidRPr="00EA517C" w:rsidRDefault="00C22141" w:rsidP="004678E7">
      <w:pPr>
        <w:numPr>
          <w:ilvl w:val="12"/>
          <w:numId w:val="0"/>
        </w:numPr>
        <w:rPr>
          <w:sz w:val="16"/>
          <w:szCs w:val="16"/>
          <w:lang w:val="es-ES"/>
        </w:rPr>
      </w:pPr>
    </w:p>
    <w:p w14:paraId="3B3C8730" w14:textId="77777777" w:rsidR="00C22141" w:rsidRPr="00EA517C" w:rsidRDefault="00C22141" w:rsidP="004678E7">
      <w:pPr>
        <w:numPr>
          <w:ilvl w:val="12"/>
          <w:numId w:val="0"/>
        </w:numPr>
        <w:rPr>
          <w:sz w:val="16"/>
          <w:szCs w:val="16"/>
          <w:lang w:val="es-ES"/>
        </w:rPr>
      </w:pPr>
      <w:r w:rsidRPr="00EA517C">
        <w:rPr>
          <w:sz w:val="16"/>
          <w:szCs w:val="16"/>
          <w:lang w:val="es-ES"/>
        </w:rPr>
        <w:t xml:space="preserve">Para efectos del depósito se </w:t>
      </w:r>
      <w:r w:rsidR="00EA517C" w:rsidRPr="00EA517C">
        <w:rPr>
          <w:sz w:val="16"/>
          <w:szCs w:val="16"/>
          <w:lang w:val="es-ES"/>
        </w:rPr>
        <w:t>deben tener</w:t>
      </w:r>
      <w:r w:rsidRPr="00EA517C">
        <w:rPr>
          <w:sz w:val="16"/>
          <w:szCs w:val="16"/>
          <w:lang w:val="es-ES"/>
        </w:rPr>
        <w:t xml:space="preserve"> en cuenta los términos establecidos en los reglamentos de operaciones de los citados depósitos centralizados de valores, contados a partir de la fecha de la adquisición o de </w:t>
      </w:r>
      <w:proofErr w:type="gramStart"/>
      <w:r w:rsidRPr="00EA517C">
        <w:rPr>
          <w:sz w:val="16"/>
          <w:szCs w:val="16"/>
          <w:lang w:val="es-ES"/>
        </w:rPr>
        <w:t>la  transferencia</w:t>
      </w:r>
      <w:proofErr w:type="gramEnd"/>
      <w:r w:rsidRPr="00EA517C">
        <w:rPr>
          <w:sz w:val="16"/>
          <w:szCs w:val="16"/>
          <w:lang w:val="es-ES"/>
        </w:rPr>
        <w:t xml:space="preserve"> de propiedad del título o valor.  </w:t>
      </w:r>
    </w:p>
    <w:p w14:paraId="1C1B2125" w14:textId="77777777" w:rsidR="00C22141" w:rsidRPr="00EA517C" w:rsidRDefault="00C22141" w:rsidP="004678E7">
      <w:pPr>
        <w:numPr>
          <w:ilvl w:val="12"/>
          <w:numId w:val="0"/>
        </w:numPr>
        <w:rPr>
          <w:sz w:val="16"/>
          <w:szCs w:val="16"/>
          <w:lang w:val="es-ES"/>
        </w:rPr>
      </w:pPr>
    </w:p>
    <w:p w14:paraId="57D340B6" w14:textId="77777777" w:rsidR="00C22141" w:rsidRPr="00EA517C" w:rsidRDefault="00C22141" w:rsidP="004678E7">
      <w:pPr>
        <w:numPr>
          <w:ilvl w:val="12"/>
          <w:numId w:val="0"/>
        </w:numPr>
        <w:rPr>
          <w:sz w:val="16"/>
          <w:szCs w:val="16"/>
          <w:lang w:val="es-ES"/>
        </w:rPr>
      </w:pPr>
      <w:r w:rsidRPr="00EA517C">
        <w:rPr>
          <w:sz w:val="16"/>
          <w:szCs w:val="16"/>
          <w:lang w:val="es-ES"/>
        </w:rPr>
        <w:t>Las inversiones en títulos de emisores del exterior o nacionales que se adquieran y permanezcan en el extranjero y que por su naturaleza sean susceptibles de ser custodiados, deben mantenerse en su totalidad, en depósito y custodia en bancos extranjeros, instituciones constituidas en el exterior que presten servicios de custodia o en instituciones de depósito y custodia de valores constituidas en el exterior que tengan como giro exclusivo el servicio de custodia, siempre y cuando cumplan las siguientes condiciones:</w:t>
      </w:r>
    </w:p>
    <w:p w14:paraId="5E666FC4" w14:textId="77777777" w:rsidR="00C22141" w:rsidRPr="00EA517C" w:rsidRDefault="00C22141" w:rsidP="004678E7">
      <w:pPr>
        <w:numPr>
          <w:ilvl w:val="12"/>
          <w:numId w:val="0"/>
        </w:numPr>
        <w:rPr>
          <w:sz w:val="16"/>
          <w:szCs w:val="16"/>
          <w:lang w:val="es-ES"/>
        </w:rPr>
      </w:pPr>
    </w:p>
    <w:p w14:paraId="1ADA9064" w14:textId="77777777" w:rsidR="00C22141" w:rsidRPr="00EA517C" w:rsidRDefault="00C22141" w:rsidP="00567FEA">
      <w:pPr>
        <w:rPr>
          <w:sz w:val="16"/>
          <w:szCs w:val="16"/>
          <w:lang w:val="es-ES"/>
        </w:rPr>
      </w:pPr>
      <w:r w:rsidRPr="00EA517C">
        <w:rPr>
          <w:sz w:val="16"/>
          <w:szCs w:val="16"/>
          <w:lang w:val="es-ES"/>
        </w:rPr>
        <w:t>7.1. Tener una experiencia mínima de 5 años en servicios de custodia.</w:t>
      </w:r>
    </w:p>
    <w:p w14:paraId="4DE20C2B" w14:textId="77777777" w:rsidR="00C22141" w:rsidRPr="00EA517C" w:rsidRDefault="00C22141" w:rsidP="004678E7">
      <w:pPr>
        <w:ind w:left="142"/>
        <w:rPr>
          <w:sz w:val="16"/>
          <w:szCs w:val="16"/>
          <w:lang w:val="es-ES"/>
        </w:rPr>
      </w:pPr>
      <w:r w:rsidRPr="00EA517C">
        <w:rPr>
          <w:sz w:val="16"/>
          <w:szCs w:val="16"/>
          <w:lang w:val="es-ES"/>
        </w:rPr>
        <w:t xml:space="preserve"> </w:t>
      </w:r>
    </w:p>
    <w:p w14:paraId="73F99E2B" w14:textId="77777777" w:rsidR="00C22141" w:rsidRPr="00EA517C" w:rsidRDefault="00C22141" w:rsidP="00567FEA">
      <w:pPr>
        <w:rPr>
          <w:sz w:val="16"/>
          <w:szCs w:val="16"/>
          <w:lang w:val="es-ES"/>
        </w:rPr>
      </w:pPr>
      <w:r w:rsidRPr="00EA517C">
        <w:rPr>
          <w:sz w:val="16"/>
          <w:szCs w:val="16"/>
          <w:lang w:val="es-ES"/>
        </w:rPr>
        <w:t xml:space="preserve">7.2. Tratándose de bancos extranjeros o instituciones constituidas en el exterior que presten servicios de </w:t>
      </w:r>
      <w:proofErr w:type="gramStart"/>
      <w:r w:rsidRPr="00EA517C">
        <w:rPr>
          <w:sz w:val="16"/>
          <w:szCs w:val="16"/>
          <w:lang w:val="es-ES"/>
        </w:rPr>
        <w:t>custodia,  éstos</w:t>
      </w:r>
      <w:proofErr w:type="gramEnd"/>
      <w:r w:rsidRPr="00EA517C">
        <w:rPr>
          <w:sz w:val="16"/>
          <w:szCs w:val="16"/>
          <w:lang w:val="es-ES"/>
        </w:rPr>
        <w:t xml:space="preserve"> deben estar calificados.  </w:t>
      </w:r>
    </w:p>
    <w:p w14:paraId="4A35BB93" w14:textId="77777777" w:rsidR="00C22141" w:rsidRPr="00EA517C" w:rsidRDefault="00C22141" w:rsidP="004678E7">
      <w:pPr>
        <w:rPr>
          <w:sz w:val="16"/>
          <w:szCs w:val="16"/>
          <w:lang w:val="es-ES"/>
        </w:rPr>
      </w:pPr>
    </w:p>
    <w:p w14:paraId="0A69DC3C" w14:textId="77777777" w:rsidR="00C22141" w:rsidRPr="00EA517C" w:rsidRDefault="00C22141" w:rsidP="00567FEA">
      <w:pPr>
        <w:rPr>
          <w:sz w:val="16"/>
          <w:szCs w:val="16"/>
          <w:lang w:val="es-ES"/>
        </w:rPr>
      </w:pPr>
      <w:r w:rsidRPr="00EA517C">
        <w:rPr>
          <w:sz w:val="16"/>
          <w:szCs w:val="16"/>
          <w:lang w:val="es-ES"/>
        </w:rPr>
        <w:t>7.3. La entidad de custodia se encuentre regulada y supervisada en el Estado en el cual se encuentre constituida.</w:t>
      </w:r>
    </w:p>
    <w:p w14:paraId="1A329781" w14:textId="77777777" w:rsidR="00C22141" w:rsidRPr="00EA517C" w:rsidRDefault="00C22141" w:rsidP="004678E7">
      <w:pPr>
        <w:ind w:left="142"/>
        <w:rPr>
          <w:sz w:val="16"/>
          <w:szCs w:val="16"/>
          <w:lang w:val="es-ES"/>
        </w:rPr>
      </w:pPr>
    </w:p>
    <w:p w14:paraId="21EB0210" w14:textId="77777777" w:rsidR="00C22141" w:rsidRPr="00EA517C" w:rsidRDefault="00C22141" w:rsidP="00567FEA">
      <w:pPr>
        <w:rPr>
          <w:sz w:val="16"/>
          <w:szCs w:val="16"/>
          <w:lang w:val="es-ES"/>
        </w:rPr>
      </w:pPr>
      <w:r w:rsidRPr="00EA517C">
        <w:rPr>
          <w:sz w:val="16"/>
          <w:szCs w:val="16"/>
          <w:lang w:val="es-ES"/>
        </w:rPr>
        <w:t>7.4. En los contratos de custodia se haya establecido:</w:t>
      </w:r>
    </w:p>
    <w:p w14:paraId="4FBADD41" w14:textId="77777777" w:rsidR="00C22141" w:rsidRPr="00EA517C" w:rsidRDefault="00C22141" w:rsidP="004678E7">
      <w:pPr>
        <w:ind w:left="142"/>
        <w:rPr>
          <w:sz w:val="16"/>
          <w:szCs w:val="16"/>
          <w:lang w:val="es-ES"/>
        </w:rPr>
      </w:pPr>
    </w:p>
    <w:p w14:paraId="4EC6DE5B" w14:textId="77777777" w:rsidR="00C22141" w:rsidRPr="00EA517C" w:rsidRDefault="00C22141" w:rsidP="00567FEA">
      <w:pPr>
        <w:rPr>
          <w:sz w:val="16"/>
          <w:szCs w:val="16"/>
          <w:lang w:val="es-ES"/>
        </w:rPr>
      </w:pPr>
      <w:r w:rsidRPr="00EA517C">
        <w:rPr>
          <w:sz w:val="16"/>
          <w:szCs w:val="16"/>
          <w:lang w:val="es-ES"/>
        </w:rPr>
        <w:t xml:space="preserve">7.4.1. La obligación de poner a disposición de la sociedad administradora, en la forma y periodicidad que la SFC lo solicite, las posiciones mantenidas en las cuentas de custodia de cada uno de los fondos y los movimientos de </w:t>
      </w:r>
      <w:proofErr w:type="gramStart"/>
      <w:r w:rsidRPr="00EA517C">
        <w:rPr>
          <w:sz w:val="16"/>
          <w:szCs w:val="16"/>
          <w:lang w:val="es-ES"/>
        </w:rPr>
        <w:t>las mismas</w:t>
      </w:r>
      <w:proofErr w:type="gramEnd"/>
      <w:r w:rsidRPr="00EA517C">
        <w:rPr>
          <w:sz w:val="16"/>
          <w:szCs w:val="16"/>
          <w:lang w:val="es-ES"/>
        </w:rPr>
        <w:t xml:space="preserve">. </w:t>
      </w:r>
    </w:p>
    <w:p w14:paraId="3E4D176F" w14:textId="77777777" w:rsidR="00C22141" w:rsidRPr="00EA517C" w:rsidRDefault="00C22141" w:rsidP="004678E7">
      <w:pPr>
        <w:ind w:left="426"/>
        <w:rPr>
          <w:sz w:val="16"/>
          <w:szCs w:val="16"/>
          <w:lang w:val="es-ES"/>
        </w:rPr>
      </w:pPr>
    </w:p>
    <w:p w14:paraId="2E88D704" w14:textId="77777777" w:rsidR="00C22141" w:rsidRPr="00EA517C" w:rsidRDefault="00C22141" w:rsidP="00567FEA">
      <w:pPr>
        <w:rPr>
          <w:sz w:val="16"/>
          <w:szCs w:val="16"/>
          <w:lang w:val="es-ES"/>
        </w:rPr>
      </w:pPr>
      <w:r w:rsidRPr="00EA517C">
        <w:rPr>
          <w:sz w:val="16"/>
          <w:szCs w:val="16"/>
          <w:lang w:val="es-ES"/>
        </w:rPr>
        <w:t xml:space="preserve">7.4.2. Que el custodio no puede prestar los activos del fondo ni usar los mismos para liquidar deudas que tenga con la administradora. </w:t>
      </w:r>
    </w:p>
    <w:p w14:paraId="52AD7830" w14:textId="77777777" w:rsidR="00C22141" w:rsidRPr="00EA517C" w:rsidRDefault="00C22141" w:rsidP="004678E7">
      <w:pPr>
        <w:rPr>
          <w:sz w:val="16"/>
          <w:szCs w:val="16"/>
          <w:lang w:val="es-ES"/>
        </w:rPr>
      </w:pPr>
    </w:p>
    <w:p w14:paraId="63E8AB11" w14:textId="77777777" w:rsidR="00C22141" w:rsidRPr="00EA517C" w:rsidRDefault="00C22141" w:rsidP="00567FEA">
      <w:pPr>
        <w:rPr>
          <w:sz w:val="16"/>
          <w:szCs w:val="16"/>
          <w:lang w:val="es-ES"/>
        </w:rPr>
      </w:pPr>
      <w:r w:rsidRPr="00EA517C">
        <w:rPr>
          <w:sz w:val="16"/>
          <w:szCs w:val="16"/>
          <w:lang w:val="es-ES"/>
        </w:rPr>
        <w:t xml:space="preserve">Para el efecto, la sociedad administradora deberá mantener a disposición de la SFC una copia del respectivo contrato y de sus modificaciones, con traducción oficial al español, si fuere del caso. Adicionalmente, la sociedad administradora deberá remitir a la SFC, cuando ésta lo requiera, la información enviada por el custodio en cumplimiento de su obligación contractual, sin perjuicio de que la Sociedad Administradora sea responsable ante la SFC de la exactitud y veracidad de dicha información. </w:t>
      </w:r>
    </w:p>
    <w:p w14:paraId="6FF79F03" w14:textId="77777777" w:rsidR="00C22141" w:rsidRPr="00EA517C" w:rsidRDefault="00C22141" w:rsidP="004678E7">
      <w:pPr>
        <w:ind w:left="426"/>
        <w:rPr>
          <w:sz w:val="16"/>
          <w:szCs w:val="16"/>
          <w:lang w:val="es-ES"/>
        </w:rPr>
      </w:pPr>
    </w:p>
    <w:p w14:paraId="099C2F41" w14:textId="77777777" w:rsidR="00C22141" w:rsidRDefault="00C22141" w:rsidP="002E7B60">
      <w:pPr>
        <w:tabs>
          <w:tab w:val="left" w:pos="3450"/>
        </w:tabs>
        <w:rPr>
          <w:sz w:val="16"/>
          <w:szCs w:val="16"/>
          <w:lang w:val="es-ES"/>
        </w:rPr>
      </w:pPr>
      <w:r w:rsidRPr="00EA517C">
        <w:rPr>
          <w:sz w:val="16"/>
          <w:szCs w:val="16"/>
          <w:lang w:val="es-ES"/>
        </w:rPr>
        <w:t>También p</w:t>
      </w:r>
      <w:r w:rsidR="00EA517C" w:rsidRPr="00EA517C">
        <w:rPr>
          <w:sz w:val="16"/>
          <w:szCs w:val="16"/>
          <w:lang w:val="es-ES"/>
        </w:rPr>
        <w:t xml:space="preserve">ueden </w:t>
      </w:r>
      <w:r w:rsidRPr="00EA517C">
        <w:rPr>
          <w:sz w:val="16"/>
          <w:szCs w:val="16"/>
          <w:lang w:val="es-ES"/>
        </w:rPr>
        <w:t>efectuar la custodia de las inversiones en títulos o valores emitidos por entidades del exterior o de emisores nacionales que</w:t>
      </w:r>
      <w:r w:rsidRPr="0075232D">
        <w:rPr>
          <w:sz w:val="16"/>
          <w:szCs w:val="16"/>
          <w:lang w:val="es-ES"/>
        </w:rPr>
        <w:t xml:space="preserve"> se adquieran en el extranjero los depósitos centralizados de valores locales debidamente autorizados por la </w:t>
      </w:r>
      <w:r>
        <w:rPr>
          <w:sz w:val="16"/>
          <w:szCs w:val="16"/>
          <w:lang w:val="es-ES"/>
        </w:rPr>
        <w:t>SFC</w:t>
      </w:r>
      <w:r w:rsidRPr="0075232D">
        <w:rPr>
          <w:sz w:val="16"/>
          <w:szCs w:val="16"/>
          <w:lang w:val="es-ES"/>
        </w:rPr>
        <w:t xml:space="preserve"> que estén interconectados o integrados con entidades homólogas del exterior.</w:t>
      </w:r>
      <w:r w:rsidRPr="0075232D" w:rsidDel="002E7B60">
        <w:rPr>
          <w:sz w:val="16"/>
          <w:szCs w:val="16"/>
          <w:lang w:val="es-ES"/>
        </w:rPr>
        <w:t xml:space="preserve"> </w:t>
      </w:r>
    </w:p>
    <w:p w14:paraId="47CD7926" w14:textId="77777777" w:rsidR="000520F6" w:rsidRDefault="000520F6" w:rsidP="002E7B60">
      <w:pPr>
        <w:tabs>
          <w:tab w:val="left" w:pos="3450"/>
        </w:tabs>
      </w:pPr>
    </w:p>
    <w:p w14:paraId="30AD8AE9" w14:textId="77777777" w:rsidR="000520F6" w:rsidRPr="00EA517C" w:rsidRDefault="000520F6" w:rsidP="00E263BE">
      <w:pPr>
        <w:pStyle w:val="Ttulo1"/>
        <w:pBdr>
          <w:left w:val="single" w:sz="4" w:space="1" w:color="auto"/>
        </w:pBdr>
        <w:rPr>
          <w:lang w:val="es-ES"/>
        </w:rPr>
      </w:pPr>
      <w:r>
        <w:rPr>
          <w:lang w:val="es-ES"/>
        </w:rPr>
        <w:t>8</w:t>
      </w:r>
      <w:r w:rsidR="00F958B5">
        <w:rPr>
          <w:lang w:val="es-ES"/>
        </w:rPr>
        <w:t xml:space="preserve">. </w:t>
      </w:r>
      <w:r w:rsidR="00F958B5">
        <w:rPr>
          <w:noProof/>
          <w:lang w:val="es-ES"/>
        </w:rPr>
        <w:t>APORTES DE BAJO MONTO EN FONDOS DE PENSIONES DE JUBILACIÓN E INVALIDEZ</w:t>
      </w:r>
    </w:p>
    <w:p w14:paraId="0CB6D9E6" w14:textId="77777777" w:rsidR="000520F6" w:rsidRDefault="000520F6" w:rsidP="00E263BE">
      <w:pPr>
        <w:pBdr>
          <w:left w:val="single" w:sz="4" w:space="1" w:color="auto"/>
        </w:pBdr>
        <w:tabs>
          <w:tab w:val="left" w:pos="3450"/>
        </w:tabs>
      </w:pPr>
    </w:p>
    <w:p w14:paraId="5DD20A72" w14:textId="77777777" w:rsidR="000520F6" w:rsidRPr="00B527C6" w:rsidRDefault="000520F6" w:rsidP="00E263BE">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 xml:space="preserve">.1 Características </w:t>
      </w:r>
    </w:p>
    <w:p w14:paraId="5DE7929A" w14:textId="77777777" w:rsidR="000520F6" w:rsidRPr="00B527C6" w:rsidRDefault="000520F6" w:rsidP="00E263BE">
      <w:pPr>
        <w:pBdr>
          <w:left w:val="single" w:sz="4" w:space="1" w:color="auto"/>
        </w:pBdr>
        <w:rPr>
          <w:rFonts w:cs="Arial"/>
          <w:b/>
          <w:spacing w:val="-3"/>
          <w:sz w:val="16"/>
          <w:szCs w:val="16"/>
        </w:rPr>
      </w:pPr>
    </w:p>
    <w:p w14:paraId="17EFF9F6" w14:textId="77777777" w:rsidR="000520F6" w:rsidRPr="00B527C6" w:rsidRDefault="000520F6" w:rsidP="00E263BE">
      <w:pPr>
        <w:pBdr>
          <w:left w:val="single" w:sz="4" w:space="1" w:color="auto"/>
        </w:pBdr>
        <w:rPr>
          <w:rFonts w:cs="Arial"/>
          <w:b/>
          <w:spacing w:val="-3"/>
          <w:sz w:val="16"/>
          <w:szCs w:val="16"/>
        </w:rPr>
      </w:pPr>
      <w:r w:rsidRPr="00B527C6">
        <w:rPr>
          <w:rFonts w:cs="Arial"/>
          <w:b/>
          <w:spacing w:val="-3"/>
          <w:sz w:val="16"/>
          <w:szCs w:val="16"/>
        </w:rPr>
        <w:t>Se entiende por</w:t>
      </w:r>
      <w:r>
        <w:rPr>
          <w:rFonts w:cs="Arial"/>
          <w:b/>
          <w:spacing w:val="-3"/>
          <w:sz w:val="16"/>
          <w:szCs w:val="16"/>
        </w:rPr>
        <w:t xml:space="preserve"> aportes de bajo monto en FPV aquellos</w:t>
      </w:r>
      <w:r w:rsidRPr="00B527C6">
        <w:rPr>
          <w:rFonts w:cs="Arial"/>
          <w:b/>
          <w:spacing w:val="-3"/>
          <w:sz w:val="16"/>
          <w:szCs w:val="16"/>
        </w:rPr>
        <w:t xml:space="preserve"> que cumplan con las siguientes condiciones:</w:t>
      </w:r>
    </w:p>
    <w:p w14:paraId="6C5507F0" w14:textId="77777777" w:rsidR="000520F6" w:rsidRPr="00B527C6" w:rsidRDefault="000520F6" w:rsidP="00E263BE">
      <w:pPr>
        <w:pBdr>
          <w:left w:val="single" w:sz="4" w:space="1" w:color="auto"/>
        </w:pBdr>
        <w:rPr>
          <w:rFonts w:cs="Arial"/>
          <w:b/>
          <w:spacing w:val="-3"/>
          <w:sz w:val="16"/>
          <w:szCs w:val="16"/>
        </w:rPr>
      </w:pPr>
    </w:p>
    <w:p w14:paraId="151E7D86" w14:textId="6C149693" w:rsidR="00BC4621" w:rsidRDefault="000520F6" w:rsidP="000B5D73">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 xml:space="preserve">.1.1. </w:t>
      </w:r>
      <w:r w:rsidR="00ED0781">
        <w:rPr>
          <w:rFonts w:cs="Arial"/>
          <w:b/>
          <w:spacing w:val="-3"/>
          <w:sz w:val="16"/>
          <w:szCs w:val="16"/>
        </w:rPr>
        <w:t>L</w:t>
      </w:r>
      <w:r w:rsidR="00ED0781" w:rsidRPr="00B527C6">
        <w:rPr>
          <w:rFonts w:cs="Arial"/>
          <w:b/>
          <w:spacing w:val="-3"/>
          <w:sz w:val="16"/>
          <w:szCs w:val="16"/>
        </w:rPr>
        <w:t>os</w:t>
      </w:r>
      <w:r w:rsidR="00ED0781">
        <w:rPr>
          <w:rFonts w:cs="Arial"/>
          <w:b/>
          <w:spacing w:val="-3"/>
          <w:sz w:val="16"/>
          <w:szCs w:val="16"/>
        </w:rPr>
        <w:t xml:space="preserve"> </w:t>
      </w:r>
      <w:r>
        <w:rPr>
          <w:rFonts w:cs="Arial"/>
          <w:b/>
          <w:spacing w:val="-3"/>
          <w:sz w:val="16"/>
          <w:szCs w:val="16"/>
        </w:rPr>
        <w:t>partícipes</w:t>
      </w:r>
      <w:r w:rsidRPr="00B527C6">
        <w:rPr>
          <w:rFonts w:cs="Arial"/>
          <w:b/>
          <w:spacing w:val="-3"/>
          <w:sz w:val="16"/>
          <w:szCs w:val="16"/>
        </w:rPr>
        <w:t xml:space="preserve"> </w:t>
      </w:r>
      <w:r>
        <w:rPr>
          <w:rFonts w:cs="Arial"/>
          <w:b/>
          <w:spacing w:val="-3"/>
          <w:sz w:val="16"/>
          <w:szCs w:val="16"/>
        </w:rPr>
        <w:t>que las realizan</w:t>
      </w:r>
      <w:r w:rsidR="00D25DD4">
        <w:rPr>
          <w:rFonts w:cs="Arial"/>
          <w:b/>
          <w:spacing w:val="-3"/>
          <w:sz w:val="16"/>
          <w:szCs w:val="16"/>
        </w:rPr>
        <w:t>:</w:t>
      </w:r>
      <w:r>
        <w:rPr>
          <w:rFonts w:cs="Arial"/>
          <w:b/>
          <w:spacing w:val="-3"/>
          <w:sz w:val="16"/>
          <w:szCs w:val="16"/>
        </w:rPr>
        <w:t xml:space="preserve"> </w:t>
      </w:r>
      <w:r w:rsidR="00D25DD4">
        <w:rPr>
          <w:rFonts w:cs="Arial"/>
          <w:b/>
          <w:spacing w:val="-3"/>
          <w:sz w:val="16"/>
          <w:szCs w:val="16"/>
        </w:rPr>
        <w:t>(i) </w:t>
      </w:r>
      <w:r w:rsidRPr="00B527C6">
        <w:rPr>
          <w:rFonts w:cs="Arial"/>
          <w:b/>
          <w:spacing w:val="-3"/>
          <w:sz w:val="16"/>
          <w:szCs w:val="16"/>
        </w:rPr>
        <w:t>sean personas naturales</w:t>
      </w:r>
      <w:r w:rsidR="00D25DD4">
        <w:rPr>
          <w:rFonts w:cs="Arial"/>
          <w:b/>
          <w:spacing w:val="-3"/>
          <w:sz w:val="16"/>
          <w:szCs w:val="16"/>
        </w:rPr>
        <w:t>; (ii</w:t>
      </w:r>
      <w:r w:rsidR="00D25DD4" w:rsidRPr="002032FD">
        <w:rPr>
          <w:rFonts w:cs="Arial"/>
          <w:b/>
          <w:spacing w:val="-3"/>
          <w:sz w:val="16"/>
          <w:szCs w:val="16"/>
        </w:rPr>
        <w:t>) </w:t>
      </w:r>
      <w:r w:rsidRPr="002032FD">
        <w:rPr>
          <w:rFonts w:cs="Arial"/>
          <w:b/>
          <w:spacing w:val="-3"/>
          <w:sz w:val="16"/>
          <w:szCs w:val="16"/>
        </w:rPr>
        <w:t xml:space="preserve">tengan la calidad de beneficiarios de las operaciones de aportes o retiros en los FPV, y </w:t>
      </w:r>
      <w:r w:rsidR="00D25DD4" w:rsidRPr="002032FD">
        <w:rPr>
          <w:rFonts w:cs="Arial"/>
          <w:b/>
          <w:spacing w:val="-3"/>
          <w:sz w:val="16"/>
          <w:szCs w:val="16"/>
        </w:rPr>
        <w:t>(iii) </w:t>
      </w:r>
      <w:r w:rsidRPr="002032FD">
        <w:rPr>
          <w:rFonts w:cs="Arial"/>
          <w:b/>
          <w:spacing w:val="-3"/>
          <w:sz w:val="16"/>
          <w:szCs w:val="16"/>
        </w:rPr>
        <w:t>no sean consideradas como pers</w:t>
      </w:r>
      <w:r w:rsidRPr="00B51ADF">
        <w:rPr>
          <w:rFonts w:cs="Arial"/>
          <w:b/>
          <w:spacing w:val="-3"/>
          <w:sz w:val="16"/>
          <w:szCs w:val="16"/>
        </w:rPr>
        <w:t xml:space="preserve">onas </w:t>
      </w:r>
      <w:r>
        <w:rPr>
          <w:rFonts w:cs="Arial"/>
          <w:b/>
          <w:spacing w:val="-3"/>
          <w:sz w:val="16"/>
          <w:szCs w:val="16"/>
        </w:rPr>
        <w:t>expuestas</w:t>
      </w:r>
      <w:r w:rsidR="00D25DD4">
        <w:rPr>
          <w:rFonts w:cs="Arial"/>
          <w:b/>
          <w:spacing w:val="-3"/>
          <w:sz w:val="16"/>
          <w:szCs w:val="16"/>
        </w:rPr>
        <w:t xml:space="preserve"> políticamente</w:t>
      </w:r>
      <w:r>
        <w:rPr>
          <w:rFonts w:cs="Arial"/>
          <w:b/>
          <w:spacing w:val="-3"/>
          <w:sz w:val="16"/>
          <w:szCs w:val="16"/>
        </w:rPr>
        <w:t>.</w:t>
      </w:r>
    </w:p>
    <w:p w14:paraId="4DC2308E" w14:textId="77777777" w:rsidR="00BC4621" w:rsidRDefault="00BC4621">
      <w:pPr>
        <w:pBdr>
          <w:left w:val="single" w:sz="4" w:space="1" w:color="auto"/>
        </w:pBdr>
        <w:rPr>
          <w:rFonts w:cs="Arial"/>
          <w:b/>
          <w:spacing w:val="-3"/>
          <w:sz w:val="16"/>
          <w:szCs w:val="16"/>
        </w:rPr>
        <w:sectPr w:rsidR="00BC4621" w:rsidSect="000520F6">
          <w:headerReference w:type="default" r:id="rId14"/>
          <w:footerReference w:type="default" r:id="rId15"/>
          <w:pgSz w:w="12240" w:h="18720" w:code="14"/>
          <w:pgMar w:top="1418" w:right="1701" w:bottom="1418" w:left="1701" w:header="1134" w:footer="1134" w:gutter="0"/>
          <w:paperSrc w:first="15" w:other="15"/>
          <w:cols w:space="720"/>
          <w:docGrid w:linePitch="245"/>
        </w:sectPr>
      </w:pPr>
    </w:p>
    <w:p w14:paraId="2DCD9E3D" w14:textId="2C0B726C" w:rsidR="00F626FA" w:rsidRPr="000F5CAA" w:rsidRDefault="000520F6" w:rsidP="000F5CAA">
      <w:pPr>
        <w:pBdr>
          <w:left w:val="single" w:sz="4" w:space="1" w:color="auto"/>
        </w:pBdr>
        <w:jc w:val="left"/>
        <w:rPr>
          <w:rFonts w:ascii="Times New Roman" w:eastAsia="Times New Roman" w:hAnsi="Times New Roman"/>
          <w:sz w:val="24"/>
          <w:szCs w:val="24"/>
          <w:lang w:val="es-CO" w:eastAsia="es-ES_tradnl"/>
        </w:rPr>
      </w:pPr>
      <w:r>
        <w:rPr>
          <w:rFonts w:cs="Arial"/>
          <w:b/>
          <w:spacing w:val="-3"/>
          <w:sz w:val="16"/>
          <w:szCs w:val="16"/>
        </w:rPr>
        <w:lastRenderedPageBreak/>
        <w:t>8</w:t>
      </w:r>
      <w:r w:rsidRPr="00B527C6">
        <w:rPr>
          <w:rFonts w:cs="Arial"/>
          <w:b/>
          <w:spacing w:val="-3"/>
          <w:sz w:val="16"/>
          <w:szCs w:val="16"/>
        </w:rPr>
        <w:t xml:space="preserve">.1.2. </w:t>
      </w:r>
      <w:r w:rsidR="00F626FA" w:rsidRPr="000F5CAA">
        <w:rPr>
          <w:rFonts w:eastAsia="Times New Roman" w:cs="Arial"/>
          <w:b/>
          <w:bCs/>
          <w:color w:val="000000" w:themeColor="text1"/>
          <w:sz w:val="16"/>
          <w:szCs w:val="16"/>
          <w:shd w:val="clear" w:color="auto" w:fill="FFFFFF"/>
          <w:lang w:val="es-ES" w:eastAsia="es-ES_tradnl"/>
        </w:rPr>
        <w:t xml:space="preserve">Los recursos para la realización de aportes de bajo monto en FPV provienen de productos de titularidad del partícipe. Para efectos del subnumeral 8 del presente Capítulo, “producto” tiene el significado asignado al término “producto” previsto en el </w:t>
      </w:r>
      <w:proofErr w:type="spellStart"/>
      <w:r w:rsidR="00F626FA" w:rsidRPr="000F5CAA">
        <w:rPr>
          <w:rFonts w:eastAsia="Times New Roman" w:cs="Arial"/>
          <w:b/>
          <w:bCs/>
          <w:color w:val="000000" w:themeColor="text1"/>
          <w:sz w:val="16"/>
          <w:szCs w:val="16"/>
          <w:shd w:val="clear" w:color="auto" w:fill="FFFFFF"/>
          <w:lang w:val="es-ES" w:eastAsia="es-ES_tradnl"/>
        </w:rPr>
        <w:t>sub</w:t>
      </w:r>
      <w:r w:rsidR="00D31BF8">
        <w:rPr>
          <w:rFonts w:eastAsia="Times New Roman" w:cs="Arial"/>
          <w:b/>
          <w:bCs/>
          <w:color w:val="000000" w:themeColor="text1"/>
          <w:sz w:val="16"/>
          <w:szCs w:val="16"/>
          <w:shd w:val="clear" w:color="auto" w:fill="FFFFFF"/>
          <w:lang w:val="es-ES" w:eastAsia="es-ES_tradnl"/>
        </w:rPr>
        <w:t>n</w:t>
      </w:r>
      <w:r w:rsidR="00F626FA" w:rsidRPr="000F5CAA">
        <w:rPr>
          <w:rFonts w:eastAsia="Times New Roman" w:cs="Arial"/>
          <w:b/>
          <w:bCs/>
          <w:color w:val="000000" w:themeColor="text1"/>
          <w:sz w:val="16"/>
          <w:szCs w:val="16"/>
          <w:shd w:val="clear" w:color="auto" w:fill="FFFFFF"/>
          <w:lang w:val="es-ES" w:eastAsia="es-ES_tradnl"/>
        </w:rPr>
        <w:t>umeral</w:t>
      </w:r>
      <w:proofErr w:type="spellEnd"/>
      <w:r w:rsidR="00F626FA" w:rsidRPr="000F5CAA">
        <w:rPr>
          <w:rFonts w:eastAsia="Times New Roman" w:cs="Arial"/>
          <w:b/>
          <w:bCs/>
          <w:color w:val="000000" w:themeColor="text1"/>
          <w:sz w:val="16"/>
          <w:szCs w:val="16"/>
          <w:shd w:val="clear" w:color="auto" w:fill="FFFFFF"/>
          <w:lang w:val="es-ES" w:eastAsia="es-ES_tradnl"/>
        </w:rPr>
        <w:t xml:space="preserve"> 1.2</w:t>
      </w:r>
      <w:r w:rsidR="00FC65CC">
        <w:rPr>
          <w:rFonts w:eastAsia="Times New Roman" w:cs="Arial"/>
          <w:b/>
          <w:bCs/>
          <w:color w:val="000000" w:themeColor="text1"/>
          <w:sz w:val="16"/>
          <w:szCs w:val="16"/>
          <w:shd w:val="clear" w:color="auto" w:fill="FFFFFF"/>
          <w:lang w:val="es-ES" w:eastAsia="es-ES_tradnl"/>
        </w:rPr>
        <w:t>2</w:t>
      </w:r>
      <w:r w:rsidR="00F626FA" w:rsidRPr="000F5CAA">
        <w:rPr>
          <w:rFonts w:eastAsia="Times New Roman" w:cs="Arial"/>
          <w:b/>
          <w:bCs/>
          <w:color w:val="000000" w:themeColor="text1"/>
          <w:sz w:val="16"/>
          <w:szCs w:val="16"/>
          <w:shd w:val="clear" w:color="auto" w:fill="FFFFFF"/>
          <w:lang w:val="es-ES" w:eastAsia="es-ES_tradnl"/>
        </w:rPr>
        <w:t xml:space="preserve"> del</w:t>
      </w:r>
      <w:r w:rsidR="00D31BF8" w:rsidRPr="000F5CAA">
        <w:rPr>
          <w:rFonts w:eastAsia="Times New Roman" w:cs="Arial"/>
          <w:b/>
          <w:bCs/>
          <w:color w:val="000000" w:themeColor="text1"/>
          <w:sz w:val="16"/>
          <w:szCs w:val="16"/>
          <w:shd w:val="clear" w:color="auto" w:fill="FFFFFF"/>
          <w:lang w:val="es-ES" w:eastAsia="es-ES_tradnl"/>
        </w:rPr>
        <w:t xml:space="preserve"> </w:t>
      </w:r>
      <w:r w:rsidR="00F626FA" w:rsidRPr="009A0EB8">
        <w:rPr>
          <w:rFonts w:cs="Arial"/>
          <w:b/>
          <w:spacing w:val="-3"/>
          <w:sz w:val="16"/>
          <w:szCs w:val="16"/>
        </w:rPr>
        <w:t>Capítulo IV del Título IV de la Parte 1 de la CBJ</w:t>
      </w:r>
      <w:r w:rsidR="00F626FA">
        <w:rPr>
          <w:rFonts w:cs="Arial"/>
          <w:b/>
          <w:spacing w:val="-3"/>
          <w:sz w:val="16"/>
          <w:szCs w:val="16"/>
        </w:rPr>
        <w:t>.</w:t>
      </w:r>
    </w:p>
    <w:p w14:paraId="443C5E28" w14:textId="77777777" w:rsidR="00F626FA" w:rsidRDefault="00F626FA" w:rsidP="000520F6">
      <w:pPr>
        <w:pBdr>
          <w:left w:val="single" w:sz="4" w:space="1" w:color="auto"/>
        </w:pBdr>
        <w:rPr>
          <w:rFonts w:cs="Arial"/>
          <w:b/>
          <w:spacing w:val="-3"/>
          <w:sz w:val="16"/>
          <w:szCs w:val="16"/>
        </w:rPr>
      </w:pPr>
    </w:p>
    <w:p w14:paraId="5AF4EFC2" w14:textId="77777777" w:rsidR="000520F6" w:rsidRDefault="00F626FA" w:rsidP="000520F6">
      <w:pPr>
        <w:pBdr>
          <w:left w:val="single" w:sz="4" w:space="1" w:color="auto"/>
        </w:pBdr>
        <w:rPr>
          <w:rFonts w:cs="Arial"/>
          <w:b/>
          <w:spacing w:val="-3"/>
          <w:sz w:val="16"/>
          <w:szCs w:val="16"/>
        </w:rPr>
      </w:pPr>
      <w:r>
        <w:rPr>
          <w:rFonts w:cs="Arial"/>
          <w:b/>
          <w:spacing w:val="-3"/>
          <w:sz w:val="16"/>
          <w:szCs w:val="16"/>
        </w:rPr>
        <w:t>8.1.3</w:t>
      </w:r>
      <w:r w:rsidRPr="00B527C6">
        <w:rPr>
          <w:rFonts w:cs="Arial"/>
          <w:b/>
          <w:spacing w:val="-3"/>
          <w:sz w:val="16"/>
          <w:szCs w:val="16"/>
        </w:rPr>
        <w:t xml:space="preserve">. </w:t>
      </w:r>
      <w:r w:rsidR="000520F6">
        <w:rPr>
          <w:rFonts w:cs="Arial"/>
          <w:b/>
          <w:spacing w:val="-3"/>
          <w:sz w:val="16"/>
          <w:szCs w:val="16"/>
        </w:rPr>
        <w:t xml:space="preserve">Los </w:t>
      </w:r>
      <w:r w:rsidR="00E97A38">
        <w:rPr>
          <w:rFonts w:cs="Arial"/>
          <w:b/>
          <w:spacing w:val="-3"/>
          <w:sz w:val="16"/>
          <w:szCs w:val="16"/>
        </w:rPr>
        <w:t xml:space="preserve">montos </w:t>
      </w:r>
      <w:r w:rsidR="000520F6">
        <w:rPr>
          <w:rFonts w:cs="Arial"/>
          <w:b/>
          <w:spacing w:val="-3"/>
          <w:sz w:val="16"/>
          <w:szCs w:val="16"/>
        </w:rPr>
        <w:t xml:space="preserve">de las operaciones de aportes o retiros </w:t>
      </w:r>
      <w:r w:rsidR="00E97A38">
        <w:rPr>
          <w:rFonts w:cs="Arial"/>
          <w:b/>
          <w:spacing w:val="-3"/>
          <w:sz w:val="16"/>
          <w:szCs w:val="16"/>
        </w:rPr>
        <w:t xml:space="preserve">del participe </w:t>
      </w:r>
      <w:r w:rsidR="000520F6">
        <w:rPr>
          <w:rFonts w:cs="Arial"/>
          <w:b/>
          <w:spacing w:val="-3"/>
          <w:sz w:val="16"/>
          <w:szCs w:val="16"/>
        </w:rPr>
        <w:t xml:space="preserve">en los FPV administrados por la misma sociedad administradora </w:t>
      </w:r>
      <w:r w:rsidR="000520F6" w:rsidRPr="00B51ADF">
        <w:rPr>
          <w:rFonts w:cs="Arial"/>
          <w:b/>
          <w:spacing w:val="-3"/>
          <w:sz w:val="16"/>
          <w:szCs w:val="16"/>
        </w:rPr>
        <w:t>no supere</w:t>
      </w:r>
      <w:r w:rsidR="00E97A38">
        <w:rPr>
          <w:rFonts w:cs="Arial"/>
          <w:b/>
          <w:spacing w:val="-3"/>
          <w:sz w:val="16"/>
          <w:szCs w:val="16"/>
        </w:rPr>
        <w:t>n</w:t>
      </w:r>
      <w:r w:rsidR="000520F6" w:rsidRPr="00B51ADF">
        <w:rPr>
          <w:rFonts w:cs="Arial"/>
          <w:b/>
          <w:spacing w:val="-3"/>
          <w:sz w:val="16"/>
          <w:szCs w:val="16"/>
        </w:rPr>
        <w:t xml:space="preserve"> en el mes calendario </w:t>
      </w:r>
      <w:r w:rsidR="000520F6" w:rsidRPr="00B527C6">
        <w:rPr>
          <w:rFonts w:cs="Arial"/>
          <w:b/>
          <w:spacing w:val="-3"/>
          <w:sz w:val="16"/>
          <w:szCs w:val="16"/>
        </w:rPr>
        <w:t>sesenta y seis mil Unidades de Valor Real (66.000 UVR)</w:t>
      </w:r>
      <w:r w:rsidR="009B5C71">
        <w:rPr>
          <w:rFonts w:cs="Arial"/>
          <w:b/>
          <w:spacing w:val="-3"/>
          <w:sz w:val="16"/>
          <w:szCs w:val="16"/>
        </w:rPr>
        <w:t xml:space="preserve"> vigentes al 31 de diciembre del año inmediatamente anterior</w:t>
      </w:r>
      <w:r w:rsidR="000520F6" w:rsidRPr="00B51ADF">
        <w:rPr>
          <w:rFonts w:cs="Arial"/>
          <w:b/>
          <w:spacing w:val="-3"/>
          <w:sz w:val="16"/>
          <w:szCs w:val="16"/>
        </w:rPr>
        <w:t>.</w:t>
      </w:r>
    </w:p>
    <w:p w14:paraId="019ECD68" w14:textId="77777777" w:rsidR="000520F6" w:rsidRPr="00B527C6" w:rsidRDefault="000520F6" w:rsidP="000520F6">
      <w:pPr>
        <w:pBdr>
          <w:left w:val="single" w:sz="4" w:space="1" w:color="auto"/>
        </w:pBdr>
        <w:rPr>
          <w:rFonts w:cs="Arial"/>
          <w:b/>
          <w:spacing w:val="-3"/>
          <w:sz w:val="16"/>
          <w:szCs w:val="16"/>
        </w:rPr>
      </w:pPr>
    </w:p>
    <w:p w14:paraId="443ABFC9" w14:textId="57CE910B" w:rsidR="000520F6" w:rsidRDefault="000520F6" w:rsidP="000520F6">
      <w:pPr>
        <w:pBdr>
          <w:left w:val="single" w:sz="4" w:space="1" w:color="auto"/>
        </w:pBdr>
        <w:rPr>
          <w:rFonts w:cs="Arial"/>
          <w:b/>
          <w:spacing w:val="-3"/>
          <w:sz w:val="16"/>
          <w:szCs w:val="16"/>
        </w:rPr>
      </w:pPr>
      <w:r>
        <w:rPr>
          <w:rFonts w:cs="Arial"/>
          <w:b/>
          <w:spacing w:val="-3"/>
          <w:sz w:val="16"/>
          <w:szCs w:val="16"/>
        </w:rPr>
        <w:t>8.1.</w:t>
      </w:r>
      <w:r w:rsidR="00F626FA">
        <w:rPr>
          <w:rFonts w:cs="Arial"/>
          <w:b/>
          <w:spacing w:val="-3"/>
          <w:sz w:val="16"/>
          <w:szCs w:val="16"/>
        </w:rPr>
        <w:t>4</w:t>
      </w:r>
      <w:r w:rsidRPr="00B527C6">
        <w:rPr>
          <w:rFonts w:cs="Arial"/>
          <w:b/>
          <w:spacing w:val="-3"/>
          <w:sz w:val="16"/>
          <w:szCs w:val="16"/>
        </w:rPr>
        <w:t xml:space="preserve">. </w:t>
      </w:r>
      <w:r w:rsidR="00F626FA">
        <w:rPr>
          <w:rFonts w:cs="Arial"/>
          <w:b/>
          <w:spacing w:val="-3"/>
          <w:sz w:val="16"/>
          <w:szCs w:val="16"/>
        </w:rPr>
        <w:t>E</w:t>
      </w:r>
      <w:r w:rsidR="00F626FA" w:rsidRPr="00B527C6">
        <w:rPr>
          <w:rFonts w:cs="Arial"/>
          <w:b/>
          <w:spacing w:val="-3"/>
          <w:sz w:val="16"/>
          <w:szCs w:val="16"/>
        </w:rPr>
        <w:t xml:space="preserve">l </w:t>
      </w:r>
      <w:r>
        <w:rPr>
          <w:rFonts w:cs="Arial"/>
          <w:b/>
          <w:spacing w:val="-3"/>
          <w:sz w:val="16"/>
          <w:szCs w:val="16"/>
        </w:rPr>
        <w:t>monto total de las participaciones d</w:t>
      </w:r>
      <w:r w:rsidRPr="00B527C6">
        <w:rPr>
          <w:rFonts w:cs="Arial"/>
          <w:b/>
          <w:spacing w:val="-3"/>
          <w:sz w:val="16"/>
          <w:szCs w:val="16"/>
        </w:rPr>
        <w:t xml:space="preserve">el </w:t>
      </w:r>
      <w:r w:rsidR="0034396E">
        <w:rPr>
          <w:rFonts w:cs="Arial"/>
          <w:b/>
          <w:spacing w:val="-3"/>
          <w:sz w:val="16"/>
          <w:szCs w:val="16"/>
        </w:rPr>
        <w:t xml:space="preserve">partícipe en </w:t>
      </w:r>
      <w:r>
        <w:rPr>
          <w:rFonts w:cs="Arial"/>
          <w:b/>
          <w:spacing w:val="-3"/>
          <w:sz w:val="16"/>
          <w:szCs w:val="16"/>
        </w:rPr>
        <w:t xml:space="preserve">los FPV administrados por la misma sociedad administradora, no exceda </w:t>
      </w:r>
      <w:r w:rsidR="002032FD">
        <w:rPr>
          <w:rFonts w:cs="Arial"/>
          <w:b/>
          <w:spacing w:val="-3"/>
          <w:sz w:val="16"/>
          <w:szCs w:val="16"/>
        </w:rPr>
        <w:t xml:space="preserve">en el mes calendario </w:t>
      </w:r>
      <w:r w:rsidRPr="00B527C6">
        <w:rPr>
          <w:rFonts w:cs="Arial"/>
          <w:b/>
          <w:spacing w:val="-3"/>
          <w:sz w:val="16"/>
          <w:szCs w:val="16"/>
        </w:rPr>
        <w:t>sesenta y seis mil Unidades de Valor Real (66.000 UVR)</w:t>
      </w:r>
      <w:r w:rsidR="009B5C71">
        <w:rPr>
          <w:rFonts w:cs="Arial"/>
          <w:b/>
          <w:spacing w:val="-3"/>
          <w:sz w:val="16"/>
          <w:szCs w:val="16"/>
        </w:rPr>
        <w:t xml:space="preserve"> vigentes al 31 de diciembre del año inmediatamente anterior</w:t>
      </w:r>
      <w:r>
        <w:rPr>
          <w:rFonts w:cs="Arial"/>
          <w:b/>
          <w:spacing w:val="-3"/>
          <w:sz w:val="16"/>
          <w:szCs w:val="16"/>
        </w:rPr>
        <w:t>.</w:t>
      </w:r>
    </w:p>
    <w:p w14:paraId="1CDC53EB" w14:textId="77777777" w:rsidR="00E97A38" w:rsidRDefault="00E97A38" w:rsidP="000520F6">
      <w:pPr>
        <w:pBdr>
          <w:left w:val="single" w:sz="4" w:space="1" w:color="auto"/>
        </w:pBdr>
        <w:rPr>
          <w:rFonts w:cs="Arial"/>
          <w:b/>
          <w:spacing w:val="-3"/>
          <w:sz w:val="16"/>
          <w:szCs w:val="16"/>
        </w:rPr>
      </w:pPr>
    </w:p>
    <w:p w14:paraId="4B8C31C4" w14:textId="395C6A56" w:rsidR="00E97A38" w:rsidRDefault="00E97A38" w:rsidP="000520F6">
      <w:pPr>
        <w:pBdr>
          <w:left w:val="single" w:sz="4" w:space="1" w:color="auto"/>
        </w:pBdr>
        <w:rPr>
          <w:rFonts w:cs="Arial"/>
          <w:b/>
          <w:spacing w:val="-3"/>
          <w:sz w:val="16"/>
          <w:szCs w:val="16"/>
        </w:rPr>
      </w:pPr>
      <w:r>
        <w:rPr>
          <w:rFonts w:cs="Arial"/>
          <w:b/>
          <w:spacing w:val="-3"/>
          <w:sz w:val="16"/>
          <w:szCs w:val="16"/>
        </w:rPr>
        <w:t>8.1.</w:t>
      </w:r>
      <w:r w:rsidR="00F626FA">
        <w:rPr>
          <w:rFonts w:cs="Arial"/>
          <w:b/>
          <w:spacing w:val="-3"/>
          <w:sz w:val="16"/>
          <w:szCs w:val="16"/>
        </w:rPr>
        <w:t>5</w:t>
      </w:r>
      <w:r>
        <w:rPr>
          <w:rFonts w:cs="Arial"/>
          <w:b/>
          <w:spacing w:val="-3"/>
          <w:sz w:val="16"/>
          <w:szCs w:val="16"/>
        </w:rPr>
        <w:t xml:space="preserve">. </w:t>
      </w:r>
      <w:r w:rsidR="00F626FA">
        <w:rPr>
          <w:rFonts w:cs="Arial"/>
          <w:b/>
          <w:spacing w:val="-3"/>
          <w:sz w:val="16"/>
          <w:szCs w:val="16"/>
        </w:rPr>
        <w:t xml:space="preserve">Los </w:t>
      </w:r>
      <w:r>
        <w:rPr>
          <w:rFonts w:cs="Arial"/>
          <w:b/>
          <w:spacing w:val="-3"/>
          <w:sz w:val="16"/>
          <w:szCs w:val="16"/>
        </w:rPr>
        <w:t>aportes no sean destinados a planes institucionales.</w:t>
      </w:r>
    </w:p>
    <w:p w14:paraId="5C5E0C69" w14:textId="77777777" w:rsidR="000520F6" w:rsidRDefault="000520F6" w:rsidP="000520F6">
      <w:pPr>
        <w:pBdr>
          <w:left w:val="single" w:sz="4" w:space="1" w:color="auto"/>
        </w:pBdr>
        <w:rPr>
          <w:rFonts w:cs="Arial"/>
          <w:b/>
          <w:spacing w:val="-3"/>
          <w:sz w:val="16"/>
          <w:szCs w:val="16"/>
        </w:rPr>
      </w:pPr>
    </w:p>
    <w:p w14:paraId="1F0EFAAD"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.2. Vinculación simplificada</w:t>
      </w:r>
    </w:p>
    <w:p w14:paraId="1CB39338" w14:textId="77777777" w:rsidR="000520F6" w:rsidRPr="00B527C6" w:rsidRDefault="000520F6" w:rsidP="000520F6">
      <w:pPr>
        <w:pBdr>
          <w:left w:val="single" w:sz="4" w:space="1" w:color="auto"/>
        </w:pBdr>
        <w:rPr>
          <w:rFonts w:cs="Arial"/>
          <w:b/>
          <w:spacing w:val="-3"/>
          <w:sz w:val="16"/>
          <w:szCs w:val="16"/>
        </w:rPr>
      </w:pPr>
    </w:p>
    <w:p w14:paraId="3023930D" w14:textId="3DC3E37A" w:rsidR="000520F6" w:rsidRPr="009978FE" w:rsidRDefault="000520F6" w:rsidP="000520F6">
      <w:pPr>
        <w:pBdr>
          <w:left w:val="single" w:sz="4" w:space="1" w:color="auto"/>
        </w:pBdr>
        <w:rPr>
          <w:rFonts w:cs="Arial"/>
          <w:b/>
          <w:spacing w:val="-3"/>
          <w:sz w:val="16"/>
          <w:szCs w:val="16"/>
        </w:rPr>
      </w:pPr>
      <w:r w:rsidRPr="009978FE">
        <w:rPr>
          <w:rFonts w:cs="Arial"/>
          <w:b/>
          <w:spacing w:val="-3"/>
          <w:sz w:val="16"/>
          <w:szCs w:val="16"/>
        </w:rPr>
        <w:t>Las sociedades administradoras pueden vincular</w:t>
      </w:r>
      <w:r w:rsidR="0034396E" w:rsidRPr="009978FE">
        <w:rPr>
          <w:rFonts w:cs="Arial"/>
          <w:b/>
          <w:spacing w:val="-3"/>
          <w:sz w:val="16"/>
          <w:szCs w:val="16"/>
        </w:rPr>
        <w:t xml:space="preserve"> partícipes</w:t>
      </w:r>
      <w:r w:rsidRPr="009978FE">
        <w:rPr>
          <w:rFonts w:cs="Arial"/>
          <w:b/>
          <w:spacing w:val="-3"/>
          <w:sz w:val="16"/>
          <w:szCs w:val="16"/>
        </w:rPr>
        <w:t xml:space="preserve"> mediante el trámite contemplado en el presente numeral para la realización de aportes de bajo monto en FPV. En estos casos, el proceso para llevar a cabo el conocimiento de los clientes debe comprender la individualización de éstos a través de la verificación de la siguiente información contenida en el documento de identidad de los clientes:</w:t>
      </w:r>
      <w:r w:rsidR="009978FE">
        <w:rPr>
          <w:rFonts w:cs="Arial"/>
          <w:b/>
          <w:spacing w:val="-3"/>
          <w:sz w:val="16"/>
          <w:szCs w:val="16"/>
        </w:rPr>
        <w:t xml:space="preserve"> el tipo de documento de identidad,</w:t>
      </w:r>
      <w:r w:rsidRPr="009978FE">
        <w:rPr>
          <w:rFonts w:cs="Arial"/>
          <w:b/>
          <w:spacing w:val="-3"/>
          <w:sz w:val="16"/>
          <w:szCs w:val="16"/>
        </w:rPr>
        <w:t xml:space="preserve"> el nombre, el número y la fecha de expedición. Esta verificación se debe llevar a cabo al momento de la vinculación del cliente.</w:t>
      </w:r>
      <w:r w:rsidR="009978FE" w:rsidRPr="000F5CAA">
        <w:rPr>
          <w:rFonts w:cs="Arial"/>
          <w:b/>
          <w:spacing w:val="-3"/>
          <w:sz w:val="16"/>
          <w:szCs w:val="16"/>
        </w:rPr>
        <w:t xml:space="preserve"> Adicionalmente, las entidades deben dar cumplimiento a lo dispuesto en los </w:t>
      </w:r>
      <w:proofErr w:type="spellStart"/>
      <w:r w:rsidR="009978FE" w:rsidRPr="000F5CAA">
        <w:rPr>
          <w:rFonts w:cs="Arial"/>
          <w:b/>
          <w:spacing w:val="-3"/>
          <w:sz w:val="16"/>
          <w:szCs w:val="16"/>
        </w:rPr>
        <w:t>subnumerales</w:t>
      </w:r>
      <w:proofErr w:type="spellEnd"/>
      <w:r w:rsidR="009978FE" w:rsidRPr="000F5CAA">
        <w:rPr>
          <w:rFonts w:cs="Arial"/>
          <w:b/>
          <w:spacing w:val="-3"/>
          <w:sz w:val="16"/>
          <w:szCs w:val="16"/>
        </w:rPr>
        <w:t xml:space="preserve"> 4.2.2.1.4. y 4.2.2.2.1.1.2 del Capítulo IV del Título IV de la Parte 1 de la CBJ.</w:t>
      </w:r>
    </w:p>
    <w:p w14:paraId="5FCD2D0B" w14:textId="77777777" w:rsidR="000520F6" w:rsidRPr="000F5CAA" w:rsidRDefault="000520F6" w:rsidP="000520F6">
      <w:pPr>
        <w:pBdr>
          <w:left w:val="single" w:sz="4" w:space="1" w:color="auto"/>
        </w:pBdr>
        <w:rPr>
          <w:rFonts w:cs="Arial"/>
          <w:b/>
          <w:spacing w:val="-3"/>
          <w:sz w:val="16"/>
          <w:szCs w:val="16"/>
          <w:highlight w:val="yellow"/>
        </w:rPr>
      </w:pPr>
    </w:p>
    <w:p w14:paraId="5D45D83C" w14:textId="542D5B15" w:rsidR="000520F6" w:rsidRPr="00B527C6" w:rsidRDefault="000520F6" w:rsidP="000520F6">
      <w:pPr>
        <w:pBdr>
          <w:left w:val="single" w:sz="4" w:space="1" w:color="auto"/>
        </w:pBdr>
        <w:rPr>
          <w:rFonts w:cs="Arial"/>
          <w:b/>
          <w:spacing w:val="-3"/>
          <w:sz w:val="16"/>
          <w:szCs w:val="16"/>
        </w:rPr>
      </w:pPr>
      <w:r w:rsidRPr="009978FE">
        <w:rPr>
          <w:rFonts w:cs="Arial"/>
          <w:b/>
          <w:spacing w:val="-3"/>
          <w:sz w:val="16"/>
          <w:szCs w:val="16"/>
        </w:rPr>
        <w:t xml:space="preserve">Las excepciones y reglas especiales contenidas en el presente numeral para la vinculación de clientes aplican </w:t>
      </w:r>
      <w:r w:rsidRPr="00F626FA">
        <w:rPr>
          <w:rFonts w:cs="Arial"/>
          <w:b/>
          <w:spacing w:val="-3"/>
          <w:sz w:val="16"/>
          <w:szCs w:val="16"/>
        </w:rPr>
        <w:t>únicamente para la realización de aportes de bajo monto en FPV. Por lo tanto, en el evento en que el part</w:t>
      </w:r>
      <w:r w:rsidR="00FC0692" w:rsidRPr="00F626FA">
        <w:rPr>
          <w:rFonts w:cs="Arial"/>
          <w:b/>
          <w:spacing w:val="-3"/>
          <w:sz w:val="16"/>
          <w:szCs w:val="16"/>
        </w:rPr>
        <w:t>í</w:t>
      </w:r>
      <w:r w:rsidRPr="00F626FA">
        <w:rPr>
          <w:rFonts w:cs="Arial"/>
          <w:b/>
          <w:spacing w:val="-3"/>
          <w:sz w:val="16"/>
          <w:szCs w:val="16"/>
        </w:rPr>
        <w:t xml:space="preserve">cipe decida realizar </w:t>
      </w:r>
      <w:r w:rsidRPr="009978FE">
        <w:rPr>
          <w:rFonts w:cs="Arial"/>
          <w:b/>
          <w:spacing w:val="-3"/>
          <w:sz w:val="16"/>
          <w:szCs w:val="16"/>
        </w:rPr>
        <w:t>una operación</w:t>
      </w:r>
      <w:r w:rsidR="00E97A38" w:rsidRPr="009978FE">
        <w:rPr>
          <w:rFonts w:cs="Arial"/>
          <w:b/>
          <w:spacing w:val="-3"/>
          <w:sz w:val="16"/>
          <w:szCs w:val="16"/>
        </w:rPr>
        <w:t xml:space="preserve"> que supere el monto de sesenta y seis mil Unidades de Valor Real (66.000 UVR) </w:t>
      </w:r>
      <w:r w:rsidR="009978FE">
        <w:rPr>
          <w:rFonts w:cs="Arial"/>
          <w:b/>
          <w:spacing w:val="-3"/>
          <w:sz w:val="16"/>
          <w:szCs w:val="16"/>
        </w:rPr>
        <w:t xml:space="preserve">vigentes al 31 de diciembre del año inmediatamente anterior </w:t>
      </w:r>
      <w:r w:rsidR="00E97A38" w:rsidRPr="009978FE">
        <w:rPr>
          <w:rFonts w:cs="Arial"/>
          <w:b/>
          <w:spacing w:val="-3"/>
          <w:sz w:val="16"/>
          <w:szCs w:val="16"/>
        </w:rPr>
        <w:t xml:space="preserve">en los términos previstos en el </w:t>
      </w:r>
      <w:proofErr w:type="spellStart"/>
      <w:r w:rsidR="00E97A38" w:rsidRPr="009978FE">
        <w:rPr>
          <w:rFonts w:cs="Arial"/>
          <w:b/>
          <w:spacing w:val="-3"/>
          <w:sz w:val="16"/>
          <w:szCs w:val="16"/>
        </w:rPr>
        <w:t>subnumeral</w:t>
      </w:r>
      <w:proofErr w:type="spellEnd"/>
      <w:r w:rsidR="00E97A38" w:rsidRPr="009978FE">
        <w:rPr>
          <w:rFonts w:cs="Arial"/>
          <w:b/>
          <w:spacing w:val="-3"/>
          <w:sz w:val="16"/>
          <w:szCs w:val="16"/>
        </w:rPr>
        <w:t xml:space="preserve"> 8.1.</w:t>
      </w:r>
      <w:r w:rsidR="00F626FA">
        <w:rPr>
          <w:rFonts w:cs="Arial"/>
          <w:b/>
          <w:spacing w:val="-3"/>
          <w:sz w:val="16"/>
          <w:szCs w:val="16"/>
        </w:rPr>
        <w:t>3</w:t>
      </w:r>
      <w:r w:rsidR="00E97A38" w:rsidRPr="009978FE">
        <w:rPr>
          <w:rFonts w:cs="Arial"/>
          <w:b/>
          <w:spacing w:val="-3"/>
          <w:sz w:val="16"/>
          <w:szCs w:val="16"/>
        </w:rPr>
        <w:t>. del presente Capítulo</w:t>
      </w:r>
      <w:r w:rsidRPr="009978FE">
        <w:rPr>
          <w:rFonts w:cs="Arial"/>
          <w:b/>
          <w:spacing w:val="-3"/>
          <w:sz w:val="16"/>
          <w:szCs w:val="16"/>
        </w:rPr>
        <w:t xml:space="preserve"> o</w:t>
      </w:r>
      <w:r w:rsidR="00E97A38" w:rsidRPr="009978FE">
        <w:rPr>
          <w:rFonts w:cs="Arial"/>
          <w:b/>
          <w:spacing w:val="-3"/>
          <w:sz w:val="16"/>
          <w:szCs w:val="16"/>
        </w:rPr>
        <w:t xml:space="preserve"> decida</w:t>
      </w:r>
      <w:r w:rsidRPr="009978FE">
        <w:rPr>
          <w:rFonts w:cs="Arial"/>
          <w:b/>
          <w:spacing w:val="-3"/>
          <w:sz w:val="16"/>
          <w:szCs w:val="16"/>
        </w:rPr>
        <w:t xml:space="preserve"> adquirir un servicio diferente, las sociedades administradoras deben </w:t>
      </w:r>
      <w:r w:rsidR="009978FE">
        <w:rPr>
          <w:rFonts w:cs="Arial"/>
          <w:b/>
          <w:spacing w:val="-3"/>
          <w:sz w:val="16"/>
          <w:szCs w:val="16"/>
        </w:rPr>
        <w:t>obtener</w:t>
      </w:r>
      <w:r w:rsidR="009978FE" w:rsidRPr="009978FE">
        <w:rPr>
          <w:rFonts w:cs="Arial"/>
          <w:b/>
          <w:spacing w:val="-3"/>
          <w:sz w:val="16"/>
          <w:szCs w:val="16"/>
        </w:rPr>
        <w:t xml:space="preserve"> </w:t>
      </w:r>
      <w:r w:rsidRPr="009978FE">
        <w:rPr>
          <w:rFonts w:cs="Arial"/>
          <w:b/>
          <w:spacing w:val="-3"/>
          <w:sz w:val="16"/>
          <w:szCs w:val="16"/>
        </w:rPr>
        <w:t xml:space="preserve">la información requerida </w:t>
      </w:r>
      <w:r w:rsidR="009978FE" w:rsidRPr="009978FE">
        <w:rPr>
          <w:rFonts w:cs="Arial"/>
          <w:b/>
          <w:iCs/>
          <w:spacing w:val="-3"/>
          <w:sz w:val="16"/>
          <w:szCs w:val="16"/>
          <w:lang w:val="es-ES"/>
        </w:rPr>
        <w:t xml:space="preserve">en el </w:t>
      </w:r>
      <w:proofErr w:type="spellStart"/>
      <w:r w:rsidR="009978FE" w:rsidRPr="009978FE">
        <w:rPr>
          <w:rFonts w:cs="Arial"/>
          <w:b/>
          <w:iCs/>
          <w:spacing w:val="-3"/>
          <w:sz w:val="16"/>
          <w:szCs w:val="16"/>
          <w:lang w:val="es-ES"/>
        </w:rPr>
        <w:t>subnumeral</w:t>
      </w:r>
      <w:proofErr w:type="spellEnd"/>
      <w:r w:rsidR="009978FE" w:rsidRPr="009978FE">
        <w:rPr>
          <w:rFonts w:cs="Arial"/>
          <w:b/>
          <w:iCs/>
          <w:spacing w:val="-3"/>
          <w:sz w:val="16"/>
          <w:szCs w:val="16"/>
          <w:lang w:val="es-ES"/>
        </w:rPr>
        <w:t xml:space="preserve"> 4.2.2.2.1.1.3. del </w:t>
      </w:r>
      <w:r w:rsidR="009978FE" w:rsidRPr="009978FE">
        <w:rPr>
          <w:rFonts w:cs="Arial"/>
          <w:b/>
          <w:bCs/>
          <w:spacing w:val="-3"/>
          <w:sz w:val="16"/>
          <w:szCs w:val="16"/>
          <w:lang w:val="es-CO"/>
        </w:rPr>
        <w:t>Capítulo IV del Título IV de la Parte I de la CBJ</w:t>
      </w:r>
      <w:r w:rsidRPr="009978FE">
        <w:rPr>
          <w:rFonts w:cs="Arial"/>
          <w:b/>
          <w:spacing w:val="-3"/>
          <w:sz w:val="16"/>
          <w:szCs w:val="16"/>
        </w:rPr>
        <w:t>, de manera previa a la realización de cualquier operación o la adquisición del nuevo servicio.</w:t>
      </w:r>
      <w:r>
        <w:rPr>
          <w:rFonts w:cs="Arial"/>
          <w:b/>
          <w:spacing w:val="-3"/>
          <w:sz w:val="16"/>
          <w:szCs w:val="16"/>
        </w:rPr>
        <w:t xml:space="preserve"> </w:t>
      </w:r>
    </w:p>
    <w:p w14:paraId="5B855C73" w14:textId="77777777" w:rsidR="000520F6" w:rsidRDefault="000520F6" w:rsidP="000520F6">
      <w:pPr>
        <w:pBdr>
          <w:left w:val="single" w:sz="4" w:space="1" w:color="auto"/>
        </w:pBdr>
        <w:rPr>
          <w:rFonts w:cs="Arial"/>
          <w:b/>
          <w:spacing w:val="-3"/>
          <w:sz w:val="16"/>
          <w:szCs w:val="16"/>
        </w:rPr>
      </w:pPr>
    </w:p>
    <w:p w14:paraId="26387BC6" w14:textId="77777777" w:rsidR="000520F6" w:rsidRPr="00B527C6" w:rsidRDefault="000520F6" w:rsidP="000520F6">
      <w:pPr>
        <w:pBdr>
          <w:left w:val="single" w:sz="4" w:space="1" w:color="auto"/>
        </w:pBdr>
        <w:rPr>
          <w:rFonts w:cs="Arial"/>
          <w:b/>
          <w:spacing w:val="-3"/>
          <w:sz w:val="16"/>
          <w:szCs w:val="16"/>
        </w:rPr>
      </w:pPr>
      <w:r w:rsidRPr="00B527C6">
        <w:rPr>
          <w:rFonts w:cs="Arial"/>
          <w:b/>
          <w:spacing w:val="-3"/>
          <w:sz w:val="16"/>
          <w:szCs w:val="16"/>
        </w:rPr>
        <w:t xml:space="preserve">En todo caso, </w:t>
      </w:r>
      <w:r>
        <w:rPr>
          <w:rFonts w:cs="Arial"/>
          <w:b/>
          <w:spacing w:val="-3"/>
          <w:sz w:val="16"/>
          <w:szCs w:val="16"/>
        </w:rPr>
        <w:t xml:space="preserve">las sociedades administradoras </w:t>
      </w:r>
      <w:r w:rsidRPr="00B527C6">
        <w:rPr>
          <w:rFonts w:cs="Arial"/>
          <w:b/>
          <w:spacing w:val="-3"/>
          <w:sz w:val="16"/>
          <w:szCs w:val="16"/>
        </w:rPr>
        <w:t xml:space="preserve">deben establecer procedimientos </w:t>
      </w:r>
      <w:r>
        <w:rPr>
          <w:rFonts w:cs="Arial"/>
          <w:b/>
          <w:spacing w:val="-3"/>
          <w:sz w:val="16"/>
          <w:szCs w:val="16"/>
        </w:rPr>
        <w:t xml:space="preserve">que les permita </w:t>
      </w:r>
      <w:r w:rsidRPr="00B527C6">
        <w:rPr>
          <w:rFonts w:cs="Arial"/>
          <w:b/>
          <w:spacing w:val="-3"/>
          <w:sz w:val="16"/>
          <w:szCs w:val="16"/>
        </w:rPr>
        <w:t xml:space="preserve">verificar el cumplimiento de las condiciones </w:t>
      </w:r>
      <w:r>
        <w:rPr>
          <w:rFonts w:cs="Arial"/>
          <w:b/>
          <w:spacing w:val="-3"/>
          <w:sz w:val="16"/>
          <w:szCs w:val="16"/>
        </w:rPr>
        <w:t>establecidas en el subnumeral 8</w:t>
      </w:r>
      <w:r w:rsidRPr="00B527C6">
        <w:rPr>
          <w:rFonts w:cs="Arial"/>
          <w:b/>
          <w:spacing w:val="-3"/>
          <w:sz w:val="16"/>
          <w:szCs w:val="16"/>
        </w:rPr>
        <w:t>.1.</w:t>
      </w:r>
      <w:r>
        <w:rPr>
          <w:rFonts w:cs="Arial"/>
          <w:b/>
          <w:spacing w:val="-3"/>
          <w:sz w:val="16"/>
          <w:szCs w:val="16"/>
        </w:rPr>
        <w:t xml:space="preserve"> </w:t>
      </w:r>
      <w:r w:rsidRPr="00B527C6">
        <w:rPr>
          <w:rFonts w:cs="Arial"/>
          <w:b/>
          <w:spacing w:val="-3"/>
          <w:sz w:val="16"/>
          <w:szCs w:val="16"/>
        </w:rPr>
        <w:t xml:space="preserve">del presente Capitulo, así como el contenido y veracidad de la información suministrada por el </w:t>
      </w:r>
      <w:r w:rsidR="00FC0692">
        <w:rPr>
          <w:rFonts w:cs="Arial"/>
          <w:b/>
          <w:spacing w:val="-3"/>
          <w:sz w:val="16"/>
          <w:szCs w:val="16"/>
        </w:rPr>
        <w:t>partícipe</w:t>
      </w:r>
      <w:r w:rsidRPr="00B527C6">
        <w:rPr>
          <w:rFonts w:cs="Arial"/>
          <w:b/>
          <w:spacing w:val="-3"/>
          <w:sz w:val="16"/>
          <w:szCs w:val="16"/>
        </w:rPr>
        <w:t xml:space="preserve">. </w:t>
      </w:r>
    </w:p>
    <w:p w14:paraId="5FF12628" w14:textId="77777777" w:rsidR="000520F6" w:rsidRPr="00B527C6" w:rsidRDefault="000520F6" w:rsidP="000520F6">
      <w:pPr>
        <w:pBdr>
          <w:left w:val="single" w:sz="4" w:space="1" w:color="auto"/>
        </w:pBdr>
        <w:rPr>
          <w:rFonts w:cs="Arial"/>
          <w:b/>
          <w:spacing w:val="-3"/>
          <w:sz w:val="16"/>
          <w:szCs w:val="16"/>
        </w:rPr>
      </w:pPr>
    </w:p>
    <w:p w14:paraId="4151B475"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w:t>
      </w:r>
      <w:r>
        <w:rPr>
          <w:rFonts w:cs="Arial"/>
          <w:b/>
          <w:spacing w:val="-3"/>
          <w:sz w:val="16"/>
          <w:szCs w:val="16"/>
        </w:rPr>
        <w:t>3</w:t>
      </w:r>
      <w:r w:rsidRPr="00B527C6">
        <w:rPr>
          <w:rFonts w:cs="Arial"/>
          <w:b/>
          <w:spacing w:val="-3"/>
          <w:sz w:val="16"/>
          <w:szCs w:val="16"/>
        </w:rPr>
        <w:t xml:space="preserve">. Información a los </w:t>
      </w:r>
      <w:r w:rsidR="00FC0692">
        <w:rPr>
          <w:rFonts w:cs="Arial"/>
          <w:b/>
          <w:spacing w:val="-3"/>
          <w:sz w:val="16"/>
          <w:szCs w:val="16"/>
        </w:rPr>
        <w:t>partícipes</w:t>
      </w:r>
    </w:p>
    <w:p w14:paraId="7684C3DE" w14:textId="77777777" w:rsidR="000520F6" w:rsidRPr="00B527C6" w:rsidRDefault="000520F6" w:rsidP="000520F6">
      <w:pPr>
        <w:pBdr>
          <w:left w:val="single" w:sz="4" w:space="1" w:color="auto"/>
        </w:pBdr>
        <w:rPr>
          <w:rFonts w:cs="Arial"/>
          <w:b/>
          <w:spacing w:val="-3"/>
          <w:sz w:val="16"/>
          <w:szCs w:val="16"/>
        </w:rPr>
      </w:pPr>
    </w:p>
    <w:p w14:paraId="5E5B13E8"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 xml:space="preserve">Las sociedades administradoras </w:t>
      </w:r>
      <w:r w:rsidRPr="00B527C6">
        <w:rPr>
          <w:rFonts w:cs="Arial"/>
          <w:b/>
          <w:spacing w:val="-3"/>
          <w:sz w:val="16"/>
          <w:szCs w:val="16"/>
        </w:rPr>
        <w:t>deben informar claramente a los</w:t>
      </w:r>
      <w:r>
        <w:rPr>
          <w:rFonts w:cs="Arial"/>
          <w:b/>
          <w:spacing w:val="-3"/>
          <w:sz w:val="16"/>
          <w:szCs w:val="16"/>
        </w:rPr>
        <w:t xml:space="preserve"> partícipes</w:t>
      </w:r>
      <w:r w:rsidRPr="00B527C6">
        <w:rPr>
          <w:rFonts w:cs="Arial"/>
          <w:b/>
          <w:spacing w:val="-3"/>
          <w:sz w:val="16"/>
          <w:szCs w:val="16"/>
        </w:rPr>
        <w:t xml:space="preserve"> todas las características y restricciones aplicables a estas operaciones, así como los efectos de su incumplimiento.</w:t>
      </w:r>
    </w:p>
    <w:p w14:paraId="671799A6" w14:textId="77777777" w:rsidR="000520F6" w:rsidRPr="00B527C6" w:rsidRDefault="000520F6" w:rsidP="000520F6">
      <w:pPr>
        <w:pBdr>
          <w:left w:val="single" w:sz="4" w:space="1" w:color="auto"/>
        </w:pBdr>
        <w:rPr>
          <w:rFonts w:cs="Arial"/>
          <w:b/>
          <w:spacing w:val="-3"/>
          <w:sz w:val="16"/>
          <w:szCs w:val="16"/>
        </w:rPr>
      </w:pPr>
    </w:p>
    <w:p w14:paraId="0F6E6480" w14:textId="77777777" w:rsidR="000520F6" w:rsidRPr="00B527C6" w:rsidRDefault="00E97A38" w:rsidP="000520F6">
      <w:pPr>
        <w:pBdr>
          <w:left w:val="single" w:sz="4" w:space="1" w:color="auto"/>
        </w:pBdr>
        <w:rPr>
          <w:rFonts w:cs="Arial"/>
          <w:b/>
          <w:spacing w:val="-3"/>
          <w:sz w:val="16"/>
          <w:szCs w:val="16"/>
        </w:rPr>
      </w:pPr>
      <w:r>
        <w:rPr>
          <w:rFonts w:cs="Arial"/>
          <w:b/>
          <w:spacing w:val="-3"/>
          <w:sz w:val="16"/>
          <w:szCs w:val="16"/>
        </w:rPr>
        <w:t>Asimismo</w:t>
      </w:r>
      <w:r w:rsidR="000520F6" w:rsidRPr="00B527C6">
        <w:rPr>
          <w:rFonts w:cs="Arial"/>
          <w:b/>
          <w:spacing w:val="-3"/>
          <w:sz w:val="16"/>
          <w:szCs w:val="16"/>
        </w:rPr>
        <w:t xml:space="preserve">, </w:t>
      </w:r>
      <w:r w:rsidR="000520F6">
        <w:rPr>
          <w:rFonts w:cs="Arial"/>
          <w:b/>
          <w:spacing w:val="-3"/>
          <w:sz w:val="16"/>
          <w:szCs w:val="16"/>
        </w:rPr>
        <w:t xml:space="preserve">las sociedades administradoras </w:t>
      </w:r>
      <w:r w:rsidR="000520F6" w:rsidRPr="00B527C6">
        <w:rPr>
          <w:rFonts w:cs="Arial"/>
          <w:b/>
          <w:spacing w:val="-3"/>
          <w:sz w:val="16"/>
          <w:szCs w:val="16"/>
        </w:rPr>
        <w:t xml:space="preserve">deben suministrar a los </w:t>
      </w:r>
      <w:r w:rsidR="00FC0692">
        <w:rPr>
          <w:rFonts w:cs="Arial"/>
          <w:b/>
          <w:spacing w:val="-3"/>
          <w:sz w:val="16"/>
          <w:szCs w:val="16"/>
        </w:rPr>
        <w:t>partícipes</w:t>
      </w:r>
      <w:r w:rsidR="00FC0692" w:rsidRPr="00B527C6">
        <w:rPr>
          <w:rFonts w:cs="Arial"/>
          <w:b/>
          <w:spacing w:val="-3"/>
          <w:sz w:val="16"/>
          <w:szCs w:val="16"/>
        </w:rPr>
        <w:t xml:space="preserve"> </w:t>
      </w:r>
      <w:r w:rsidR="000520F6" w:rsidRPr="00B527C6">
        <w:rPr>
          <w:rFonts w:cs="Arial"/>
          <w:b/>
          <w:spacing w:val="-3"/>
          <w:sz w:val="16"/>
          <w:szCs w:val="16"/>
        </w:rPr>
        <w:t>información clara, completa y oportuna sobre los medios y canales habilitados para la realización de operaciones</w:t>
      </w:r>
      <w:r w:rsidR="000520F6">
        <w:rPr>
          <w:rFonts w:cs="Arial"/>
          <w:b/>
          <w:spacing w:val="-3"/>
          <w:sz w:val="16"/>
          <w:szCs w:val="16"/>
        </w:rPr>
        <w:t>.</w:t>
      </w:r>
    </w:p>
    <w:p w14:paraId="19124B42" w14:textId="77777777" w:rsidR="000520F6" w:rsidRPr="00B527C6" w:rsidRDefault="000520F6" w:rsidP="000520F6">
      <w:pPr>
        <w:pBdr>
          <w:left w:val="single" w:sz="4" w:space="1" w:color="auto"/>
        </w:pBdr>
        <w:rPr>
          <w:rFonts w:cs="Arial"/>
          <w:b/>
          <w:spacing w:val="-3"/>
          <w:sz w:val="16"/>
          <w:szCs w:val="16"/>
        </w:rPr>
      </w:pPr>
    </w:p>
    <w:p w14:paraId="6DDDE4C3"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w:t>
      </w:r>
      <w:r>
        <w:rPr>
          <w:rFonts w:cs="Arial"/>
          <w:b/>
          <w:spacing w:val="-3"/>
          <w:sz w:val="16"/>
          <w:szCs w:val="16"/>
        </w:rPr>
        <w:t>4</w:t>
      </w:r>
      <w:r w:rsidRPr="00B527C6">
        <w:rPr>
          <w:rFonts w:cs="Arial"/>
          <w:b/>
          <w:spacing w:val="-3"/>
          <w:sz w:val="16"/>
          <w:szCs w:val="16"/>
        </w:rPr>
        <w:t xml:space="preserve">. Instrucciones especiales respecto de la administración de los riesgos de lavado de activos y financiación del terrorismo </w:t>
      </w:r>
    </w:p>
    <w:p w14:paraId="749DF91C" w14:textId="77777777" w:rsidR="000520F6" w:rsidRPr="00B527C6" w:rsidRDefault="000520F6" w:rsidP="000520F6">
      <w:pPr>
        <w:pBdr>
          <w:left w:val="single" w:sz="4" w:space="1" w:color="auto"/>
        </w:pBdr>
        <w:rPr>
          <w:rFonts w:cs="Arial"/>
          <w:b/>
          <w:spacing w:val="-3"/>
          <w:sz w:val="16"/>
          <w:szCs w:val="16"/>
        </w:rPr>
      </w:pPr>
    </w:p>
    <w:p w14:paraId="6B6A9324" w14:textId="77777777" w:rsidR="000520F6" w:rsidRPr="00EA1F48" w:rsidRDefault="000520F6" w:rsidP="000520F6">
      <w:pPr>
        <w:pBdr>
          <w:left w:val="single" w:sz="4" w:space="1" w:color="auto"/>
        </w:pBdr>
        <w:rPr>
          <w:rFonts w:cs="Arial"/>
          <w:b/>
          <w:spacing w:val="-3"/>
          <w:sz w:val="16"/>
          <w:szCs w:val="16"/>
        </w:rPr>
      </w:pPr>
      <w:r>
        <w:rPr>
          <w:rFonts w:cs="Arial"/>
          <w:b/>
          <w:spacing w:val="-3"/>
          <w:sz w:val="16"/>
          <w:szCs w:val="16"/>
        </w:rPr>
        <w:t>8</w:t>
      </w:r>
      <w:r w:rsidRPr="00A263CE">
        <w:rPr>
          <w:rFonts w:cs="Arial"/>
          <w:b/>
          <w:spacing w:val="-3"/>
          <w:sz w:val="16"/>
          <w:szCs w:val="16"/>
        </w:rPr>
        <w:t xml:space="preserve">.4.1. </w:t>
      </w:r>
      <w:r>
        <w:rPr>
          <w:rFonts w:cs="Arial"/>
          <w:b/>
          <w:spacing w:val="-3"/>
          <w:sz w:val="16"/>
          <w:szCs w:val="16"/>
        </w:rPr>
        <w:t xml:space="preserve">Las sociedades administradoras </w:t>
      </w:r>
      <w:r w:rsidRPr="00A263CE">
        <w:rPr>
          <w:rFonts w:cs="Arial"/>
          <w:b/>
          <w:spacing w:val="-3"/>
          <w:sz w:val="16"/>
          <w:szCs w:val="16"/>
        </w:rPr>
        <w:t>deben adoptar mecanismos especiales en sus políticas de administración de riesgo de lavado de activos y financiación del terrorismo que les permita administrar los riesgos asoci</w:t>
      </w:r>
      <w:r w:rsidRPr="00EA1F48">
        <w:rPr>
          <w:rFonts w:cs="Arial"/>
          <w:b/>
          <w:spacing w:val="-3"/>
          <w:sz w:val="16"/>
          <w:szCs w:val="16"/>
        </w:rPr>
        <w:t>ados a</w:t>
      </w:r>
      <w:r>
        <w:rPr>
          <w:rFonts w:cs="Arial"/>
          <w:b/>
          <w:spacing w:val="-3"/>
          <w:sz w:val="16"/>
          <w:szCs w:val="16"/>
        </w:rPr>
        <w:t xml:space="preserve"> la realización de aportes de bajo monto en FPV</w:t>
      </w:r>
      <w:r w:rsidRPr="00EA1F48">
        <w:rPr>
          <w:rFonts w:cs="Arial"/>
          <w:b/>
          <w:spacing w:val="-3"/>
          <w:sz w:val="16"/>
          <w:szCs w:val="16"/>
        </w:rPr>
        <w:t>, para lo cual pueden:</w:t>
      </w:r>
      <w:r>
        <w:rPr>
          <w:rFonts w:cs="Arial"/>
          <w:b/>
          <w:spacing w:val="-3"/>
          <w:sz w:val="16"/>
          <w:szCs w:val="16"/>
        </w:rPr>
        <w:t xml:space="preserve"> </w:t>
      </w:r>
    </w:p>
    <w:p w14:paraId="729BC289" w14:textId="77777777" w:rsidR="000520F6" w:rsidRPr="00F93722" w:rsidRDefault="000520F6" w:rsidP="000520F6">
      <w:pPr>
        <w:pBdr>
          <w:left w:val="single" w:sz="4" w:space="1" w:color="auto"/>
        </w:pBdr>
        <w:rPr>
          <w:rFonts w:cs="Arial"/>
          <w:b/>
          <w:spacing w:val="-3"/>
          <w:sz w:val="16"/>
          <w:szCs w:val="16"/>
        </w:rPr>
      </w:pPr>
    </w:p>
    <w:p w14:paraId="5C8308B7" w14:textId="77777777" w:rsidR="000520F6" w:rsidRPr="00E97EB6" w:rsidRDefault="000520F6" w:rsidP="000520F6">
      <w:pPr>
        <w:pBdr>
          <w:left w:val="single" w:sz="4" w:space="1" w:color="auto"/>
        </w:pBdr>
        <w:rPr>
          <w:rFonts w:cs="Arial"/>
          <w:b/>
          <w:spacing w:val="-3"/>
          <w:sz w:val="16"/>
          <w:szCs w:val="16"/>
        </w:rPr>
      </w:pPr>
      <w:r>
        <w:rPr>
          <w:rFonts w:cs="Arial"/>
          <w:b/>
          <w:spacing w:val="-3"/>
          <w:sz w:val="16"/>
          <w:szCs w:val="16"/>
        </w:rPr>
        <w:t>8</w:t>
      </w:r>
      <w:r w:rsidRPr="00F93722">
        <w:rPr>
          <w:rFonts w:cs="Arial"/>
          <w:b/>
          <w:spacing w:val="-3"/>
          <w:sz w:val="16"/>
          <w:szCs w:val="16"/>
        </w:rPr>
        <w:t>.4</w:t>
      </w:r>
      <w:r w:rsidRPr="006B59B3">
        <w:rPr>
          <w:rFonts w:cs="Arial"/>
          <w:b/>
          <w:spacing w:val="-3"/>
          <w:sz w:val="16"/>
          <w:szCs w:val="16"/>
        </w:rPr>
        <w:t>.1.1.</w:t>
      </w:r>
      <w:r w:rsidRPr="00E97EB6">
        <w:rPr>
          <w:rFonts w:cs="Arial"/>
          <w:b/>
          <w:spacing w:val="-3"/>
          <w:sz w:val="16"/>
          <w:szCs w:val="16"/>
        </w:rPr>
        <w:t xml:space="preserve"> Establecer un número y monto máximo de operaciones permitidas para conservar las características previstas en el </w:t>
      </w:r>
      <w:proofErr w:type="spellStart"/>
      <w:r>
        <w:rPr>
          <w:rFonts w:cs="Arial"/>
          <w:b/>
          <w:spacing w:val="-3"/>
          <w:sz w:val="16"/>
          <w:szCs w:val="16"/>
        </w:rPr>
        <w:t>subnumeral</w:t>
      </w:r>
      <w:proofErr w:type="spellEnd"/>
      <w:r>
        <w:rPr>
          <w:rFonts w:cs="Arial"/>
          <w:b/>
          <w:spacing w:val="-3"/>
          <w:sz w:val="16"/>
          <w:szCs w:val="16"/>
        </w:rPr>
        <w:t xml:space="preserve"> </w:t>
      </w:r>
      <w:r w:rsidR="00FC0692">
        <w:rPr>
          <w:rFonts w:cs="Arial"/>
          <w:b/>
          <w:spacing w:val="-3"/>
          <w:sz w:val="16"/>
          <w:szCs w:val="16"/>
        </w:rPr>
        <w:t>8</w:t>
      </w:r>
      <w:r>
        <w:rPr>
          <w:rFonts w:cs="Arial"/>
          <w:b/>
          <w:spacing w:val="-3"/>
          <w:sz w:val="16"/>
          <w:szCs w:val="16"/>
        </w:rPr>
        <w:t>.1 de este Capítulo</w:t>
      </w:r>
      <w:r w:rsidRPr="00E97EB6">
        <w:rPr>
          <w:rFonts w:cs="Arial"/>
          <w:b/>
          <w:spacing w:val="-3"/>
          <w:sz w:val="16"/>
          <w:szCs w:val="16"/>
        </w:rPr>
        <w:t>.</w:t>
      </w:r>
    </w:p>
    <w:p w14:paraId="29F23391" w14:textId="77777777" w:rsidR="000520F6" w:rsidRPr="00E97EB6" w:rsidRDefault="000520F6" w:rsidP="000520F6">
      <w:pPr>
        <w:pBdr>
          <w:left w:val="single" w:sz="4" w:space="1" w:color="auto"/>
        </w:pBdr>
        <w:rPr>
          <w:rFonts w:cs="Arial"/>
          <w:b/>
          <w:spacing w:val="-3"/>
          <w:sz w:val="16"/>
          <w:szCs w:val="16"/>
        </w:rPr>
      </w:pPr>
    </w:p>
    <w:p w14:paraId="4BB10868" w14:textId="77777777" w:rsidR="000520F6" w:rsidRPr="00B4704A" w:rsidRDefault="000520F6" w:rsidP="000520F6">
      <w:pPr>
        <w:pBdr>
          <w:left w:val="single" w:sz="4" w:space="1" w:color="auto"/>
        </w:pBdr>
        <w:rPr>
          <w:rFonts w:cs="Arial"/>
          <w:b/>
          <w:spacing w:val="-3"/>
          <w:sz w:val="16"/>
          <w:szCs w:val="16"/>
        </w:rPr>
      </w:pPr>
      <w:r>
        <w:rPr>
          <w:rFonts w:cs="Arial"/>
          <w:b/>
          <w:spacing w:val="-3"/>
          <w:sz w:val="16"/>
          <w:szCs w:val="16"/>
        </w:rPr>
        <w:t>8</w:t>
      </w:r>
      <w:r w:rsidRPr="00E97EB6">
        <w:rPr>
          <w:rFonts w:cs="Arial"/>
          <w:b/>
          <w:spacing w:val="-3"/>
          <w:sz w:val="16"/>
          <w:szCs w:val="16"/>
        </w:rPr>
        <w:t>.4.1.2. Li</w:t>
      </w:r>
      <w:r w:rsidRPr="00B4704A">
        <w:rPr>
          <w:rFonts w:cs="Arial"/>
          <w:b/>
          <w:spacing w:val="-3"/>
          <w:sz w:val="16"/>
          <w:szCs w:val="16"/>
        </w:rPr>
        <w:t>mitar los canales a través de los cuales se pueden realizar operaciones.</w:t>
      </w:r>
    </w:p>
    <w:p w14:paraId="619C699A" w14:textId="77777777" w:rsidR="000520F6" w:rsidRPr="00B4704A" w:rsidRDefault="000520F6" w:rsidP="000520F6">
      <w:pPr>
        <w:pBdr>
          <w:left w:val="single" w:sz="4" w:space="1" w:color="auto"/>
        </w:pBdr>
        <w:rPr>
          <w:rFonts w:cs="Arial"/>
          <w:b/>
          <w:spacing w:val="-3"/>
          <w:sz w:val="16"/>
          <w:szCs w:val="16"/>
        </w:rPr>
      </w:pPr>
    </w:p>
    <w:p w14:paraId="488C2165"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8</w:t>
      </w:r>
      <w:r w:rsidRPr="00A00DB6">
        <w:rPr>
          <w:rFonts w:cs="Arial"/>
          <w:b/>
          <w:spacing w:val="-3"/>
          <w:sz w:val="16"/>
          <w:szCs w:val="16"/>
        </w:rPr>
        <w:t xml:space="preserve">.4.1.3. Las demás que </w:t>
      </w:r>
      <w:r w:rsidR="00FC0692">
        <w:rPr>
          <w:rFonts w:cs="Arial"/>
          <w:b/>
          <w:spacing w:val="-3"/>
          <w:sz w:val="16"/>
          <w:szCs w:val="16"/>
        </w:rPr>
        <w:t xml:space="preserve">se </w:t>
      </w:r>
      <w:r w:rsidRPr="00A00DB6">
        <w:rPr>
          <w:rFonts w:cs="Arial"/>
          <w:b/>
          <w:spacing w:val="-3"/>
          <w:sz w:val="16"/>
          <w:szCs w:val="16"/>
        </w:rPr>
        <w:t>consideren necesarias.</w:t>
      </w:r>
    </w:p>
    <w:p w14:paraId="42EA0179" w14:textId="77777777" w:rsidR="000520F6" w:rsidRDefault="000520F6" w:rsidP="000520F6">
      <w:pPr>
        <w:pBdr>
          <w:left w:val="single" w:sz="4" w:space="1" w:color="auto"/>
        </w:pBdr>
        <w:rPr>
          <w:rFonts w:cs="Arial"/>
          <w:b/>
          <w:spacing w:val="-3"/>
          <w:sz w:val="16"/>
          <w:szCs w:val="16"/>
        </w:rPr>
      </w:pPr>
    </w:p>
    <w:p w14:paraId="26475A5F" w14:textId="5BB0DF3B" w:rsidR="000520F6" w:rsidRDefault="000520F6" w:rsidP="000520F6">
      <w:pPr>
        <w:pBdr>
          <w:left w:val="single" w:sz="4" w:space="1" w:color="auto"/>
        </w:pBdr>
        <w:rPr>
          <w:rFonts w:cs="Arial"/>
          <w:b/>
          <w:spacing w:val="-3"/>
          <w:sz w:val="16"/>
          <w:szCs w:val="16"/>
        </w:rPr>
      </w:pPr>
      <w:r>
        <w:rPr>
          <w:rFonts w:cs="Arial"/>
          <w:b/>
          <w:spacing w:val="-3"/>
          <w:sz w:val="16"/>
          <w:szCs w:val="16"/>
        </w:rPr>
        <w:t>8</w:t>
      </w:r>
      <w:r w:rsidRPr="00A263CE">
        <w:rPr>
          <w:rFonts w:cs="Arial"/>
          <w:b/>
          <w:spacing w:val="-3"/>
          <w:sz w:val="16"/>
          <w:szCs w:val="16"/>
        </w:rPr>
        <w:t>.4.2. En el evento en que el</w:t>
      </w:r>
      <w:r>
        <w:rPr>
          <w:rFonts w:cs="Arial"/>
          <w:b/>
          <w:spacing w:val="-3"/>
          <w:sz w:val="16"/>
          <w:szCs w:val="16"/>
        </w:rPr>
        <w:t xml:space="preserve"> part</w:t>
      </w:r>
      <w:r w:rsidR="00FC0692">
        <w:rPr>
          <w:rFonts w:cs="Arial"/>
          <w:b/>
          <w:spacing w:val="-3"/>
          <w:sz w:val="16"/>
          <w:szCs w:val="16"/>
        </w:rPr>
        <w:t>í</w:t>
      </w:r>
      <w:r>
        <w:rPr>
          <w:rFonts w:cs="Arial"/>
          <w:b/>
          <w:spacing w:val="-3"/>
          <w:sz w:val="16"/>
          <w:szCs w:val="16"/>
        </w:rPr>
        <w:t>cipe</w:t>
      </w:r>
      <w:r w:rsidRPr="00A263CE">
        <w:rPr>
          <w:rFonts w:cs="Arial"/>
          <w:b/>
          <w:spacing w:val="-3"/>
          <w:sz w:val="16"/>
          <w:szCs w:val="16"/>
        </w:rPr>
        <w:t xml:space="preserve"> </w:t>
      </w:r>
      <w:r>
        <w:rPr>
          <w:rFonts w:cs="Arial"/>
          <w:b/>
          <w:spacing w:val="-3"/>
          <w:sz w:val="16"/>
          <w:szCs w:val="16"/>
        </w:rPr>
        <w:t xml:space="preserve">que </w:t>
      </w:r>
      <w:r w:rsidRPr="00A263CE">
        <w:rPr>
          <w:rFonts w:cs="Arial"/>
          <w:b/>
          <w:spacing w:val="-3"/>
          <w:sz w:val="16"/>
          <w:szCs w:val="16"/>
        </w:rPr>
        <w:t xml:space="preserve">se haya vinculado a través de este trámite simplificado </w:t>
      </w:r>
      <w:r>
        <w:rPr>
          <w:rFonts w:cs="Arial"/>
          <w:b/>
          <w:spacing w:val="-3"/>
          <w:sz w:val="16"/>
          <w:szCs w:val="16"/>
        </w:rPr>
        <w:t xml:space="preserve">realice una operación que resulte en que </w:t>
      </w:r>
      <w:r w:rsidRPr="00A263CE">
        <w:rPr>
          <w:rFonts w:cs="Arial"/>
          <w:b/>
          <w:spacing w:val="-3"/>
          <w:sz w:val="16"/>
          <w:szCs w:val="16"/>
        </w:rPr>
        <w:t xml:space="preserve">el monto </w:t>
      </w:r>
      <w:r>
        <w:rPr>
          <w:rFonts w:cs="Arial"/>
          <w:b/>
          <w:spacing w:val="-3"/>
          <w:sz w:val="16"/>
          <w:szCs w:val="16"/>
        </w:rPr>
        <w:t>total de sus participaciones en los FPV administrados por la misma sociedad administradora</w:t>
      </w:r>
      <w:r w:rsidRPr="00A263CE">
        <w:rPr>
          <w:rFonts w:cs="Arial"/>
          <w:b/>
          <w:spacing w:val="-3"/>
          <w:sz w:val="16"/>
          <w:szCs w:val="16"/>
        </w:rPr>
        <w:t xml:space="preserve">, superen </w:t>
      </w:r>
      <w:r w:rsidRPr="00B527C6">
        <w:rPr>
          <w:rFonts w:cs="Arial"/>
          <w:b/>
          <w:spacing w:val="-3"/>
          <w:sz w:val="16"/>
          <w:szCs w:val="16"/>
        </w:rPr>
        <w:t>sesenta y seis mil Unidades de Valor Real (66.000 UVR)</w:t>
      </w:r>
      <w:r w:rsidR="00FE4D9F">
        <w:rPr>
          <w:rFonts w:cs="Arial"/>
          <w:b/>
          <w:spacing w:val="-3"/>
          <w:sz w:val="16"/>
          <w:szCs w:val="16"/>
        </w:rPr>
        <w:t xml:space="preserve"> vigentes al 31 de diciembre del año inmediatamente anterior</w:t>
      </w:r>
      <w:r w:rsidRPr="00A263CE">
        <w:rPr>
          <w:rFonts w:cs="Arial"/>
          <w:b/>
          <w:spacing w:val="-3"/>
          <w:sz w:val="16"/>
          <w:szCs w:val="16"/>
        </w:rPr>
        <w:t xml:space="preserve">, las </w:t>
      </w:r>
      <w:r>
        <w:rPr>
          <w:rFonts w:cs="Arial"/>
          <w:b/>
          <w:spacing w:val="-3"/>
          <w:sz w:val="16"/>
          <w:szCs w:val="16"/>
        </w:rPr>
        <w:t xml:space="preserve">sociedades administradoras </w:t>
      </w:r>
      <w:r w:rsidR="00FE4D9F" w:rsidRPr="009978FE">
        <w:rPr>
          <w:rFonts w:cs="Arial"/>
          <w:b/>
          <w:spacing w:val="-3"/>
          <w:sz w:val="16"/>
          <w:szCs w:val="16"/>
        </w:rPr>
        <w:t xml:space="preserve">deben </w:t>
      </w:r>
      <w:r w:rsidR="00FE4D9F">
        <w:rPr>
          <w:rFonts w:cs="Arial"/>
          <w:b/>
          <w:spacing w:val="-3"/>
          <w:sz w:val="16"/>
          <w:szCs w:val="16"/>
        </w:rPr>
        <w:t>obtener</w:t>
      </w:r>
      <w:r w:rsidR="00FE4D9F" w:rsidRPr="009978FE">
        <w:rPr>
          <w:rFonts w:cs="Arial"/>
          <w:b/>
          <w:spacing w:val="-3"/>
          <w:sz w:val="16"/>
          <w:szCs w:val="16"/>
        </w:rPr>
        <w:t xml:space="preserve"> la informac</w:t>
      </w:r>
      <w:bookmarkStart w:id="2" w:name="_GoBack"/>
      <w:bookmarkEnd w:id="2"/>
      <w:r w:rsidR="00FE4D9F" w:rsidRPr="009978FE">
        <w:rPr>
          <w:rFonts w:cs="Arial"/>
          <w:b/>
          <w:spacing w:val="-3"/>
          <w:sz w:val="16"/>
          <w:szCs w:val="16"/>
        </w:rPr>
        <w:t xml:space="preserve">ión requerida </w:t>
      </w:r>
      <w:r w:rsidR="00FE4D9F" w:rsidRPr="009978FE">
        <w:rPr>
          <w:rFonts w:cs="Arial"/>
          <w:b/>
          <w:iCs/>
          <w:spacing w:val="-3"/>
          <w:sz w:val="16"/>
          <w:szCs w:val="16"/>
          <w:lang w:val="es-ES"/>
        </w:rPr>
        <w:t xml:space="preserve">en el </w:t>
      </w:r>
      <w:proofErr w:type="spellStart"/>
      <w:r w:rsidR="00FE4D9F" w:rsidRPr="009978FE">
        <w:rPr>
          <w:rFonts w:cs="Arial"/>
          <w:b/>
          <w:iCs/>
          <w:spacing w:val="-3"/>
          <w:sz w:val="16"/>
          <w:szCs w:val="16"/>
          <w:lang w:val="es-ES"/>
        </w:rPr>
        <w:t>subnumeral</w:t>
      </w:r>
      <w:proofErr w:type="spellEnd"/>
      <w:r w:rsidR="00FE4D9F" w:rsidRPr="009978FE">
        <w:rPr>
          <w:rFonts w:cs="Arial"/>
          <w:b/>
          <w:iCs/>
          <w:spacing w:val="-3"/>
          <w:sz w:val="16"/>
          <w:szCs w:val="16"/>
          <w:lang w:val="es-ES"/>
        </w:rPr>
        <w:t xml:space="preserve"> 4.2.2.2.1.1.3. del </w:t>
      </w:r>
      <w:r w:rsidR="00FE4D9F" w:rsidRPr="009978FE">
        <w:rPr>
          <w:rFonts w:cs="Arial"/>
          <w:b/>
          <w:bCs/>
          <w:spacing w:val="-3"/>
          <w:sz w:val="16"/>
          <w:szCs w:val="16"/>
          <w:lang w:val="es-CO"/>
        </w:rPr>
        <w:t>Capítulo IV del Título IV de la Parte I de la CBJ</w:t>
      </w:r>
      <w:r w:rsidR="00C976FD">
        <w:rPr>
          <w:rFonts w:cs="Arial"/>
          <w:b/>
          <w:spacing w:val="-3"/>
          <w:sz w:val="16"/>
          <w:szCs w:val="16"/>
        </w:rPr>
        <w:t xml:space="preserve"> </w:t>
      </w:r>
      <w:r w:rsidRPr="00A263CE">
        <w:rPr>
          <w:rFonts w:cs="Arial"/>
          <w:b/>
          <w:spacing w:val="-3"/>
          <w:sz w:val="16"/>
          <w:szCs w:val="16"/>
        </w:rPr>
        <w:t xml:space="preserve">de manera previa a la realización de cualquier operación. </w:t>
      </w:r>
    </w:p>
    <w:p w14:paraId="1A62B911" w14:textId="77777777" w:rsidR="000520F6" w:rsidRPr="00B527C6" w:rsidRDefault="000520F6" w:rsidP="000520F6">
      <w:pPr>
        <w:pBdr>
          <w:left w:val="single" w:sz="4" w:space="1" w:color="auto"/>
        </w:pBdr>
        <w:rPr>
          <w:rFonts w:cs="Arial"/>
          <w:b/>
          <w:spacing w:val="-3"/>
          <w:sz w:val="16"/>
          <w:szCs w:val="16"/>
        </w:rPr>
      </w:pPr>
    </w:p>
    <w:p w14:paraId="586290C0" w14:textId="77777777" w:rsidR="000520F6" w:rsidRPr="00B527C6" w:rsidRDefault="000520F6" w:rsidP="000520F6">
      <w:pPr>
        <w:pBdr>
          <w:left w:val="single" w:sz="4" w:space="1" w:color="auto"/>
        </w:pBdr>
        <w:rPr>
          <w:rFonts w:cs="Arial"/>
          <w:b/>
          <w:spacing w:val="-3"/>
          <w:sz w:val="16"/>
          <w:szCs w:val="16"/>
        </w:rPr>
      </w:pPr>
      <w:r>
        <w:rPr>
          <w:rFonts w:cs="Arial"/>
          <w:b/>
          <w:spacing w:val="-3"/>
          <w:sz w:val="16"/>
          <w:szCs w:val="16"/>
        </w:rPr>
        <w:t>8</w:t>
      </w:r>
      <w:r w:rsidRPr="00B527C6">
        <w:rPr>
          <w:rFonts w:cs="Arial"/>
          <w:b/>
          <w:spacing w:val="-3"/>
          <w:sz w:val="16"/>
          <w:szCs w:val="16"/>
        </w:rPr>
        <w:t>.</w:t>
      </w:r>
      <w:r>
        <w:rPr>
          <w:rFonts w:cs="Arial"/>
          <w:b/>
          <w:spacing w:val="-3"/>
          <w:sz w:val="16"/>
          <w:szCs w:val="16"/>
        </w:rPr>
        <w:t>5</w:t>
      </w:r>
      <w:r w:rsidRPr="00B527C6">
        <w:rPr>
          <w:rFonts w:cs="Arial"/>
          <w:b/>
          <w:spacing w:val="-3"/>
          <w:sz w:val="16"/>
          <w:szCs w:val="16"/>
        </w:rPr>
        <w:t xml:space="preserve">. </w:t>
      </w:r>
      <w:r w:rsidR="003512D7">
        <w:rPr>
          <w:rFonts w:cs="Arial"/>
          <w:b/>
          <w:spacing w:val="-3"/>
          <w:sz w:val="16"/>
          <w:szCs w:val="16"/>
        </w:rPr>
        <w:t>Obtención de información requerida para adelantar el procedimiento de conocimiento del cliente</w:t>
      </w:r>
      <w:r w:rsidR="003512D7" w:rsidDel="003512D7">
        <w:rPr>
          <w:rFonts w:cs="Arial"/>
          <w:b/>
          <w:spacing w:val="-3"/>
          <w:sz w:val="16"/>
          <w:szCs w:val="16"/>
        </w:rPr>
        <w:t xml:space="preserve"> </w:t>
      </w:r>
    </w:p>
    <w:p w14:paraId="5857EBD7" w14:textId="77777777" w:rsidR="000520F6" w:rsidRDefault="000520F6" w:rsidP="000520F6">
      <w:pPr>
        <w:pBdr>
          <w:left w:val="single" w:sz="4" w:space="1" w:color="auto"/>
        </w:pBdr>
        <w:rPr>
          <w:rFonts w:cs="Arial"/>
          <w:b/>
          <w:spacing w:val="-3"/>
          <w:sz w:val="16"/>
          <w:szCs w:val="16"/>
        </w:rPr>
      </w:pPr>
    </w:p>
    <w:p w14:paraId="3FFF8BFE" w14:textId="708611AD" w:rsidR="000520F6" w:rsidRDefault="00220193" w:rsidP="000520F6">
      <w:pPr>
        <w:pBdr>
          <w:left w:val="single" w:sz="4" w:space="1" w:color="auto"/>
        </w:pBdr>
        <w:rPr>
          <w:rFonts w:cs="Arial"/>
          <w:b/>
          <w:spacing w:val="-3"/>
          <w:sz w:val="16"/>
          <w:szCs w:val="16"/>
        </w:rPr>
      </w:pPr>
      <w:r>
        <w:rPr>
          <w:rFonts w:cs="Arial"/>
          <w:b/>
          <w:spacing w:val="-3"/>
          <w:sz w:val="16"/>
          <w:szCs w:val="16"/>
        </w:rPr>
        <w:t xml:space="preserve">8.5.1. </w:t>
      </w:r>
      <w:r w:rsidR="000520F6" w:rsidRPr="00ED0781">
        <w:rPr>
          <w:rFonts w:cs="Arial"/>
          <w:b/>
          <w:spacing w:val="-3"/>
          <w:sz w:val="16"/>
          <w:szCs w:val="16"/>
        </w:rPr>
        <w:t>Cuando el part</w:t>
      </w:r>
      <w:r w:rsidR="00FC0692" w:rsidRPr="00F626FA">
        <w:rPr>
          <w:rFonts w:cs="Arial"/>
          <w:b/>
          <w:spacing w:val="-3"/>
          <w:sz w:val="16"/>
          <w:szCs w:val="16"/>
        </w:rPr>
        <w:t>í</w:t>
      </w:r>
      <w:r w:rsidR="000520F6" w:rsidRPr="00F626FA">
        <w:rPr>
          <w:rFonts w:cs="Arial"/>
          <w:b/>
          <w:spacing w:val="-3"/>
          <w:sz w:val="16"/>
          <w:szCs w:val="16"/>
        </w:rPr>
        <w:t xml:space="preserve">cipe retire sus aportes por un monto superior a los </w:t>
      </w:r>
      <w:r w:rsidR="000520F6" w:rsidRPr="00332FC1">
        <w:rPr>
          <w:rFonts w:cs="Arial"/>
          <w:b/>
          <w:spacing w:val="-3"/>
          <w:sz w:val="16"/>
          <w:szCs w:val="16"/>
        </w:rPr>
        <w:t>sesenta y seis mil Unidades de Valor Real (66.000 UVR)</w:t>
      </w:r>
      <w:r w:rsidR="00035740">
        <w:rPr>
          <w:rFonts w:cs="Arial"/>
          <w:b/>
          <w:spacing w:val="-3"/>
          <w:sz w:val="16"/>
          <w:szCs w:val="16"/>
        </w:rPr>
        <w:t xml:space="preserve"> </w:t>
      </w:r>
      <w:r w:rsidR="00332FC1" w:rsidRPr="00ED0781">
        <w:rPr>
          <w:rFonts w:cs="Arial"/>
          <w:b/>
          <w:spacing w:val="-3"/>
          <w:sz w:val="16"/>
          <w:szCs w:val="16"/>
        </w:rPr>
        <w:t>vigen</w:t>
      </w:r>
      <w:r w:rsidR="00332FC1" w:rsidRPr="00F626FA">
        <w:rPr>
          <w:rFonts w:cs="Arial"/>
          <w:b/>
          <w:spacing w:val="-3"/>
          <w:sz w:val="16"/>
          <w:szCs w:val="16"/>
        </w:rPr>
        <w:t>tes al 31 de diciembre del año inmediatamente anterior</w:t>
      </w:r>
      <w:r w:rsidR="000520F6" w:rsidRPr="00F626FA">
        <w:rPr>
          <w:rFonts w:cs="Arial"/>
          <w:b/>
          <w:spacing w:val="-3"/>
          <w:sz w:val="16"/>
          <w:szCs w:val="16"/>
        </w:rPr>
        <w:t>,</w:t>
      </w:r>
      <w:r w:rsidR="00301F00" w:rsidRPr="00F626FA">
        <w:rPr>
          <w:rFonts w:cs="Arial"/>
          <w:b/>
          <w:spacing w:val="-3"/>
          <w:sz w:val="16"/>
          <w:szCs w:val="16"/>
        </w:rPr>
        <w:t xml:space="preserve"> las sociedades administrador</w:t>
      </w:r>
      <w:r w:rsidR="00F234A8" w:rsidRPr="00F626FA">
        <w:rPr>
          <w:rFonts w:cs="Arial"/>
          <w:b/>
          <w:spacing w:val="-3"/>
          <w:sz w:val="16"/>
          <w:szCs w:val="16"/>
        </w:rPr>
        <w:t>a</w:t>
      </w:r>
      <w:r w:rsidR="00301F00" w:rsidRPr="00F626FA">
        <w:rPr>
          <w:rFonts w:cs="Arial"/>
          <w:b/>
          <w:spacing w:val="-3"/>
          <w:sz w:val="16"/>
          <w:szCs w:val="16"/>
        </w:rPr>
        <w:t>s</w:t>
      </w:r>
      <w:r w:rsidR="000520F6" w:rsidRPr="00F626FA">
        <w:rPr>
          <w:rFonts w:cs="Arial"/>
          <w:b/>
          <w:spacing w:val="-3"/>
          <w:sz w:val="16"/>
          <w:szCs w:val="16"/>
        </w:rPr>
        <w:t xml:space="preserve"> </w:t>
      </w:r>
      <w:r w:rsidR="00332FC1" w:rsidRPr="009978FE">
        <w:rPr>
          <w:rFonts w:cs="Arial"/>
          <w:b/>
          <w:spacing w:val="-3"/>
          <w:sz w:val="16"/>
          <w:szCs w:val="16"/>
        </w:rPr>
        <w:t xml:space="preserve">deben </w:t>
      </w:r>
      <w:r w:rsidR="00332FC1">
        <w:rPr>
          <w:rFonts w:cs="Arial"/>
          <w:b/>
          <w:spacing w:val="-3"/>
          <w:sz w:val="16"/>
          <w:szCs w:val="16"/>
        </w:rPr>
        <w:t>obtener</w:t>
      </w:r>
      <w:r w:rsidR="00332FC1" w:rsidRPr="009978FE">
        <w:rPr>
          <w:rFonts w:cs="Arial"/>
          <w:b/>
          <w:spacing w:val="-3"/>
          <w:sz w:val="16"/>
          <w:szCs w:val="16"/>
        </w:rPr>
        <w:t xml:space="preserve"> la información requerida </w:t>
      </w:r>
      <w:r w:rsidR="00332FC1" w:rsidRPr="009978FE">
        <w:rPr>
          <w:rFonts w:cs="Arial"/>
          <w:b/>
          <w:iCs/>
          <w:spacing w:val="-3"/>
          <w:sz w:val="16"/>
          <w:szCs w:val="16"/>
          <w:lang w:val="es-ES"/>
        </w:rPr>
        <w:t xml:space="preserve">en el </w:t>
      </w:r>
      <w:proofErr w:type="spellStart"/>
      <w:r w:rsidR="00332FC1" w:rsidRPr="009978FE">
        <w:rPr>
          <w:rFonts w:cs="Arial"/>
          <w:b/>
          <w:iCs/>
          <w:spacing w:val="-3"/>
          <w:sz w:val="16"/>
          <w:szCs w:val="16"/>
          <w:lang w:val="es-ES"/>
        </w:rPr>
        <w:t>subnumeral</w:t>
      </w:r>
      <w:proofErr w:type="spellEnd"/>
      <w:r w:rsidR="00332FC1" w:rsidRPr="009978FE">
        <w:rPr>
          <w:rFonts w:cs="Arial"/>
          <w:b/>
          <w:iCs/>
          <w:spacing w:val="-3"/>
          <w:sz w:val="16"/>
          <w:szCs w:val="16"/>
          <w:lang w:val="es-ES"/>
        </w:rPr>
        <w:t xml:space="preserve"> 4.2.2.2.1.1.3. del </w:t>
      </w:r>
      <w:r w:rsidR="00332FC1" w:rsidRPr="009978FE">
        <w:rPr>
          <w:rFonts w:cs="Arial"/>
          <w:b/>
          <w:bCs/>
          <w:spacing w:val="-3"/>
          <w:sz w:val="16"/>
          <w:szCs w:val="16"/>
          <w:lang w:val="es-CO"/>
        </w:rPr>
        <w:t>Capítulo IV del Título IV de la Parte I de la CBJ</w:t>
      </w:r>
      <w:r w:rsidR="000520F6" w:rsidRPr="00332FC1">
        <w:rPr>
          <w:rFonts w:cs="Arial"/>
          <w:b/>
          <w:spacing w:val="-3"/>
          <w:sz w:val="16"/>
          <w:szCs w:val="16"/>
        </w:rPr>
        <w:t>, de manera previa a que la sociedad administradora proceda a entregar y/o trasladar los recursos administrados.</w:t>
      </w:r>
      <w:r w:rsidR="000520F6">
        <w:rPr>
          <w:rFonts w:cs="Arial"/>
          <w:b/>
          <w:spacing w:val="-3"/>
          <w:sz w:val="16"/>
          <w:szCs w:val="16"/>
        </w:rPr>
        <w:t xml:space="preserve"> </w:t>
      </w:r>
    </w:p>
    <w:p w14:paraId="05C1A0B7" w14:textId="703F4742" w:rsidR="00220193" w:rsidRDefault="00220193" w:rsidP="000520F6">
      <w:pPr>
        <w:pBdr>
          <w:left w:val="single" w:sz="4" w:space="1" w:color="auto"/>
        </w:pBdr>
        <w:rPr>
          <w:rFonts w:cs="Arial"/>
          <w:b/>
          <w:spacing w:val="-3"/>
          <w:sz w:val="16"/>
          <w:szCs w:val="16"/>
        </w:rPr>
      </w:pPr>
    </w:p>
    <w:p w14:paraId="49AA76E6" w14:textId="77777777" w:rsidR="000520F6" w:rsidRDefault="000520F6" w:rsidP="002E7B60">
      <w:pPr>
        <w:tabs>
          <w:tab w:val="left" w:pos="3450"/>
        </w:tabs>
      </w:pPr>
    </w:p>
    <w:sectPr w:rsidR="000520F6" w:rsidSect="000520F6">
      <w:headerReference w:type="default" r:id="rId16"/>
      <w:footerReference w:type="default" r:id="rId17"/>
      <w:pgSz w:w="12240" w:h="18720" w:code="14"/>
      <w:pgMar w:top="1418" w:right="1701" w:bottom="1418" w:left="1701" w:header="1134" w:footer="1134" w:gutter="0"/>
      <w:paperSrc w:first="15" w:other="15"/>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5EA7A" w14:textId="77777777" w:rsidR="00B568F5" w:rsidRDefault="00B568F5" w:rsidP="000B24E6">
      <w:r>
        <w:separator/>
      </w:r>
    </w:p>
  </w:endnote>
  <w:endnote w:type="continuationSeparator" w:id="0">
    <w:p w14:paraId="78573C65" w14:textId="77777777" w:rsidR="00B568F5" w:rsidRDefault="00B568F5" w:rsidP="000B2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D0A9B" w14:textId="77777777" w:rsidR="00C22141" w:rsidRDefault="00C22141" w:rsidP="004678E7">
    <w:pPr>
      <w:pStyle w:val="Piedepgina"/>
      <w:rPr>
        <w:rFonts w:cs="Arial"/>
        <w:b/>
        <w:szCs w:val="18"/>
        <w:lang w:val="pt-BR"/>
      </w:rPr>
    </w:pPr>
  </w:p>
  <w:p w14:paraId="1DBCAF2F" w14:textId="77777777" w:rsidR="000520F6" w:rsidRDefault="00C22141" w:rsidP="004678E7">
    <w:pPr>
      <w:pStyle w:val="Piedepgina"/>
      <w:rPr>
        <w:rFonts w:cs="Arial"/>
        <w:b/>
        <w:szCs w:val="18"/>
        <w:lang w:val="pt-BR"/>
      </w:rPr>
    </w:pPr>
    <w:r>
      <w:rPr>
        <w:rFonts w:cs="Arial"/>
        <w:b/>
        <w:szCs w:val="18"/>
        <w:lang w:val="pt-BR"/>
      </w:rPr>
      <w:t>PARTE II – TÍTULO III – CAPÍTULO VII</w:t>
    </w:r>
  </w:p>
  <w:p w14:paraId="6A994D80" w14:textId="414A890E" w:rsidR="00C22141" w:rsidRPr="006E4F60" w:rsidRDefault="000520F6" w:rsidP="004678E7">
    <w:pPr>
      <w:pStyle w:val="Piedepgina"/>
      <w:rPr>
        <w:lang w:val="pt-BR"/>
      </w:rPr>
    </w:pPr>
    <w:r>
      <w:rPr>
        <w:rFonts w:cs="Arial"/>
        <w:b/>
        <w:szCs w:val="18"/>
        <w:lang w:val="pt-BR"/>
      </w:rPr>
      <w:t xml:space="preserve">Circular </w:t>
    </w:r>
    <w:proofErr w:type="gramStart"/>
    <w:r>
      <w:rPr>
        <w:rFonts w:cs="Arial"/>
        <w:b/>
        <w:szCs w:val="18"/>
        <w:lang w:val="pt-BR"/>
      </w:rPr>
      <w:t xml:space="preserve">Externa  </w:t>
    </w:r>
    <w:r w:rsidR="00BB38D7">
      <w:rPr>
        <w:rFonts w:cs="Arial"/>
        <w:b/>
        <w:szCs w:val="18"/>
        <w:lang w:val="pt-BR"/>
      </w:rPr>
      <w:t>027</w:t>
    </w:r>
    <w:proofErr w:type="gramEnd"/>
    <w:r w:rsidR="00BB38D7">
      <w:rPr>
        <w:rFonts w:cs="Arial"/>
        <w:b/>
        <w:szCs w:val="18"/>
        <w:lang w:val="pt-BR"/>
      </w:rPr>
      <w:t xml:space="preserve"> </w:t>
    </w:r>
    <w:r>
      <w:rPr>
        <w:rFonts w:cs="Arial"/>
        <w:b/>
        <w:szCs w:val="18"/>
        <w:lang w:val="pt-BR"/>
      </w:rPr>
      <w:t xml:space="preserve"> de 20</w:t>
    </w:r>
    <w:r w:rsidR="00A814E7">
      <w:rPr>
        <w:rFonts w:cs="Arial"/>
        <w:b/>
        <w:szCs w:val="18"/>
        <w:lang w:val="pt-BR"/>
      </w:rPr>
      <w:t>20</w:t>
    </w:r>
    <w:r>
      <w:rPr>
        <w:rFonts w:cs="Arial"/>
        <w:b/>
        <w:szCs w:val="18"/>
        <w:lang w:val="es-CO"/>
      </w:rPr>
      <w:t xml:space="preserve">                                                                                            </w:t>
    </w:r>
    <w:r w:rsidR="00612749">
      <w:rPr>
        <w:rFonts w:cs="Arial"/>
        <w:b/>
        <w:szCs w:val="18"/>
        <w:lang w:val="es-CO"/>
      </w:rPr>
      <w:t xml:space="preserve">Septiembre </w:t>
    </w:r>
    <w:r>
      <w:rPr>
        <w:rFonts w:cs="Arial"/>
        <w:b/>
        <w:szCs w:val="18"/>
        <w:lang w:val="es-CO"/>
      </w:rPr>
      <w:t>de 20</w:t>
    </w:r>
    <w:r w:rsidR="00A814E7">
      <w:rPr>
        <w:rFonts w:cs="Arial"/>
        <w:b/>
        <w:szCs w:val="18"/>
        <w:lang w:val="es-CO"/>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F06AC" w14:textId="77777777" w:rsidR="0034396E" w:rsidRPr="00D806B8" w:rsidRDefault="0034396E" w:rsidP="00AC63A1">
    <w:pPr>
      <w:framePr w:wrap="around" w:vAnchor="text" w:hAnchor="page" w:x="10426" w:y="187"/>
      <w:tabs>
        <w:tab w:val="center" w:pos="4252"/>
        <w:tab w:val="right" w:pos="8504"/>
      </w:tabs>
      <w:rPr>
        <w:rFonts w:cs="Arial"/>
        <w:b/>
        <w:szCs w:val="18"/>
      </w:rPr>
    </w:pPr>
    <w:r>
      <w:rPr>
        <w:rFonts w:cs="Arial"/>
        <w:b/>
        <w:szCs w:val="18"/>
      </w:rPr>
      <w:fldChar w:fldCharType="begin"/>
    </w:r>
    <w:r>
      <w:rPr>
        <w:rFonts w:cs="Arial"/>
        <w:b/>
        <w:szCs w:val="18"/>
      </w:rPr>
      <w:instrText>PAGE</w:instrText>
    </w:r>
    <w:r w:rsidRPr="00D806B8">
      <w:rPr>
        <w:rFonts w:cs="Arial"/>
        <w:b/>
        <w:szCs w:val="18"/>
      </w:rPr>
      <w:instrText xml:space="preserve">  </w:instrText>
    </w:r>
    <w:r>
      <w:rPr>
        <w:rFonts w:cs="Arial"/>
        <w:b/>
        <w:szCs w:val="18"/>
      </w:rPr>
      <w:fldChar w:fldCharType="separate"/>
    </w:r>
    <w:r>
      <w:rPr>
        <w:rFonts w:cs="Arial"/>
        <w:b/>
        <w:noProof/>
        <w:szCs w:val="18"/>
      </w:rPr>
      <w:t>5</w:t>
    </w:r>
    <w:r>
      <w:rPr>
        <w:rFonts w:cs="Arial"/>
        <w:b/>
        <w:szCs w:val="18"/>
      </w:rPr>
      <w:fldChar w:fldCharType="end"/>
    </w:r>
  </w:p>
  <w:p w14:paraId="6EDFE71F" w14:textId="77777777" w:rsidR="0034396E" w:rsidRDefault="0034396E" w:rsidP="004678E7">
    <w:pPr>
      <w:pStyle w:val="Piedepgina"/>
      <w:rPr>
        <w:rFonts w:cs="Arial"/>
        <w:b/>
        <w:szCs w:val="18"/>
        <w:lang w:val="pt-BR"/>
      </w:rPr>
    </w:pPr>
  </w:p>
  <w:p w14:paraId="1EB28D2B" w14:textId="77777777" w:rsidR="0034396E" w:rsidRPr="006E4F60" w:rsidRDefault="0034396E" w:rsidP="004678E7">
    <w:pPr>
      <w:pStyle w:val="Piedepgina"/>
      <w:rPr>
        <w:lang w:val="pt-BR"/>
      </w:rPr>
    </w:pPr>
    <w:r>
      <w:rPr>
        <w:rFonts w:cs="Arial"/>
        <w:b/>
        <w:szCs w:val="18"/>
        <w:lang w:val="pt-BR"/>
      </w:rPr>
      <w:t>PARTE II – TÍTULO III – CAPÍTULO VII</w:t>
    </w:r>
    <w:r>
      <w:rPr>
        <w:rFonts w:cs="Arial"/>
        <w:b/>
        <w:szCs w:val="18"/>
        <w:lang w:val="pt-BR"/>
      </w:rPr>
      <w:tab/>
    </w:r>
    <w:r>
      <w:rPr>
        <w:rFonts w:cs="Arial"/>
        <w:b/>
        <w:szCs w:val="18"/>
        <w:lang w:val="pt-BR"/>
      </w:rPr>
      <w:tab/>
      <w:t>PÁGINA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54E9A" w14:textId="77777777" w:rsidR="000520F6" w:rsidRPr="00D806B8" w:rsidRDefault="00BC4621" w:rsidP="00AC63A1">
    <w:pPr>
      <w:framePr w:wrap="around" w:vAnchor="text" w:hAnchor="page" w:x="10426" w:y="187"/>
      <w:tabs>
        <w:tab w:val="center" w:pos="4252"/>
        <w:tab w:val="right" w:pos="8504"/>
      </w:tabs>
      <w:rPr>
        <w:rFonts w:cs="Arial"/>
        <w:b/>
        <w:szCs w:val="18"/>
      </w:rPr>
    </w:pPr>
    <w:r>
      <w:rPr>
        <w:rFonts w:cs="Arial"/>
        <w:b/>
        <w:szCs w:val="18"/>
      </w:rPr>
      <w:t>5</w:t>
    </w:r>
  </w:p>
  <w:p w14:paraId="319559BD" w14:textId="77777777" w:rsidR="000520F6" w:rsidRDefault="000520F6" w:rsidP="004678E7">
    <w:pPr>
      <w:pStyle w:val="Piedepgina"/>
      <w:rPr>
        <w:rFonts w:cs="Arial"/>
        <w:b/>
        <w:szCs w:val="18"/>
        <w:lang w:val="pt-BR"/>
      </w:rPr>
    </w:pPr>
  </w:p>
  <w:p w14:paraId="49A081CC" w14:textId="77777777" w:rsidR="000520F6" w:rsidRDefault="000520F6" w:rsidP="004678E7">
    <w:pPr>
      <w:pStyle w:val="Piedepgina"/>
      <w:rPr>
        <w:rFonts w:cs="Arial"/>
        <w:b/>
        <w:szCs w:val="18"/>
        <w:lang w:val="pt-BR"/>
      </w:rPr>
    </w:pPr>
    <w:r>
      <w:rPr>
        <w:rFonts w:cs="Arial"/>
        <w:b/>
        <w:szCs w:val="18"/>
        <w:lang w:val="pt-BR"/>
      </w:rPr>
      <w:t>PARTE II – TÍTULO III – CAPÍTULO VII</w:t>
    </w:r>
    <w:r>
      <w:rPr>
        <w:rFonts w:cs="Arial"/>
        <w:b/>
        <w:szCs w:val="18"/>
        <w:lang w:val="pt-BR"/>
      </w:rPr>
      <w:tab/>
    </w:r>
    <w:r>
      <w:rPr>
        <w:rFonts w:cs="Arial"/>
        <w:b/>
        <w:szCs w:val="18"/>
        <w:lang w:val="pt-BR"/>
      </w:rPr>
      <w:tab/>
      <w:t>PÁGINA</w:t>
    </w:r>
  </w:p>
  <w:p w14:paraId="2DA05CA8" w14:textId="26B52A6F" w:rsidR="000520F6" w:rsidRPr="006E4F60" w:rsidRDefault="000520F6" w:rsidP="000520F6">
    <w:pPr>
      <w:pStyle w:val="Piedepgina"/>
      <w:rPr>
        <w:lang w:val="pt-BR"/>
      </w:rPr>
    </w:pPr>
    <w:r>
      <w:rPr>
        <w:rFonts w:cs="Arial"/>
        <w:b/>
        <w:szCs w:val="18"/>
        <w:lang w:val="pt-BR"/>
      </w:rPr>
      <w:t xml:space="preserve">Circular Externa </w:t>
    </w:r>
    <w:proofErr w:type="gramStart"/>
    <w:r w:rsidR="00BB38D7">
      <w:rPr>
        <w:rFonts w:cs="Arial"/>
        <w:b/>
        <w:szCs w:val="18"/>
        <w:lang w:val="pt-BR"/>
      </w:rPr>
      <w:t>027</w:t>
    </w:r>
    <w:r>
      <w:rPr>
        <w:rFonts w:cs="Arial"/>
        <w:b/>
        <w:szCs w:val="18"/>
        <w:lang w:val="pt-BR"/>
      </w:rPr>
      <w:t xml:space="preserve">  de</w:t>
    </w:r>
    <w:proofErr w:type="gramEnd"/>
    <w:r>
      <w:rPr>
        <w:rFonts w:cs="Arial"/>
        <w:b/>
        <w:szCs w:val="18"/>
        <w:lang w:val="pt-BR"/>
      </w:rPr>
      <w:t xml:space="preserve"> 20</w:t>
    </w:r>
    <w:r w:rsidR="00A814E7">
      <w:rPr>
        <w:rFonts w:cs="Arial"/>
        <w:b/>
        <w:szCs w:val="18"/>
        <w:lang w:val="pt-BR"/>
      </w:rPr>
      <w:t>20</w:t>
    </w:r>
    <w:r>
      <w:rPr>
        <w:rFonts w:cs="Arial"/>
        <w:b/>
        <w:szCs w:val="18"/>
        <w:lang w:val="es-CO"/>
      </w:rPr>
      <w:t xml:space="preserve">                                                                                           </w:t>
    </w:r>
    <w:r w:rsidR="00612749">
      <w:rPr>
        <w:rFonts w:cs="Arial"/>
        <w:b/>
        <w:szCs w:val="18"/>
        <w:lang w:val="es-CO"/>
      </w:rPr>
      <w:t xml:space="preserve">Septiembre </w:t>
    </w:r>
    <w:r>
      <w:rPr>
        <w:rFonts w:cs="Arial"/>
        <w:b/>
        <w:szCs w:val="18"/>
        <w:lang w:val="es-CO"/>
      </w:rPr>
      <w:t>de 20</w:t>
    </w:r>
    <w:r w:rsidR="00A814E7">
      <w:rPr>
        <w:rFonts w:cs="Arial"/>
        <w:b/>
        <w:szCs w:val="18"/>
        <w:lang w:val="es-CO"/>
      </w:rPr>
      <w:t>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D8E3B" w14:textId="77777777" w:rsidR="00BC4621" w:rsidRPr="00D806B8" w:rsidRDefault="00BC4621" w:rsidP="00AC63A1">
    <w:pPr>
      <w:framePr w:wrap="around" w:vAnchor="text" w:hAnchor="page" w:x="10426" w:y="187"/>
      <w:tabs>
        <w:tab w:val="center" w:pos="4252"/>
        <w:tab w:val="right" w:pos="8504"/>
      </w:tabs>
      <w:rPr>
        <w:rFonts w:cs="Arial"/>
        <w:b/>
        <w:szCs w:val="18"/>
      </w:rPr>
    </w:pPr>
    <w:r>
      <w:rPr>
        <w:rFonts w:cs="Arial"/>
        <w:b/>
        <w:szCs w:val="18"/>
      </w:rPr>
      <w:t>6</w:t>
    </w:r>
  </w:p>
  <w:p w14:paraId="46966A7D" w14:textId="77777777" w:rsidR="00BC4621" w:rsidRPr="00BC4621" w:rsidRDefault="00BC4621" w:rsidP="004678E7">
    <w:pPr>
      <w:pStyle w:val="Piedepgina"/>
      <w:rPr>
        <w:rFonts w:cs="Arial"/>
        <w:b/>
        <w:szCs w:val="18"/>
        <w:lang w:val="es-ES_tradnl"/>
      </w:rPr>
    </w:pPr>
  </w:p>
  <w:p w14:paraId="13801D65" w14:textId="77777777" w:rsidR="00BC4621" w:rsidRDefault="00BC4621" w:rsidP="004678E7">
    <w:pPr>
      <w:pStyle w:val="Piedepgina"/>
      <w:rPr>
        <w:rFonts w:cs="Arial"/>
        <w:b/>
        <w:szCs w:val="18"/>
        <w:lang w:val="pt-BR"/>
      </w:rPr>
    </w:pPr>
    <w:r>
      <w:rPr>
        <w:rFonts w:cs="Arial"/>
        <w:b/>
        <w:szCs w:val="18"/>
        <w:lang w:val="pt-BR"/>
      </w:rPr>
      <w:t>PARTE II – TÍTULO III – CAPÍTULO VII</w:t>
    </w:r>
    <w:r>
      <w:rPr>
        <w:rFonts w:cs="Arial"/>
        <w:b/>
        <w:szCs w:val="18"/>
        <w:lang w:val="pt-BR"/>
      </w:rPr>
      <w:tab/>
    </w:r>
    <w:r>
      <w:rPr>
        <w:rFonts w:cs="Arial"/>
        <w:b/>
        <w:szCs w:val="18"/>
        <w:lang w:val="pt-BR"/>
      </w:rPr>
      <w:tab/>
      <w:t>PÁGINA</w:t>
    </w:r>
  </w:p>
  <w:p w14:paraId="34F47951" w14:textId="30EDAF15" w:rsidR="00BC4621" w:rsidRPr="006E4F60" w:rsidRDefault="00BC4621" w:rsidP="000520F6">
    <w:pPr>
      <w:pStyle w:val="Piedepgina"/>
      <w:rPr>
        <w:lang w:val="pt-BR"/>
      </w:rPr>
    </w:pPr>
    <w:r>
      <w:rPr>
        <w:rFonts w:cs="Arial"/>
        <w:b/>
        <w:szCs w:val="18"/>
        <w:lang w:val="pt-BR"/>
      </w:rPr>
      <w:t xml:space="preserve">Circular </w:t>
    </w:r>
    <w:proofErr w:type="gramStart"/>
    <w:r>
      <w:rPr>
        <w:rFonts w:cs="Arial"/>
        <w:b/>
        <w:szCs w:val="18"/>
        <w:lang w:val="pt-BR"/>
      </w:rPr>
      <w:t xml:space="preserve">Externa  </w:t>
    </w:r>
    <w:r w:rsidR="00BB38D7">
      <w:rPr>
        <w:rFonts w:cs="Arial"/>
        <w:b/>
        <w:szCs w:val="18"/>
        <w:lang w:val="pt-BR"/>
      </w:rPr>
      <w:t>027</w:t>
    </w:r>
    <w:proofErr w:type="gramEnd"/>
    <w:r>
      <w:rPr>
        <w:rFonts w:cs="Arial"/>
        <w:b/>
        <w:szCs w:val="18"/>
        <w:lang w:val="pt-BR"/>
      </w:rPr>
      <w:t xml:space="preserve">  de 20</w:t>
    </w:r>
    <w:r w:rsidR="00A814E7">
      <w:rPr>
        <w:rFonts w:cs="Arial"/>
        <w:b/>
        <w:szCs w:val="18"/>
        <w:lang w:val="pt-BR"/>
      </w:rPr>
      <w:t>20</w:t>
    </w:r>
    <w:r>
      <w:rPr>
        <w:rFonts w:cs="Arial"/>
        <w:b/>
        <w:szCs w:val="18"/>
        <w:lang w:val="es-CO"/>
      </w:rPr>
      <w:t xml:space="preserve">                                                                                          </w:t>
    </w:r>
    <w:r w:rsidR="00780FEC">
      <w:rPr>
        <w:rFonts w:cs="Arial"/>
        <w:b/>
        <w:szCs w:val="18"/>
        <w:lang w:val="es-CO"/>
      </w:rPr>
      <w:t xml:space="preserve">Septiembre </w:t>
    </w:r>
    <w:r>
      <w:rPr>
        <w:rFonts w:cs="Arial"/>
        <w:b/>
        <w:szCs w:val="18"/>
        <w:lang w:val="es-CO"/>
      </w:rPr>
      <w:t>de 20</w:t>
    </w:r>
    <w:r w:rsidR="00A814E7">
      <w:rPr>
        <w:rFonts w:cs="Arial"/>
        <w:b/>
        <w:szCs w:val="18"/>
        <w:lang w:val="es-CO"/>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4CDDB" w14:textId="77777777" w:rsidR="00B568F5" w:rsidRDefault="00B568F5" w:rsidP="000B24E6">
      <w:r>
        <w:separator/>
      </w:r>
    </w:p>
  </w:footnote>
  <w:footnote w:type="continuationSeparator" w:id="0">
    <w:p w14:paraId="027B7D79" w14:textId="77777777" w:rsidR="00B568F5" w:rsidRDefault="00B568F5" w:rsidP="000B2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EA463" w14:textId="77777777" w:rsidR="00C22141" w:rsidRDefault="00C22141" w:rsidP="00567FEA">
    <w:pPr>
      <w:pStyle w:val="Encabezado"/>
      <w:ind w:right="357"/>
      <w:jc w:val="center"/>
      <w:rPr>
        <w:rFonts w:cs="Arial"/>
        <w:b/>
        <w:sz w:val="24"/>
        <w:szCs w:val="24"/>
      </w:rPr>
    </w:pPr>
    <w:r>
      <w:rPr>
        <w:rFonts w:cs="Arial"/>
        <w:b/>
        <w:sz w:val="24"/>
        <w:szCs w:val="24"/>
      </w:rPr>
      <w:t>SUPERINTENDENCIA FINANCIERA DE COLOMBIA</w:t>
    </w:r>
  </w:p>
  <w:p w14:paraId="254549A6" w14:textId="77777777" w:rsidR="00C22141" w:rsidRDefault="00C22141" w:rsidP="00567FEA">
    <w:pPr>
      <w:pStyle w:val="Encabezado"/>
      <w:ind w:right="35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181FD" w14:textId="77777777" w:rsidR="00BC4621" w:rsidRDefault="00BC4621" w:rsidP="00567FEA">
    <w:pPr>
      <w:pStyle w:val="Encabezado"/>
      <w:ind w:right="357"/>
      <w:jc w:val="center"/>
      <w:rPr>
        <w:rFonts w:cs="Arial"/>
        <w:b/>
        <w:sz w:val="24"/>
        <w:szCs w:val="24"/>
      </w:rPr>
    </w:pPr>
    <w:r>
      <w:rPr>
        <w:rFonts w:cs="Arial"/>
        <w:b/>
        <w:sz w:val="24"/>
        <w:szCs w:val="24"/>
      </w:rPr>
      <w:t>SUPERINTENDENCIA FINANCIERA DE COLOMBIA</w:t>
    </w:r>
  </w:p>
  <w:p w14:paraId="73C4A6E4" w14:textId="77777777" w:rsidR="00BC4621" w:rsidRDefault="00BC4621" w:rsidP="00567FEA">
    <w:pPr>
      <w:pStyle w:val="Encabezado"/>
      <w:ind w:right="357"/>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D03E9" w14:textId="77777777" w:rsidR="00BC4621" w:rsidRDefault="00BC4621" w:rsidP="00567FEA">
    <w:pPr>
      <w:pStyle w:val="Encabezado"/>
      <w:ind w:right="357"/>
      <w:jc w:val="center"/>
      <w:rPr>
        <w:rFonts w:cs="Arial"/>
        <w:b/>
        <w:sz w:val="24"/>
        <w:szCs w:val="24"/>
      </w:rPr>
    </w:pPr>
    <w:r>
      <w:rPr>
        <w:rFonts w:cs="Arial"/>
        <w:b/>
        <w:sz w:val="24"/>
        <w:szCs w:val="24"/>
      </w:rPr>
      <w:t>SUPERINTENDENCIA FINANCIERA DE COLOMBIA</w:t>
    </w:r>
  </w:p>
  <w:p w14:paraId="5AFBE5AC" w14:textId="77777777" w:rsidR="00BC4621" w:rsidRDefault="00BC4621" w:rsidP="00567FEA">
    <w:pPr>
      <w:pStyle w:val="Encabezado"/>
      <w:ind w:right="35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130F67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D54F88"/>
    <w:multiLevelType w:val="hybridMultilevel"/>
    <w:tmpl w:val="C2AA8F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91CC6"/>
    <w:multiLevelType w:val="hybridMultilevel"/>
    <w:tmpl w:val="CE62FEB8"/>
    <w:lvl w:ilvl="0" w:tplc="240A0001">
      <w:start w:val="1"/>
      <w:numFmt w:val="bullet"/>
      <w:lvlText w:val=""/>
      <w:lvlJc w:val="left"/>
      <w:pPr>
        <w:tabs>
          <w:tab w:val="num" w:pos="720"/>
        </w:tabs>
        <w:ind w:left="720" w:hanging="360"/>
      </w:pPr>
      <w:rPr>
        <w:rFonts w:ascii="Symbol" w:hAnsi="Symbol" w:hint="default"/>
      </w:rPr>
    </w:lvl>
    <w:lvl w:ilvl="1" w:tplc="240A0003" w:tentative="1">
      <w:start w:val="1"/>
      <w:numFmt w:val="bullet"/>
      <w:lvlText w:val="o"/>
      <w:lvlJc w:val="left"/>
      <w:pPr>
        <w:tabs>
          <w:tab w:val="num" w:pos="1440"/>
        </w:tabs>
        <w:ind w:left="1440" w:hanging="360"/>
      </w:pPr>
      <w:rPr>
        <w:rFonts w:ascii="Courier New" w:hAnsi="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6B017D"/>
    <w:multiLevelType w:val="multilevel"/>
    <w:tmpl w:val="9ED6171E"/>
    <w:lvl w:ilvl="0">
      <w:start w:val="1"/>
      <w:numFmt w:val="decimal"/>
      <w:lvlText w:val="%1."/>
      <w:lvlJc w:val="left"/>
      <w:pPr>
        <w:tabs>
          <w:tab w:val="num" w:pos="450"/>
        </w:tabs>
        <w:ind w:left="450" w:hanging="450"/>
      </w:pPr>
      <w:rPr>
        <w:rFonts w:cs="Times New Roman" w:hint="default"/>
        <w:b/>
      </w:rPr>
    </w:lvl>
    <w:lvl w:ilvl="1">
      <w:start w:val="2"/>
      <w:numFmt w:val="decimal"/>
      <w:lvlText w:val="%1.3."/>
      <w:lvlJc w:val="left"/>
      <w:pPr>
        <w:tabs>
          <w:tab w:val="num" w:pos="450"/>
        </w:tabs>
        <w:ind w:left="450" w:hanging="450"/>
      </w:pPr>
      <w:rPr>
        <w:rFonts w:cs="Times New Roman" w:hint="default"/>
        <w:b/>
      </w:rPr>
    </w:lvl>
    <w:lvl w:ilvl="2">
      <w:start w:val="4"/>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 w15:restartNumberingAfterBreak="0">
    <w:nsid w:val="56037EE2"/>
    <w:multiLevelType w:val="hybridMultilevel"/>
    <w:tmpl w:val="635C43E8"/>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C5F1F3B"/>
    <w:multiLevelType w:val="hybridMultilevel"/>
    <w:tmpl w:val="BB3A155E"/>
    <w:lvl w:ilvl="0" w:tplc="0C0A0001">
      <w:start w:val="1"/>
      <w:numFmt w:val="bullet"/>
      <w:lvlText w:val=""/>
      <w:lvlJc w:val="left"/>
      <w:pPr>
        <w:tabs>
          <w:tab w:val="num" w:pos="360"/>
        </w:tabs>
        <w:ind w:left="360" w:hanging="360"/>
      </w:pPr>
      <w:rPr>
        <w:rFonts w:ascii="Symbol" w:hAnsi="Symbol" w:hint="default"/>
      </w:rPr>
    </w:lvl>
    <w:lvl w:ilvl="1" w:tplc="2FBA6560">
      <w:start w:val="3"/>
      <w:numFmt w:val="bullet"/>
      <w:lvlText w:val="-"/>
      <w:lvlJc w:val="left"/>
      <w:pPr>
        <w:tabs>
          <w:tab w:val="num" w:pos="1080"/>
        </w:tabs>
        <w:ind w:left="1080" w:hanging="360"/>
      </w:pPr>
      <w:rPr>
        <w:rFonts w:ascii="Arial" w:eastAsia="Times New Roman" w:hAnsi="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FD44009"/>
    <w:multiLevelType w:val="hybridMultilevel"/>
    <w:tmpl w:val="1B365286"/>
    <w:lvl w:ilvl="0" w:tplc="240A000B">
      <w:start w:val="1"/>
      <w:numFmt w:val="bullet"/>
      <w:lvlText w:val=""/>
      <w:lvlJc w:val="left"/>
      <w:pPr>
        <w:tabs>
          <w:tab w:val="num" w:pos="720"/>
        </w:tabs>
        <w:ind w:left="720" w:hanging="360"/>
      </w:pPr>
      <w:rPr>
        <w:rFonts w:ascii="Wingdings" w:hAnsi="Wingdings" w:hint="default"/>
      </w:rPr>
    </w:lvl>
    <w:lvl w:ilvl="1" w:tplc="240A0001">
      <w:start w:val="1"/>
      <w:numFmt w:val="bullet"/>
      <w:lvlText w:val=""/>
      <w:lvlJc w:val="left"/>
      <w:pPr>
        <w:tabs>
          <w:tab w:val="num" w:pos="1440"/>
        </w:tabs>
        <w:ind w:left="1440" w:hanging="360"/>
      </w:pPr>
      <w:rPr>
        <w:rFonts w:ascii="Symbol" w:hAnsi="Symbol"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E7"/>
    <w:rsid w:val="00014337"/>
    <w:rsid w:val="00027992"/>
    <w:rsid w:val="00031576"/>
    <w:rsid w:val="00035740"/>
    <w:rsid w:val="000456FC"/>
    <w:rsid w:val="000520F6"/>
    <w:rsid w:val="00076D04"/>
    <w:rsid w:val="00086C2D"/>
    <w:rsid w:val="000A64C3"/>
    <w:rsid w:val="000B0CE1"/>
    <w:rsid w:val="000B24E6"/>
    <w:rsid w:val="000B2CD7"/>
    <w:rsid w:val="000B5D73"/>
    <w:rsid w:val="000F2945"/>
    <w:rsid w:val="000F5CAA"/>
    <w:rsid w:val="00106069"/>
    <w:rsid w:val="00122BC5"/>
    <w:rsid w:val="00137E48"/>
    <w:rsid w:val="00143601"/>
    <w:rsid w:val="0017094A"/>
    <w:rsid w:val="001C4F74"/>
    <w:rsid w:val="001F735A"/>
    <w:rsid w:val="002032FD"/>
    <w:rsid w:val="00220193"/>
    <w:rsid w:val="00262B37"/>
    <w:rsid w:val="002651F1"/>
    <w:rsid w:val="0026690C"/>
    <w:rsid w:val="00280689"/>
    <w:rsid w:val="0028492D"/>
    <w:rsid w:val="00296128"/>
    <w:rsid w:val="002C5A58"/>
    <w:rsid w:val="002E3E41"/>
    <w:rsid w:val="002E7B60"/>
    <w:rsid w:val="002F0935"/>
    <w:rsid w:val="002F63E3"/>
    <w:rsid w:val="00301F00"/>
    <w:rsid w:val="00305EBD"/>
    <w:rsid w:val="003066A8"/>
    <w:rsid w:val="00310EDD"/>
    <w:rsid w:val="00323650"/>
    <w:rsid w:val="00332C1A"/>
    <w:rsid w:val="00332FC1"/>
    <w:rsid w:val="0034396E"/>
    <w:rsid w:val="00350516"/>
    <w:rsid w:val="003512D7"/>
    <w:rsid w:val="004678E7"/>
    <w:rsid w:val="004710E6"/>
    <w:rsid w:val="004A776B"/>
    <w:rsid w:val="004D0A18"/>
    <w:rsid w:val="004F68F4"/>
    <w:rsid w:val="00513A46"/>
    <w:rsid w:val="0052431F"/>
    <w:rsid w:val="00535550"/>
    <w:rsid w:val="0054585B"/>
    <w:rsid w:val="00556BCB"/>
    <w:rsid w:val="00567FEA"/>
    <w:rsid w:val="00585576"/>
    <w:rsid w:val="005A1C15"/>
    <w:rsid w:val="005C6C4F"/>
    <w:rsid w:val="00612749"/>
    <w:rsid w:val="00624E9C"/>
    <w:rsid w:val="0065369C"/>
    <w:rsid w:val="0065700F"/>
    <w:rsid w:val="00676A9D"/>
    <w:rsid w:val="00684A1B"/>
    <w:rsid w:val="006B7587"/>
    <w:rsid w:val="006C0B35"/>
    <w:rsid w:val="006C3895"/>
    <w:rsid w:val="006E4F60"/>
    <w:rsid w:val="0075232D"/>
    <w:rsid w:val="00763383"/>
    <w:rsid w:val="00780FEC"/>
    <w:rsid w:val="0079584B"/>
    <w:rsid w:val="007A2E56"/>
    <w:rsid w:val="007A4F34"/>
    <w:rsid w:val="007B2190"/>
    <w:rsid w:val="007B7478"/>
    <w:rsid w:val="007D2C2C"/>
    <w:rsid w:val="007D2D3B"/>
    <w:rsid w:val="007E3806"/>
    <w:rsid w:val="007F4EFF"/>
    <w:rsid w:val="0082451F"/>
    <w:rsid w:val="0083576A"/>
    <w:rsid w:val="00847F87"/>
    <w:rsid w:val="00850789"/>
    <w:rsid w:val="00876F40"/>
    <w:rsid w:val="0089542C"/>
    <w:rsid w:val="008A03CD"/>
    <w:rsid w:val="008A5918"/>
    <w:rsid w:val="008B5A9E"/>
    <w:rsid w:val="008F676F"/>
    <w:rsid w:val="0090738A"/>
    <w:rsid w:val="009139D9"/>
    <w:rsid w:val="00913B11"/>
    <w:rsid w:val="00932159"/>
    <w:rsid w:val="00935621"/>
    <w:rsid w:val="0098039D"/>
    <w:rsid w:val="009978FE"/>
    <w:rsid w:val="009A1D63"/>
    <w:rsid w:val="009A2C6B"/>
    <w:rsid w:val="009A59F8"/>
    <w:rsid w:val="009B5C71"/>
    <w:rsid w:val="009C28D9"/>
    <w:rsid w:val="009C38C4"/>
    <w:rsid w:val="009C475C"/>
    <w:rsid w:val="009D7F50"/>
    <w:rsid w:val="009E342C"/>
    <w:rsid w:val="009F056D"/>
    <w:rsid w:val="00A42277"/>
    <w:rsid w:val="00A44209"/>
    <w:rsid w:val="00A51BE7"/>
    <w:rsid w:val="00A665BE"/>
    <w:rsid w:val="00A66C5A"/>
    <w:rsid w:val="00A809CF"/>
    <w:rsid w:val="00A814E7"/>
    <w:rsid w:val="00AB0BFA"/>
    <w:rsid w:val="00AC63A1"/>
    <w:rsid w:val="00AF3020"/>
    <w:rsid w:val="00AF7E66"/>
    <w:rsid w:val="00B07FB1"/>
    <w:rsid w:val="00B103C0"/>
    <w:rsid w:val="00B220A1"/>
    <w:rsid w:val="00B27276"/>
    <w:rsid w:val="00B568F5"/>
    <w:rsid w:val="00B87F93"/>
    <w:rsid w:val="00BB38D7"/>
    <w:rsid w:val="00BC4621"/>
    <w:rsid w:val="00BC73A5"/>
    <w:rsid w:val="00BE42AA"/>
    <w:rsid w:val="00C00791"/>
    <w:rsid w:val="00C1793F"/>
    <w:rsid w:val="00C22141"/>
    <w:rsid w:val="00C231F6"/>
    <w:rsid w:val="00C247F4"/>
    <w:rsid w:val="00C25017"/>
    <w:rsid w:val="00C3235D"/>
    <w:rsid w:val="00C43916"/>
    <w:rsid w:val="00C5156B"/>
    <w:rsid w:val="00C556CA"/>
    <w:rsid w:val="00C6797B"/>
    <w:rsid w:val="00C976FD"/>
    <w:rsid w:val="00CA07BA"/>
    <w:rsid w:val="00CA1D09"/>
    <w:rsid w:val="00CB000C"/>
    <w:rsid w:val="00CB189C"/>
    <w:rsid w:val="00CB32BD"/>
    <w:rsid w:val="00CB3D6A"/>
    <w:rsid w:val="00CB7330"/>
    <w:rsid w:val="00CC7DA4"/>
    <w:rsid w:val="00D25DD4"/>
    <w:rsid w:val="00D31BF8"/>
    <w:rsid w:val="00D35A57"/>
    <w:rsid w:val="00D62F39"/>
    <w:rsid w:val="00D806B8"/>
    <w:rsid w:val="00DA6C89"/>
    <w:rsid w:val="00DC193C"/>
    <w:rsid w:val="00DE5A9C"/>
    <w:rsid w:val="00DF318D"/>
    <w:rsid w:val="00E02ED1"/>
    <w:rsid w:val="00E073FF"/>
    <w:rsid w:val="00E263BE"/>
    <w:rsid w:val="00E54399"/>
    <w:rsid w:val="00E73A57"/>
    <w:rsid w:val="00E837B1"/>
    <w:rsid w:val="00E908DA"/>
    <w:rsid w:val="00E96C1F"/>
    <w:rsid w:val="00E97A38"/>
    <w:rsid w:val="00EA517C"/>
    <w:rsid w:val="00EB5883"/>
    <w:rsid w:val="00EC5BBD"/>
    <w:rsid w:val="00ED0781"/>
    <w:rsid w:val="00ED237B"/>
    <w:rsid w:val="00EE3037"/>
    <w:rsid w:val="00EE48AA"/>
    <w:rsid w:val="00EE56B2"/>
    <w:rsid w:val="00EF4C5B"/>
    <w:rsid w:val="00F01082"/>
    <w:rsid w:val="00F01475"/>
    <w:rsid w:val="00F234A8"/>
    <w:rsid w:val="00F31AD3"/>
    <w:rsid w:val="00F43916"/>
    <w:rsid w:val="00F54C3C"/>
    <w:rsid w:val="00F61B5F"/>
    <w:rsid w:val="00F61BAD"/>
    <w:rsid w:val="00F626FA"/>
    <w:rsid w:val="00F958B5"/>
    <w:rsid w:val="00FA7F82"/>
    <w:rsid w:val="00FA7FF7"/>
    <w:rsid w:val="00FB6B49"/>
    <w:rsid w:val="00FC0692"/>
    <w:rsid w:val="00FC65CC"/>
    <w:rsid w:val="00FD193B"/>
    <w:rsid w:val="00FE4D9F"/>
    <w:rsid w:val="00FF26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45E996"/>
  <w15:chartTrackingRefBased/>
  <w15:docId w15:val="{FD759EB8-2510-A143-BB56-2B48B8CE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CO" w:eastAsia="es-ES_tradn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8E7"/>
    <w:pPr>
      <w:jc w:val="both"/>
    </w:pPr>
    <w:rPr>
      <w:rFonts w:ascii="Arial" w:hAnsi="Arial"/>
      <w:sz w:val="18"/>
      <w:lang w:val="es-ES_tradnl" w:eastAsia="es-CO"/>
    </w:rPr>
  </w:style>
  <w:style w:type="paragraph" w:styleId="Ttulo1">
    <w:name w:val="heading 1"/>
    <w:basedOn w:val="Normal"/>
    <w:next w:val="Normal"/>
    <w:link w:val="Ttulo1Car"/>
    <w:uiPriority w:val="99"/>
    <w:qFormat/>
    <w:rsid w:val="008A5918"/>
    <w:pPr>
      <w:keepNext/>
      <w:outlineLvl w:val="0"/>
    </w:pPr>
    <w:rPr>
      <w:b/>
      <w:bCs/>
      <w:caps/>
      <w:kern w:val="32"/>
      <w:sz w:val="16"/>
      <w:szCs w:val="32"/>
      <w:lang w:eastAsia="es-ES"/>
    </w:rPr>
  </w:style>
  <w:style w:type="paragraph" w:styleId="Ttulo2">
    <w:name w:val="heading 2"/>
    <w:basedOn w:val="Normal"/>
    <w:next w:val="Normal"/>
    <w:link w:val="Ttulo2Car"/>
    <w:uiPriority w:val="99"/>
    <w:qFormat/>
    <w:rsid w:val="008A5918"/>
    <w:pPr>
      <w:keepNext/>
      <w:outlineLvl w:val="1"/>
    </w:pPr>
    <w:rPr>
      <w:rFonts w:eastAsia="MS Gothic"/>
      <w:b/>
      <w:bCs/>
      <w:iCs/>
      <w:sz w:val="16"/>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A5918"/>
    <w:rPr>
      <w:rFonts w:ascii="Arial" w:hAnsi="Arial" w:cs="Times New Roman"/>
      <w:b/>
      <w:caps/>
      <w:kern w:val="32"/>
      <w:sz w:val="32"/>
      <w:lang w:val="es-ES_tradnl"/>
    </w:rPr>
  </w:style>
  <w:style w:type="character" w:customStyle="1" w:styleId="Ttulo2Car">
    <w:name w:val="Título 2 Car"/>
    <w:link w:val="Ttulo2"/>
    <w:uiPriority w:val="99"/>
    <w:locked/>
    <w:rsid w:val="008A5918"/>
    <w:rPr>
      <w:rFonts w:ascii="Arial" w:eastAsia="MS Gothic" w:hAnsi="Arial" w:cs="Times New Roman"/>
      <w:b/>
      <w:sz w:val="28"/>
      <w:lang w:val="es-ES_tradnl"/>
    </w:rPr>
  </w:style>
  <w:style w:type="paragraph" w:styleId="Encabezado">
    <w:name w:val="header"/>
    <w:basedOn w:val="Normal"/>
    <w:link w:val="EncabezadoCar"/>
    <w:uiPriority w:val="99"/>
    <w:rsid w:val="004678E7"/>
    <w:pPr>
      <w:tabs>
        <w:tab w:val="center" w:pos="4252"/>
        <w:tab w:val="right" w:pos="8504"/>
      </w:tabs>
    </w:pPr>
    <w:rPr>
      <w:lang w:val="es-ES"/>
    </w:rPr>
  </w:style>
  <w:style w:type="character" w:customStyle="1" w:styleId="EncabezadoCar">
    <w:name w:val="Encabezado Car"/>
    <w:link w:val="Encabezado"/>
    <w:uiPriority w:val="99"/>
    <w:locked/>
    <w:rsid w:val="004678E7"/>
    <w:rPr>
      <w:rFonts w:ascii="Arial" w:hAnsi="Arial" w:cs="Times New Roman"/>
      <w:sz w:val="20"/>
      <w:lang w:eastAsia="es-CO"/>
    </w:rPr>
  </w:style>
  <w:style w:type="character" w:styleId="Nmerodepgina">
    <w:name w:val="page number"/>
    <w:uiPriority w:val="99"/>
    <w:rsid w:val="004678E7"/>
    <w:rPr>
      <w:rFonts w:cs="Times New Roman"/>
    </w:rPr>
  </w:style>
  <w:style w:type="paragraph" w:styleId="Piedepgina">
    <w:name w:val="footer"/>
    <w:basedOn w:val="Normal"/>
    <w:link w:val="PiedepginaCar"/>
    <w:uiPriority w:val="99"/>
    <w:rsid w:val="004678E7"/>
    <w:pPr>
      <w:tabs>
        <w:tab w:val="center" w:pos="4252"/>
        <w:tab w:val="right" w:pos="8504"/>
      </w:tabs>
    </w:pPr>
    <w:rPr>
      <w:lang w:val="es-ES"/>
    </w:rPr>
  </w:style>
  <w:style w:type="character" w:customStyle="1" w:styleId="PiedepginaCar">
    <w:name w:val="Pie de página Car"/>
    <w:link w:val="Piedepgina"/>
    <w:uiPriority w:val="99"/>
    <w:locked/>
    <w:rsid w:val="004678E7"/>
    <w:rPr>
      <w:rFonts w:ascii="Arial" w:hAnsi="Arial" w:cs="Times New Roman"/>
      <w:sz w:val="20"/>
      <w:lang w:eastAsia="es-CO"/>
    </w:rPr>
  </w:style>
  <w:style w:type="character" w:styleId="Hipervnculo">
    <w:name w:val="Hyperlink"/>
    <w:uiPriority w:val="99"/>
    <w:rsid w:val="004678E7"/>
    <w:rPr>
      <w:rFonts w:cs="Times New Roman"/>
      <w:color w:val="6633CC"/>
      <w:u w:val="single"/>
    </w:rPr>
  </w:style>
  <w:style w:type="paragraph" w:customStyle="1" w:styleId="BodyText22">
    <w:name w:val="Body Text 22"/>
    <w:basedOn w:val="Normal"/>
    <w:uiPriority w:val="99"/>
    <w:rsid w:val="004678E7"/>
    <w:rPr>
      <w:spacing w:val="20"/>
      <w:sz w:val="16"/>
    </w:rPr>
  </w:style>
  <w:style w:type="paragraph" w:customStyle="1" w:styleId="cuerpodetexto">
    <w:name w:val="cuerpodetexto"/>
    <w:basedOn w:val="Normal"/>
    <w:uiPriority w:val="99"/>
    <w:rsid w:val="004678E7"/>
    <w:pPr>
      <w:spacing w:before="100" w:beforeAutospacing="1" w:after="100" w:afterAutospacing="1"/>
      <w:jc w:val="left"/>
    </w:pPr>
    <w:rPr>
      <w:rFonts w:ascii="Times New Roman" w:hAnsi="Times New Roman"/>
      <w:sz w:val="24"/>
      <w:szCs w:val="24"/>
      <w:lang w:val="es-ES" w:eastAsia="es-ES"/>
    </w:rPr>
  </w:style>
  <w:style w:type="paragraph" w:styleId="Textocomentario">
    <w:name w:val="annotation text"/>
    <w:basedOn w:val="Normal"/>
    <w:link w:val="TextocomentarioCar"/>
    <w:uiPriority w:val="99"/>
    <w:semiHidden/>
    <w:rsid w:val="004678E7"/>
    <w:rPr>
      <w:sz w:val="20"/>
      <w:lang w:val="es-ES"/>
    </w:rPr>
  </w:style>
  <w:style w:type="character" w:customStyle="1" w:styleId="TextocomentarioCar">
    <w:name w:val="Texto comentario Car"/>
    <w:link w:val="Textocomentario"/>
    <w:uiPriority w:val="99"/>
    <w:semiHidden/>
    <w:locked/>
    <w:rsid w:val="004678E7"/>
    <w:rPr>
      <w:rFonts w:ascii="Arial" w:hAnsi="Arial" w:cs="Times New Roman"/>
      <w:sz w:val="20"/>
      <w:lang w:eastAsia="es-CO"/>
    </w:rPr>
  </w:style>
  <w:style w:type="paragraph" w:styleId="Textodeglobo">
    <w:name w:val="Balloon Text"/>
    <w:basedOn w:val="Normal"/>
    <w:link w:val="TextodegloboCar"/>
    <w:uiPriority w:val="99"/>
    <w:semiHidden/>
    <w:rsid w:val="000B24E6"/>
    <w:rPr>
      <w:rFonts w:ascii="Lucida Grande" w:hAnsi="Lucida Grande"/>
      <w:szCs w:val="18"/>
      <w:lang w:val="es-ES"/>
    </w:rPr>
  </w:style>
  <w:style w:type="character" w:customStyle="1" w:styleId="TextodegloboCar">
    <w:name w:val="Texto de globo Car"/>
    <w:link w:val="Textodeglobo"/>
    <w:uiPriority w:val="99"/>
    <w:semiHidden/>
    <w:locked/>
    <w:rsid w:val="000B24E6"/>
    <w:rPr>
      <w:rFonts w:ascii="Lucida Grande" w:hAnsi="Lucida Grande" w:cs="Times New Roman"/>
      <w:sz w:val="18"/>
      <w:lang w:eastAsia="es-CO"/>
    </w:rPr>
  </w:style>
  <w:style w:type="character" w:styleId="Refdecomentario">
    <w:name w:val="annotation reference"/>
    <w:uiPriority w:val="99"/>
    <w:semiHidden/>
    <w:rsid w:val="00323650"/>
    <w:rPr>
      <w:rFonts w:cs="Times New Roman"/>
      <w:sz w:val="18"/>
    </w:rPr>
  </w:style>
  <w:style w:type="paragraph" w:styleId="Asuntodelcomentario">
    <w:name w:val="annotation subject"/>
    <w:basedOn w:val="Textocomentario"/>
    <w:next w:val="Textocomentario"/>
    <w:link w:val="AsuntodelcomentarioCar"/>
    <w:uiPriority w:val="99"/>
    <w:semiHidden/>
    <w:rsid w:val="00323650"/>
    <w:rPr>
      <w:b/>
      <w:bCs/>
    </w:rPr>
  </w:style>
  <w:style w:type="character" w:customStyle="1" w:styleId="AsuntodelcomentarioCar">
    <w:name w:val="Asunto del comentario Car"/>
    <w:link w:val="Asuntodelcomentario"/>
    <w:uiPriority w:val="99"/>
    <w:semiHidden/>
    <w:locked/>
    <w:rsid w:val="00323650"/>
    <w:rPr>
      <w:rFonts w:ascii="Arial" w:hAnsi="Arial" w:cs="Times New Roman"/>
      <w:b/>
      <w:sz w:val="20"/>
      <w:lang w:eastAsia="es-CO"/>
    </w:rPr>
  </w:style>
  <w:style w:type="character" w:styleId="Hipervnculovisitado">
    <w:name w:val="FollowedHyperlink"/>
    <w:uiPriority w:val="99"/>
    <w:semiHidden/>
    <w:rsid w:val="009F056D"/>
    <w:rPr>
      <w:rFonts w:cs="Times New Roman"/>
      <w:color w:val="800080"/>
      <w:u w:val="single"/>
    </w:rPr>
  </w:style>
  <w:style w:type="paragraph" w:styleId="Mapadeldocumento">
    <w:name w:val="Document Map"/>
    <w:basedOn w:val="Normal"/>
    <w:link w:val="MapadeldocumentoCar"/>
    <w:uiPriority w:val="99"/>
    <w:semiHidden/>
    <w:rsid w:val="00513A46"/>
    <w:rPr>
      <w:rFonts w:ascii="Lucida Grande" w:hAnsi="Lucida Grande"/>
      <w:sz w:val="24"/>
      <w:szCs w:val="24"/>
      <w:lang w:val="es-ES"/>
    </w:rPr>
  </w:style>
  <w:style w:type="character" w:customStyle="1" w:styleId="MapadeldocumentoCar">
    <w:name w:val="Mapa del documento Car"/>
    <w:link w:val="Mapadeldocumento"/>
    <w:uiPriority w:val="99"/>
    <w:semiHidden/>
    <w:locked/>
    <w:rsid w:val="00513A46"/>
    <w:rPr>
      <w:rFonts w:ascii="Lucida Grande" w:hAnsi="Lucida Grande" w:cs="Times New Roman"/>
      <w:sz w:val="24"/>
      <w:lang w:eastAsia="es-CO"/>
    </w:rPr>
  </w:style>
  <w:style w:type="paragraph" w:customStyle="1" w:styleId="Encabezadodetabladecontenido1">
    <w:name w:val="Encabezado de tabla de contenido1"/>
    <w:basedOn w:val="Ttulo1"/>
    <w:next w:val="Normal"/>
    <w:uiPriority w:val="99"/>
    <w:semiHidden/>
    <w:rsid w:val="009D7F50"/>
    <w:pPr>
      <w:keepLines/>
      <w:spacing w:before="480" w:line="276" w:lineRule="auto"/>
      <w:jc w:val="left"/>
      <w:outlineLvl w:val="9"/>
    </w:pPr>
    <w:rPr>
      <w:rFonts w:ascii="Cambria" w:hAnsi="Cambria"/>
      <w:caps w:val="0"/>
      <w:color w:val="365F91"/>
      <w:kern w:val="0"/>
      <w:sz w:val="28"/>
      <w:szCs w:val="28"/>
      <w:lang w:val="es-CO"/>
    </w:rPr>
  </w:style>
  <w:style w:type="paragraph" w:styleId="TDC1">
    <w:name w:val="toc 1"/>
    <w:basedOn w:val="Normal"/>
    <w:next w:val="Normal"/>
    <w:autoRedefine/>
    <w:uiPriority w:val="39"/>
    <w:rsid w:val="009D7F50"/>
    <w:pPr>
      <w:spacing w:before="240" w:after="120"/>
      <w:jc w:val="left"/>
    </w:pPr>
    <w:rPr>
      <w:b/>
      <w:bCs/>
      <w:sz w:val="16"/>
    </w:rPr>
  </w:style>
  <w:style w:type="paragraph" w:styleId="TDC2">
    <w:name w:val="toc 2"/>
    <w:basedOn w:val="Normal"/>
    <w:next w:val="Normal"/>
    <w:autoRedefine/>
    <w:uiPriority w:val="39"/>
    <w:rsid w:val="009D7F50"/>
    <w:pPr>
      <w:ind w:left="180"/>
      <w:jc w:val="left"/>
    </w:pPr>
    <w:rPr>
      <w:iCs/>
      <w:sz w:val="16"/>
    </w:rPr>
  </w:style>
  <w:style w:type="paragraph" w:styleId="TDC3">
    <w:name w:val="toc 3"/>
    <w:basedOn w:val="Normal"/>
    <w:next w:val="Normal"/>
    <w:autoRedefine/>
    <w:uiPriority w:val="99"/>
    <w:rsid w:val="009D7F50"/>
    <w:pPr>
      <w:ind w:left="360"/>
      <w:jc w:val="left"/>
    </w:pPr>
    <w:rPr>
      <w:rFonts w:ascii="Calibri" w:hAnsi="Calibri"/>
      <w:sz w:val="20"/>
    </w:rPr>
  </w:style>
  <w:style w:type="paragraph" w:styleId="TDC4">
    <w:name w:val="toc 4"/>
    <w:basedOn w:val="Normal"/>
    <w:next w:val="Normal"/>
    <w:autoRedefine/>
    <w:uiPriority w:val="99"/>
    <w:rsid w:val="009D7F50"/>
    <w:pPr>
      <w:ind w:left="540"/>
      <w:jc w:val="left"/>
    </w:pPr>
    <w:rPr>
      <w:rFonts w:ascii="Calibri" w:hAnsi="Calibri"/>
      <w:sz w:val="20"/>
    </w:rPr>
  </w:style>
  <w:style w:type="paragraph" w:styleId="TDC5">
    <w:name w:val="toc 5"/>
    <w:basedOn w:val="Normal"/>
    <w:next w:val="Normal"/>
    <w:autoRedefine/>
    <w:uiPriority w:val="99"/>
    <w:rsid w:val="009D7F50"/>
    <w:pPr>
      <w:ind w:left="720"/>
      <w:jc w:val="left"/>
    </w:pPr>
    <w:rPr>
      <w:rFonts w:ascii="Calibri" w:hAnsi="Calibri"/>
      <w:sz w:val="20"/>
    </w:rPr>
  </w:style>
  <w:style w:type="paragraph" w:styleId="TDC6">
    <w:name w:val="toc 6"/>
    <w:basedOn w:val="Normal"/>
    <w:next w:val="Normal"/>
    <w:autoRedefine/>
    <w:uiPriority w:val="99"/>
    <w:rsid w:val="009D7F50"/>
    <w:pPr>
      <w:ind w:left="900"/>
      <w:jc w:val="left"/>
    </w:pPr>
    <w:rPr>
      <w:rFonts w:ascii="Calibri" w:hAnsi="Calibri"/>
      <w:sz w:val="20"/>
    </w:rPr>
  </w:style>
  <w:style w:type="paragraph" w:styleId="TDC7">
    <w:name w:val="toc 7"/>
    <w:basedOn w:val="Normal"/>
    <w:next w:val="Normal"/>
    <w:autoRedefine/>
    <w:uiPriority w:val="99"/>
    <w:rsid w:val="009D7F50"/>
    <w:pPr>
      <w:ind w:left="1080"/>
      <w:jc w:val="left"/>
    </w:pPr>
    <w:rPr>
      <w:rFonts w:ascii="Calibri" w:hAnsi="Calibri"/>
      <w:sz w:val="20"/>
    </w:rPr>
  </w:style>
  <w:style w:type="paragraph" w:styleId="TDC8">
    <w:name w:val="toc 8"/>
    <w:basedOn w:val="Normal"/>
    <w:next w:val="Normal"/>
    <w:autoRedefine/>
    <w:uiPriority w:val="99"/>
    <w:rsid w:val="009D7F50"/>
    <w:pPr>
      <w:ind w:left="1260"/>
      <w:jc w:val="left"/>
    </w:pPr>
    <w:rPr>
      <w:rFonts w:ascii="Calibri" w:hAnsi="Calibri"/>
      <w:sz w:val="20"/>
    </w:rPr>
  </w:style>
  <w:style w:type="paragraph" w:styleId="TDC9">
    <w:name w:val="toc 9"/>
    <w:basedOn w:val="Normal"/>
    <w:next w:val="Normal"/>
    <w:autoRedefine/>
    <w:uiPriority w:val="99"/>
    <w:rsid w:val="009D7F50"/>
    <w:pPr>
      <w:ind w:left="1440"/>
      <w:jc w:val="left"/>
    </w:pPr>
    <w:rPr>
      <w:rFonts w:ascii="Calibri" w:hAnsi="Calibri"/>
      <w:sz w:val="20"/>
    </w:rPr>
  </w:style>
  <w:style w:type="character" w:customStyle="1" w:styleId="normaltextrun">
    <w:name w:val="normaltextrun"/>
    <w:rsid w:val="00F626FA"/>
  </w:style>
  <w:style w:type="character" w:customStyle="1" w:styleId="eop">
    <w:name w:val="eop"/>
    <w:rsid w:val="00F62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288840">
      <w:bodyDiv w:val="1"/>
      <w:marLeft w:val="0"/>
      <w:marRight w:val="0"/>
      <w:marTop w:val="0"/>
      <w:marBottom w:val="0"/>
      <w:divBdr>
        <w:top w:val="none" w:sz="0" w:space="0" w:color="auto"/>
        <w:left w:val="none" w:sz="0" w:space="0" w:color="auto"/>
        <w:bottom w:val="none" w:sz="0" w:space="0" w:color="auto"/>
        <w:right w:val="none" w:sz="0" w:space="0" w:color="auto"/>
      </w:divBdr>
    </w:div>
    <w:div w:id="1584727237">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D0274453FF8E84AB81817E384C1688E" ma:contentTypeVersion="2" ma:contentTypeDescription="Crear nuevo documento." ma:contentTypeScope="" ma:versionID="1a8b973e92f16e48b3acfc33b1c43aaf">
  <xsd:schema xmlns:xsd="http://www.w3.org/2001/XMLSchema" xmlns:xs="http://www.w3.org/2001/XMLSchema" xmlns:p="http://schemas.microsoft.com/office/2006/metadata/properties" xmlns:ns2="2283a961-9277-4fed-a59a-1f41db7ff964" targetNamespace="http://schemas.microsoft.com/office/2006/metadata/properties" ma:root="true" ma:fieldsID="01e0b0160204eed9535ec798e15844a6" ns2:_="">
    <xsd:import namespace="2283a961-9277-4fed-a59a-1f41db7ff9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3a961-9277-4fed-a59a-1f41db7ff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446B-3024-45E1-9966-6140BCEF7C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7107F8-7E11-4812-BAAC-1FAD7D44157D}">
  <ds:schemaRefs>
    <ds:schemaRef ds:uri="http://schemas.microsoft.com/sharepoint/v3/contenttype/forms"/>
  </ds:schemaRefs>
</ds:datastoreItem>
</file>

<file path=customXml/itemProps3.xml><?xml version="1.0" encoding="utf-8"?>
<ds:datastoreItem xmlns:ds="http://schemas.openxmlformats.org/officeDocument/2006/customXml" ds:itemID="{D5FF1D63-28AA-4AA2-B1DA-8C181C9BC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3a961-9277-4fed-a59a-1f41db7ff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BC35F7-A7AA-4AFC-AEDE-4B953E78F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1789</Words>
  <Characters>9989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PARTE II</vt:lpstr>
    </vt:vector>
  </TitlesOfParts>
  <Company>Toshiba</Company>
  <LinksUpToDate>false</LinksUpToDate>
  <CharactersWithSpaces>11755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Pilar Cabrera</dc:creator>
  <cp:keywords/>
  <dc:description/>
  <cp:lastModifiedBy>Gabriel Armando Ospina Garcia</cp:lastModifiedBy>
  <cp:revision>3</cp:revision>
  <cp:lastPrinted>2019-07-04T16:13:00Z</cp:lastPrinted>
  <dcterms:created xsi:type="dcterms:W3CDTF">2020-09-01T20:23:00Z</dcterms:created>
  <dcterms:modified xsi:type="dcterms:W3CDTF">2020-09-02T14:10:00Z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0x010100CD0274453FF8E84AB81817E384C1688E</vt:lpwstr>
  </property>
</Properties>
</file>