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49FD" w:rsidRPr="00386EB7" w:rsidRDefault="005B49FD" w:rsidP="005B49FD">
      <w:pPr>
        <w:jc w:val="center"/>
        <w:rPr>
          <w:b/>
        </w:rPr>
      </w:pPr>
      <w:r w:rsidRPr="00386EB7">
        <w:rPr>
          <w:b/>
        </w:rPr>
        <w:t>PARTE II</w:t>
      </w:r>
    </w:p>
    <w:p w:rsidR="005B49FD" w:rsidRPr="00386EB7" w:rsidRDefault="005B49FD" w:rsidP="005B49FD">
      <w:pPr>
        <w:jc w:val="center"/>
        <w:rPr>
          <w:b/>
        </w:rPr>
      </w:pPr>
      <w:r w:rsidRPr="00386EB7">
        <w:rPr>
          <w:b/>
        </w:rPr>
        <w:t>MERCADO INTERMEDIADO</w:t>
      </w:r>
    </w:p>
    <w:p w:rsidR="005B49FD" w:rsidRPr="00386EB7" w:rsidRDefault="005B49FD" w:rsidP="005B49FD">
      <w:pPr>
        <w:jc w:val="center"/>
        <w:rPr>
          <w:b/>
        </w:rPr>
      </w:pPr>
    </w:p>
    <w:p w:rsidR="005B49FD" w:rsidRPr="00386EB7" w:rsidRDefault="005B49FD" w:rsidP="005B49FD">
      <w:pPr>
        <w:jc w:val="center"/>
        <w:rPr>
          <w:b/>
        </w:rPr>
      </w:pPr>
      <w:r w:rsidRPr="00386EB7">
        <w:rPr>
          <w:b/>
        </w:rPr>
        <w:t>TÍTULO I</w:t>
      </w:r>
    </w:p>
    <w:p w:rsidR="005B49FD" w:rsidRPr="00386EB7" w:rsidRDefault="005B49FD" w:rsidP="005B49FD">
      <w:pPr>
        <w:jc w:val="center"/>
        <w:rPr>
          <w:b/>
        </w:rPr>
      </w:pPr>
      <w:r w:rsidRPr="00386EB7">
        <w:rPr>
          <w:b/>
        </w:rPr>
        <w:t>INSTRUCCIONES GENERALES RELATIVAS A LAS OPERACIONES</w:t>
      </w:r>
    </w:p>
    <w:p w:rsidR="005B49FD" w:rsidRPr="00386EB7" w:rsidRDefault="005B49FD" w:rsidP="005B49FD">
      <w:pPr>
        <w:jc w:val="center"/>
        <w:rPr>
          <w:rFonts w:cs="Arial"/>
          <w:b/>
        </w:rPr>
      </w:pPr>
      <w:r w:rsidRPr="00386EB7">
        <w:rPr>
          <w:b/>
        </w:rPr>
        <w:t xml:space="preserve">DE LOS ESTABLECIMIENTOS DE </w:t>
      </w:r>
      <w:r w:rsidRPr="005C02CE">
        <w:rPr>
          <w:b/>
        </w:rPr>
        <w:t>CRÉDITO</w:t>
      </w:r>
      <w:r w:rsidR="000503C2" w:rsidRPr="005C02CE">
        <w:rPr>
          <w:b/>
        </w:rPr>
        <w:t xml:space="preserve"> Y OTROS</w:t>
      </w:r>
      <w:r w:rsidR="000503C2">
        <w:rPr>
          <w:b/>
        </w:rPr>
        <w:t xml:space="preserve"> </w:t>
      </w:r>
    </w:p>
    <w:p w:rsidR="005B49FD" w:rsidRPr="00386EB7" w:rsidRDefault="005B49FD" w:rsidP="005B49FD">
      <w:pPr>
        <w:jc w:val="center"/>
        <w:rPr>
          <w:rFonts w:cs="Arial"/>
          <w:b/>
        </w:rPr>
      </w:pPr>
    </w:p>
    <w:p w:rsidR="005B49FD" w:rsidRDefault="005B49FD" w:rsidP="005B49FD">
      <w:pPr>
        <w:jc w:val="center"/>
        <w:rPr>
          <w:rFonts w:cs="Arial"/>
          <w:b/>
        </w:rPr>
      </w:pPr>
      <w:r w:rsidRPr="00386EB7">
        <w:rPr>
          <w:rFonts w:cs="Arial"/>
          <w:b/>
        </w:rPr>
        <w:t xml:space="preserve">CAPÍTULO III: </w:t>
      </w:r>
      <w:r>
        <w:rPr>
          <w:rFonts w:cs="Arial"/>
          <w:b/>
        </w:rPr>
        <w:t xml:space="preserve">DISPOSICIONES </w:t>
      </w:r>
      <w:r>
        <w:rPr>
          <w:b/>
          <w:kern w:val="16"/>
        </w:rPr>
        <w:t>ESPECIALES</w:t>
      </w:r>
      <w:r>
        <w:rPr>
          <w:rFonts w:cs="Arial"/>
          <w:b/>
        </w:rPr>
        <w:t xml:space="preserve"> APLICABLES A LAS </w:t>
      </w:r>
      <w:proofErr w:type="spellStart"/>
      <w:r w:rsidRPr="00386EB7">
        <w:rPr>
          <w:rFonts w:cs="Arial"/>
          <w:b/>
        </w:rPr>
        <w:t>OPERAClONES</w:t>
      </w:r>
      <w:proofErr w:type="spellEnd"/>
      <w:r w:rsidRPr="00386EB7">
        <w:rPr>
          <w:rFonts w:cs="Arial"/>
          <w:b/>
        </w:rPr>
        <w:t xml:space="preserve"> PASIVAS</w:t>
      </w:r>
    </w:p>
    <w:p w:rsidR="005B49FD" w:rsidRPr="00386EB7" w:rsidRDefault="005B49FD" w:rsidP="005B49FD">
      <w:pPr>
        <w:jc w:val="center"/>
        <w:rPr>
          <w:rFonts w:cs="Arial"/>
          <w:b/>
          <w:szCs w:val="16"/>
        </w:rPr>
      </w:pPr>
    </w:p>
    <w:p w:rsidR="005B49FD" w:rsidRPr="00386EB7" w:rsidRDefault="005B49FD" w:rsidP="005B49FD">
      <w:pPr>
        <w:jc w:val="center"/>
        <w:rPr>
          <w:rFonts w:cs="Arial"/>
          <w:b/>
          <w:szCs w:val="16"/>
        </w:rPr>
      </w:pPr>
    </w:p>
    <w:p w:rsidR="005B49FD" w:rsidRPr="00386EB7" w:rsidRDefault="005B49FD" w:rsidP="005B49FD">
      <w:pPr>
        <w:pStyle w:val="Encabezadodetabladecontenido"/>
        <w:tabs>
          <w:tab w:val="left" w:pos="2131"/>
        </w:tabs>
        <w:spacing w:before="0"/>
        <w:rPr>
          <w:rFonts w:ascii="Arial" w:hAnsi="Arial" w:cs="Arial"/>
          <w:color w:val="auto"/>
          <w:sz w:val="16"/>
          <w:szCs w:val="16"/>
        </w:rPr>
      </w:pPr>
      <w:r w:rsidRPr="00386EB7">
        <w:rPr>
          <w:rFonts w:ascii="Arial" w:hAnsi="Arial" w:cs="Arial"/>
          <w:color w:val="auto"/>
          <w:sz w:val="16"/>
          <w:szCs w:val="16"/>
          <w:lang w:val="es-ES"/>
        </w:rPr>
        <w:t>CONTENIDO</w:t>
      </w:r>
      <w:r w:rsidRPr="00386EB7">
        <w:rPr>
          <w:rFonts w:ascii="Arial" w:hAnsi="Arial" w:cs="Arial"/>
          <w:color w:val="auto"/>
          <w:sz w:val="16"/>
          <w:szCs w:val="16"/>
          <w:lang w:val="es-ES"/>
        </w:rPr>
        <w:tab/>
      </w:r>
    </w:p>
    <w:p w:rsidR="005B49FD" w:rsidRPr="00AE6E83" w:rsidRDefault="005B49FD" w:rsidP="0016169F">
      <w:pPr>
        <w:pStyle w:val="TDC1"/>
        <w:tabs>
          <w:tab w:val="left" w:pos="7350"/>
        </w:tabs>
        <w:rPr>
          <w:rFonts w:ascii="Cambria" w:eastAsia="MS Mincho" w:hAnsi="Cambria"/>
          <w:b w:val="0"/>
          <w:bCs w:val="0"/>
          <w:noProof/>
          <w:sz w:val="24"/>
          <w:szCs w:val="24"/>
          <w:lang w:eastAsia="ja-JP"/>
        </w:rPr>
      </w:pPr>
      <w:r w:rsidRPr="00386EB7">
        <w:rPr>
          <w:rFonts w:ascii="Calibri" w:hAnsi="Calibri"/>
          <w:sz w:val="20"/>
        </w:rPr>
        <w:fldChar w:fldCharType="begin"/>
      </w:r>
      <w:r w:rsidRPr="00386EB7">
        <w:rPr>
          <w:rFonts w:ascii="Calibri" w:hAnsi="Calibri"/>
          <w:sz w:val="20"/>
        </w:rPr>
        <w:instrText xml:space="preserve"> </w:instrText>
      </w:r>
      <w:r>
        <w:rPr>
          <w:rFonts w:ascii="Calibri" w:hAnsi="Calibri"/>
          <w:sz w:val="20"/>
        </w:rPr>
        <w:instrText>TOC</w:instrText>
      </w:r>
      <w:r w:rsidRPr="00386EB7">
        <w:rPr>
          <w:rFonts w:ascii="Calibri" w:hAnsi="Calibri"/>
          <w:sz w:val="20"/>
        </w:rPr>
        <w:instrText xml:space="preserve"> \o "1-2" \h \z \u </w:instrText>
      </w:r>
      <w:r w:rsidRPr="00386EB7">
        <w:rPr>
          <w:rFonts w:ascii="Calibri" w:hAnsi="Calibri"/>
          <w:sz w:val="20"/>
        </w:rPr>
        <w:fldChar w:fldCharType="separate"/>
      </w:r>
      <w:r>
        <w:rPr>
          <w:noProof/>
        </w:rPr>
        <w:t>1. DEPÓSITOS EN CUENTAS CORRIENTE Y/O AHORROS</w:t>
      </w:r>
      <w:r w:rsidR="0016169F">
        <w:rPr>
          <w:noProof/>
        </w:rPr>
        <w:tab/>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1.1. Condiciones para la apertura de cuentas</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1.2. Saldos abandonados en cuentas corrientes y de ahorros</w:t>
      </w:r>
    </w:p>
    <w:p w:rsidR="005B49FD" w:rsidRDefault="005B49FD" w:rsidP="005B49FD">
      <w:pPr>
        <w:pStyle w:val="TDC2"/>
        <w:tabs>
          <w:tab w:val="right" w:leader="dot" w:pos="8828"/>
        </w:tabs>
        <w:rPr>
          <w:noProof/>
        </w:rPr>
      </w:pPr>
      <w:r>
        <w:rPr>
          <w:noProof/>
        </w:rPr>
        <w:t>1.3. Recepción de moneda de curso legal</w:t>
      </w:r>
    </w:p>
    <w:p w:rsidR="000503C2" w:rsidRPr="005C02CE" w:rsidRDefault="000503C2" w:rsidP="00943FE4">
      <w:pPr>
        <w:pBdr>
          <w:left w:val="single" w:sz="4" w:space="4" w:color="auto"/>
        </w:pBdr>
        <w:ind w:firstLine="160"/>
      </w:pPr>
      <w:r w:rsidRPr="005C02CE">
        <w:rPr>
          <w:b/>
        </w:rPr>
        <w:t xml:space="preserve">1.4. </w:t>
      </w:r>
      <w:r w:rsidR="00E40C72" w:rsidRPr="00E40C72">
        <w:rPr>
          <w:b/>
        </w:rPr>
        <w:t>Reg</w:t>
      </w:r>
      <w:r w:rsidR="00E40C72">
        <w:rPr>
          <w:b/>
        </w:rPr>
        <w:t>í</w:t>
      </w:r>
      <w:r w:rsidR="00E40C72" w:rsidRPr="00E40C72">
        <w:rPr>
          <w:b/>
        </w:rPr>
        <w:t>menes de autorización de los reglamentos</w:t>
      </w:r>
      <w:r w:rsidR="00CF00A1">
        <w:rPr>
          <w:b/>
        </w:rPr>
        <w:t xml:space="preserve"> de los productos </w:t>
      </w:r>
      <w:r w:rsidR="00E40C72" w:rsidRPr="00E40C72">
        <w:rPr>
          <w:b/>
        </w:rPr>
        <w:t xml:space="preserve">de las secciones de ahorro </w:t>
      </w:r>
    </w:p>
    <w:p w:rsidR="005B49FD" w:rsidRPr="00AE6E83" w:rsidRDefault="005B49FD" w:rsidP="005B49FD">
      <w:pPr>
        <w:pStyle w:val="TDC1"/>
        <w:tabs>
          <w:tab w:val="right" w:leader="dot" w:pos="8828"/>
        </w:tabs>
        <w:rPr>
          <w:rFonts w:ascii="Cambria" w:eastAsia="MS Mincho" w:hAnsi="Cambria"/>
          <w:b w:val="0"/>
          <w:bCs w:val="0"/>
          <w:noProof/>
          <w:sz w:val="24"/>
          <w:szCs w:val="24"/>
          <w:lang w:eastAsia="ja-JP"/>
        </w:rPr>
      </w:pPr>
      <w:r>
        <w:rPr>
          <w:noProof/>
        </w:rPr>
        <w:t>2. DEPÓSITOS DE AHORRO Y CERTIFICADOS DE AHORRO A TÉRMINO</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2.1. Aspectos comunes</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2.2. Depósitos de ahorro y CDAT- de corporaciones financieras y compañías de financiamiento</w:t>
      </w:r>
    </w:p>
    <w:p w:rsidR="005B49FD" w:rsidRPr="00AE6E83" w:rsidRDefault="005B49FD" w:rsidP="005B49FD">
      <w:pPr>
        <w:pStyle w:val="TDC1"/>
        <w:tabs>
          <w:tab w:val="right" w:leader="dot" w:pos="8828"/>
        </w:tabs>
        <w:rPr>
          <w:rFonts w:ascii="Cambria" w:eastAsia="MS Mincho" w:hAnsi="Cambria"/>
          <w:b w:val="0"/>
          <w:bCs w:val="0"/>
          <w:noProof/>
          <w:sz w:val="24"/>
          <w:szCs w:val="24"/>
          <w:lang w:eastAsia="ja-JP"/>
        </w:rPr>
      </w:pPr>
      <w:r>
        <w:rPr>
          <w:noProof/>
        </w:rPr>
        <w:t>3. PRÁCTICAS INSEGURAS Y NO AUTORIZADAS</w:t>
      </w:r>
    </w:p>
    <w:p w:rsidR="005B49FD" w:rsidRPr="00AE6E83" w:rsidRDefault="005B49FD" w:rsidP="005B49FD">
      <w:pPr>
        <w:pStyle w:val="TDC1"/>
        <w:tabs>
          <w:tab w:val="right" w:leader="dot" w:pos="8828"/>
        </w:tabs>
        <w:rPr>
          <w:rFonts w:ascii="Cambria" w:eastAsia="MS Mincho" w:hAnsi="Cambria"/>
          <w:b w:val="0"/>
          <w:bCs w:val="0"/>
          <w:noProof/>
          <w:sz w:val="24"/>
          <w:szCs w:val="24"/>
          <w:lang w:eastAsia="ja-JP"/>
        </w:rPr>
      </w:pPr>
      <w:r>
        <w:rPr>
          <w:noProof/>
        </w:rPr>
        <w:t>4. CUENTAS DE AHORROS ELECTRÓNICAS</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4.1. Condiciones especiales para la apertura de cuentas de ahorros electrónicas</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4.2. Instrucciones especiales en materia de seguridad y calidad para la realización de operaciones</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sidRPr="00AD46B5">
        <w:rPr>
          <w:noProof/>
          <w:lang w:val="es-CO"/>
        </w:rPr>
        <w:t>4.3. Reglas especiales en materia de protección al consumidor financiero</w:t>
      </w:r>
    </w:p>
    <w:p w:rsidR="005B49FD" w:rsidRPr="00AE6E83" w:rsidRDefault="005B49FD" w:rsidP="005B49FD">
      <w:pPr>
        <w:pStyle w:val="TDC1"/>
        <w:tabs>
          <w:tab w:val="right" w:leader="dot" w:pos="8828"/>
        </w:tabs>
        <w:rPr>
          <w:rFonts w:ascii="Cambria" w:eastAsia="MS Mincho" w:hAnsi="Cambria"/>
          <w:b w:val="0"/>
          <w:bCs w:val="0"/>
          <w:noProof/>
          <w:sz w:val="24"/>
          <w:szCs w:val="24"/>
          <w:lang w:eastAsia="ja-JP"/>
        </w:rPr>
      </w:pPr>
      <w:r>
        <w:rPr>
          <w:noProof/>
        </w:rPr>
        <w:t>5. CUENTAS DE AHORROS DE TRÁMITE SIMPLIFICADO</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5.1. Características</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5.2. Condiciones especiales para el trámite simplificado de apertura de cuentas de ahorros</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5.3. Información a los consumidores financieros</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5.4. Instrucciones especiales respecto de la administración de los riesgos de lavado de activos y financiación del terrorismo y de riesgo operativo</w:t>
      </w:r>
    </w:p>
    <w:p w:rsidR="005B49FD" w:rsidRPr="00AE6E83" w:rsidRDefault="005B49FD" w:rsidP="001D1565">
      <w:pPr>
        <w:pStyle w:val="TDC2"/>
        <w:tabs>
          <w:tab w:val="right" w:leader="dot" w:pos="8828"/>
        </w:tabs>
        <w:rPr>
          <w:rFonts w:ascii="Cambria" w:eastAsia="MS Mincho" w:hAnsi="Cambria"/>
          <w:iCs w:val="0"/>
          <w:noProof/>
          <w:sz w:val="24"/>
          <w:szCs w:val="24"/>
          <w:lang w:eastAsia="ja-JP"/>
        </w:rPr>
      </w:pPr>
      <w:r>
        <w:rPr>
          <w:noProof/>
        </w:rPr>
        <w:t>5.5. Terminación de las cuentas</w:t>
      </w:r>
    </w:p>
    <w:p w:rsidR="005B49FD" w:rsidRPr="00D24C86" w:rsidRDefault="005B49FD" w:rsidP="001D1565">
      <w:pPr>
        <w:pStyle w:val="TDC1"/>
        <w:tabs>
          <w:tab w:val="right" w:leader="dot" w:pos="8828"/>
        </w:tabs>
        <w:rPr>
          <w:rFonts w:ascii="Cambria" w:eastAsia="MS Mincho" w:hAnsi="Cambria"/>
          <w:bCs w:val="0"/>
          <w:noProof/>
          <w:sz w:val="24"/>
          <w:szCs w:val="24"/>
          <w:lang w:eastAsia="ja-JP"/>
        </w:rPr>
      </w:pPr>
      <w:r w:rsidRPr="00D24C86">
        <w:rPr>
          <w:noProof/>
          <w:lang w:val="es-CO"/>
        </w:rPr>
        <w:t>6. DEPÓSITOS ELECTRÓNICOS</w:t>
      </w:r>
    </w:p>
    <w:p w:rsidR="005B49FD" w:rsidRPr="001D1565" w:rsidRDefault="005B49FD" w:rsidP="001D1565">
      <w:pPr>
        <w:pStyle w:val="TDC2"/>
        <w:tabs>
          <w:tab w:val="right" w:leader="dot" w:pos="8828"/>
        </w:tabs>
        <w:rPr>
          <w:rFonts w:ascii="Cambria" w:eastAsia="MS Mincho" w:hAnsi="Cambria"/>
          <w:iCs w:val="0"/>
          <w:noProof/>
          <w:sz w:val="24"/>
          <w:szCs w:val="24"/>
          <w:lang w:eastAsia="ja-JP"/>
        </w:rPr>
      </w:pPr>
      <w:r w:rsidRPr="001D1565">
        <w:rPr>
          <w:noProof/>
        </w:rPr>
        <w:t>6.1. Características</w:t>
      </w:r>
    </w:p>
    <w:p w:rsidR="005B49FD" w:rsidRPr="001D1565" w:rsidRDefault="005B49FD" w:rsidP="001D1565">
      <w:pPr>
        <w:pStyle w:val="TDC2"/>
        <w:tabs>
          <w:tab w:val="right" w:leader="dot" w:pos="8828"/>
        </w:tabs>
        <w:rPr>
          <w:rFonts w:ascii="Cambria" w:eastAsia="MS Mincho" w:hAnsi="Cambria"/>
          <w:iCs w:val="0"/>
          <w:noProof/>
          <w:sz w:val="24"/>
          <w:szCs w:val="24"/>
          <w:lang w:eastAsia="ja-JP"/>
        </w:rPr>
      </w:pPr>
      <w:r w:rsidRPr="001D1565">
        <w:rPr>
          <w:noProof/>
        </w:rPr>
        <w:t>6.2. Depósitos de dinero electrónico utilizados para canalizar subsidios estatales</w:t>
      </w:r>
    </w:p>
    <w:p w:rsidR="005B49FD" w:rsidRPr="001D1565" w:rsidRDefault="005B49FD" w:rsidP="001D1565">
      <w:pPr>
        <w:pStyle w:val="TDC2"/>
        <w:tabs>
          <w:tab w:val="right" w:leader="dot" w:pos="8828"/>
        </w:tabs>
        <w:rPr>
          <w:rFonts w:ascii="Cambria" w:eastAsia="MS Mincho" w:hAnsi="Cambria"/>
          <w:iCs w:val="0"/>
          <w:noProof/>
          <w:sz w:val="24"/>
          <w:szCs w:val="24"/>
          <w:lang w:eastAsia="ja-JP"/>
        </w:rPr>
      </w:pPr>
      <w:r w:rsidRPr="0071428B">
        <w:rPr>
          <w:noProof/>
        </w:rPr>
        <w:t>6.3. Autorización de los reglamentos</w:t>
      </w:r>
    </w:p>
    <w:p w:rsidR="005B49FD" w:rsidRPr="001D1565" w:rsidRDefault="005B49FD" w:rsidP="001D1565">
      <w:pPr>
        <w:pStyle w:val="TDC2"/>
        <w:tabs>
          <w:tab w:val="right" w:leader="dot" w:pos="8828"/>
        </w:tabs>
        <w:rPr>
          <w:rFonts w:ascii="Cambria" w:eastAsia="MS Mincho" w:hAnsi="Cambria"/>
          <w:iCs w:val="0"/>
          <w:noProof/>
          <w:sz w:val="24"/>
          <w:szCs w:val="24"/>
          <w:lang w:eastAsia="ja-JP"/>
        </w:rPr>
      </w:pPr>
      <w:r w:rsidRPr="001D1565">
        <w:rPr>
          <w:noProof/>
        </w:rPr>
        <w:t>6.4. Reglas especiales en materia de información</w:t>
      </w:r>
    </w:p>
    <w:p w:rsidR="005B49FD" w:rsidRPr="001D1565" w:rsidRDefault="005B49FD" w:rsidP="001D1565">
      <w:pPr>
        <w:pStyle w:val="TDC2"/>
        <w:tabs>
          <w:tab w:val="right" w:leader="dot" w:pos="8828"/>
        </w:tabs>
        <w:rPr>
          <w:rFonts w:ascii="Cambria" w:eastAsia="MS Mincho" w:hAnsi="Cambria"/>
          <w:iCs w:val="0"/>
          <w:noProof/>
          <w:sz w:val="24"/>
          <w:szCs w:val="24"/>
          <w:lang w:eastAsia="ja-JP"/>
        </w:rPr>
      </w:pPr>
      <w:r w:rsidRPr="001D1565">
        <w:rPr>
          <w:noProof/>
        </w:rPr>
        <w:t>6.5. Instrucciones especiales respecto de la administración del riesgo de lavado de activos y de la financiación del terrorismo</w:t>
      </w:r>
    </w:p>
    <w:p w:rsidR="005B49FD" w:rsidRPr="00AE6E83" w:rsidRDefault="005B49FD" w:rsidP="005B49FD">
      <w:pPr>
        <w:pStyle w:val="TDC1"/>
        <w:tabs>
          <w:tab w:val="right" w:leader="dot" w:pos="8828"/>
        </w:tabs>
        <w:rPr>
          <w:rFonts w:ascii="Cambria" w:eastAsia="MS Mincho" w:hAnsi="Cambria"/>
          <w:b w:val="0"/>
          <w:bCs w:val="0"/>
          <w:noProof/>
          <w:sz w:val="24"/>
          <w:szCs w:val="24"/>
          <w:lang w:eastAsia="ja-JP"/>
        </w:rPr>
      </w:pPr>
      <w:r>
        <w:rPr>
          <w:noProof/>
        </w:rPr>
        <w:t>7. INSTRUCCIONES COMUNES</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7.1. Excepciones a requisitos de apertura</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7.2. Instrucciones especiales en materia de seguridad y calidad para la realización de operaciones</w:t>
      </w:r>
    </w:p>
    <w:p w:rsidR="005B49FD" w:rsidRPr="00AE6E83" w:rsidRDefault="005B49FD" w:rsidP="005B49FD">
      <w:pPr>
        <w:pStyle w:val="TDC2"/>
        <w:tabs>
          <w:tab w:val="right" w:leader="dot" w:pos="8828"/>
        </w:tabs>
        <w:rPr>
          <w:rFonts w:ascii="Cambria" w:eastAsia="MS Mincho" w:hAnsi="Cambria"/>
          <w:iCs w:val="0"/>
          <w:noProof/>
          <w:sz w:val="24"/>
          <w:szCs w:val="24"/>
          <w:lang w:eastAsia="ja-JP"/>
        </w:rPr>
      </w:pPr>
      <w:r>
        <w:rPr>
          <w:noProof/>
        </w:rPr>
        <w:t>7.3. Extractos</w:t>
      </w:r>
    </w:p>
    <w:p w:rsidR="005B49FD" w:rsidRDefault="005B49FD" w:rsidP="005B49FD">
      <w:r w:rsidRPr="00386EB7">
        <w:rPr>
          <w:rFonts w:ascii="Calibri" w:hAnsi="Calibri"/>
          <w:sz w:val="20"/>
        </w:rPr>
        <w:fldChar w:fldCharType="end"/>
      </w:r>
    </w:p>
    <w:p w:rsidR="005B49FD" w:rsidRDefault="005B49FD" w:rsidP="005B49FD">
      <w:pPr>
        <w:jc w:val="center"/>
        <w:rPr>
          <w:rFonts w:cs="Arial"/>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386EB7" w:rsidRDefault="00386EB7" w:rsidP="00386EB7">
      <w:pPr>
        <w:jc w:val="center"/>
        <w:rPr>
          <w:b/>
        </w:rPr>
      </w:pPr>
    </w:p>
    <w:p w:rsidR="005F3336" w:rsidRDefault="005F3336" w:rsidP="00400522">
      <w:pPr>
        <w:rPr>
          <w:b/>
        </w:rPr>
        <w:sectPr w:rsidR="005F3336" w:rsidSect="005F3336">
          <w:headerReference w:type="default" r:id="rId8"/>
          <w:footerReference w:type="default" r:id="rId9"/>
          <w:pgSz w:w="12240" w:h="18720" w:code="14"/>
          <w:pgMar w:top="1418" w:right="1701" w:bottom="1418" w:left="1701" w:header="1134" w:footer="1134" w:gutter="0"/>
          <w:paperSrc w:first="15" w:other="15"/>
          <w:pgNumType w:start="1"/>
          <w:cols w:space="720"/>
          <w:noEndnote/>
          <w:docGrid w:linePitch="218"/>
        </w:sectPr>
      </w:pPr>
    </w:p>
    <w:p w:rsidR="006E43AC" w:rsidRPr="00386EB7" w:rsidRDefault="006E43AC" w:rsidP="00CE581A">
      <w:pPr>
        <w:jc w:val="center"/>
        <w:rPr>
          <w:b/>
        </w:rPr>
      </w:pPr>
      <w:r w:rsidRPr="00386EB7">
        <w:rPr>
          <w:b/>
        </w:rPr>
        <w:lastRenderedPageBreak/>
        <w:t>PARTE II</w:t>
      </w:r>
    </w:p>
    <w:p w:rsidR="006E43AC" w:rsidRPr="00386EB7" w:rsidRDefault="006E43AC" w:rsidP="00CE581A">
      <w:pPr>
        <w:jc w:val="center"/>
        <w:rPr>
          <w:b/>
        </w:rPr>
      </w:pPr>
      <w:r w:rsidRPr="00386EB7">
        <w:rPr>
          <w:b/>
        </w:rPr>
        <w:t>MERCADO INTERMEDIADO</w:t>
      </w:r>
    </w:p>
    <w:p w:rsidR="006E43AC" w:rsidRPr="00386EB7" w:rsidRDefault="006E43AC" w:rsidP="00CE581A">
      <w:pPr>
        <w:jc w:val="center"/>
        <w:rPr>
          <w:b/>
        </w:rPr>
      </w:pPr>
    </w:p>
    <w:p w:rsidR="006E43AC" w:rsidRPr="00386EB7" w:rsidRDefault="006E43AC" w:rsidP="00CE581A">
      <w:pPr>
        <w:jc w:val="center"/>
        <w:rPr>
          <w:b/>
        </w:rPr>
      </w:pPr>
      <w:r w:rsidRPr="00386EB7">
        <w:rPr>
          <w:b/>
        </w:rPr>
        <w:t>TÍTULO I</w:t>
      </w:r>
    </w:p>
    <w:p w:rsidR="006E43AC" w:rsidRPr="00386EB7" w:rsidRDefault="006E43AC" w:rsidP="00CE581A">
      <w:pPr>
        <w:jc w:val="center"/>
        <w:rPr>
          <w:b/>
        </w:rPr>
      </w:pPr>
      <w:r w:rsidRPr="00386EB7">
        <w:rPr>
          <w:b/>
        </w:rPr>
        <w:t>INSTRUCCIONES GENERALES RELATIVAS A LAS OPERACIONES</w:t>
      </w:r>
    </w:p>
    <w:p w:rsidR="006E43AC" w:rsidRPr="00386EB7" w:rsidRDefault="006E43AC" w:rsidP="00CE581A">
      <w:pPr>
        <w:jc w:val="center"/>
        <w:rPr>
          <w:rFonts w:cs="Arial"/>
          <w:b/>
        </w:rPr>
      </w:pPr>
      <w:r w:rsidRPr="00386EB7">
        <w:rPr>
          <w:b/>
        </w:rPr>
        <w:t xml:space="preserve">DE LOS ESTABLECIMIENTOS DE </w:t>
      </w:r>
      <w:r w:rsidRPr="005C02CE">
        <w:rPr>
          <w:b/>
        </w:rPr>
        <w:t>CRÉDITO</w:t>
      </w:r>
      <w:r w:rsidR="00677E29" w:rsidRPr="005C02CE">
        <w:rPr>
          <w:b/>
        </w:rPr>
        <w:t xml:space="preserve"> Y OTROS</w:t>
      </w:r>
    </w:p>
    <w:p w:rsidR="006E43AC" w:rsidRPr="00386EB7" w:rsidRDefault="006E43AC" w:rsidP="00CE581A">
      <w:pPr>
        <w:jc w:val="center"/>
        <w:rPr>
          <w:rFonts w:cs="Arial"/>
          <w:b/>
        </w:rPr>
      </w:pPr>
    </w:p>
    <w:p w:rsidR="006E43AC" w:rsidRPr="005958D1" w:rsidRDefault="006E43AC" w:rsidP="00CE581A">
      <w:pPr>
        <w:jc w:val="center"/>
        <w:rPr>
          <w:rFonts w:cs="Arial"/>
          <w:b/>
        </w:rPr>
      </w:pPr>
      <w:r w:rsidRPr="00386EB7">
        <w:rPr>
          <w:rFonts w:cs="Arial"/>
          <w:b/>
        </w:rPr>
        <w:t xml:space="preserve">CAPÍTULO III: </w:t>
      </w:r>
      <w:r>
        <w:rPr>
          <w:rFonts w:cs="Arial"/>
          <w:b/>
        </w:rPr>
        <w:t xml:space="preserve">DISPOSICIONES </w:t>
      </w:r>
      <w:r>
        <w:rPr>
          <w:b/>
          <w:kern w:val="16"/>
        </w:rPr>
        <w:t>ESPECIALES</w:t>
      </w:r>
      <w:r>
        <w:rPr>
          <w:rFonts w:cs="Arial"/>
          <w:b/>
        </w:rPr>
        <w:t xml:space="preserve"> APLICABLES A LAS </w:t>
      </w:r>
      <w:proofErr w:type="spellStart"/>
      <w:r w:rsidRPr="00386EB7">
        <w:rPr>
          <w:rFonts w:cs="Arial"/>
          <w:b/>
        </w:rPr>
        <w:t>OPERAClONES</w:t>
      </w:r>
      <w:proofErr w:type="spellEnd"/>
      <w:r w:rsidRPr="00386EB7">
        <w:rPr>
          <w:rFonts w:cs="Arial"/>
          <w:b/>
        </w:rPr>
        <w:t xml:space="preserve"> PASIVAS</w:t>
      </w:r>
    </w:p>
    <w:p w:rsidR="006E43AC" w:rsidRPr="005958D1" w:rsidRDefault="006E43AC" w:rsidP="006E43AC">
      <w:pPr>
        <w:jc w:val="both"/>
        <w:rPr>
          <w:rFonts w:cs="Arial"/>
          <w:szCs w:val="16"/>
        </w:rPr>
      </w:pPr>
    </w:p>
    <w:p w:rsidR="006E43AC" w:rsidRPr="005958D1" w:rsidRDefault="006E43AC" w:rsidP="006E43AC">
      <w:pPr>
        <w:pStyle w:val="Ttulo1"/>
      </w:pPr>
      <w:bookmarkStart w:id="0" w:name="_Toc267336130"/>
      <w:r w:rsidRPr="005958D1">
        <w:t>1. DEP</w:t>
      </w:r>
      <w:r>
        <w:t>Ó</w:t>
      </w:r>
      <w:r w:rsidRPr="005958D1">
        <w:t>SITOS EN CUENTAS CORRIENTE Y/O AHORROS</w:t>
      </w:r>
      <w:bookmarkEnd w:id="0"/>
      <w:r w:rsidRPr="005958D1">
        <w:t xml:space="preserve"> </w:t>
      </w:r>
      <w:r w:rsidRPr="005958D1">
        <w:tab/>
      </w:r>
      <w:r w:rsidRPr="005958D1">
        <w:tab/>
      </w:r>
    </w:p>
    <w:p w:rsidR="006E43AC" w:rsidRPr="005958D1" w:rsidRDefault="006E43AC" w:rsidP="006E43AC">
      <w:pPr>
        <w:jc w:val="both"/>
        <w:rPr>
          <w:rFonts w:cs="Arial"/>
          <w:b/>
          <w:szCs w:val="16"/>
        </w:rPr>
      </w:pPr>
    </w:p>
    <w:p w:rsidR="006E43AC" w:rsidRPr="005958D1" w:rsidRDefault="006E43AC" w:rsidP="006E43AC">
      <w:pPr>
        <w:pStyle w:val="Ttulo2"/>
      </w:pPr>
      <w:bookmarkStart w:id="1" w:name="_Toc267336131"/>
      <w:r w:rsidRPr="005958D1">
        <w:t>1.1</w:t>
      </w:r>
      <w:r>
        <w:t>.</w:t>
      </w:r>
      <w:r w:rsidRPr="005958D1">
        <w:t xml:space="preserve"> Condiciones </w:t>
      </w:r>
      <w:r>
        <w:t>para</w:t>
      </w:r>
      <w:r w:rsidRPr="005958D1">
        <w:t xml:space="preserve"> la apertura de cuentas</w:t>
      </w:r>
      <w:bookmarkEnd w:id="1"/>
    </w:p>
    <w:p w:rsidR="006E43AC" w:rsidRPr="005958D1" w:rsidRDefault="006E43AC" w:rsidP="006E43AC">
      <w:pPr>
        <w:jc w:val="both"/>
        <w:rPr>
          <w:rFonts w:cs="Arial"/>
          <w:b/>
          <w:szCs w:val="16"/>
        </w:rPr>
      </w:pPr>
    </w:p>
    <w:p w:rsidR="006E43AC" w:rsidRPr="005958D1" w:rsidRDefault="006E43AC" w:rsidP="006E43AC">
      <w:pPr>
        <w:jc w:val="both"/>
        <w:rPr>
          <w:rFonts w:cs="Arial"/>
          <w:szCs w:val="16"/>
        </w:rPr>
      </w:pPr>
      <w:r>
        <w:rPr>
          <w:rFonts w:cs="Arial"/>
          <w:szCs w:val="16"/>
        </w:rPr>
        <w:t>L</w:t>
      </w:r>
      <w:r w:rsidRPr="005958D1">
        <w:rPr>
          <w:rFonts w:cs="Arial"/>
          <w:szCs w:val="16"/>
        </w:rPr>
        <w:t>os establecimientos de crédito deben verificar que en la apertura de depósitos en cuentas corrientes y de ahorro</w:t>
      </w:r>
      <w:r>
        <w:rPr>
          <w:rFonts w:cs="Arial"/>
          <w:szCs w:val="16"/>
        </w:rPr>
        <w:t>s</w:t>
      </w:r>
      <w:r w:rsidRPr="005958D1">
        <w:rPr>
          <w:rFonts w:cs="Arial"/>
          <w:szCs w:val="16"/>
        </w:rPr>
        <w:t xml:space="preserve">, excepto de aquellas a que se refieren los </w:t>
      </w:r>
      <w:r w:rsidRPr="00767700">
        <w:rPr>
          <w:rFonts w:cs="Arial"/>
          <w:szCs w:val="16"/>
        </w:rPr>
        <w:t xml:space="preserve">numerales 4, 5, y 6 </w:t>
      </w:r>
      <w:r w:rsidRPr="005958D1">
        <w:rPr>
          <w:rFonts w:cs="Arial"/>
          <w:szCs w:val="16"/>
        </w:rPr>
        <w:t xml:space="preserve">de este </w:t>
      </w:r>
      <w:r>
        <w:rPr>
          <w:rFonts w:cs="Arial"/>
          <w:szCs w:val="16"/>
        </w:rPr>
        <w:t>C</w:t>
      </w:r>
      <w:r w:rsidRPr="005958D1">
        <w:rPr>
          <w:rFonts w:cs="Arial"/>
          <w:szCs w:val="16"/>
        </w:rPr>
        <w:t xml:space="preserve">apítulo, se imponga la huella dactilar </w:t>
      </w:r>
      <w:r w:rsidRPr="005958D1">
        <w:rPr>
          <w:rFonts w:cs="Arial"/>
          <w:szCs w:val="16"/>
        </w:rPr>
        <w:noBreakHyphen/>
        <w:t>índice derecho</w:t>
      </w:r>
      <w:r w:rsidRPr="005958D1">
        <w:rPr>
          <w:rFonts w:cs="Arial"/>
          <w:szCs w:val="16"/>
        </w:rPr>
        <w:noBreakHyphen/>
        <w:t xml:space="preserve"> del titular o titulares en la tarjeta de registro de firmas correspondiente y/o en sistemas de reconocimiento biométrico que se implementen como mecanismo de seguridad.</w:t>
      </w:r>
    </w:p>
    <w:p w:rsidR="006E43AC" w:rsidRPr="005958D1" w:rsidRDefault="006E43AC" w:rsidP="006E43AC">
      <w:pPr>
        <w:jc w:val="both"/>
        <w:rPr>
          <w:rFonts w:cs="Arial"/>
          <w:szCs w:val="16"/>
        </w:rPr>
      </w:pPr>
    </w:p>
    <w:p w:rsidR="006E43AC" w:rsidRPr="005958D1" w:rsidRDefault="006E43AC" w:rsidP="006E43AC">
      <w:pPr>
        <w:jc w:val="both"/>
        <w:rPr>
          <w:rFonts w:cs="Arial"/>
          <w:szCs w:val="16"/>
        </w:rPr>
      </w:pPr>
      <w:r w:rsidRPr="005958D1">
        <w:rPr>
          <w:rFonts w:cs="Arial"/>
          <w:szCs w:val="16"/>
        </w:rPr>
        <w:t>Igualmente, resulta necesario que la huella dactilar sea recogida en medios apropiados para su conservación e impresión y con la debida técnica, de tal manera que resulte apta para realizar la prueba técnica de cotejo dactiloscópico en el evento en que las autoridades gubernamentales o judiciales respectivas así lo requieran.</w:t>
      </w:r>
    </w:p>
    <w:p w:rsidR="006E43AC" w:rsidRPr="005958D1" w:rsidRDefault="006E43AC" w:rsidP="006E43AC">
      <w:pPr>
        <w:jc w:val="both"/>
        <w:rPr>
          <w:rFonts w:cs="Arial"/>
          <w:szCs w:val="16"/>
        </w:rPr>
      </w:pPr>
    </w:p>
    <w:p w:rsidR="006E43AC" w:rsidRPr="005958D1" w:rsidRDefault="006E43AC" w:rsidP="006E43AC">
      <w:pPr>
        <w:jc w:val="both"/>
        <w:rPr>
          <w:rFonts w:cs="Arial"/>
          <w:szCs w:val="16"/>
        </w:rPr>
      </w:pPr>
      <w:r w:rsidRPr="005958D1">
        <w:rPr>
          <w:rFonts w:cs="Arial"/>
          <w:szCs w:val="16"/>
        </w:rPr>
        <w:t>Por lo anterior, los funcionarios encargad</w:t>
      </w:r>
      <w:r>
        <w:rPr>
          <w:rFonts w:cs="Arial"/>
          <w:szCs w:val="16"/>
        </w:rPr>
        <w:t>o</w:t>
      </w:r>
      <w:r w:rsidRPr="005958D1">
        <w:rPr>
          <w:rFonts w:cs="Arial"/>
          <w:szCs w:val="16"/>
        </w:rPr>
        <w:t>s de la vinculación de clientes deben tener especial diligencia y cuidado para que la toma de la impresión digital se ajuste a las técnicas que informan esta materia, de manera que se facilite la eventual práctica de las pruebas</w:t>
      </w:r>
      <w:r>
        <w:rPr>
          <w:rFonts w:cs="Arial"/>
          <w:szCs w:val="16"/>
        </w:rPr>
        <w:t>, en caso de ser necesario</w:t>
      </w:r>
      <w:r w:rsidRPr="005958D1">
        <w:rPr>
          <w:rFonts w:cs="Arial"/>
          <w:szCs w:val="16"/>
        </w:rPr>
        <w:t>.</w:t>
      </w:r>
    </w:p>
    <w:p w:rsidR="006E43AC" w:rsidRPr="005958D1" w:rsidRDefault="006E43AC" w:rsidP="006E43AC">
      <w:pPr>
        <w:jc w:val="both"/>
        <w:rPr>
          <w:rFonts w:cs="Arial"/>
          <w:szCs w:val="16"/>
        </w:rPr>
      </w:pPr>
    </w:p>
    <w:p w:rsidR="006E43AC" w:rsidRPr="005958D1" w:rsidRDefault="006E43AC" w:rsidP="009C2F71">
      <w:pPr>
        <w:pStyle w:val="Ttulo2"/>
      </w:pPr>
      <w:bookmarkStart w:id="2" w:name="_Toc267336132"/>
      <w:r w:rsidRPr="005958D1">
        <w:t>1.2</w:t>
      </w:r>
      <w:r>
        <w:t>.</w:t>
      </w:r>
      <w:r w:rsidRPr="005958D1">
        <w:t xml:space="preserve"> Saldos abandonados en cuentas corrientes y de ahorros</w:t>
      </w:r>
      <w:bookmarkEnd w:id="2"/>
      <w:r>
        <w:t xml:space="preserve"> y cuentas inactivas</w:t>
      </w:r>
    </w:p>
    <w:p w:rsidR="006E43AC" w:rsidRPr="005958D1" w:rsidRDefault="006E43AC" w:rsidP="00943FE4">
      <w:pPr>
        <w:jc w:val="both"/>
        <w:rPr>
          <w:rFonts w:cs="Arial"/>
          <w:b/>
          <w:szCs w:val="16"/>
        </w:rPr>
      </w:pPr>
    </w:p>
    <w:p w:rsidR="006E43AC" w:rsidRDefault="006E43AC" w:rsidP="009C2F71">
      <w:pPr>
        <w:jc w:val="both"/>
        <w:rPr>
          <w:rFonts w:cs="Arial"/>
          <w:szCs w:val="16"/>
        </w:rPr>
      </w:pPr>
      <w:r>
        <w:rPr>
          <w:rFonts w:cs="Arial"/>
          <w:szCs w:val="16"/>
        </w:rPr>
        <w:t xml:space="preserve">1.2.1 </w:t>
      </w:r>
      <w:r w:rsidRPr="005958D1">
        <w:rPr>
          <w:rFonts w:cs="Arial"/>
          <w:szCs w:val="16"/>
        </w:rPr>
        <w:t>En la medida que los depósitos realizados en cuentas corrientes y/o de ahorro</w:t>
      </w:r>
      <w:r>
        <w:rPr>
          <w:rFonts w:cs="Arial"/>
          <w:szCs w:val="16"/>
        </w:rPr>
        <w:t>s</w:t>
      </w:r>
      <w:r w:rsidRPr="005958D1">
        <w:rPr>
          <w:rFonts w:cs="Arial"/>
          <w:szCs w:val="16"/>
        </w:rPr>
        <w:t xml:space="preserve"> son depósitos irregulares de dinero, no </w:t>
      </w:r>
      <w:r>
        <w:rPr>
          <w:rFonts w:cs="Arial"/>
          <w:szCs w:val="16"/>
        </w:rPr>
        <w:t xml:space="preserve">puede predicarse de ellos la condición de </w:t>
      </w:r>
      <w:r w:rsidRPr="005958D1">
        <w:rPr>
          <w:rFonts w:cs="Arial"/>
          <w:szCs w:val="16"/>
        </w:rPr>
        <w:t>bien mostrenco</w:t>
      </w:r>
      <w:r>
        <w:rPr>
          <w:rFonts w:cs="Arial"/>
          <w:szCs w:val="16"/>
        </w:rPr>
        <w:t>,</w:t>
      </w:r>
      <w:r w:rsidRPr="005958D1">
        <w:rPr>
          <w:rFonts w:cs="Arial"/>
          <w:szCs w:val="16"/>
        </w:rPr>
        <w:t xml:space="preserve"> pues no cumplen con las condiciones establecidas para ello en el régimen civil. Contrario a ser bienes sin dueño aparente o conocido, estos depósitos generan un derecho personal para el depositante en contrapartida de un crédito a cargo de la entidad depositaria. En tal virtud, aún vencido el plazo legal o convencional para reclamarlo, permanece para el depositante la facultad jurídica para exigir el cumplimiento de su obligación por parte del establecimiento de crédito, la</w:t>
      </w:r>
      <w:r>
        <w:rPr>
          <w:rFonts w:cs="Arial"/>
          <w:szCs w:val="16"/>
        </w:rPr>
        <w:t xml:space="preserve"> cual corresponde al pago de una</w:t>
      </w:r>
      <w:r w:rsidRPr="005958D1">
        <w:rPr>
          <w:rFonts w:cs="Arial"/>
          <w:szCs w:val="16"/>
        </w:rPr>
        <w:t xml:space="preserve"> suma de dinero equivalente a la depositada, con los respectivos intereses, si a ello hay lugar.</w:t>
      </w:r>
    </w:p>
    <w:p w:rsidR="006E43AC" w:rsidRDefault="006E43AC" w:rsidP="00943FE4">
      <w:pPr>
        <w:jc w:val="both"/>
        <w:rPr>
          <w:rFonts w:cs="Arial"/>
          <w:szCs w:val="16"/>
        </w:rPr>
      </w:pPr>
    </w:p>
    <w:p w:rsidR="006E43AC" w:rsidRPr="009C2F71" w:rsidRDefault="006E43AC" w:rsidP="009C2F71">
      <w:pPr>
        <w:jc w:val="both"/>
        <w:rPr>
          <w:rFonts w:cs="Arial"/>
          <w:szCs w:val="16"/>
        </w:rPr>
      </w:pPr>
      <w:r w:rsidRPr="009C2F71">
        <w:rPr>
          <w:rFonts w:cs="Arial"/>
          <w:szCs w:val="16"/>
        </w:rPr>
        <w:t xml:space="preserve">No </w:t>
      </w:r>
      <w:proofErr w:type="gramStart"/>
      <w:r w:rsidRPr="009C2F71">
        <w:rPr>
          <w:rFonts w:cs="Arial"/>
          <w:szCs w:val="16"/>
        </w:rPr>
        <w:t>obstante</w:t>
      </w:r>
      <w:proofErr w:type="gramEnd"/>
      <w:r w:rsidRPr="009C2F71">
        <w:rPr>
          <w:rFonts w:cs="Arial"/>
          <w:szCs w:val="16"/>
        </w:rPr>
        <w:t xml:space="preserve"> lo anterior, de conformidad con lo establecido en la Ley 1777 de 2016, se considera cuentas abandonadas aquellas cuentas corrientes o de ahorro sobre las cuales no se hubiere realizado movimiento de depósito, retiro, transferencia o, en general, cualquier débito o crédito que las afecte durante (3) años ininterrumpidos en todas las entidades vigiladas por la Superintendencia Financiera. </w:t>
      </w:r>
    </w:p>
    <w:p w:rsidR="006E43AC" w:rsidRPr="009C2F71" w:rsidRDefault="006E43AC" w:rsidP="009C2F71">
      <w:pPr>
        <w:jc w:val="both"/>
        <w:rPr>
          <w:rFonts w:cs="Arial"/>
          <w:szCs w:val="16"/>
        </w:rPr>
      </w:pPr>
    </w:p>
    <w:p w:rsidR="006E43AC" w:rsidRPr="009C2F71" w:rsidRDefault="006E43AC" w:rsidP="009C2F71">
      <w:pPr>
        <w:jc w:val="both"/>
        <w:rPr>
          <w:rFonts w:cs="Arial"/>
          <w:szCs w:val="16"/>
        </w:rPr>
      </w:pPr>
      <w:r w:rsidRPr="009C2F71">
        <w:rPr>
          <w:rFonts w:cs="Arial"/>
          <w:szCs w:val="16"/>
        </w:rPr>
        <w:t xml:space="preserve">No impiden considerar la cuenta como abandonada las operaciones de créditos o débitos que los establecimientos financieros realicen con el fin de abonar intereses o realizar cargos por comisiones y/o servicios bancarios. </w:t>
      </w:r>
    </w:p>
    <w:p w:rsidR="006E43AC" w:rsidRPr="009C2F71" w:rsidRDefault="006E43AC" w:rsidP="009C2F71">
      <w:pPr>
        <w:jc w:val="both"/>
        <w:rPr>
          <w:rFonts w:cs="Arial"/>
          <w:szCs w:val="16"/>
        </w:rPr>
      </w:pPr>
    </w:p>
    <w:p w:rsidR="006E43AC" w:rsidRPr="009C2F71" w:rsidRDefault="006E43AC" w:rsidP="009C2F71">
      <w:pPr>
        <w:jc w:val="both"/>
        <w:rPr>
          <w:rFonts w:cs="Arial"/>
          <w:szCs w:val="16"/>
        </w:rPr>
      </w:pPr>
      <w:r w:rsidRPr="009C2F71">
        <w:rPr>
          <w:rFonts w:cs="Arial"/>
          <w:szCs w:val="16"/>
        </w:rPr>
        <w:t xml:space="preserve">1.2.2 </w:t>
      </w:r>
      <w:r w:rsidRPr="009C2F71">
        <w:t>Para los efectos previstos en la ley 1793 de 2016 se considera que una cuenta de ahorros está inactiva cuando sobre ésta no se haya realizado alguna operación durante un periodo de 6 meses consecutivos. Entiéndase por operación cualquier movimiento de depósito, retiro, transferencia o en general cualquier débito o crédito que afecte a la cuenta de ahorros, con excepción de los créditos o débitos que la institución financiera realice con el fin de abonar intereses o cobrar costos financieros y/o transaccionales.</w:t>
      </w:r>
    </w:p>
    <w:p w:rsidR="006E43AC" w:rsidRPr="005958D1" w:rsidRDefault="006E43AC" w:rsidP="00943FE4">
      <w:pPr>
        <w:jc w:val="both"/>
        <w:rPr>
          <w:rFonts w:cs="Arial"/>
          <w:szCs w:val="16"/>
        </w:rPr>
      </w:pPr>
    </w:p>
    <w:p w:rsidR="006E43AC" w:rsidRDefault="006E43AC" w:rsidP="00943FE4">
      <w:pPr>
        <w:pStyle w:val="Ttulo2"/>
      </w:pPr>
      <w:bookmarkStart w:id="3" w:name="_Toc267336133"/>
    </w:p>
    <w:p w:rsidR="006E43AC" w:rsidRPr="005958D1" w:rsidRDefault="006E43AC" w:rsidP="006E43AC">
      <w:pPr>
        <w:pStyle w:val="Ttulo2"/>
      </w:pPr>
      <w:r w:rsidRPr="005958D1">
        <w:t>1.3</w:t>
      </w:r>
      <w:r>
        <w:t xml:space="preserve">. </w:t>
      </w:r>
      <w:r w:rsidRPr="005958D1">
        <w:t>Recepción de moneda de curso legal</w:t>
      </w:r>
      <w:bookmarkEnd w:id="3"/>
      <w:r w:rsidRPr="005958D1">
        <w:t xml:space="preserve"> </w:t>
      </w:r>
    </w:p>
    <w:p w:rsidR="006E43AC" w:rsidRPr="005958D1" w:rsidRDefault="006E43AC" w:rsidP="006E43AC">
      <w:pPr>
        <w:jc w:val="both"/>
        <w:rPr>
          <w:rFonts w:cs="Arial"/>
          <w:szCs w:val="16"/>
        </w:rPr>
      </w:pPr>
    </w:p>
    <w:p w:rsidR="006E43AC" w:rsidRPr="005958D1" w:rsidRDefault="006E43AC" w:rsidP="006E43AC">
      <w:pPr>
        <w:jc w:val="both"/>
        <w:rPr>
          <w:rFonts w:cs="Arial"/>
          <w:szCs w:val="16"/>
        </w:rPr>
      </w:pPr>
      <w:r>
        <w:rPr>
          <w:rFonts w:cs="Arial"/>
          <w:szCs w:val="16"/>
        </w:rPr>
        <w:t>De acuerdo con</w:t>
      </w:r>
      <w:r w:rsidRPr="005958D1">
        <w:rPr>
          <w:rFonts w:cs="Arial"/>
          <w:szCs w:val="16"/>
        </w:rPr>
        <w:t xml:space="preserve"> los arts. 8 y 11 de la Ley 31 de 1992, mediante el cual se señala la moneda legal como único medio de pago de curso legal con poder liberatorio ilimitado, es obligación de las entidades vigiladas, recibir y devolver el cambio de moneda metálica, así como recibir billetes viejos, deteriorados o de baja denominación, </w:t>
      </w:r>
      <w:proofErr w:type="gramStart"/>
      <w:r w:rsidRPr="005958D1">
        <w:rPr>
          <w:rFonts w:cs="Arial"/>
          <w:szCs w:val="16"/>
        </w:rPr>
        <w:t>en  las</w:t>
      </w:r>
      <w:proofErr w:type="gramEnd"/>
      <w:r w:rsidRPr="005958D1">
        <w:rPr>
          <w:rFonts w:cs="Arial"/>
          <w:szCs w:val="16"/>
        </w:rPr>
        <w:t xml:space="preserve"> funciones de intermediación que les han sido autorizadas y específicamente, en desarrollo de los contratos de depósito a la vista o a término.</w:t>
      </w:r>
    </w:p>
    <w:p w:rsidR="006E43AC" w:rsidRPr="005958D1" w:rsidRDefault="006E43AC" w:rsidP="006E43AC">
      <w:pPr>
        <w:jc w:val="both"/>
        <w:rPr>
          <w:rFonts w:cs="Arial"/>
          <w:szCs w:val="16"/>
        </w:rPr>
      </w:pPr>
    </w:p>
    <w:p w:rsidR="006E43AC" w:rsidRPr="005958D1" w:rsidRDefault="006E43AC" w:rsidP="006E43AC">
      <w:pPr>
        <w:widowControl w:val="0"/>
        <w:autoSpaceDE w:val="0"/>
        <w:autoSpaceDN w:val="0"/>
        <w:adjustRightInd w:val="0"/>
        <w:ind w:right="49"/>
        <w:jc w:val="both"/>
        <w:rPr>
          <w:rFonts w:cs="Arial"/>
          <w:szCs w:val="16"/>
        </w:rPr>
      </w:pPr>
      <w:r>
        <w:rPr>
          <w:rFonts w:cs="Arial"/>
          <w:szCs w:val="16"/>
        </w:rPr>
        <w:t>Adicionalmente, c</w:t>
      </w:r>
      <w:r w:rsidRPr="005958D1">
        <w:rPr>
          <w:rFonts w:cs="Arial"/>
          <w:szCs w:val="16"/>
        </w:rPr>
        <w:t xml:space="preserve">onsiderando la vocación circulatoria del dinero y el deterioro al que en virtud de ésta se expone </w:t>
      </w:r>
      <w:proofErr w:type="gramStart"/>
      <w:r w:rsidRPr="005958D1">
        <w:rPr>
          <w:rFonts w:cs="Arial"/>
          <w:szCs w:val="16"/>
        </w:rPr>
        <w:t>la  moneda</w:t>
      </w:r>
      <w:proofErr w:type="gramEnd"/>
      <w:r w:rsidRPr="005958D1">
        <w:rPr>
          <w:rFonts w:cs="Arial"/>
          <w:szCs w:val="16"/>
        </w:rPr>
        <w:t xml:space="preserve">, el Banco de la República estableció condiciones y procedimientos de </w:t>
      </w:r>
      <w:proofErr w:type="spellStart"/>
      <w:r w:rsidRPr="005958D1">
        <w:rPr>
          <w:rFonts w:cs="Arial"/>
          <w:szCs w:val="16"/>
        </w:rPr>
        <w:t>cambiabilidad</w:t>
      </w:r>
      <w:proofErr w:type="spellEnd"/>
      <w:r w:rsidRPr="005958D1">
        <w:rPr>
          <w:rFonts w:cs="Arial"/>
          <w:szCs w:val="16"/>
        </w:rPr>
        <w:t xml:space="preserve">, en la Circular Reglamentaria Externa DTE-53 de 2001, correspondiendo exclusivamente a dicho organismo la facultad de retirar billetes y monedas de circulación, como lo establece el </w:t>
      </w:r>
      <w:r>
        <w:rPr>
          <w:rFonts w:cs="Arial"/>
          <w:szCs w:val="16"/>
        </w:rPr>
        <w:t>art.</w:t>
      </w:r>
      <w:r w:rsidRPr="005958D1">
        <w:rPr>
          <w:rFonts w:cs="Arial"/>
          <w:szCs w:val="16"/>
        </w:rPr>
        <w:t xml:space="preserve"> 10 de la Ley 31 de 1992.</w:t>
      </w:r>
    </w:p>
    <w:p w:rsidR="006E43AC" w:rsidRPr="005958D1" w:rsidRDefault="006E43AC" w:rsidP="006E43AC">
      <w:pPr>
        <w:ind w:right="49"/>
        <w:jc w:val="both"/>
        <w:rPr>
          <w:rFonts w:cs="Arial"/>
          <w:szCs w:val="16"/>
        </w:rPr>
      </w:pPr>
    </w:p>
    <w:p w:rsidR="006E43AC" w:rsidRDefault="006E43AC" w:rsidP="006E43AC">
      <w:pPr>
        <w:widowControl w:val="0"/>
        <w:autoSpaceDE w:val="0"/>
        <w:autoSpaceDN w:val="0"/>
        <w:adjustRightInd w:val="0"/>
        <w:ind w:right="49"/>
        <w:jc w:val="both"/>
        <w:rPr>
          <w:rFonts w:cs="Arial"/>
          <w:szCs w:val="16"/>
        </w:rPr>
      </w:pPr>
      <w:r w:rsidRPr="005958D1">
        <w:rPr>
          <w:rFonts w:cs="Arial"/>
          <w:szCs w:val="16"/>
        </w:rPr>
        <w:t>En ese orden de ideas, los establecimientos de crédito deben contar con los mecanismos adecuados mediante los cuales se verifique permanentemente que la institución devuelve el cambio en las operaciones que realiza y que recibe moneda legal en billetes y en moneda metálica de cualquier denominación, garantizando su plena utilización por parte de clientes y usuarios</w:t>
      </w:r>
      <w:r>
        <w:rPr>
          <w:rFonts w:cs="Arial"/>
          <w:szCs w:val="16"/>
        </w:rPr>
        <w:t xml:space="preserve">. Realizar lo contrario </w:t>
      </w:r>
      <w:r w:rsidRPr="005958D1">
        <w:rPr>
          <w:rFonts w:cs="Arial"/>
          <w:szCs w:val="16"/>
        </w:rPr>
        <w:t>es desconocer las reglas señaladas, las cuales resultan abiertamente lesivas de los intereses de los clientes y usuarios del sistema.</w:t>
      </w:r>
    </w:p>
    <w:p w:rsidR="001D1565" w:rsidRDefault="001D1565" w:rsidP="006E43AC">
      <w:pPr>
        <w:widowControl w:val="0"/>
        <w:autoSpaceDE w:val="0"/>
        <w:autoSpaceDN w:val="0"/>
        <w:adjustRightInd w:val="0"/>
        <w:ind w:right="49"/>
        <w:jc w:val="both"/>
        <w:rPr>
          <w:rFonts w:cs="Arial"/>
          <w:szCs w:val="16"/>
        </w:rPr>
      </w:pPr>
    </w:p>
    <w:p w:rsidR="00F939F2" w:rsidRPr="009C2F71" w:rsidRDefault="00100C8D" w:rsidP="00A6100C">
      <w:pPr>
        <w:pBdr>
          <w:left w:val="single" w:sz="4" w:space="4" w:color="auto"/>
        </w:pBdr>
        <w:jc w:val="both"/>
        <w:rPr>
          <w:rFonts w:eastAsia="MS Mincho"/>
          <w:b/>
        </w:rPr>
      </w:pPr>
      <w:r w:rsidRPr="009C2F71">
        <w:rPr>
          <w:rFonts w:eastAsia="MS Mincho"/>
          <w:b/>
        </w:rPr>
        <w:t>1.4</w:t>
      </w:r>
      <w:r w:rsidR="00F939F2" w:rsidRPr="009C2F71">
        <w:rPr>
          <w:rFonts w:eastAsia="MS Mincho"/>
          <w:b/>
        </w:rPr>
        <w:t xml:space="preserve">. </w:t>
      </w:r>
      <w:r w:rsidR="006433F4" w:rsidRPr="009C2F71">
        <w:rPr>
          <w:rFonts w:eastAsia="MS Mincho"/>
          <w:b/>
        </w:rPr>
        <w:t>REG</w:t>
      </w:r>
      <w:r w:rsidR="00E40C72">
        <w:rPr>
          <w:rFonts w:eastAsia="MS Mincho"/>
          <w:b/>
        </w:rPr>
        <w:t>Í</w:t>
      </w:r>
      <w:r w:rsidR="006433F4" w:rsidRPr="009C2F71">
        <w:rPr>
          <w:rFonts w:eastAsia="MS Mincho"/>
          <w:b/>
        </w:rPr>
        <w:t>MEN</w:t>
      </w:r>
      <w:r w:rsidR="00E40C72">
        <w:rPr>
          <w:rFonts w:eastAsia="MS Mincho"/>
          <w:b/>
        </w:rPr>
        <w:t>ES</w:t>
      </w:r>
      <w:r w:rsidR="006433F4" w:rsidRPr="009C2F71">
        <w:rPr>
          <w:rFonts w:eastAsia="MS Mincho"/>
          <w:b/>
        </w:rPr>
        <w:t xml:space="preserve"> DE AUTORIZACIÓN </w:t>
      </w:r>
      <w:r w:rsidR="00943FE4" w:rsidRPr="009C2F71">
        <w:rPr>
          <w:rFonts w:eastAsia="MS Mincho"/>
          <w:b/>
        </w:rPr>
        <w:t>DE LOS REGLAMENTOS DE</w:t>
      </w:r>
      <w:r w:rsidR="00CF00A1">
        <w:rPr>
          <w:rFonts w:eastAsia="MS Mincho"/>
          <w:b/>
        </w:rPr>
        <w:t xml:space="preserve"> LOS PRODUCTOS DE</w:t>
      </w:r>
      <w:r w:rsidR="00943FE4" w:rsidRPr="009C2F71">
        <w:rPr>
          <w:rFonts w:eastAsia="MS Mincho"/>
          <w:b/>
        </w:rPr>
        <w:t xml:space="preserve"> LAS SECCIONES DE AHORRO </w:t>
      </w:r>
    </w:p>
    <w:p w:rsidR="00F939F2" w:rsidRPr="009C2F71" w:rsidRDefault="00F939F2" w:rsidP="00663DBA">
      <w:pPr>
        <w:jc w:val="both"/>
        <w:rPr>
          <w:rFonts w:eastAsia="MS Mincho"/>
          <w:b/>
        </w:rPr>
      </w:pPr>
    </w:p>
    <w:p w:rsidR="00D16954" w:rsidRDefault="00D16954" w:rsidP="00A6100C">
      <w:pPr>
        <w:pBdr>
          <w:left w:val="single" w:sz="4" w:space="4" w:color="auto"/>
        </w:pBdr>
        <w:jc w:val="both"/>
        <w:rPr>
          <w:rFonts w:eastAsia="MS Mincho"/>
          <w:b/>
        </w:rPr>
      </w:pPr>
      <w:r w:rsidRPr="009C2F71">
        <w:rPr>
          <w:rFonts w:eastAsia="MS Mincho"/>
          <w:b/>
        </w:rPr>
        <w:t xml:space="preserve">El procedimiento de autorización de los reglamentos de los productos de la sección de </w:t>
      </w:r>
      <w:r w:rsidR="006433F4" w:rsidRPr="009C2F71">
        <w:rPr>
          <w:rFonts w:eastAsia="MS Mincho"/>
          <w:b/>
        </w:rPr>
        <w:t xml:space="preserve">ahorros </w:t>
      </w:r>
      <w:r w:rsidRPr="009C2F71">
        <w:rPr>
          <w:rFonts w:eastAsia="MS Mincho"/>
          <w:b/>
        </w:rPr>
        <w:t>de los establecimientos de crédito</w:t>
      </w:r>
      <w:r w:rsidR="000573AD">
        <w:rPr>
          <w:rFonts w:eastAsia="MS Mincho"/>
          <w:b/>
        </w:rPr>
        <w:t xml:space="preserve"> y cajas de compensación </w:t>
      </w:r>
      <w:r w:rsidRPr="009C2F71">
        <w:rPr>
          <w:rFonts w:eastAsia="MS Mincho"/>
          <w:b/>
        </w:rPr>
        <w:t>se sujeta al régimen de autorización general o individual, de acuerdo con las disposiciones contenidas en el presente numeral.</w:t>
      </w:r>
    </w:p>
    <w:p w:rsidR="0011217C" w:rsidRDefault="0011217C" w:rsidP="00A6100C">
      <w:pPr>
        <w:pBdr>
          <w:left w:val="single" w:sz="4" w:space="4" w:color="auto"/>
        </w:pBdr>
        <w:jc w:val="both"/>
        <w:rPr>
          <w:rFonts w:eastAsia="MS Mincho"/>
          <w:b/>
        </w:rPr>
      </w:pPr>
    </w:p>
    <w:p w:rsidR="002947EE" w:rsidRDefault="0011217C" w:rsidP="00A6100C">
      <w:pPr>
        <w:pBdr>
          <w:left w:val="single" w:sz="4" w:space="4" w:color="auto"/>
        </w:pBdr>
        <w:jc w:val="both"/>
        <w:rPr>
          <w:rFonts w:eastAsia="MS Mincho"/>
          <w:b/>
        </w:rPr>
        <w:sectPr w:rsidR="002947EE" w:rsidSect="009C2F71">
          <w:headerReference w:type="default" r:id="rId10"/>
          <w:footerReference w:type="default" r:id="rId11"/>
          <w:pgSz w:w="12240" w:h="18720" w:code="14"/>
          <w:pgMar w:top="1418" w:right="1701" w:bottom="1418" w:left="1701" w:header="1134" w:footer="1134" w:gutter="0"/>
          <w:paperSrc w:first="15" w:other="15"/>
          <w:pgNumType w:start="1"/>
          <w:cols w:space="720"/>
          <w:noEndnote/>
          <w:docGrid w:linePitch="218"/>
        </w:sectPr>
      </w:pPr>
      <w:r w:rsidRPr="0011217C">
        <w:rPr>
          <w:rFonts w:eastAsia="MS Mincho"/>
          <w:b/>
        </w:rPr>
        <w:t>Las entidades podrán surtir el trámite de autorización a través de cualquiera de los dos regímenes, de acuerdo con las reglas contenidas en la presente circular.</w:t>
      </w:r>
      <w:r w:rsidR="00ED2256">
        <w:rPr>
          <w:rFonts w:eastAsia="MS Mincho"/>
          <w:b/>
        </w:rPr>
        <w:t xml:space="preserve"> Aquellas entidades que cumplan con los presupuestos para obtener la autorización a través del régimen general podrán optar por someterse al trámite individual para lo cual bastará con radicar los documentos bajo el código correspondiente a este último trámite.  </w:t>
      </w:r>
    </w:p>
    <w:p w:rsidR="00D16954" w:rsidRPr="009C2F71" w:rsidRDefault="00D16954" w:rsidP="00663DBA">
      <w:pPr>
        <w:jc w:val="both"/>
        <w:rPr>
          <w:rFonts w:eastAsia="MS Mincho"/>
          <w:b/>
        </w:rPr>
      </w:pPr>
    </w:p>
    <w:p w:rsidR="00F939F2" w:rsidRPr="009C2F71" w:rsidRDefault="000503C2" w:rsidP="00A6100C">
      <w:pPr>
        <w:pBdr>
          <w:left w:val="single" w:sz="4" w:space="4" w:color="auto"/>
        </w:pBdr>
        <w:jc w:val="both"/>
        <w:rPr>
          <w:rFonts w:eastAsia="MS Mincho"/>
          <w:b/>
        </w:rPr>
      </w:pPr>
      <w:r w:rsidRPr="009C2F71">
        <w:rPr>
          <w:rFonts w:eastAsia="MS Mincho"/>
          <w:b/>
        </w:rPr>
        <w:t>1</w:t>
      </w:r>
      <w:r w:rsidR="00F939F2" w:rsidRPr="009C2F71">
        <w:rPr>
          <w:rFonts w:eastAsia="MS Mincho"/>
          <w:b/>
        </w:rPr>
        <w:t>.</w:t>
      </w:r>
      <w:r w:rsidRPr="009C2F71">
        <w:rPr>
          <w:rFonts w:eastAsia="MS Mincho"/>
          <w:b/>
        </w:rPr>
        <w:t>4.</w:t>
      </w:r>
      <w:r w:rsidR="00F939F2" w:rsidRPr="009C2F71">
        <w:rPr>
          <w:rFonts w:eastAsia="MS Mincho"/>
          <w:b/>
        </w:rPr>
        <w:t>1 Régimen de autorización general</w:t>
      </w:r>
    </w:p>
    <w:p w:rsidR="0074342C" w:rsidRDefault="0074342C" w:rsidP="00663DBA">
      <w:pPr>
        <w:jc w:val="both"/>
        <w:rPr>
          <w:rFonts w:eastAsia="MS Mincho"/>
          <w:b/>
        </w:rPr>
      </w:pPr>
    </w:p>
    <w:p w:rsidR="0056531B" w:rsidRDefault="00204F19" w:rsidP="00A6100C">
      <w:pPr>
        <w:pBdr>
          <w:left w:val="single" w:sz="4" w:space="4" w:color="auto"/>
        </w:pBdr>
        <w:jc w:val="both"/>
        <w:rPr>
          <w:rFonts w:eastAsia="MS Mincho"/>
          <w:b/>
        </w:rPr>
      </w:pPr>
      <w:r>
        <w:rPr>
          <w:rFonts w:eastAsia="MS Mincho"/>
          <w:b/>
        </w:rPr>
        <w:t xml:space="preserve">1.4.1.1 </w:t>
      </w:r>
      <w:r w:rsidR="00DF1C9F">
        <w:rPr>
          <w:rFonts w:eastAsia="MS Mincho"/>
          <w:b/>
        </w:rPr>
        <w:t>L</w:t>
      </w:r>
      <w:r w:rsidR="00F6536F">
        <w:rPr>
          <w:rFonts w:eastAsia="MS Mincho"/>
          <w:b/>
        </w:rPr>
        <w:t>as reformas o modificaciones</w:t>
      </w:r>
      <w:r w:rsidR="006B6B3A">
        <w:rPr>
          <w:rFonts w:eastAsia="MS Mincho"/>
          <w:b/>
        </w:rPr>
        <w:t xml:space="preserve"> </w:t>
      </w:r>
      <w:r w:rsidR="00F6536F">
        <w:rPr>
          <w:rFonts w:eastAsia="MS Mincho"/>
          <w:b/>
        </w:rPr>
        <w:t xml:space="preserve">a </w:t>
      </w:r>
      <w:r w:rsidR="00F939F2" w:rsidRPr="009C2F71">
        <w:rPr>
          <w:rFonts w:eastAsia="MS Mincho"/>
          <w:b/>
        </w:rPr>
        <w:t xml:space="preserve">los reglamentos de los productos de la sección </w:t>
      </w:r>
      <w:r w:rsidR="006433F4" w:rsidRPr="009C2F71">
        <w:rPr>
          <w:rFonts w:eastAsia="MS Mincho"/>
          <w:b/>
        </w:rPr>
        <w:t xml:space="preserve">de </w:t>
      </w:r>
      <w:r w:rsidR="00F939F2" w:rsidRPr="009C2F71">
        <w:rPr>
          <w:rFonts w:eastAsia="MS Mincho"/>
          <w:b/>
        </w:rPr>
        <w:t>ahorro</w:t>
      </w:r>
      <w:r w:rsidR="00F0220F">
        <w:rPr>
          <w:rFonts w:eastAsia="MS Mincho"/>
          <w:b/>
        </w:rPr>
        <w:t xml:space="preserve"> que hayan sido aprobados por la SFC</w:t>
      </w:r>
      <w:r w:rsidR="000573AD">
        <w:rPr>
          <w:rFonts w:eastAsia="MS Mincho"/>
          <w:b/>
        </w:rPr>
        <w:t xml:space="preserve"> </w:t>
      </w:r>
      <w:r w:rsidR="00DF1C9F">
        <w:rPr>
          <w:rFonts w:eastAsia="MS Mincho"/>
          <w:b/>
        </w:rPr>
        <w:t>s</w:t>
      </w:r>
      <w:r w:rsidR="00DF1C9F" w:rsidRPr="009C2F71">
        <w:rPr>
          <w:rFonts w:eastAsia="MS Mincho"/>
          <w:b/>
        </w:rPr>
        <w:t>e entienden autorizadas de manera general</w:t>
      </w:r>
      <w:r w:rsidR="00DF1C9F">
        <w:rPr>
          <w:rFonts w:eastAsia="MS Mincho"/>
          <w:b/>
        </w:rPr>
        <w:t xml:space="preserve">, </w:t>
      </w:r>
      <w:r w:rsidR="00F6536F">
        <w:rPr>
          <w:rFonts w:eastAsia="MS Mincho"/>
          <w:b/>
        </w:rPr>
        <w:t>siempre</w:t>
      </w:r>
      <w:r w:rsidR="009E54B4">
        <w:rPr>
          <w:rFonts w:eastAsia="MS Mincho"/>
          <w:b/>
        </w:rPr>
        <w:t xml:space="preserve"> y cuando</w:t>
      </w:r>
      <w:r w:rsidR="00F6536F">
        <w:rPr>
          <w:rFonts w:eastAsia="MS Mincho"/>
          <w:b/>
        </w:rPr>
        <w:t xml:space="preserve"> </w:t>
      </w:r>
      <w:r w:rsidR="00CF00A1">
        <w:rPr>
          <w:rFonts w:eastAsia="MS Mincho"/>
          <w:b/>
        </w:rPr>
        <w:t xml:space="preserve">cumplan los requisitos legales, </w:t>
      </w:r>
      <w:r w:rsidR="00F6536F" w:rsidRPr="00204F19">
        <w:rPr>
          <w:rFonts w:eastAsia="MS Mincho"/>
          <w:b/>
        </w:rPr>
        <w:t xml:space="preserve">no incluyan </w:t>
      </w:r>
      <w:r w:rsidR="0056531B" w:rsidRPr="00204F19">
        <w:rPr>
          <w:rFonts w:eastAsia="MS Mincho"/>
          <w:b/>
        </w:rPr>
        <w:t xml:space="preserve">estipulaciones contrarias a las normas e instrucciones </w:t>
      </w:r>
      <w:r w:rsidR="00CF00A1" w:rsidRPr="00204F19">
        <w:rPr>
          <w:rFonts w:eastAsia="MS Mincho"/>
          <w:b/>
        </w:rPr>
        <w:t>que los rigen</w:t>
      </w:r>
      <w:r w:rsidR="00F0220F">
        <w:rPr>
          <w:rFonts w:eastAsia="MS Mincho"/>
          <w:b/>
        </w:rPr>
        <w:t>,</w:t>
      </w:r>
      <w:r w:rsidR="006B6B3A">
        <w:rPr>
          <w:rFonts w:eastAsia="MS Mincho"/>
          <w:b/>
        </w:rPr>
        <w:t xml:space="preserve"> </w:t>
      </w:r>
      <w:r>
        <w:rPr>
          <w:rFonts w:eastAsia="MS Mincho"/>
          <w:b/>
        </w:rPr>
        <w:t>ni</w:t>
      </w:r>
      <w:r w:rsidRPr="00204F19">
        <w:rPr>
          <w:rFonts w:eastAsia="MS Mincho"/>
          <w:b/>
        </w:rPr>
        <w:t xml:space="preserve"> </w:t>
      </w:r>
      <w:r w:rsidR="0056531B" w:rsidRPr="00204F19">
        <w:rPr>
          <w:rFonts w:eastAsia="MS Mincho"/>
          <w:b/>
        </w:rPr>
        <w:t>al régimen de protección al consumidor financiero contenido en la</w:t>
      </w:r>
      <w:r w:rsidR="000573AD" w:rsidRPr="00204F19">
        <w:rPr>
          <w:rFonts w:eastAsia="MS Mincho"/>
          <w:b/>
        </w:rPr>
        <w:t>s</w:t>
      </w:r>
      <w:r w:rsidR="0056531B" w:rsidRPr="00204F19">
        <w:rPr>
          <w:rFonts w:eastAsia="MS Mincho"/>
          <w:b/>
        </w:rPr>
        <w:t xml:space="preserve"> Ley</w:t>
      </w:r>
      <w:r w:rsidR="000573AD" w:rsidRPr="00204F19">
        <w:rPr>
          <w:rFonts w:eastAsia="MS Mincho"/>
          <w:b/>
        </w:rPr>
        <w:t>es</w:t>
      </w:r>
      <w:r w:rsidR="0056531B" w:rsidRPr="00204F19">
        <w:rPr>
          <w:rFonts w:eastAsia="MS Mincho"/>
          <w:b/>
        </w:rPr>
        <w:t xml:space="preserve"> 1328 de 2009, </w:t>
      </w:r>
      <w:r w:rsidR="007C2BCB" w:rsidRPr="00204F19">
        <w:rPr>
          <w:rFonts w:eastAsia="MS Mincho"/>
          <w:b/>
        </w:rPr>
        <w:t xml:space="preserve">1793 de 2016, 1836 de 2017, la CBJ y </w:t>
      </w:r>
      <w:r w:rsidR="002C390B" w:rsidRPr="00204F19">
        <w:rPr>
          <w:rFonts w:eastAsia="MS Mincho"/>
          <w:b/>
        </w:rPr>
        <w:t>demás normas que las modi</w:t>
      </w:r>
      <w:r w:rsidR="00E91D58" w:rsidRPr="00204F19">
        <w:rPr>
          <w:rFonts w:eastAsia="MS Mincho"/>
          <w:b/>
        </w:rPr>
        <w:t xml:space="preserve">fiquen, </w:t>
      </w:r>
      <w:r w:rsidR="007C2BCB" w:rsidRPr="00204F19">
        <w:rPr>
          <w:rFonts w:eastAsia="MS Mincho"/>
          <w:b/>
        </w:rPr>
        <w:t>sustituyan o adicionen.</w:t>
      </w:r>
      <w:r w:rsidR="007C2BCB">
        <w:rPr>
          <w:rFonts w:eastAsia="MS Mincho"/>
          <w:b/>
        </w:rPr>
        <w:t xml:space="preserve"> </w:t>
      </w:r>
    </w:p>
    <w:p w:rsidR="00204F19" w:rsidRDefault="00204F19" w:rsidP="00A6100C">
      <w:pPr>
        <w:pBdr>
          <w:left w:val="single" w:sz="4" w:space="4" w:color="auto"/>
        </w:pBdr>
        <w:jc w:val="both"/>
        <w:rPr>
          <w:rFonts w:eastAsia="MS Mincho"/>
          <w:b/>
        </w:rPr>
      </w:pPr>
    </w:p>
    <w:p w:rsidR="00663DBA" w:rsidRDefault="00F0220F" w:rsidP="00F0220F">
      <w:pPr>
        <w:pBdr>
          <w:left w:val="single" w:sz="4" w:space="4" w:color="auto"/>
        </w:pBdr>
        <w:jc w:val="both"/>
        <w:rPr>
          <w:rFonts w:eastAsia="MS Mincho"/>
          <w:b/>
        </w:rPr>
      </w:pPr>
      <w:r>
        <w:rPr>
          <w:rFonts w:eastAsia="MS Mincho"/>
          <w:b/>
        </w:rPr>
        <w:t xml:space="preserve">En todo caso, los reglamentos siempre deben </w:t>
      </w:r>
      <w:r w:rsidR="00BD3732">
        <w:rPr>
          <w:rFonts w:eastAsia="MS Mincho"/>
          <w:b/>
        </w:rPr>
        <w:t>contener,</w:t>
      </w:r>
      <w:r w:rsidR="00F6536F">
        <w:rPr>
          <w:rFonts w:eastAsia="MS Mincho"/>
          <w:b/>
        </w:rPr>
        <w:t xml:space="preserve"> como mínimo,</w:t>
      </w:r>
      <w:r w:rsidR="00663DBA">
        <w:rPr>
          <w:rFonts w:eastAsia="MS Mincho"/>
          <w:b/>
        </w:rPr>
        <w:t xml:space="preserve"> </w:t>
      </w:r>
      <w:r w:rsidR="0079240A">
        <w:rPr>
          <w:rFonts w:eastAsia="MS Mincho"/>
          <w:b/>
        </w:rPr>
        <w:t>las siguientes cláusulas</w:t>
      </w:r>
      <w:r w:rsidR="00663DBA">
        <w:rPr>
          <w:rFonts w:eastAsia="MS Mincho"/>
          <w:b/>
        </w:rPr>
        <w:t>:</w:t>
      </w:r>
    </w:p>
    <w:p w:rsidR="00663DBA" w:rsidRDefault="00663DBA" w:rsidP="00663DBA">
      <w:pPr>
        <w:jc w:val="both"/>
        <w:rPr>
          <w:rFonts w:eastAsia="MS Mincho"/>
          <w:b/>
        </w:rPr>
      </w:pPr>
    </w:p>
    <w:p w:rsidR="006220E8" w:rsidRPr="009C2F71" w:rsidRDefault="000503C2" w:rsidP="00A6100C">
      <w:pPr>
        <w:pBdr>
          <w:left w:val="single" w:sz="4" w:space="4" w:color="auto"/>
        </w:pBdr>
        <w:jc w:val="both"/>
        <w:rPr>
          <w:rFonts w:eastAsia="MS Mincho"/>
          <w:b/>
        </w:rPr>
      </w:pPr>
      <w:r w:rsidRPr="009C2F71">
        <w:rPr>
          <w:rFonts w:eastAsia="MS Mincho"/>
          <w:b/>
        </w:rPr>
        <w:t>1.4.</w:t>
      </w:r>
      <w:r w:rsidR="0088133F" w:rsidRPr="009C2F71">
        <w:rPr>
          <w:rFonts w:eastAsia="MS Mincho"/>
          <w:b/>
        </w:rPr>
        <w:t>1.</w:t>
      </w:r>
      <w:r w:rsidR="00F0220F">
        <w:rPr>
          <w:rFonts w:eastAsia="MS Mincho"/>
          <w:b/>
        </w:rPr>
        <w:t>1</w:t>
      </w:r>
      <w:r w:rsidR="00204F19">
        <w:rPr>
          <w:rFonts w:eastAsia="MS Mincho"/>
          <w:b/>
        </w:rPr>
        <w:t>.</w:t>
      </w:r>
      <w:r w:rsidR="0088133F" w:rsidRPr="009C2F71">
        <w:rPr>
          <w:rFonts w:eastAsia="MS Mincho"/>
          <w:b/>
        </w:rPr>
        <w:t>1.</w:t>
      </w:r>
      <w:r w:rsidR="006433F4" w:rsidRPr="009C2F71">
        <w:rPr>
          <w:rFonts w:eastAsia="MS Mincho"/>
          <w:b/>
        </w:rPr>
        <w:t xml:space="preserve"> </w:t>
      </w:r>
      <w:r w:rsidR="00F6536F">
        <w:rPr>
          <w:rFonts w:eastAsia="MS Mincho"/>
          <w:b/>
        </w:rPr>
        <w:t>C</w:t>
      </w:r>
      <w:r w:rsidR="00874BB3" w:rsidRPr="009C2F71">
        <w:rPr>
          <w:rFonts w:eastAsia="MS Mincho"/>
          <w:b/>
        </w:rPr>
        <w:t>ondiciones</w:t>
      </w:r>
      <w:r w:rsidR="00530746">
        <w:rPr>
          <w:rFonts w:eastAsia="MS Mincho"/>
          <w:b/>
        </w:rPr>
        <w:t xml:space="preserve"> y requisitos</w:t>
      </w:r>
      <w:r w:rsidR="00874BB3" w:rsidRPr="009C2F71">
        <w:rPr>
          <w:rFonts w:eastAsia="MS Mincho"/>
          <w:b/>
        </w:rPr>
        <w:t xml:space="preserve"> para la apertura del producto</w:t>
      </w:r>
      <w:r w:rsidR="00874BB3">
        <w:rPr>
          <w:rFonts w:eastAsia="MS Mincho"/>
          <w:b/>
        </w:rPr>
        <w:t>.</w:t>
      </w:r>
      <w:r w:rsidR="006C3BEF">
        <w:rPr>
          <w:rFonts w:eastAsia="MS Mincho"/>
          <w:b/>
        </w:rPr>
        <w:tab/>
      </w:r>
    </w:p>
    <w:p w:rsidR="00874BB3" w:rsidRDefault="000503C2" w:rsidP="00A6100C">
      <w:pPr>
        <w:pBdr>
          <w:left w:val="single" w:sz="4" w:space="4" w:color="auto"/>
        </w:pBdr>
        <w:jc w:val="both"/>
        <w:rPr>
          <w:rFonts w:eastAsia="MS Mincho"/>
          <w:b/>
        </w:rPr>
      </w:pPr>
      <w:r w:rsidRPr="009C2F71">
        <w:rPr>
          <w:rFonts w:eastAsia="MS Mincho"/>
          <w:b/>
        </w:rPr>
        <w:t>1.4</w:t>
      </w:r>
      <w:r w:rsidR="006220E8" w:rsidRPr="009C2F71">
        <w:rPr>
          <w:rFonts w:eastAsia="MS Mincho"/>
          <w:b/>
        </w:rPr>
        <w:t>.1.</w:t>
      </w:r>
      <w:r w:rsidR="00F0220F">
        <w:rPr>
          <w:rFonts w:eastAsia="MS Mincho"/>
          <w:b/>
        </w:rPr>
        <w:t>1</w:t>
      </w:r>
      <w:r w:rsidR="00204F19">
        <w:rPr>
          <w:rFonts w:eastAsia="MS Mincho"/>
          <w:b/>
        </w:rPr>
        <w:t>.</w:t>
      </w:r>
      <w:r w:rsidR="006220E8" w:rsidRPr="009C2F71">
        <w:rPr>
          <w:rFonts w:eastAsia="MS Mincho"/>
          <w:b/>
        </w:rPr>
        <w:t xml:space="preserve">2 </w:t>
      </w:r>
      <w:r w:rsidR="009F5D04" w:rsidRPr="009C2F71">
        <w:rPr>
          <w:rFonts w:eastAsia="MS Mincho"/>
          <w:b/>
        </w:rPr>
        <w:tab/>
      </w:r>
      <w:r w:rsidR="00F6536F">
        <w:rPr>
          <w:rFonts w:eastAsia="MS Mincho"/>
          <w:b/>
        </w:rPr>
        <w:t>C</w:t>
      </w:r>
      <w:r w:rsidR="00874BB3" w:rsidRPr="009C2F71">
        <w:rPr>
          <w:rFonts w:eastAsia="MS Mincho"/>
          <w:b/>
        </w:rPr>
        <w:t>aracterísticas y condiciones del producto.</w:t>
      </w:r>
    </w:p>
    <w:p w:rsidR="006220E8" w:rsidRPr="009C2F71" w:rsidRDefault="000503C2" w:rsidP="00A6100C">
      <w:pPr>
        <w:pBdr>
          <w:left w:val="single" w:sz="4" w:space="4" w:color="auto"/>
        </w:pBdr>
        <w:ind w:left="708" w:hanging="708"/>
        <w:jc w:val="both"/>
        <w:rPr>
          <w:rFonts w:eastAsia="MS Mincho"/>
          <w:b/>
        </w:rPr>
      </w:pPr>
      <w:r w:rsidRPr="009C2F71">
        <w:rPr>
          <w:rFonts w:eastAsia="MS Mincho"/>
          <w:b/>
        </w:rPr>
        <w:t>1.4</w:t>
      </w:r>
      <w:r w:rsidR="0088133F" w:rsidRPr="009C2F71">
        <w:rPr>
          <w:rFonts w:eastAsia="MS Mincho"/>
          <w:b/>
        </w:rPr>
        <w:t>.1.</w:t>
      </w:r>
      <w:r w:rsidR="00F0220F">
        <w:rPr>
          <w:rFonts w:eastAsia="MS Mincho"/>
          <w:b/>
        </w:rPr>
        <w:t>1</w:t>
      </w:r>
      <w:r w:rsidR="00204F19">
        <w:rPr>
          <w:rFonts w:eastAsia="MS Mincho"/>
          <w:b/>
        </w:rPr>
        <w:t>.</w:t>
      </w:r>
      <w:r w:rsidR="0088133F" w:rsidRPr="009C2F71">
        <w:rPr>
          <w:rFonts w:eastAsia="MS Mincho"/>
          <w:b/>
        </w:rPr>
        <w:t xml:space="preserve">3 </w:t>
      </w:r>
      <w:r w:rsidR="009F5D04" w:rsidRPr="009C2F71">
        <w:rPr>
          <w:rFonts w:eastAsia="MS Mincho"/>
          <w:b/>
        </w:rPr>
        <w:tab/>
      </w:r>
      <w:r w:rsidR="00F6536F">
        <w:rPr>
          <w:rFonts w:eastAsia="MS Mincho"/>
          <w:b/>
        </w:rPr>
        <w:t>D</w:t>
      </w:r>
      <w:r w:rsidR="006220E8" w:rsidRPr="009C2F71">
        <w:rPr>
          <w:rFonts w:eastAsia="MS Mincho"/>
          <w:b/>
        </w:rPr>
        <w:t>erechos y obligaciones de l</w:t>
      </w:r>
      <w:r w:rsidR="00B90D35">
        <w:rPr>
          <w:rFonts w:eastAsia="MS Mincho"/>
          <w:b/>
        </w:rPr>
        <w:t>as partes.</w:t>
      </w:r>
    </w:p>
    <w:p w:rsidR="00D37479" w:rsidRDefault="000503C2" w:rsidP="00A6100C">
      <w:pPr>
        <w:pBdr>
          <w:left w:val="single" w:sz="4" w:space="4" w:color="auto"/>
        </w:pBdr>
        <w:ind w:left="708" w:hanging="708"/>
        <w:jc w:val="both"/>
        <w:rPr>
          <w:rFonts w:eastAsia="MS Mincho"/>
          <w:b/>
        </w:rPr>
      </w:pPr>
      <w:r w:rsidRPr="009C2F71">
        <w:rPr>
          <w:rFonts w:eastAsia="MS Mincho"/>
          <w:b/>
        </w:rPr>
        <w:t>1.4.</w:t>
      </w:r>
      <w:r w:rsidR="0088133F" w:rsidRPr="009C2F71">
        <w:rPr>
          <w:rFonts w:eastAsia="MS Mincho"/>
          <w:b/>
        </w:rPr>
        <w:t>1.</w:t>
      </w:r>
      <w:r w:rsidR="00F0220F">
        <w:rPr>
          <w:rFonts w:eastAsia="MS Mincho"/>
          <w:b/>
        </w:rPr>
        <w:t>1</w:t>
      </w:r>
      <w:r w:rsidR="00CE581A">
        <w:rPr>
          <w:rFonts w:eastAsia="MS Mincho"/>
          <w:b/>
        </w:rPr>
        <w:t>.</w:t>
      </w:r>
      <w:r w:rsidR="0088133F" w:rsidRPr="009C2F71">
        <w:rPr>
          <w:rFonts w:eastAsia="MS Mincho"/>
          <w:b/>
        </w:rPr>
        <w:t>4</w:t>
      </w:r>
      <w:r w:rsidR="006220E8" w:rsidRPr="009C2F71">
        <w:rPr>
          <w:rFonts w:eastAsia="MS Mincho"/>
          <w:b/>
        </w:rPr>
        <w:t xml:space="preserve"> </w:t>
      </w:r>
      <w:r w:rsidR="009F5D04" w:rsidRPr="009C2F71">
        <w:rPr>
          <w:rFonts w:eastAsia="MS Mincho"/>
          <w:b/>
        </w:rPr>
        <w:tab/>
      </w:r>
      <w:r w:rsidR="00F6536F">
        <w:rPr>
          <w:rFonts w:eastAsia="MS Mincho"/>
          <w:b/>
        </w:rPr>
        <w:t>C</w:t>
      </w:r>
      <w:r w:rsidR="00B90D35">
        <w:rPr>
          <w:rFonts w:eastAsia="MS Mincho"/>
          <w:b/>
        </w:rPr>
        <w:t xml:space="preserve">anales dispuestos </w:t>
      </w:r>
      <w:r w:rsidR="00530746">
        <w:rPr>
          <w:rFonts w:eastAsia="MS Mincho"/>
          <w:b/>
        </w:rPr>
        <w:t xml:space="preserve">por la entidad </w:t>
      </w:r>
      <w:r w:rsidR="00B90D35">
        <w:rPr>
          <w:rFonts w:eastAsia="MS Mincho"/>
          <w:b/>
        </w:rPr>
        <w:t>para el retiro de las sumas de dinero</w:t>
      </w:r>
      <w:r w:rsidR="00530746">
        <w:rPr>
          <w:rFonts w:eastAsia="MS Mincho"/>
          <w:b/>
        </w:rPr>
        <w:t>,</w:t>
      </w:r>
      <w:r w:rsidR="00B90D35">
        <w:rPr>
          <w:rFonts w:eastAsia="MS Mincho"/>
          <w:b/>
        </w:rPr>
        <w:t xml:space="preserve"> con </w:t>
      </w:r>
      <w:r w:rsidR="00530746">
        <w:rPr>
          <w:rFonts w:eastAsia="MS Mincho"/>
          <w:b/>
        </w:rPr>
        <w:t xml:space="preserve">la </w:t>
      </w:r>
      <w:r w:rsidR="00B90D35">
        <w:rPr>
          <w:rFonts w:eastAsia="MS Mincho"/>
          <w:b/>
        </w:rPr>
        <w:t>indicación del</w:t>
      </w:r>
      <w:r w:rsidR="003738F0">
        <w:rPr>
          <w:rFonts w:eastAsia="MS Mincho"/>
          <w:b/>
        </w:rPr>
        <w:t xml:space="preserve"> </w:t>
      </w:r>
      <w:r w:rsidR="00B90D35">
        <w:rPr>
          <w:rFonts w:eastAsia="MS Mincho"/>
          <w:b/>
        </w:rPr>
        <w:t>canal gratuit</w:t>
      </w:r>
      <w:r w:rsidR="00530746">
        <w:rPr>
          <w:rFonts w:eastAsia="MS Mincho"/>
          <w:b/>
        </w:rPr>
        <w:t>o habilitado para e</w:t>
      </w:r>
      <w:r w:rsidR="00E57886">
        <w:rPr>
          <w:rFonts w:eastAsia="MS Mincho"/>
          <w:b/>
        </w:rPr>
        <w:t>se propósito</w:t>
      </w:r>
      <w:r w:rsidR="00F6536F">
        <w:rPr>
          <w:rFonts w:eastAsia="MS Mincho"/>
          <w:b/>
        </w:rPr>
        <w:t xml:space="preserve"> </w:t>
      </w:r>
      <w:r w:rsidR="003738F0">
        <w:rPr>
          <w:rFonts w:eastAsia="MS Mincho"/>
          <w:b/>
        </w:rPr>
        <w:t>(</w:t>
      </w:r>
      <w:r w:rsidR="00F6536F">
        <w:rPr>
          <w:rFonts w:eastAsia="MS Mincho"/>
          <w:b/>
        </w:rPr>
        <w:t>Ley 1836 de 2017</w:t>
      </w:r>
      <w:r w:rsidR="003738F0">
        <w:rPr>
          <w:rFonts w:eastAsia="MS Mincho"/>
          <w:b/>
        </w:rPr>
        <w:t>)</w:t>
      </w:r>
      <w:r w:rsidR="00F6536F">
        <w:rPr>
          <w:rFonts w:eastAsia="MS Mincho"/>
          <w:b/>
        </w:rPr>
        <w:t>.</w:t>
      </w:r>
      <w:r w:rsidR="00E57886">
        <w:rPr>
          <w:rFonts w:eastAsia="MS Mincho"/>
          <w:b/>
        </w:rPr>
        <w:t xml:space="preserve"> </w:t>
      </w:r>
    </w:p>
    <w:p w:rsidR="00B90D35" w:rsidRPr="009C2F71" w:rsidRDefault="00D37479" w:rsidP="00A6100C">
      <w:pPr>
        <w:pBdr>
          <w:left w:val="single" w:sz="4" w:space="4" w:color="auto"/>
        </w:pBdr>
        <w:ind w:left="708" w:hanging="708"/>
        <w:jc w:val="both"/>
        <w:rPr>
          <w:rFonts w:eastAsia="MS Mincho"/>
          <w:b/>
        </w:rPr>
      </w:pPr>
      <w:r>
        <w:rPr>
          <w:rFonts w:eastAsia="MS Mincho"/>
          <w:b/>
        </w:rPr>
        <w:t>1.4.1.</w:t>
      </w:r>
      <w:r w:rsidR="00F0220F">
        <w:rPr>
          <w:rFonts w:eastAsia="MS Mincho"/>
          <w:b/>
        </w:rPr>
        <w:t>1</w:t>
      </w:r>
      <w:r w:rsidR="00204F19">
        <w:rPr>
          <w:rFonts w:eastAsia="MS Mincho"/>
          <w:b/>
        </w:rPr>
        <w:t>.</w:t>
      </w:r>
      <w:r>
        <w:rPr>
          <w:rFonts w:eastAsia="MS Mincho"/>
          <w:b/>
        </w:rPr>
        <w:t xml:space="preserve">5 </w:t>
      </w:r>
      <w:r w:rsidR="00F6536F">
        <w:rPr>
          <w:rFonts w:eastAsia="MS Mincho"/>
          <w:b/>
        </w:rPr>
        <w:t>C</w:t>
      </w:r>
      <w:r w:rsidR="00A319F1">
        <w:rPr>
          <w:rFonts w:eastAsia="MS Mincho"/>
          <w:b/>
        </w:rPr>
        <w:t>ondiciones</w:t>
      </w:r>
      <w:r w:rsidR="008214D4">
        <w:rPr>
          <w:rFonts w:eastAsia="MS Mincho"/>
          <w:b/>
        </w:rPr>
        <w:t xml:space="preserve">, </w:t>
      </w:r>
      <w:r w:rsidR="00BD3732">
        <w:rPr>
          <w:rFonts w:eastAsia="MS Mincho"/>
          <w:b/>
        </w:rPr>
        <w:t>límites y</w:t>
      </w:r>
      <w:r w:rsidR="008214D4">
        <w:rPr>
          <w:rFonts w:eastAsia="MS Mincho"/>
          <w:b/>
        </w:rPr>
        <w:t xml:space="preserve"> costos </w:t>
      </w:r>
      <w:r w:rsidR="00A319F1">
        <w:rPr>
          <w:rFonts w:eastAsia="MS Mincho"/>
          <w:b/>
        </w:rPr>
        <w:t>para el retiro de los recursos</w:t>
      </w:r>
      <w:r w:rsidR="00B44588">
        <w:rPr>
          <w:rFonts w:eastAsia="MS Mincho"/>
          <w:b/>
        </w:rPr>
        <w:t>.</w:t>
      </w:r>
      <w:r w:rsidR="00A319F1">
        <w:rPr>
          <w:rFonts w:eastAsia="MS Mincho"/>
          <w:b/>
        </w:rPr>
        <w:t xml:space="preserve"> </w:t>
      </w:r>
    </w:p>
    <w:p w:rsidR="0088133F" w:rsidRPr="009C2F71" w:rsidRDefault="000503C2" w:rsidP="00A6100C">
      <w:pPr>
        <w:pBdr>
          <w:left w:val="single" w:sz="4" w:space="4" w:color="auto"/>
        </w:pBdr>
        <w:ind w:left="705" w:hanging="705"/>
        <w:jc w:val="both"/>
        <w:rPr>
          <w:rFonts w:eastAsia="MS Mincho"/>
          <w:b/>
        </w:rPr>
      </w:pPr>
      <w:r w:rsidRPr="009C2F71">
        <w:rPr>
          <w:rFonts w:eastAsia="MS Mincho"/>
          <w:b/>
        </w:rPr>
        <w:t>1.4</w:t>
      </w:r>
      <w:r w:rsidR="0088133F" w:rsidRPr="009C2F71">
        <w:rPr>
          <w:rFonts w:eastAsia="MS Mincho"/>
          <w:b/>
        </w:rPr>
        <w:t>.1.</w:t>
      </w:r>
      <w:r w:rsidR="00F0220F">
        <w:rPr>
          <w:rFonts w:eastAsia="MS Mincho"/>
          <w:b/>
        </w:rPr>
        <w:t>1</w:t>
      </w:r>
      <w:r w:rsidR="00204F19">
        <w:rPr>
          <w:rFonts w:eastAsia="MS Mincho"/>
          <w:b/>
        </w:rPr>
        <w:t>.</w:t>
      </w:r>
      <w:r w:rsidR="00D37479">
        <w:rPr>
          <w:rFonts w:eastAsia="MS Mincho"/>
          <w:b/>
        </w:rPr>
        <w:t>6</w:t>
      </w:r>
      <w:r w:rsidR="0088133F" w:rsidRPr="009C2F71">
        <w:rPr>
          <w:rFonts w:eastAsia="MS Mincho"/>
          <w:b/>
        </w:rPr>
        <w:t xml:space="preserve"> </w:t>
      </w:r>
      <w:r w:rsidR="009F5D04" w:rsidRPr="009C2F71">
        <w:rPr>
          <w:rFonts w:eastAsia="MS Mincho"/>
          <w:b/>
        </w:rPr>
        <w:tab/>
      </w:r>
      <w:r w:rsidR="00B90D35" w:rsidRPr="009C2F71">
        <w:rPr>
          <w:rFonts w:eastAsia="MS Mincho"/>
          <w:b/>
        </w:rPr>
        <w:t>Las</w:t>
      </w:r>
      <w:r w:rsidR="00AF2347">
        <w:rPr>
          <w:rFonts w:eastAsia="MS Mincho"/>
          <w:b/>
        </w:rPr>
        <w:t xml:space="preserve"> tarifas </w:t>
      </w:r>
      <w:r w:rsidR="00FF42A2">
        <w:rPr>
          <w:rFonts w:eastAsia="MS Mincho"/>
          <w:b/>
        </w:rPr>
        <w:t>asociad</w:t>
      </w:r>
      <w:r w:rsidR="00101157">
        <w:rPr>
          <w:rFonts w:eastAsia="MS Mincho"/>
          <w:b/>
        </w:rPr>
        <w:t>a</w:t>
      </w:r>
      <w:r w:rsidR="00FF42A2">
        <w:rPr>
          <w:rFonts w:eastAsia="MS Mincho"/>
          <w:b/>
        </w:rPr>
        <w:t>s</w:t>
      </w:r>
      <w:r w:rsidR="008B0C64">
        <w:rPr>
          <w:rFonts w:eastAsia="MS Mincho"/>
          <w:b/>
        </w:rPr>
        <w:t xml:space="preserve"> </w:t>
      </w:r>
      <w:r w:rsidR="00530746">
        <w:rPr>
          <w:rFonts w:eastAsia="MS Mincho"/>
          <w:b/>
        </w:rPr>
        <w:t xml:space="preserve">al uso del producto </w:t>
      </w:r>
      <w:r w:rsidR="00B90D35" w:rsidRPr="009C2F71">
        <w:rPr>
          <w:rFonts w:eastAsia="MS Mincho"/>
          <w:b/>
        </w:rPr>
        <w:t>y la forma para determinarl</w:t>
      </w:r>
      <w:r w:rsidR="00101157">
        <w:rPr>
          <w:rFonts w:eastAsia="MS Mincho"/>
          <w:b/>
        </w:rPr>
        <w:t>a</w:t>
      </w:r>
      <w:r w:rsidR="00B90D35" w:rsidRPr="009C2F71">
        <w:rPr>
          <w:rFonts w:eastAsia="MS Mincho"/>
          <w:b/>
        </w:rPr>
        <w:t>s</w:t>
      </w:r>
      <w:r w:rsidR="006C3BEF">
        <w:rPr>
          <w:rFonts w:eastAsia="MS Mincho"/>
          <w:b/>
        </w:rPr>
        <w:t xml:space="preserve"> y cobrarl</w:t>
      </w:r>
      <w:r w:rsidR="00101157">
        <w:rPr>
          <w:rFonts w:eastAsia="MS Mincho"/>
          <w:b/>
        </w:rPr>
        <w:t>a</w:t>
      </w:r>
      <w:r w:rsidR="006C3BEF">
        <w:rPr>
          <w:rFonts w:eastAsia="MS Mincho"/>
          <w:b/>
        </w:rPr>
        <w:t>s</w:t>
      </w:r>
      <w:r w:rsidR="00B90D35" w:rsidRPr="009C2F71">
        <w:rPr>
          <w:rFonts w:eastAsia="MS Mincho"/>
          <w:b/>
        </w:rPr>
        <w:t>.</w:t>
      </w:r>
    </w:p>
    <w:p w:rsidR="0088133F" w:rsidRPr="009C2F71" w:rsidRDefault="000503C2" w:rsidP="00770531">
      <w:pPr>
        <w:pBdr>
          <w:left w:val="single" w:sz="4" w:space="4" w:color="auto"/>
        </w:pBdr>
        <w:ind w:left="708" w:hanging="708"/>
        <w:jc w:val="both"/>
        <w:rPr>
          <w:rFonts w:eastAsia="MS Mincho"/>
          <w:b/>
        </w:rPr>
      </w:pPr>
      <w:r w:rsidRPr="009C2F71">
        <w:rPr>
          <w:rFonts w:eastAsia="MS Mincho"/>
          <w:b/>
        </w:rPr>
        <w:t>1.4</w:t>
      </w:r>
      <w:r w:rsidR="0088133F" w:rsidRPr="009C2F71">
        <w:rPr>
          <w:rFonts w:eastAsia="MS Mincho"/>
          <w:b/>
        </w:rPr>
        <w:t>.1.</w:t>
      </w:r>
      <w:r w:rsidR="00F0220F">
        <w:rPr>
          <w:rFonts w:eastAsia="MS Mincho"/>
          <w:b/>
        </w:rPr>
        <w:t>1</w:t>
      </w:r>
      <w:r w:rsidR="00204F19">
        <w:rPr>
          <w:rFonts w:eastAsia="MS Mincho"/>
          <w:b/>
        </w:rPr>
        <w:t>.</w:t>
      </w:r>
      <w:r w:rsidR="00F0220F">
        <w:rPr>
          <w:rFonts w:eastAsia="MS Mincho"/>
          <w:b/>
        </w:rPr>
        <w:t>7</w:t>
      </w:r>
      <w:r w:rsidR="0088133F" w:rsidRPr="009C2F71">
        <w:rPr>
          <w:rFonts w:eastAsia="MS Mincho"/>
          <w:b/>
        </w:rPr>
        <w:t xml:space="preserve"> </w:t>
      </w:r>
      <w:r w:rsidR="009F5D04" w:rsidRPr="009C2F71">
        <w:rPr>
          <w:rFonts w:eastAsia="MS Mincho"/>
          <w:b/>
        </w:rPr>
        <w:tab/>
      </w:r>
      <w:r w:rsidR="0088133F" w:rsidRPr="009C2F71">
        <w:rPr>
          <w:rFonts w:eastAsia="MS Mincho"/>
          <w:b/>
        </w:rPr>
        <w:t>L</w:t>
      </w:r>
      <w:r w:rsidR="006220E8" w:rsidRPr="009C2F71">
        <w:rPr>
          <w:rFonts w:eastAsia="MS Mincho"/>
          <w:b/>
        </w:rPr>
        <w:t xml:space="preserve">as </w:t>
      </w:r>
      <w:r w:rsidR="004C7145">
        <w:rPr>
          <w:rFonts w:eastAsia="MS Mincho"/>
          <w:b/>
        </w:rPr>
        <w:t>condiciones y medidas para el uso y m</w:t>
      </w:r>
      <w:r w:rsidR="006220E8" w:rsidRPr="009C2F71">
        <w:rPr>
          <w:rFonts w:eastAsia="MS Mincho"/>
          <w:b/>
        </w:rPr>
        <w:t>anejo s</w:t>
      </w:r>
      <w:r w:rsidR="0088133F" w:rsidRPr="009C2F71">
        <w:rPr>
          <w:rFonts w:eastAsia="MS Mincho"/>
          <w:b/>
        </w:rPr>
        <w:t xml:space="preserve">eguro del producto </w:t>
      </w:r>
      <w:r w:rsidR="004C7145">
        <w:rPr>
          <w:rFonts w:eastAsia="MS Mincho"/>
          <w:b/>
        </w:rPr>
        <w:t>y los canales asociados al mismo.</w:t>
      </w:r>
      <w:r w:rsidR="00943FE4" w:rsidRPr="009C2F71">
        <w:rPr>
          <w:rFonts w:eastAsia="MS Mincho"/>
          <w:b/>
        </w:rPr>
        <w:t xml:space="preserve"> </w:t>
      </w:r>
    </w:p>
    <w:p w:rsidR="00BB2465" w:rsidRPr="009C2F71" w:rsidRDefault="000503C2" w:rsidP="00A6100C">
      <w:pPr>
        <w:pBdr>
          <w:left w:val="single" w:sz="4" w:space="4" w:color="auto"/>
        </w:pBdr>
        <w:ind w:left="708" w:hanging="708"/>
        <w:jc w:val="both"/>
        <w:rPr>
          <w:rFonts w:eastAsia="MS Mincho"/>
          <w:b/>
        </w:rPr>
      </w:pPr>
      <w:r w:rsidRPr="009C2F71">
        <w:rPr>
          <w:rFonts w:eastAsia="MS Mincho"/>
          <w:b/>
        </w:rPr>
        <w:t>1.4</w:t>
      </w:r>
      <w:r w:rsidR="0088133F" w:rsidRPr="009C2F71">
        <w:rPr>
          <w:rFonts w:eastAsia="MS Mincho"/>
          <w:b/>
        </w:rPr>
        <w:t>.1.</w:t>
      </w:r>
      <w:r w:rsidR="00F0220F">
        <w:rPr>
          <w:rFonts w:eastAsia="MS Mincho"/>
          <w:b/>
        </w:rPr>
        <w:t>1.8</w:t>
      </w:r>
      <w:r w:rsidR="009F5D04" w:rsidRPr="009C2F71">
        <w:rPr>
          <w:rFonts w:eastAsia="MS Mincho"/>
          <w:b/>
        </w:rPr>
        <w:tab/>
      </w:r>
      <w:r w:rsidR="004C7145">
        <w:rPr>
          <w:rFonts w:eastAsia="MS Mincho"/>
          <w:b/>
        </w:rPr>
        <w:t>L</w:t>
      </w:r>
      <w:r w:rsidR="00B90D35">
        <w:rPr>
          <w:rFonts w:eastAsia="MS Mincho"/>
          <w:b/>
        </w:rPr>
        <w:t>as condiciones de liquidación y abono de intereses.</w:t>
      </w:r>
      <w:r w:rsidR="00943FE4" w:rsidRPr="009C2F71">
        <w:rPr>
          <w:rFonts w:eastAsia="MS Mincho"/>
          <w:b/>
        </w:rPr>
        <w:t xml:space="preserve"> </w:t>
      </w:r>
      <w:r w:rsidR="00E04883" w:rsidRPr="009C2F71">
        <w:rPr>
          <w:rFonts w:eastAsia="MS Mincho"/>
          <w:b/>
        </w:rPr>
        <w:t xml:space="preserve"> </w:t>
      </w:r>
    </w:p>
    <w:p w:rsidR="00B72D67" w:rsidRDefault="000503C2" w:rsidP="00A6100C">
      <w:pPr>
        <w:pBdr>
          <w:left w:val="single" w:sz="4" w:space="4" w:color="auto"/>
        </w:pBdr>
        <w:ind w:left="708" w:hanging="708"/>
        <w:jc w:val="both"/>
        <w:rPr>
          <w:rFonts w:eastAsia="MS Mincho"/>
          <w:b/>
        </w:rPr>
      </w:pPr>
      <w:r w:rsidRPr="009C2F71">
        <w:rPr>
          <w:rFonts w:eastAsia="MS Mincho"/>
          <w:b/>
        </w:rPr>
        <w:t>1.4</w:t>
      </w:r>
      <w:r w:rsidR="0088133F" w:rsidRPr="009C2F71">
        <w:rPr>
          <w:rFonts w:eastAsia="MS Mincho"/>
          <w:b/>
        </w:rPr>
        <w:t>.1.</w:t>
      </w:r>
      <w:r w:rsidR="00F0220F">
        <w:rPr>
          <w:rFonts w:eastAsia="MS Mincho"/>
          <w:b/>
        </w:rPr>
        <w:t>1.9</w:t>
      </w:r>
      <w:r w:rsidR="0088133F" w:rsidRPr="009C2F71">
        <w:rPr>
          <w:rFonts w:eastAsia="MS Mincho"/>
          <w:b/>
        </w:rPr>
        <w:t xml:space="preserve"> </w:t>
      </w:r>
      <w:r w:rsidR="00B72D67" w:rsidRPr="009C2F71">
        <w:rPr>
          <w:rFonts w:eastAsia="MS Mincho"/>
          <w:b/>
        </w:rPr>
        <w:t xml:space="preserve">Las reglas y condiciones para la </w:t>
      </w:r>
      <w:r w:rsidR="00B72D67">
        <w:rPr>
          <w:rFonts w:eastAsia="MS Mincho"/>
          <w:b/>
        </w:rPr>
        <w:t xml:space="preserve">cancelación del </w:t>
      </w:r>
      <w:r w:rsidR="00B72D67" w:rsidRPr="009C2F71">
        <w:rPr>
          <w:rFonts w:eastAsia="MS Mincho"/>
          <w:b/>
        </w:rPr>
        <w:t>producto</w:t>
      </w:r>
      <w:r w:rsidR="00B72D67">
        <w:rPr>
          <w:rFonts w:eastAsia="MS Mincho"/>
          <w:b/>
        </w:rPr>
        <w:t>.</w:t>
      </w:r>
    </w:p>
    <w:p w:rsidR="0028776F" w:rsidRPr="009C2F71" w:rsidRDefault="000503C2" w:rsidP="00A6100C">
      <w:pPr>
        <w:pBdr>
          <w:left w:val="single" w:sz="4" w:space="4" w:color="auto"/>
        </w:pBdr>
        <w:ind w:left="708" w:hanging="708"/>
        <w:jc w:val="both"/>
        <w:rPr>
          <w:rFonts w:eastAsia="MS Mincho"/>
          <w:b/>
        </w:rPr>
      </w:pPr>
      <w:r w:rsidRPr="009C2F71">
        <w:rPr>
          <w:rFonts w:eastAsia="MS Mincho"/>
          <w:b/>
        </w:rPr>
        <w:t>1.4</w:t>
      </w:r>
      <w:r w:rsidR="0088133F" w:rsidRPr="009C2F71">
        <w:rPr>
          <w:rFonts w:eastAsia="MS Mincho"/>
          <w:b/>
        </w:rPr>
        <w:t>.1.</w:t>
      </w:r>
      <w:r w:rsidR="00F0220F">
        <w:rPr>
          <w:rFonts w:eastAsia="MS Mincho"/>
          <w:b/>
        </w:rPr>
        <w:t>1.10</w:t>
      </w:r>
      <w:r w:rsidR="0088133F" w:rsidRPr="009C2F71">
        <w:rPr>
          <w:rFonts w:eastAsia="MS Mincho"/>
          <w:b/>
        </w:rPr>
        <w:t xml:space="preserve"> L</w:t>
      </w:r>
      <w:r w:rsidR="006220E8" w:rsidRPr="009C2F71">
        <w:rPr>
          <w:rFonts w:eastAsia="MS Mincho"/>
          <w:b/>
        </w:rPr>
        <w:t xml:space="preserve">as consecuencias derivadas </w:t>
      </w:r>
      <w:r w:rsidR="005C390C">
        <w:rPr>
          <w:rFonts w:eastAsia="MS Mincho"/>
          <w:b/>
        </w:rPr>
        <w:t xml:space="preserve">del incumplimiento del contrato. </w:t>
      </w:r>
    </w:p>
    <w:p w:rsidR="0088133F" w:rsidRPr="009C2F71" w:rsidRDefault="000503C2" w:rsidP="00A6100C">
      <w:pPr>
        <w:pBdr>
          <w:left w:val="single" w:sz="4" w:space="4" w:color="auto"/>
        </w:pBdr>
        <w:ind w:left="708" w:hanging="708"/>
        <w:jc w:val="both"/>
        <w:rPr>
          <w:rFonts w:eastAsia="MS Mincho"/>
          <w:b/>
        </w:rPr>
      </w:pPr>
      <w:r w:rsidRPr="009C2F71">
        <w:rPr>
          <w:rFonts w:eastAsia="MS Mincho"/>
          <w:b/>
        </w:rPr>
        <w:t>1.4</w:t>
      </w:r>
      <w:r w:rsidR="0028776F" w:rsidRPr="009C2F71">
        <w:rPr>
          <w:rFonts w:eastAsia="MS Mincho"/>
          <w:b/>
        </w:rPr>
        <w:t>.1.</w:t>
      </w:r>
      <w:r w:rsidR="00F0220F">
        <w:rPr>
          <w:rFonts w:eastAsia="MS Mincho"/>
          <w:b/>
        </w:rPr>
        <w:t>1.11</w:t>
      </w:r>
      <w:r w:rsidR="0028776F" w:rsidRPr="009C2F71">
        <w:rPr>
          <w:rFonts w:eastAsia="MS Mincho"/>
          <w:b/>
        </w:rPr>
        <w:t>Las condiciones de manejo de la información del tit</w:t>
      </w:r>
      <w:r w:rsidR="00826134" w:rsidRPr="009C2F71">
        <w:rPr>
          <w:rFonts w:eastAsia="MS Mincho"/>
          <w:b/>
        </w:rPr>
        <w:t>ular del producto</w:t>
      </w:r>
      <w:r w:rsidR="005C390C">
        <w:rPr>
          <w:rFonts w:eastAsia="MS Mincho"/>
          <w:b/>
        </w:rPr>
        <w:t xml:space="preserve">. </w:t>
      </w:r>
      <w:r w:rsidR="00F0686D">
        <w:rPr>
          <w:rFonts w:eastAsia="MS Mincho"/>
          <w:b/>
        </w:rPr>
        <w:t xml:space="preserve">Específicamente lo relacionado con el uso comercial que se dará al mismo. </w:t>
      </w:r>
    </w:p>
    <w:p w:rsidR="005C02CE" w:rsidRDefault="000503C2" w:rsidP="00A6100C">
      <w:pPr>
        <w:pBdr>
          <w:left w:val="single" w:sz="4" w:space="4" w:color="auto"/>
        </w:pBdr>
        <w:tabs>
          <w:tab w:val="left" w:pos="708"/>
          <w:tab w:val="left" w:pos="1416"/>
          <w:tab w:val="left" w:pos="2124"/>
          <w:tab w:val="left" w:pos="2832"/>
          <w:tab w:val="left" w:pos="3540"/>
          <w:tab w:val="left" w:pos="4248"/>
          <w:tab w:val="left" w:pos="4956"/>
          <w:tab w:val="left" w:pos="5664"/>
          <w:tab w:val="left" w:pos="6148"/>
        </w:tabs>
        <w:ind w:left="705" w:hanging="705"/>
        <w:jc w:val="both"/>
        <w:rPr>
          <w:rFonts w:eastAsia="MS Mincho"/>
          <w:b/>
        </w:rPr>
      </w:pPr>
      <w:r w:rsidRPr="009C2F71">
        <w:rPr>
          <w:rFonts w:eastAsia="MS Mincho"/>
          <w:b/>
        </w:rPr>
        <w:t>1.4</w:t>
      </w:r>
      <w:r w:rsidR="0088133F" w:rsidRPr="009C2F71">
        <w:rPr>
          <w:rFonts w:eastAsia="MS Mincho"/>
          <w:b/>
        </w:rPr>
        <w:t>.1.</w:t>
      </w:r>
      <w:r w:rsidR="00F0220F">
        <w:rPr>
          <w:rFonts w:eastAsia="MS Mincho"/>
          <w:b/>
        </w:rPr>
        <w:t>1.12</w:t>
      </w:r>
      <w:r w:rsidR="0088133F" w:rsidRPr="009C2F71">
        <w:rPr>
          <w:rFonts w:eastAsia="MS Mincho"/>
          <w:b/>
        </w:rPr>
        <w:t xml:space="preserve"> </w:t>
      </w:r>
      <w:r w:rsidR="009311FF">
        <w:rPr>
          <w:rFonts w:eastAsia="MS Mincho"/>
          <w:b/>
        </w:rPr>
        <w:t xml:space="preserve">Los mecanismos de protección </w:t>
      </w:r>
      <w:r w:rsidR="0029354B">
        <w:rPr>
          <w:rFonts w:eastAsia="MS Mincho"/>
          <w:b/>
        </w:rPr>
        <w:t>para la defensa del consumidor financiero</w:t>
      </w:r>
      <w:r w:rsidR="003C2102">
        <w:rPr>
          <w:rFonts w:eastAsia="MS Mincho"/>
          <w:b/>
        </w:rPr>
        <w:t>, incluyendo</w:t>
      </w:r>
      <w:r w:rsidR="00770531">
        <w:rPr>
          <w:rFonts w:eastAsia="MS Mincho"/>
          <w:b/>
        </w:rPr>
        <w:t xml:space="preserve"> l</w:t>
      </w:r>
      <w:r w:rsidR="00770531" w:rsidRPr="00770531">
        <w:rPr>
          <w:rFonts w:eastAsia="MS Mincho"/>
          <w:b/>
        </w:rPr>
        <w:t>as reglas sobre las modificaciones del producto</w:t>
      </w:r>
      <w:r w:rsidR="00D835EB">
        <w:rPr>
          <w:rFonts w:eastAsia="MS Mincho"/>
          <w:b/>
        </w:rPr>
        <w:t>,</w:t>
      </w:r>
      <w:r w:rsidR="003C2102">
        <w:rPr>
          <w:rFonts w:eastAsia="MS Mincho"/>
          <w:b/>
        </w:rPr>
        <w:t xml:space="preserve"> el término para notificar las</w:t>
      </w:r>
      <w:r w:rsidR="005C02CE">
        <w:rPr>
          <w:rFonts w:eastAsia="MS Mincho"/>
          <w:b/>
        </w:rPr>
        <w:t xml:space="preserve"> </w:t>
      </w:r>
      <w:r w:rsidR="00663DBA">
        <w:rPr>
          <w:rFonts w:eastAsia="MS Mincho"/>
          <w:b/>
        </w:rPr>
        <w:t xml:space="preserve">modificaciones al reglamento, </w:t>
      </w:r>
      <w:r w:rsidR="005C02CE">
        <w:rPr>
          <w:rFonts w:eastAsia="MS Mincho"/>
          <w:b/>
        </w:rPr>
        <w:t>la información relacionada con el seguro</w:t>
      </w:r>
      <w:r w:rsidR="00663DBA">
        <w:rPr>
          <w:rFonts w:eastAsia="MS Mincho"/>
          <w:b/>
        </w:rPr>
        <w:t xml:space="preserve"> de depósitos y</w:t>
      </w:r>
      <w:r w:rsidR="0029354B">
        <w:rPr>
          <w:rFonts w:eastAsia="MS Mincho"/>
          <w:b/>
        </w:rPr>
        <w:t xml:space="preserve"> la indicación de</w:t>
      </w:r>
      <w:r w:rsidR="00663DBA">
        <w:rPr>
          <w:rFonts w:eastAsia="MS Mincho"/>
          <w:b/>
        </w:rPr>
        <w:t xml:space="preserve"> si las decisiones del defensor </w:t>
      </w:r>
      <w:r w:rsidR="00BD3732">
        <w:rPr>
          <w:rFonts w:eastAsia="MS Mincho"/>
          <w:b/>
        </w:rPr>
        <w:t>del consumidor financiero de la entidad son</w:t>
      </w:r>
      <w:r w:rsidR="00663DBA">
        <w:rPr>
          <w:rFonts w:eastAsia="MS Mincho"/>
          <w:b/>
        </w:rPr>
        <w:t xml:space="preserve"> de obligatorio cumplimiento. </w:t>
      </w:r>
    </w:p>
    <w:p w:rsidR="00663DBA" w:rsidRDefault="00770531" w:rsidP="00A6100C">
      <w:pPr>
        <w:pBdr>
          <w:left w:val="single" w:sz="4" w:space="4" w:color="auto"/>
        </w:pBdr>
        <w:tabs>
          <w:tab w:val="left" w:pos="708"/>
          <w:tab w:val="left" w:pos="1416"/>
          <w:tab w:val="left" w:pos="2124"/>
          <w:tab w:val="left" w:pos="2832"/>
          <w:tab w:val="left" w:pos="3540"/>
          <w:tab w:val="left" w:pos="4248"/>
          <w:tab w:val="left" w:pos="4956"/>
          <w:tab w:val="left" w:pos="5664"/>
          <w:tab w:val="left" w:pos="6148"/>
        </w:tabs>
        <w:ind w:left="705" w:hanging="705"/>
        <w:jc w:val="both"/>
        <w:rPr>
          <w:rFonts w:eastAsia="MS Mincho"/>
          <w:b/>
        </w:rPr>
      </w:pPr>
      <w:r>
        <w:rPr>
          <w:rFonts w:eastAsia="MS Mincho"/>
          <w:b/>
        </w:rPr>
        <w:t>1.4.1.</w:t>
      </w:r>
      <w:r w:rsidR="00F0220F">
        <w:rPr>
          <w:rFonts w:eastAsia="MS Mincho"/>
          <w:b/>
        </w:rPr>
        <w:t>1.13</w:t>
      </w:r>
      <w:r w:rsidR="009209D2">
        <w:rPr>
          <w:rFonts w:eastAsia="MS Mincho"/>
          <w:b/>
        </w:rPr>
        <w:t>L</w:t>
      </w:r>
      <w:r w:rsidR="00663DBA">
        <w:rPr>
          <w:rFonts w:eastAsia="MS Mincho"/>
          <w:b/>
        </w:rPr>
        <w:t xml:space="preserve">os eventos en los cuales la entidad se encuentra habilitada para efectuar débitos automáticos del producto. </w:t>
      </w:r>
      <w:r w:rsidR="000E21B7">
        <w:rPr>
          <w:rFonts w:eastAsia="MS Mincho"/>
          <w:b/>
        </w:rPr>
        <w:t>Las</w:t>
      </w:r>
      <w:r w:rsidR="00663DBA">
        <w:rPr>
          <w:rFonts w:eastAsia="MS Mincho"/>
          <w:b/>
        </w:rPr>
        <w:t xml:space="preserve"> cláusulas de compensación por el uso o adquisición de otros productos con la entidad</w:t>
      </w:r>
      <w:r w:rsidR="000E21B7">
        <w:rPr>
          <w:rFonts w:eastAsia="MS Mincho"/>
          <w:b/>
        </w:rPr>
        <w:t xml:space="preserve"> deben estar expresamente consagradas y autorizadas en los contratos asociados a dichos productos y no en los reglamentos de los productos de ahorro del titular</w:t>
      </w:r>
      <w:r w:rsidR="00663DBA">
        <w:rPr>
          <w:rFonts w:eastAsia="MS Mincho"/>
          <w:b/>
        </w:rPr>
        <w:t xml:space="preserve">. </w:t>
      </w:r>
      <w:r w:rsidR="009209D2">
        <w:rPr>
          <w:rFonts w:eastAsia="MS Mincho"/>
          <w:b/>
        </w:rPr>
        <w:t xml:space="preserve"> </w:t>
      </w:r>
    </w:p>
    <w:p w:rsidR="006220E8" w:rsidRPr="009C2F71" w:rsidRDefault="009311FF" w:rsidP="00A6100C">
      <w:pPr>
        <w:pBdr>
          <w:left w:val="single" w:sz="4" w:space="4" w:color="auto"/>
        </w:pBdr>
        <w:tabs>
          <w:tab w:val="left" w:pos="708"/>
          <w:tab w:val="left" w:pos="1416"/>
          <w:tab w:val="left" w:pos="2124"/>
          <w:tab w:val="left" w:pos="2832"/>
          <w:tab w:val="left" w:pos="3540"/>
          <w:tab w:val="left" w:pos="4248"/>
          <w:tab w:val="left" w:pos="4956"/>
          <w:tab w:val="left" w:pos="5664"/>
          <w:tab w:val="left" w:pos="6148"/>
        </w:tabs>
        <w:ind w:left="705" w:hanging="705"/>
        <w:jc w:val="both"/>
        <w:rPr>
          <w:rFonts w:eastAsia="MS Mincho"/>
          <w:b/>
        </w:rPr>
      </w:pPr>
      <w:r>
        <w:rPr>
          <w:rFonts w:eastAsia="MS Mincho"/>
          <w:b/>
        </w:rPr>
        <w:t>1.4.1.</w:t>
      </w:r>
      <w:r w:rsidR="00F0220F">
        <w:rPr>
          <w:rFonts w:eastAsia="MS Mincho"/>
          <w:b/>
        </w:rPr>
        <w:t>1.14</w:t>
      </w:r>
      <w:r>
        <w:rPr>
          <w:rFonts w:eastAsia="MS Mincho"/>
          <w:b/>
        </w:rPr>
        <w:t xml:space="preserve"> </w:t>
      </w:r>
      <w:r w:rsidR="0088133F" w:rsidRPr="009C2F71">
        <w:rPr>
          <w:rFonts w:eastAsia="MS Mincho"/>
          <w:b/>
        </w:rPr>
        <w:t>L</w:t>
      </w:r>
      <w:r w:rsidR="006220E8" w:rsidRPr="009C2F71">
        <w:rPr>
          <w:rFonts w:eastAsia="MS Mincho"/>
          <w:b/>
        </w:rPr>
        <w:t xml:space="preserve">a demás información que la entidad vigilada estime conveniente para que el consumidor comprenda </w:t>
      </w:r>
      <w:r w:rsidR="0029354B">
        <w:rPr>
          <w:rFonts w:eastAsia="MS Mincho"/>
          <w:b/>
        </w:rPr>
        <w:t>funcionamiento del</w:t>
      </w:r>
      <w:r w:rsidR="006220E8" w:rsidRPr="009C2F71">
        <w:rPr>
          <w:rFonts w:eastAsia="MS Mincho"/>
          <w:b/>
        </w:rPr>
        <w:t xml:space="preserve"> producto</w:t>
      </w:r>
      <w:r w:rsidR="0029354B">
        <w:rPr>
          <w:rFonts w:eastAsia="MS Mincho"/>
          <w:b/>
        </w:rPr>
        <w:t xml:space="preserve"> y los </w:t>
      </w:r>
      <w:r w:rsidR="006220E8" w:rsidRPr="009C2F71">
        <w:rPr>
          <w:rFonts w:eastAsia="MS Mincho"/>
          <w:b/>
        </w:rPr>
        <w:t>servicio</w:t>
      </w:r>
      <w:r w:rsidR="00AF2347">
        <w:rPr>
          <w:rFonts w:eastAsia="MS Mincho"/>
          <w:b/>
        </w:rPr>
        <w:t>s asociados al mismo</w:t>
      </w:r>
      <w:r w:rsidR="0088133F" w:rsidRPr="009C2F71">
        <w:rPr>
          <w:rFonts w:eastAsia="MS Mincho"/>
          <w:b/>
        </w:rPr>
        <w:t>.</w:t>
      </w:r>
    </w:p>
    <w:p w:rsidR="006433F4" w:rsidRPr="009C2F71" w:rsidRDefault="006433F4" w:rsidP="00A6100C">
      <w:pPr>
        <w:pBdr>
          <w:left w:val="single" w:sz="4" w:space="4" w:color="auto"/>
        </w:pBdr>
        <w:jc w:val="both"/>
        <w:rPr>
          <w:rFonts w:eastAsia="MS Mincho"/>
          <w:b/>
        </w:rPr>
      </w:pPr>
    </w:p>
    <w:p w:rsidR="00663DBA" w:rsidRDefault="009311FF" w:rsidP="00A6100C">
      <w:pPr>
        <w:pBdr>
          <w:left w:val="single" w:sz="4" w:space="4" w:color="auto"/>
        </w:pBdr>
        <w:jc w:val="both"/>
        <w:rPr>
          <w:rFonts w:eastAsia="MS Mincho"/>
          <w:b/>
        </w:rPr>
      </w:pPr>
      <w:r w:rsidRPr="009311FF">
        <w:rPr>
          <w:rFonts w:eastAsia="MS Mincho"/>
          <w:b/>
        </w:rPr>
        <w:t>La info</w:t>
      </w:r>
      <w:r w:rsidR="00663DBA">
        <w:rPr>
          <w:rFonts w:eastAsia="MS Mincho"/>
          <w:b/>
        </w:rPr>
        <w:t>r</w:t>
      </w:r>
      <w:r w:rsidRPr="009311FF">
        <w:rPr>
          <w:rFonts w:eastAsia="MS Mincho"/>
          <w:b/>
        </w:rPr>
        <w:t>mación contenida en los reglamentos</w:t>
      </w:r>
      <w:r w:rsidR="0079240A">
        <w:rPr>
          <w:rFonts w:eastAsia="MS Mincho"/>
          <w:b/>
        </w:rPr>
        <w:t xml:space="preserve"> de los productos de ahorro </w:t>
      </w:r>
      <w:r w:rsidRPr="009311FF">
        <w:rPr>
          <w:rFonts w:eastAsia="MS Mincho"/>
          <w:b/>
        </w:rPr>
        <w:t>debe ser ciert</w:t>
      </w:r>
      <w:r w:rsidR="008A232C">
        <w:rPr>
          <w:rFonts w:eastAsia="MS Mincho"/>
          <w:b/>
        </w:rPr>
        <w:t xml:space="preserve">a, suficiente, clara, </w:t>
      </w:r>
      <w:r w:rsidR="005046CC">
        <w:rPr>
          <w:rFonts w:eastAsia="MS Mincho"/>
          <w:b/>
        </w:rPr>
        <w:t>pertinente</w:t>
      </w:r>
      <w:r w:rsidR="008A232C">
        <w:rPr>
          <w:rFonts w:eastAsia="MS Mincho"/>
          <w:b/>
        </w:rPr>
        <w:t xml:space="preserve">, </w:t>
      </w:r>
      <w:r w:rsidRPr="009311FF">
        <w:rPr>
          <w:rFonts w:eastAsia="MS Mincho"/>
          <w:b/>
        </w:rPr>
        <w:t>verificable</w:t>
      </w:r>
      <w:r w:rsidR="00AF2347">
        <w:rPr>
          <w:rFonts w:eastAsia="MS Mincho"/>
          <w:b/>
        </w:rPr>
        <w:t xml:space="preserve"> y debe permitir y facilitar la adecuada </w:t>
      </w:r>
      <w:r w:rsidR="00972CF7">
        <w:rPr>
          <w:rFonts w:eastAsia="MS Mincho"/>
          <w:b/>
        </w:rPr>
        <w:t>compre</w:t>
      </w:r>
      <w:r w:rsidR="00204F19">
        <w:rPr>
          <w:rFonts w:eastAsia="MS Mincho"/>
          <w:b/>
        </w:rPr>
        <w:t>n</w:t>
      </w:r>
      <w:r w:rsidR="00972CF7">
        <w:rPr>
          <w:rFonts w:eastAsia="MS Mincho"/>
          <w:b/>
        </w:rPr>
        <w:t>sión</w:t>
      </w:r>
      <w:r w:rsidR="00663DBA">
        <w:rPr>
          <w:rFonts w:eastAsia="MS Mincho"/>
          <w:b/>
        </w:rPr>
        <w:t xml:space="preserve"> del cliente</w:t>
      </w:r>
      <w:r w:rsidR="00972CF7">
        <w:rPr>
          <w:rFonts w:eastAsia="MS Mincho"/>
          <w:b/>
        </w:rPr>
        <w:t>,</w:t>
      </w:r>
      <w:r w:rsidR="00663DBA">
        <w:rPr>
          <w:rFonts w:eastAsia="MS Mincho"/>
          <w:b/>
        </w:rPr>
        <w:t xml:space="preserve"> </w:t>
      </w:r>
      <w:r w:rsidR="00204F19">
        <w:rPr>
          <w:rFonts w:eastAsia="MS Mincho"/>
          <w:b/>
        </w:rPr>
        <w:t xml:space="preserve">a efectos de que pueda tomar decisiones informadas. </w:t>
      </w:r>
    </w:p>
    <w:p w:rsidR="000E21B7" w:rsidRDefault="000E21B7" w:rsidP="00A6100C">
      <w:pPr>
        <w:pBdr>
          <w:left w:val="single" w:sz="4" w:space="4" w:color="auto"/>
        </w:pBdr>
        <w:jc w:val="both"/>
        <w:rPr>
          <w:rFonts w:eastAsia="MS Mincho"/>
          <w:b/>
        </w:rPr>
      </w:pPr>
    </w:p>
    <w:p w:rsidR="00F0686D" w:rsidRDefault="00F0686D" w:rsidP="00A6100C">
      <w:pPr>
        <w:pBdr>
          <w:left w:val="single" w:sz="4" w:space="4" w:color="auto"/>
        </w:pBdr>
        <w:jc w:val="both"/>
        <w:rPr>
          <w:rFonts w:eastAsia="MS Mincho"/>
          <w:b/>
        </w:rPr>
      </w:pPr>
      <w:r>
        <w:rPr>
          <w:rFonts w:eastAsia="MS Mincho"/>
          <w:b/>
        </w:rPr>
        <w:t>Los reglamentos podrán contener remisiones</w:t>
      </w:r>
      <w:r w:rsidRPr="00F0686D">
        <w:rPr>
          <w:rFonts w:eastAsia="MS Mincho"/>
          <w:b/>
        </w:rPr>
        <w:t xml:space="preserve"> a los medios masivos de información </w:t>
      </w:r>
      <w:r>
        <w:rPr>
          <w:rFonts w:eastAsia="MS Mincho"/>
          <w:b/>
        </w:rPr>
        <w:t xml:space="preserve">donde se puedan consultar aspectos relacionados con </w:t>
      </w:r>
      <w:r w:rsidR="000E21B7">
        <w:rPr>
          <w:rFonts w:eastAsia="MS Mincho"/>
          <w:b/>
        </w:rPr>
        <w:t xml:space="preserve">límites y costos para el retiro de los recursos, tarifas asociadas al uso de los productos y las políticas de tratamiento de datos de la entidad. </w:t>
      </w:r>
      <w:r>
        <w:rPr>
          <w:rFonts w:eastAsia="MS Mincho"/>
          <w:b/>
        </w:rPr>
        <w:t xml:space="preserve"> </w:t>
      </w:r>
    </w:p>
    <w:p w:rsidR="00BD3732" w:rsidRDefault="00BD3732" w:rsidP="00A6100C">
      <w:pPr>
        <w:pBdr>
          <w:left w:val="single" w:sz="4" w:space="4" w:color="auto"/>
        </w:pBdr>
        <w:jc w:val="both"/>
        <w:rPr>
          <w:rFonts w:eastAsia="MS Mincho"/>
          <w:b/>
        </w:rPr>
      </w:pPr>
    </w:p>
    <w:p w:rsidR="00F6536F" w:rsidDel="00204F19" w:rsidRDefault="00F6536F" w:rsidP="00A6100C">
      <w:pPr>
        <w:pBdr>
          <w:left w:val="single" w:sz="4" w:space="4" w:color="auto"/>
        </w:pBdr>
        <w:jc w:val="both"/>
        <w:rPr>
          <w:rFonts w:eastAsia="MS Mincho"/>
          <w:b/>
        </w:rPr>
      </w:pPr>
      <w:r w:rsidRPr="006B6B3A" w:rsidDel="00204F19">
        <w:rPr>
          <w:rFonts w:eastAsia="MS Mincho"/>
          <w:b/>
        </w:rPr>
        <w:t xml:space="preserve">En ningún caso pueden incluir estipulaciones contrarias a las normas e instrucciones </w:t>
      </w:r>
      <w:r w:rsidR="00663DBA" w:rsidRPr="006B6B3A" w:rsidDel="00204F19">
        <w:rPr>
          <w:rFonts w:eastAsia="MS Mincho"/>
          <w:b/>
        </w:rPr>
        <w:t xml:space="preserve">aplicables </w:t>
      </w:r>
      <w:r w:rsidRPr="006B6B3A" w:rsidDel="00204F19">
        <w:rPr>
          <w:rFonts w:eastAsia="MS Mincho"/>
          <w:b/>
        </w:rPr>
        <w:t>para este tipo de productos</w:t>
      </w:r>
      <w:r w:rsidRPr="009C2F71" w:rsidDel="00204F19">
        <w:rPr>
          <w:rFonts w:eastAsia="MS Mincho"/>
          <w:b/>
        </w:rPr>
        <w:t xml:space="preserve">, tales como </w:t>
      </w:r>
      <w:r w:rsidDel="00204F19">
        <w:rPr>
          <w:rFonts w:eastAsia="MS Mincho"/>
          <w:b/>
        </w:rPr>
        <w:t xml:space="preserve">i) </w:t>
      </w:r>
      <w:r w:rsidRPr="009C2F71" w:rsidDel="00204F19">
        <w:rPr>
          <w:rFonts w:eastAsia="MS Mincho"/>
          <w:b/>
        </w:rPr>
        <w:t>saldo</w:t>
      </w:r>
      <w:r w:rsidDel="00204F19">
        <w:rPr>
          <w:rFonts w:eastAsia="MS Mincho"/>
          <w:b/>
        </w:rPr>
        <w:t>s</w:t>
      </w:r>
      <w:r w:rsidRPr="009C2F71" w:rsidDel="00204F19">
        <w:rPr>
          <w:rFonts w:eastAsia="MS Mincho"/>
          <w:b/>
        </w:rPr>
        <w:t xml:space="preserve"> mínimo</w:t>
      </w:r>
      <w:r w:rsidDel="00204F19">
        <w:rPr>
          <w:rFonts w:eastAsia="MS Mincho"/>
          <w:b/>
        </w:rPr>
        <w:t>s obligatorios</w:t>
      </w:r>
      <w:r w:rsidRPr="009C2F71" w:rsidDel="00204F19">
        <w:rPr>
          <w:rFonts w:eastAsia="MS Mincho"/>
          <w:b/>
        </w:rPr>
        <w:t xml:space="preserve">, </w:t>
      </w:r>
      <w:r w:rsidDel="00204F19">
        <w:rPr>
          <w:rFonts w:eastAsia="MS Mincho"/>
          <w:b/>
        </w:rPr>
        <w:t>ii</w:t>
      </w:r>
      <w:r w:rsidR="00BD3732" w:rsidDel="00204F19">
        <w:rPr>
          <w:rFonts w:eastAsia="MS Mincho"/>
          <w:b/>
        </w:rPr>
        <w:t xml:space="preserve">) </w:t>
      </w:r>
      <w:r w:rsidR="00BD3732">
        <w:rPr>
          <w:rFonts w:eastAsia="MS Mincho"/>
          <w:b/>
        </w:rPr>
        <w:t>autorizaciones</w:t>
      </w:r>
      <w:r w:rsidR="00492EAC">
        <w:rPr>
          <w:rFonts w:eastAsia="MS Mincho"/>
          <w:b/>
        </w:rPr>
        <w:t xml:space="preserve"> generales para el </w:t>
      </w:r>
      <w:r w:rsidRPr="009C2F71">
        <w:rPr>
          <w:rFonts w:eastAsia="MS Mincho"/>
          <w:b/>
        </w:rPr>
        <w:t>manejo de la información del cliente</w:t>
      </w:r>
      <w:r w:rsidRPr="009C2F71" w:rsidDel="00204F19">
        <w:rPr>
          <w:rFonts w:eastAsia="MS Mincho"/>
          <w:b/>
        </w:rPr>
        <w:t xml:space="preserve"> </w:t>
      </w:r>
      <w:r w:rsidDel="00204F19">
        <w:rPr>
          <w:rFonts w:eastAsia="MS Mincho"/>
          <w:b/>
        </w:rPr>
        <w:t xml:space="preserve">iii) </w:t>
      </w:r>
      <w:r w:rsidRPr="009C2F71" w:rsidDel="00204F19">
        <w:rPr>
          <w:rFonts w:eastAsia="MS Mincho"/>
          <w:b/>
        </w:rPr>
        <w:t>cláusulas abusiva</w:t>
      </w:r>
      <w:r w:rsidDel="00204F19">
        <w:rPr>
          <w:rFonts w:eastAsia="MS Mincho"/>
          <w:b/>
        </w:rPr>
        <w:t>s</w:t>
      </w:r>
      <w:r w:rsidR="00663DBA" w:rsidDel="00204F19">
        <w:rPr>
          <w:rFonts w:eastAsia="MS Mincho"/>
          <w:b/>
        </w:rPr>
        <w:t xml:space="preserve"> </w:t>
      </w:r>
      <w:r w:rsidDel="00204F19">
        <w:rPr>
          <w:rFonts w:eastAsia="MS Mincho"/>
          <w:b/>
        </w:rPr>
        <w:t>o cualquier otra que pueda afectar el equilibrio del contrato o dar lugar a un abuso de la posición dominante contractual.</w:t>
      </w:r>
    </w:p>
    <w:p w:rsidR="00663DBA" w:rsidDel="00204F19" w:rsidRDefault="00663DBA" w:rsidP="00A6100C">
      <w:pPr>
        <w:pBdr>
          <w:left w:val="single" w:sz="4" w:space="4" w:color="auto"/>
        </w:pBdr>
        <w:jc w:val="both"/>
        <w:rPr>
          <w:rFonts w:eastAsia="MS Mincho"/>
          <w:b/>
        </w:rPr>
      </w:pPr>
    </w:p>
    <w:p w:rsidR="00F6536F" w:rsidDel="00204F19" w:rsidRDefault="00663DBA" w:rsidP="00A6100C">
      <w:pPr>
        <w:pBdr>
          <w:left w:val="single" w:sz="4" w:space="4" w:color="auto"/>
        </w:pBdr>
        <w:jc w:val="both"/>
        <w:rPr>
          <w:rFonts w:eastAsia="MS Mincho"/>
          <w:b/>
        </w:rPr>
      </w:pPr>
      <w:r w:rsidDel="00204F19">
        <w:rPr>
          <w:rFonts w:eastAsia="MS Mincho"/>
          <w:b/>
        </w:rPr>
        <w:t xml:space="preserve">Debe tenerse en cuenta que de conformidad con lo establecido en el parágrafo del art. 11 de la Ley </w:t>
      </w:r>
      <w:r w:rsidR="00C83D2A" w:rsidDel="00204F19">
        <w:rPr>
          <w:rFonts w:eastAsia="MS Mincho"/>
          <w:b/>
        </w:rPr>
        <w:t>1328 de 2009, se ent</w:t>
      </w:r>
      <w:r w:rsidR="008A232C" w:rsidDel="00204F19">
        <w:rPr>
          <w:rFonts w:eastAsia="MS Mincho"/>
          <w:b/>
        </w:rPr>
        <w:t xml:space="preserve">iende </w:t>
      </w:r>
      <w:r w:rsidDel="00204F19">
        <w:rPr>
          <w:rFonts w:eastAsia="MS Mincho"/>
          <w:b/>
        </w:rPr>
        <w:t xml:space="preserve">por no escrita y sin efecto para el consumidor financiero, toda estipulación que conforme al régimen de protección al consumidor financiero sea catalogada o se </w:t>
      </w:r>
      <w:r w:rsidR="00C47E90" w:rsidDel="00204F19">
        <w:rPr>
          <w:rFonts w:eastAsia="MS Mincho"/>
          <w:b/>
        </w:rPr>
        <w:t xml:space="preserve">constituya </w:t>
      </w:r>
      <w:r w:rsidDel="00204F19">
        <w:rPr>
          <w:rFonts w:eastAsia="MS Mincho"/>
          <w:b/>
        </w:rPr>
        <w:t xml:space="preserve">como </w:t>
      </w:r>
      <w:r w:rsidR="00C47E90" w:rsidDel="00204F19">
        <w:rPr>
          <w:rFonts w:eastAsia="MS Mincho"/>
          <w:b/>
        </w:rPr>
        <w:t>abusiva</w:t>
      </w:r>
      <w:r w:rsidDel="00204F19">
        <w:rPr>
          <w:rFonts w:eastAsia="MS Mincho"/>
          <w:b/>
        </w:rPr>
        <w:t xml:space="preserve">. </w:t>
      </w:r>
    </w:p>
    <w:p w:rsidR="009209D2" w:rsidRDefault="009209D2" w:rsidP="00A6100C">
      <w:pPr>
        <w:pBdr>
          <w:left w:val="single" w:sz="4" w:space="4" w:color="auto"/>
        </w:pBdr>
        <w:tabs>
          <w:tab w:val="left" w:pos="3469"/>
        </w:tabs>
        <w:jc w:val="both"/>
        <w:rPr>
          <w:rFonts w:eastAsia="MS Mincho"/>
          <w:b/>
        </w:rPr>
      </w:pPr>
    </w:p>
    <w:p w:rsidR="002947EE" w:rsidRDefault="002947EE" w:rsidP="00A6100C">
      <w:pPr>
        <w:pBdr>
          <w:left w:val="single" w:sz="4" w:space="4" w:color="auto"/>
        </w:pBdr>
        <w:tabs>
          <w:tab w:val="left" w:pos="3469"/>
        </w:tabs>
        <w:jc w:val="both"/>
        <w:rPr>
          <w:rFonts w:eastAsia="MS Mincho"/>
          <w:b/>
        </w:rPr>
      </w:pPr>
    </w:p>
    <w:p w:rsidR="000A455E" w:rsidRPr="009C2F71" w:rsidRDefault="000A455E" w:rsidP="00A6100C">
      <w:pPr>
        <w:pBdr>
          <w:left w:val="single" w:sz="4" w:space="4" w:color="auto"/>
        </w:pBdr>
        <w:jc w:val="both"/>
        <w:rPr>
          <w:rFonts w:eastAsia="MS Mincho"/>
          <w:b/>
        </w:rPr>
      </w:pPr>
      <w:r w:rsidRPr="009C2F71">
        <w:rPr>
          <w:rFonts w:eastAsia="MS Mincho"/>
          <w:b/>
        </w:rPr>
        <w:t>1.4.</w:t>
      </w:r>
      <w:r w:rsidR="00CE4A19">
        <w:rPr>
          <w:rFonts w:eastAsia="MS Mincho"/>
          <w:b/>
        </w:rPr>
        <w:t>1.</w:t>
      </w:r>
      <w:r w:rsidRPr="009C2F71">
        <w:rPr>
          <w:rFonts w:eastAsia="MS Mincho"/>
          <w:b/>
        </w:rPr>
        <w:t xml:space="preserve">2 </w:t>
      </w:r>
      <w:r w:rsidR="00312C9E" w:rsidRPr="009C2F71">
        <w:rPr>
          <w:rFonts w:eastAsia="MS Mincho"/>
          <w:b/>
        </w:rPr>
        <w:t>Trámite de a</w:t>
      </w:r>
      <w:r w:rsidRPr="009C2F71">
        <w:rPr>
          <w:rFonts w:eastAsia="MS Mincho"/>
          <w:b/>
        </w:rPr>
        <w:t xml:space="preserve">utorización del régimen general. </w:t>
      </w:r>
    </w:p>
    <w:p w:rsidR="000A455E" w:rsidRPr="009C2F71" w:rsidRDefault="000A455E" w:rsidP="00A6100C">
      <w:pPr>
        <w:pBdr>
          <w:left w:val="single" w:sz="4" w:space="4" w:color="auto"/>
        </w:pBdr>
        <w:jc w:val="both"/>
        <w:rPr>
          <w:rFonts w:eastAsia="MS Mincho"/>
          <w:b/>
        </w:rPr>
      </w:pPr>
    </w:p>
    <w:p w:rsidR="00565B3F" w:rsidRDefault="00565B3F" w:rsidP="00A6100C">
      <w:pPr>
        <w:pBdr>
          <w:left w:val="single" w:sz="4" w:space="4" w:color="auto"/>
        </w:pBdr>
        <w:jc w:val="both"/>
        <w:rPr>
          <w:rFonts w:cs="Arial"/>
          <w:b/>
          <w:szCs w:val="16"/>
        </w:rPr>
      </w:pPr>
      <w:r w:rsidRPr="006B6B3A">
        <w:rPr>
          <w:rFonts w:cs="Arial"/>
          <w:b/>
          <w:szCs w:val="16"/>
        </w:rPr>
        <w:t xml:space="preserve">Las reformas </w:t>
      </w:r>
      <w:r w:rsidR="00C83D2A" w:rsidRPr="006B6B3A">
        <w:rPr>
          <w:rFonts w:cs="Arial"/>
          <w:b/>
          <w:szCs w:val="16"/>
        </w:rPr>
        <w:t xml:space="preserve">a los </w:t>
      </w:r>
      <w:r w:rsidRPr="006B6B3A">
        <w:rPr>
          <w:rFonts w:cs="Arial"/>
          <w:b/>
          <w:szCs w:val="16"/>
        </w:rPr>
        <w:t>reglamento</w:t>
      </w:r>
      <w:r w:rsidR="00C83D2A" w:rsidRPr="006B6B3A">
        <w:rPr>
          <w:rFonts w:cs="Arial"/>
          <w:b/>
          <w:szCs w:val="16"/>
        </w:rPr>
        <w:t xml:space="preserve">s de los productos de ahorro </w:t>
      </w:r>
      <w:r w:rsidRPr="006B6B3A">
        <w:rPr>
          <w:rFonts w:cs="Arial"/>
          <w:b/>
          <w:szCs w:val="16"/>
        </w:rPr>
        <w:t>en operación deben ser aprobadas por la junta directiva de la</w:t>
      </w:r>
      <w:r w:rsidR="00C83D2A" w:rsidRPr="006B6B3A">
        <w:rPr>
          <w:rFonts w:cs="Arial"/>
          <w:b/>
          <w:szCs w:val="16"/>
        </w:rPr>
        <w:t xml:space="preserve"> entidad o el órgano que haga sus veces </w:t>
      </w:r>
      <w:r w:rsidRPr="006B6B3A">
        <w:rPr>
          <w:rFonts w:cs="Arial"/>
          <w:b/>
          <w:szCs w:val="16"/>
        </w:rPr>
        <w:t xml:space="preserve">y </w:t>
      </w:r>
      <w:r w:rsidR="00C47E90" w:rsidRPr="006B6B3A">
        <w:rPr>
          <w:rFonts w:cs="Arial"/>
          <w:b/>
          <w:szCs w:val="16"/>
        </w:rPr>
        <w:t>se entiende</w:t>
      </w:r>
      <w:r w:rsidR="00B56142" w:rsidRPr="006B6B3A">
        <w:rPr>
          <w:rFonts w:cs="Arial"/>
          <w:b/>
          <w:szCs w:val="16"/>
        </w:rPr>
        <w:t>n</w:t>
      </w:r>
      <w:r w:rsidR="00C47E90" w:rsidRPr="006B6B3A">
        <w:rPr>
          <w:rFonts w:cs="Arial"/>
          <w:b/>
          <w:szCs w:val="16"/>
        </w:rPr>
        <w:t xml:space="preserve"> </w:t>
      </w:r>
      <w:r w:rsidR="00C83D2A" w:rsidRPr="006B6B3A">
        <w:rPr>
          <w:rFonts w:cs="Arial"/>
          <w:b/>
          <w:szCs w:val="16"/>
        </w:rPr>
        <w:t>autorizad</w:t>
      </w:r>
      <w:r w:rsidR="00B56142" w:rsidRPr="006B6B3A">
        <w:rPr>
          <w:rFonts w:cs="Arial"/>
          <w:b/>
          <w:szCs w:val="16"/>
        </w:rPr>
        <w:t>as</w:t>
      </w:r>
      <w:r w:rsidR="00C83D2A" w:rsidRPr="006B6B3A">
        <w:rPr>
          <w:rFonts w:cs="Arial"/>
          <w:b/>
          <w:szCs w:val="16"/>
        </w:rPr>
        <w:t xml:space="preserve"> mediante el régimen general,</w:t>
      </w:r>
      <w:r w:rsidRPr="006B6B3A">
        <w:rPr>
          <w:rFonts w:cs="Arial"/>
          <w:b/>
          <w:szCs w:val="16"/>
        </w:rPr>
        <w:t xml:space="preserve"> </w:t>
      </w:r>
      <w:r w:rsidR="00C83D2A" w:rsidRPr="006B6B3A">
        <w:rPr>
          <w:rFonts w:cs="Arial"/>
          <w:b/>
          <w:szCs w:val="16"/>
        </w:rPr>
        <w:t>siempre que cumplan las condiciones establecidas en el subnumeral</w:t>
      </w:r>
      <w:r w:rsidR="000F2C56" w:rsidRPr="006B6B3A">
        <w:rPr>
          <w:rFonts w:cs="Arial"/>
          <w:b/>
          <w:szCs w:val="16"/>
        </w:rPr>
        <w:t xml:space="preserve"> anterior</w:t>
      </w:r>
      <w:r w:rsidR="00C83D2A" w:rsidRPr="006B6B3A">
        <w:rPr>
          <w:rFonts w:cs="Arial"/>
          <w:b/>
          <w:szCs w:val="16"/>
        </w:rPr>
        <w:t>.</w:t>
      </w:r>
      <w:r w:rsidR="00C83D2A">
        <w:rPr>
          <w:rFonts w:cs="Arial"/>
          <w:b/>
          <w:szCs w:val="16"/>
        </w:rPr>
        <w:t xml:space="preserve"> </w:t>
      </w:r>
    </w:p>
    <w:p w:rsidR="00C83D2A" w:rsidRPr="00414554" w:rsidRDefault="00C83D2A" w:rsidP="00A6100C">
      <w:pPr>
        <w:pBdr>
          <w:left w:val="single" w:sz="4" w:space="4" w:color="auto"/>
        </w:pBdr>
        <w:jc w:val="both"/>
        <w:rPr>
          <w:rFonts w:cs="Arial"/>
          <w:b/>
          <w:szCs w:val="16"/>
        </w:rPr>
      </w:pPr>
    </w:p>
    <w:p w:rsidR="00C83D2A" w:rsidRDefault="000A455E" w:rsidP="00A6100C">
      <w:pPr>
        <w:pBdr>
          <w:left w:val="single" w:sz="4" w:space="4" w:color="auto"/>
        </w:pBdr>
        <w:jc w:val="both"/>
        <w:rPr>
          <w:rFonts w:eastAsia="MS Mincho"/>
          <w:b/>
        </w:rPr>
      </w:pPr>
      <w:r w:rsidRPr="009C2F71">
        <w:rPr>
          <w:rFonts w:eastAsia="MS Mincho"/>
          <w:b/>
        </w:rPr>
        <w:t xml:space="preserve">La entidad </w:t>
      </w:r>
      <w:r w:rsidR="00D16954" w:rsidRPr="00607C08">
        <w:rPr>
          <w:rFonts w:eastAsia="MS Mincho"/>
          <w:b/>
        </w:rPr>
        <w:t xml:space="preserve">debe remitir </w:t>
      </w:r>
      <w:r w:rsidRPr="00607C08">
        <w:rPr>
          <w:rFonts w:eastAsia="MS Mincho"/>
          <w:b/>
        </w:rPr>
        <w:t xml:space="preserve">a </w:t>
      </w:r>
      <w:r w:rsidRPr="00F375A5">
        <w:rPr>
          <w:rFonts w:eastAsia="MS Mincho"/>
          <w:b/>
        </w:rPr>
        <w:t>la SFC</w:t>
      </w:r>
      <w:r w:rsidR="00C83D2A" w:rsidRPr="00F375A5">
        <w:rPr>
          <w:rFonts w:eastAsia="MS Mincho"/>
          <w:b/>
        </w:rPr>
        <w:t xml:space="preserve"> </w:t>
      </w:r>
      <w:r w:rsidR="00C60D89">
        <w:rPr>
          <w:rFonts w:eastAsia="MS Mincho"/>
          <w:b/>
        </w:rPr>
        <w:t xml:space="preserve">la documentación prevista en la lista de chequeo respectiva. En la </w:t>
      </w:r>
      <w:r w:rsidR="00D16954" w:rsidRPr="009C2F71">
        <w:rPr>
          <w:rFonts w:eastAsia="MS Mincho"/>
          <w:b/>
        </w:rPr>
        <w:t xml:space="preserve">certificación </w:t>
      </w:r>
      <w:r w:rsidR="006433F4" w:rsidRPr="009C2F71">
        <w:rPr>
          <w:rFonts w:eastAsia="MS Mincho"/>
          <w:b/>
        </w:rPr>
        <w:t xml:space="preserve">suscrita por </w:t>
      </w:r>
      <w:r w:rsidR="00261E72">
        <w:rPr>
          <w:rFonts w:eastAsia="MS Mincho"/>
          <w:b/>
        </w:rPr>
        <w:t>su representante l</w:t>
      </w:r>
      <w:r w:rsidR="00D16954" w:rsidRPr="009C2F71">
        <w:rPr>
          <w:rFonts w:eastAsia="MS Mincho"/>
          <w:b/>
        </w:rPr>
        <w:t>egal</w:t>
      </w:r>
      <w:r w:rsidR="00C60D89">
        <w:rPr>
          <w:rFonts w:eastAsia="MS Mincho"/>
          <w:b/>
        </w:rPr>
        <w:t xml:space="preserve"> debe constar que las modificaciones a</w:t>
      </w:r>
      <w:r w:rsidR="003C61BA" w:rsidRPr="009C2F71">
        <w:rPr>
          <w:rFonts w:eastAsia="MS Mincho"/>
          <w:b/>
        </w:rPr>
        <w:t xml:space="preserve">l </w:t>
      </w:r>
      <w:r w:rsidR="006433F4" w:rsidRPr="009C2F71">
        <w:rPr>
          <w:rFonts w:eastAsia="MS Mincho"/>
          <w:b/>
        </w:rPr>
        <w:t xml:space="preserve">referido </w:t>
      </w:r>
      <w:r w:rsidR="003C61BA" w:rsidRPr="009C2F71">
        <w:rPr>
          <w:rFonts w:eastAsia="MS Mincho"/>
          <w:b/>
        </w:rPr>
        <w:t>reglamento</w:t>
      </w:r>
      <w:r w:rsidR="00C60D89">
        <w:rPr>
          <w:rFonts w:eastAsia="MS Mincho"/>
          <w:b/>
        </w:rPr>
        <w:t xml:space="preserve"> </w:t>
      </w:r>
      <w:r w:rsidR="00D16954" w:rsidRPr="009C2F71">
        <w:rPr>
          <w:rFonts w:eastAsia="MS Mincho"/>
          <w:b/>
        </w:rPr>
        <w:t>cumpl</w:t>
      </w:r>
      <w:r w:rsidR="003C61BA" w:rsidRPr="009C2F71">
        <w:rPr>
          <w:rFonts w:eastAsia="MS Mincho"/>
          <w:b/>
        </w:rPr>
        <w:t>e</w:t>
      </w:r>
      <w:r w:rsidR="00C60D89">
        <w:rPr>
          <w:rFonts w:eastAsia="MS Mincho"/>
          <w:b/>
        </w:rPr>
        <w:t>n</w:t>
      </w:r>
      <w:r w:rsidR="003C61BA" w:rsidRPr="009C2F71">
        <w:rPr>
          <w:rFonts w:eastAsia="MS Mincho"/>
          <w:b/>
        </w:rPr>
        <w:t xml:space="preserve"> con</w:t>
      </w:r>
      <w:r w:rsidR="00D16954" w:rsidRPr="009C2F71">
        <w:rPr>
          <w:rFonts w:eastAsia="MS Mincho"/>
          <w:b/>
        </w:rPr>
        <w:t xml:space="preserve"> las condiciones</w:t>
      </w:r>
      <w:r w:rsidRPr="009C2F71">
        <w:rPr>
          <w:rFonts w:eastAsia="MS Mincho"/>
          <w:b/>
        </w:rPr>
        <w:t xml:space="preserve"> señaladas en el </w:t>
      </w:r>
      <w:r w:rsidR="00EB483A">
        <w:rPr>
          <w:rFonts w:eastAsia="MS Mincho"/>
          <w:b/>
        </w:rPr>
        <w:t>sub</w:t>
      </w:r>
      <w:r w:rsidRPr="009C2F71">
        <w:rPr>
          <w:rFonts w:eastAsia="MS Mincho"/>
          <w:b/>
        </w:rPr>
        <w:t>nu</w:t>
      </w:r>
      <w:r w:rsidR="00C83D2A">
        <w:rPr>
          <w:rFonts w:eastAsia="MS Mincho"/>
          <w:b/>
        </w:rPr>
        <w:t>meral</w:t>
      </w:r>
      <w:r w:rsidR="00EB483A">
        <w:rPr>
          <w:rFonts w:eastAsia="MS Mincho"/>
          <w:b/>
        </w:rPr>
        <w:t xml:space="preserve"> 1.4.1</w:t>
      </w:r>
      <w:r w:rsidR="00C83D2A">
        <w:rPr>
          <w:rFonts w:eastAsia="MS Mincho"/>
          <w:b/>
        </w:rPr>
        <w:t>.</w:t>
      </w:r>
      <w:r w:rsidR="006F675A">
        <w:rPr>
          <w:rFonts w:eastAsia="MS Mincho"/>
          <w:b/>
        </w:rPr>
        <w:t>1.</w:t>
      </w:r>
      <w:r w:rsidR="00C83D2A">
        <w:rPr>
          <w:rFonts w:eastAsia="MS Mincho"/>
          <w:b/>
        </w:rPr>
        <w:t xml:space="preserve"> </w:t>
      </w:r>
    </w:p>
    <w:p w:rsidR="00C83D2A" w:rsidRDefault="00C83D2A" w:rsidP="00A6100C">
      <w:pPr>
        <w:pBdr>
          <w:left w:val="single" w:sz="4" w:space="4" w:color="auto"/>
        </w:pBdr>
        <w:jc w:val="both"/>
        <w:rPr>
          <w:rFonts w:eastAsia="MS Mincho"/>
          <w:b/>
        </w:rPr>
      </w:pPr>
    </w:p>
    <w:p w:rsidR="00356069" w:rsidRDefault="00356069" w:rsidP="00A6100C">
      <w:pPr>
        <w:pBdr>
          <w:left w:val="single" w:sz="4" w:space="4" w:color="auto"/>
        </w:pBdr>
        <w:jc w:val="both"/>
        <w:rPr>
          <w:rFonts w:eastAsia="MS Mincho"/>
          <w:b/>
        </w:rPr>
      </w:pPr>
      <w:r w:rsidRPr="009C2F71">
        <w:rPr>
          <w:rFonts w:eastAsia="MS Mincho"/>
          <w:b/>
        </w:rPr>
        <w:t xml:space="preserve">Los reglamentos de los productos de la sección de ahorros a los que les aplique el régimen de autorización </w:t>
      </w:r>
      <w:r w:rsidR="00BD3732" w:rsidRPr="009C2F71">
        <w:rPr>
          <w:rFonts w:eastAsia="MS Mincho"/>
          <w:b/>
        </w:rPr>
        <w:t>general</w:t>
      </w:r>
      <w:r w:rsidRPr="009C2F71">
        <w:rPr>
          <w:rFonts w:eastAsia="MS Mincho"/>
          <w:b/>
        </w:rPr>
        <w:t xml:space="preserve"> se ent</w:t>
      </w:r>
      <w:r w:rsidR="009171CB">
        <w:rPr>
          <w:rFonts w:eastAsia="MS Mincho"/>
          <w:b/>
        </w:rPr>
        <w:t xml:space="preserve">ienden </w:t>
      </w:r>
      <w:r w:rsidRPr="009C2F71">
        <w:rPr>
          <w:rFonts w:eastAsia="MS Mincho"/>
          <w:b/>
        </w:rPr>
        <w:t xml:space="preserve">autorizados </w:t>
      </w:r>
      <w:r w:rsidR="009F5D04" w:rsidRPr="009C2F71">
        <w:rPr>
          <w:rFonts w:eastAsia="MS Mincho"/>
          <w:b/>
        </w:rPr>
        <w:t>a partir de la</w:t>
      </w:r>
      <w:r w:rsidR="00C83D2A">
        <w:rPr>
          <w:rFonts w:eastAsia="MS Mincho"/>
          <w:b/>
        </w:rPr>
        <w:t xml:space="preserve"> fecha que se indique en el oficio que emita el aplicativo dispuesto por la SFC para adelantar este trámite. </w:t>
      </w:r>
    </w:p>
    <w:p w:rsidR="00BD21A0" w:rsidRDefault="00BD21A0" w:rsidP="00A6100C">
      <w:pPr>
        <w:pBdr>
          <w:left w:val="single" w:sz="4" w:space="4" w:color="auto"/>
        </w:pBdr>
        <w:jc w:val="both"/>
        <w:rPr>
          <w:rFonts w:eastAsia="MS Mincho"/>
          <w:b/>
        </w:rPr>
      </w:pPr>
    </w:p>
    <w:p w:rsidR="009171CB" w:rsidRDefault="00BD21A0" w:rsidP="00A6100C">
      <w:pPr>
        <w:pBdr>
          <w:left w:val="single" w:sz="4" w:space="4" w:color="auto"/>
        </w:pBdr>
        <w:jc w:val="both"/>
        <w:rPr>
          <w:rFonts w:eastAsia="MS Mincho"/>
          <w:b/>
        </w:rPr>
      </w:pPr>
      <w:r w:rsidRPr="00BD21A0">
        <w:rPr>
          <w:rFonts w:eastAsia="MS Mincho"/>
          <w:b/>
        </w:rPr>
        <w:t>Toda información falsa, engañosa, inexacta o incompleta sumin</w:t>
      </w:r>
      <w:r w:rsidR="00BD3732">
        <w:rPr>
          <w:rFonts w:eastAsia="MS Mincho"/>
          <w:b/>
        </w:rPr>
        <w:t xml:space="preserve">istrada da lugar a las </w:t>
      </w:r>
      <w:r w:rsidR="00204F19">
        <w:rPr>
          <w:rFonts w:eastAsia="MS Mincho"/>
          <w:b/>
        </w:rPr>
        <w:t xml:space="preserve">medidas de supervisión o </w:t>
      </w:r>
      <w:r w:rsidRPr="00BD21A0">
        <w:rPr>
          <w:rFonts w:eastAsia="MS Mincho"/>
          <w:b/>
        </w:rPr>
        <w:t xml:space="preserve">sanciones administrativas que </w:t>
      </w:r>
      <w:r w:rsidR="00204F19">
        <w:rPr>
          <w:rFonts w:eastAsia="MS Mincho"/>
          <w:b/>
        </w:rPr>
        <w:t xml:space="preserve">considere </w:t>
      </w:r>
      <w:r w:rsidRPr="00BD21A0">
        <w:rPr>
          <w:rFonts w:eastAsia="MS Mincho"/>
          <w:b/>
        </w:rPr>
        <w:t xml:space="preserve">esta Superintendencia en ejercicio de sus atribuciones legales. </w:t>
      </w:r>
    </w:p>
    <w:p w:rsidR="00BD3732" w:rsidRDefault="00BD3732" w:rsidP="00A6100C">
      <w:pPr>
        <w:pBdr>
          <w:left w:val="single" w:sz="4" w:space="4" w:color="auto"/>
        </w:pBdr>
        <w:jc w:val="both"/>
        <w:rPr>
          <w:rFonts w:eastAsia="MS Mincho"/>
          <w:b/>
        </w:rPr>
      </w:pPr>
    </w:p>
    <w:p w:rsidR="009171CB" w:rsidRDefault="009311FF" w:rsidP="009171CB">
      <w:pPr>
        <w:pBdr>
          <w:left w:val="single" w:sz="4" w:space="4" w:color="auto"/>
        </w:pBdr>
        <w:jc w:val="both"/>
        <w:rPr>
          <w:rFonts w:eastAsia="MS Mincho"/>
          <w:b/>
        </w:rPr>
      </w:pPr>
      <w:r w:rsidRPr="009C2F71">
        <w:rPr>
          <w:rFonts w:eastAsia="MS Mincho"/>
          <w:b/>
        </w:rPr>
        <w:t>La autorización impartida mediante este proced</w:t>
      </w:r>
      <w:r>
        <w:rPr>
          <w:rFonts w:eastAsia="MS Mincho"/>
          <w:b/>
        </w:rPr>
        <w:t xml:space="preserve">imiento no restringe la facultad que tiene la </w:t>
      </w:r>
      <w:r w:rsidRPr="009C2F71">
        <w:rPr>
          <w:rFonts w:eastAsia="MS Mincho"/>
          <w:b/>
        </w:rPr>
        <w:t xml:space="preserve">SFC </w:t>
      </w:r>
      <w:r>
        <w:rPr>
          <w:rFonts w:eastAsia="MS Mincho"/>
          <w:b/>
        </w:rPr>
        <w:t>de</w:t>
      </w:r>
      <w:r w:rsidR="009171CB">
        <w:rPr>
          <w:rFonts w:eastAsia="MS Mincho"/>
          <w:b/>
        </w:rPr>
        <w:t xml:space="preserve"> </w:t>
      </w:r>
      <w:r w:rsidR="009171CB" w:rsidRPr="00BD21A0">
        <w:rPr>
          <w:rFonts w:eastAsia="MS Mincho"/>
          <w:b/>
        </w:rPr>
        <w:t xml:space="preserve">solicitar y verificar, en las entidades vigiladas, </w:t>
      </w:r>
      <w:r w:rsidR="009171CB">
        <w:rPr>
          <w:rFonts w:eastAsia="MS Mincho"/>
          <w:b/>
        </w:rPr>
        <w:t>el contenido de los reglamentos de las secciones de ahorro que hayan surtido el trámite de autorización a través del régimen general indicado en este capítulo</w:t>
      </w:r>
      <w:r w:rsidR="009171CB" w:rsidRPr="00BD21A0">
        <w:rPr>
          <w:rFonts w:eastAsia="MS Mincho"/>
          <w:b/>
        </w:rPr>
        <w:t>.</w:t>
      </w:r>
    </w:p>
    <w:p w:rsidR="009171CB" w:rsidRDefault="009171CB" w:rsidP="00A6100C">
      <w:pPr>
        <w:pBdr>
          <w:left w:val="single" w:sz="4" w:space="4" w:color="auto"/>
        </w:pBdr>
        <w:suppressAutoHyphens/>
        <w:jc w:val="both"/>
        <w:rPr>
          <w:rFonts w:eastAsia="MS Mincho"/>
          <w:b/>
        </w:rPr>
      </w:pPr>
    </w:p>
    <w:p w:rsidR="00565B3F" w:rsidRDefault="00565B3F" w:rsidP="00A6100C">
      <w:pPr>
        <w:pBdr>
          <w:left w:val="single" w:sz="4" w:space="4" w:color="auto"/>
        </w:pBdr>
        <w:jc w:val="both"/>
        <w:rPr>
          <w:rFonts w:eastAsia="MS Mincho"/>
          <w:b/>
        </w:rPr>
      </w:pPr>
      <w:r w:rsidRPr="009C2F71">
        <w:rPr>
          <w:rFonts w:eastAsia="MS Mincho"/>
          <w:b/>
        </w:rPr>
        <w:t xml:space="preserve">Las modificaciones a los reglamentos de los productos de la sección de ahorros </w:t>
      </w:r>
      <w:r>
        <w:rPr>
          <w:rFonts w:eastAsia="MS Mincho"/>
          <w:b/>
        </w:rPr>
        <w:t xml:space="preserve">deben ser notificadas a los consumidores financieros en los términos que se establezca en el respectivo contrato y deben </w:t>
      </w:r>
      <w:r w:rsidRPr="009C2F71">
        <w:rPr>
          <w:rFonts w:eastAsia="MS Mincho"/>
          <w:b/>
        </w:rPr>
        <w:t xml:space="preserve">ser actualizadas en todos los documentos que la respectiva entidad utilice para la comercialización y ofrecimiento del respectivo producto, así como en </w:t>
      </w:r>
      <w:r>
        <w:rPr>
          <w:rFonts w:eastAsia="MS Mincho"/>
          <w:b/>
        </w:rPr>
        <w:t xml:space="preserve">su </w:t>
      </w:r>
      <w:r w:rsidRPr="009C2F71">
        <w:rPr>
          <w:rFonts w:eastAsia="MS Mincho"/>
          <w:b/>
        </w:rPr>
        <w:t xml:space="preserve">página </w:t>
      </w:r>
      <w:r w:rsidR="005B0448" w:rsidRPr="009171CB">
        <w:rPr>
          <w:rFonts w:eastAsia="MS Mincho"/>
          <w:b/>
        </w:rPr>
        <w:t>web</w:t>
      </w:r>
      <w:r w:rsidRPr="009C2F71">
        <w:rPr>
          <w:rFonts w:eastAsia="MS Mincho"/>
          <w:b/>
        </w:rPr>
        <w:t>.</w:t>
      </w:r>
      <w:r w:rsidR="00090D33">
        <w:rPr>
          <w:rFonts w:eastAsia="MS Mincho"/>
          <w:b/>
        </w:rPr>
        <w:t xml:space="preserve">  </w:t>
      </w:r>
    </w:p>
    <w:p w:rsidR="002947EE" w:rsidRDefault="002947EE" w:rsidP="00A6100C">
      <w:pPr>
        <w:pBdr>
          <w:left w:val="single" w:sz="4" w:space="4" w:color="auto"/>
        </w:pBdr>
        <w:jc w:val="both"/>
        <w:rPr>
          <w:rFonts w:eastAsia="MS Mincho"/>
          <w:b/>
        </w:rPr>
        <w:sectPr w:rsidR="002947EE" w:rsidSect="009C2F71">
          <w:footerReference w:type="default" r:id="rId12"/>
          <w:pgSz w:w="12240" w:h="18720" w:code="14"/>
          <w:pgMar w:top="1418" w:right="1701" w:bottom="1418" w:left="1701" w:header="1134" w:footer="1134" w:gutter="0"/>
          <w:paperSrc w:first="15" w:other="15"/>
          <w:pgNumType w:start="1"/>
          <w:cols w:space="720"/>
          <w:noEndnote/>
          <w:docGrid w:linePitch="218"/>
        </w:sectPr>
      </w:pPr>
    </w:p>
    <w:p w:rsidR="002947EE" w:rsidRPr="009C2F71" w:rsidRDefault="002947EE" w:rsidP="00A6100C">
      <w:pPr>
        <w:pBdr>
          <w:left w:val="single" w:sz="4" w:space="4" w:color="auto"/>
        </w:pBdr>
        <w:jc w:val="both"/>
        <w:rPr>
          <w:rFonts w:eastAsia="MS Mincho"/>
          <w:b/>
        </w:rPr>
      </w:pPr>
    </w:p>
    <w:p w:rsidR="00F939F2" w:rsidRPr="009C2F71" w:rsidRDefault="00100C8D" w:rsidP="00A6100C">
      <w:pPr>
        <w:pBdr>
          <w:left w:val="single" w:sz="4" w:space="4" w:color="auto"/>
        </w:pBdr>
        <w:tabs>
          <w:tab w:val="left" w:pos="7150"/>
        </w:tabs>
        <w:jc w:val="both"/>
        <w:rPr>
          <w:rFonts w:eastAsia="MS Mincho"/>
          <w:b/>
        </w:rPr>
      </w:pPr>
      <w:r w:rsidRPr="009C2F71">
        <w:rPr>
          <w:rFonts w:eastAsia="MS Mincho"/>
          <w:b/>
        </w:rPr>
        <w:t>1.4.</w:t>
      </w:r>
      <w:r w:rsidR="00F939F2" w:rsidRPr="009C2F71">
        <w:rPr>
          <w:rFonts w:eastAsia="MS Mincho"/>
          <w:b/>
        </w:rPr>
        <w:t xml:space="preserve">2 Régimen de autorización individual   </w:t>
      </w:r>
      <w:r w:rsidR="00085296" w:rsidRPr="009C2F71">
        <w:rPr>
          <w:rFonts w:eastAsia="MS Mincho"/>
          <w:b/>
        </w:rPr>
        <w:tab/>
      </w:r>
    </w:p>
    <w:p w:rsidR="00F939F2" w:rsidRPr="009C2F71" w:rsidRDefault="00F939F2" w:rsidP="00A6100C">
      <w:pPr>
        <w:pBdr>
          <w:left w:val="single" w:sz="4" w:space="4" w:color="auto"/>
        </w:pBdr>
        <w:jc w:val="both"/>
        <w:rPr>
          <w:rFonts w:eastAsia="MS Mincho"/>
          <w:b/>
        </w:rPr>
      </w:pPr>
    </w:p>
    <w:p w:rsidR="00F939F2" w:rsidRPr="009C2F71" w:rsidRDefault="005B1D02" w:rsidP="00A6100C">
      <w:pPr>
        <w:pBdr>
          <w:left w:val="single" w:sz="4" w:space="4" w:color="auto"/>
        </w:pBdr>
        <w:jc w:val="both"/>
        <w:rPr>
          <w:rFonts w:eastAsia="MS Mincho"/>
          <w:b/>
        </w:rPr>
      </w:pPr>
      <w:r w:rsidRPr="009C2F71">
        <w:rPr>
          <w:rFonts w:eastAsia="MS Mincho"/>
          <w:b/>
        </w:rPr>
        <w:t>S</w:t>
      </w:r>
      <w:r w:rsidR="00F939F2" w:rsidRPr="009C2F71">
        <w:rPr>
          <w:rFonts w:eastAsia="MS Mincho"/>
          <w:b/>
        </w:rPr>
        <w:t>e someten al régimen de autorización individual</w:t>
      </w:r>
      <w:r w:rsidR="00D16954" w:rsidRPr="009C2F71">
        <w:rPr>
          <w:rFonts w:eastAsia="MS Mincho"/>
          <w:b/>
        </w:rPr>
        <w:t>,</w:t>
      </w:r>
      <w:r w:rsidR="00F939F2" w:rsidRPr="009C2F71">
        <w:rPr>
          <w:rFonts w:eastAsia="MS Mincho"/>
          <w:b/>
        </w:rPr>
        <w:t xml:space="preserve"> los reglamentos de l</w:t>
      </w:r>
      <w:r w:rsidR="009171CB">
        <w:rPr>
          <w:rFonts w:eastAsia="MS Mincho"/>
          <w:b/>
        </w:rPr>
        <w:t>os productos de l</w:t>
      </w:r>
      <w:r w:rsidR="00F939F2" w:rsidRPr="009C2F71">
        <w:rPr>
          <w:rFonts w:eastAsia="MS Mincho"/>
          <w:b/>
        </w:rPr>
        <w:t>a sección de ahorro</w:t>
      </w:r>
      <w:r w:rsidR="00D16954" w:rsidRPr="009C2F71">
        <w:rPr>
          <w:rFonts w:eastAsia="MS Mincho"/>
          <w:b/>
        </w:rPr>
        <w:t xml:space="preserve"> </w:t>
      </w:r>
      <w:r w:rsidRPr="009C2F71">
        <w:rPr>
          <w:rFonts w:eastAsia="MS Mincho"/>
          <w:b/>
        </w:rPr>
        <w:t xml:space="preserve">de las entidades </w:t>
      </w:r>
      <w:r w:rsidR="00F939F2" w:rsidRPr="009C2F71">
        <w:rPr>
          <w:rFonts w:eastAsia="MS Mincho"/>
          <w:b/>
        </w:rPr>
        <w:t>que</w:t>
      </w:r>
      <w:r w:rsidR="009171CB">
        <w:rPr>
          <w:rFonts w:eastAsia="MS Mincho"/>
          <w:b/>
        </w:rPr>
        <w:t xml:space="preserve"> se encuentren en </w:t>
      </w:r>
      <w:r w:rsidR="00B56142">
        <w:rPr>
          <w:rFonts w:eastAsia="MS Mincho"/>
          <w:b/>
        </w:rPr>
        <w:t xml:space="preserve">alguna de las </w:t>
      </w:r>
      <w:r w:rsidR="00F939F2" w:rsidRPr="009C2F71">
        <w:rPr>
          <w:rFonts w:eastAsia="MS Mincho"/>
          <w:b/>
        </w:rPr>
        <w:t>siguientes situaciones:</w:t>
      </w:r>
    </w:p>
    <w:p w:rsidR="00F939F2" w:rsidRPr="009C2F71" w:rsidRDefault="00F939F2" w:rsidP="00CE581A">
      <w:pPr>
        <w:jc w:val="both"/>
        <w:rPr>
          <w:rFonts w:eastAsia="MS Mincho"/>
          <w:b/>
        </w:rPr>
      </w:pPr>
    </w:p>
    <w:p w:rsidR="009209D2" w:rsidRDefault="00702383" w:rsidP="00A6100C">
      <w:pPr>
        <w:pBdr>
          <w:left w:val="single" w:sz="4" w:space="4" w:color="auto"/>
        </w:pBdr>
        <w:jc w:val="both"/>
        <w:rPr>
          <w:rFonts w:eastAsia="MS Mincho"/>
          <w:b/>
        </w:rPr>
      </w:pPr>
      <w:r w:rsidRPr="009C2F71">
        <w:rPr>
          <w:rFonts w:eastAsia="MS Mincho"/>
          <w:b/>
        </w:rPr>
        <w:t>1.4.2.1</w:t>
      </w:r>
      <w:r w:rsidR="00E57886">
        <w:rPr>
          <w:rFonts w:eastAsia="MS Mincho"/>
          <w:b/>
        </w:rPr>
        <w:t xml:space="preserve"> </w:t>
      </w:r>
      <w:r w:rsidR="003165AF">
        <w:rPr>
          <w:rFonts w:eastAsia="MS Mincho"/>
          <w:b/>
        </w:rPr>
        <w:t xml:space="preserve">Cuando se trate del primer reglamento de la sección de ahorros de </w:t>
      </w:r>
      <w:r w:rsidR="00B56142">
        <w:rPr>
          <w:rFonts w:eastAsia="MS Mincho"/>
          <w:b/>
        </w:rPr>
        <w:t xml:space="preserve">la </w:t>
      </w:r>
      <w:r w:rsidR="003165AF">
        <w:rPr>
          <w:rFonts w:eastAsia="MS Mincho"/>
          <w:b/>
        </w:rPr>
        <w:t>entidad.</w:t>
      </w:r>
    </w:p>
    <w:p w:rsidR="00356069" w:rsidRPr="009C2F71" w:rsidRDefault="009209D2" w:rsidP="00A6100C">
      <w:pPr>
        <w:pBdr>
          <w:left w:val="single" w:sz="4" w:space="4" w:color="auto"/>
        </w:pBdr>
        <w:tabs>
          <w:tab w:val="left" w:pos="708"/>
          <w:tab w:val="left" w:pos="1416"/>
          <w:tab w:val="left" w:pos="2124"/>
          <w:tab w:val="left" w:pos="2832"/>
          <w:tab w:val="left" w:pos="3540"/>
          <w:tab w:val="left" w:pos="4248"/>
          <w:tab w:val="left" w:pos="4956"/>
          <w:tab w:val="left" w:pos="5664"/>
          <w:tab w:val="left" w:pos="6148"/>
        </w:tabs>
        <w:ind w:left="705" w:hanging="705"/>
        <w:jc w:val="both"/>
        <w:rPr>
          <w:rFonts w:eastAsia="MS Mincho"/>
          <w:b/>
        </w:rPr>
      </w:pPr>
      <w:r>
        <w:rPr>
          <w:rFonts w:eastAsia="MS Mincho"/>
          <w:b/>
        </w:rPr>
        <w:t xml:space="preserve">1.4.2.2 </w:t>
      </w:r>
      <w:r w:rsidR="003165AF">
        <w:rPr>
          <w:rFonts w:eastAsia="MS Mincho"/>
          <w:b/>
        </w:rPr>
        <w:t>Cuando, durante el último año, h</w:t>
      </w:r>
      <w:r w:rsidR="00356069" w:rsidRPr="009C2F71">
        <w:rPr>
          <w:rFonts w:eastAsia="MS Mincho"/>
          <w:b/>
        </w:rPr>
        <w:t>aya sido sancionad</w:t>
      </w:r>
      <w:r w:rsidR="003165AF">
        <w:rPr>
          <w:rFonts w:eastAsia="MS Mincho"/>
          <w:b/>
        </w:rPr>
        <w:t>a</w:t>
      </w:r>
      <w:r w:rsidR="00356069" w:rsidRPr="009C2F71">
        <w:rPr>
          <w:rFonts w:eastAsia="MS Mincho"/>
          <w:b/>
        </w:rPr>
        <w:t xml:space="preserve"> por</w:t>
      </w:r>
      <w:r w:rsidR="003165AF">
        <w:rPr>
          <w:rFonts w:eastAsia="MS Mincho"/>
          <w:b/>
        </w:rPr>
        <w:t xml:space="preserve"> </w:t>
      </w:r>
      <w:r w:rsidR="001B5526">
        <w:rPr>
          <w:rFonts w:eastAsia="MS Mincho"/>
          <w:b/>
        </w:rPr>
        <w:t>incumplimiento</w:t>
      </w:r>
      <w:r w:rsidR="003165AF">
        <w:rPr>
          <w:rFonts w:eastAsia="MS Mincho"/>
          <w:b/>
        </w:rPr>
        <w:t xml:space="preserve"> de las normas relacionadas </w:t>
      </w:r>
      <w:r w:rsidR="00BD3732">
        <w:rPr>
          <w:rFonts w:eastAsia="MS Mincho"/>
          <w:b/>
        </w:rPr>
        <w:t>con la</w:t>
      </w:r>
      <w:r w:rsidR="00A773BF">
        <w:rPr>
          <w:rFonts w:eastAsia="MS Mincho"/>
          <w:b/>
        </w:rPr>
        <w:t xml:space="preserve"> </w:t>
      </w:r>
      <w:r w:rsidR="00492EAC">
        <w:rPr>
          <w:rFonts w:eastAsia="MS Mincho"/>
          <w:b/>
        </w:rPr>
        <w:t>p</w:t>
      </w:r>
      <w:r w:rsidR="00356069" w:rsidRPr="009C2F71">
        <w:rPr>
          <w:rFonts w:eastAsia="MS Mincho"/>
          <w:b/>
        </w:rPr>
        <w:t xml:space="preserve">rotección </w:t>
      </w:r>
      <w:r w:rsidR="00492EAC">
        <w:rPr>
          <w:rFonts w:eastAsia="MS Mincho"/>
          <w:b/>
        </w:rPr>
        <w:t xml:space="preserve">de </w:t>
      </w:r>
      <w:r w:rsidR="00BD3732">
        <w:rPr>
          <w:rFonts w:eastAsia="MS Mincho"/>
          <w:b/>
        </w:rPr>
        <w:t xml:space="preserve">los </w:t>
      </w:r>
      <w:r w:rsidR="00BD3732" w:rsidRPr="009C2F71">
        <w:rPr>
          <w:rFonts w:eastAsia="MS Mincho"/>
          <w:b/>
        </w:rPr>
        <w:t>consumidores</w:t>
      </w:r>
      <w:r w:rsidR="00356069" w:rsidRPr="009C2F71">
        <w:rPr>
          <w:rFonts w:eastAsia="MS Mincho"/>
          <w:b/>
        </w:rPr>
        <w:t xml:space="preserve"> </w:t>
      </w:r>
      <w:r w:rsidR="00492EAC">
        <w:rPr>
          <w:rFonts w:eastAsia="MS Mincho"/>
          <w:b/>
        </w:rPr>
        <w:t>f</w:t>
      </w:r>
      <w:r w:rsidR="00356069" w:rsidRPr="009C2F71">
        <w:rPr>
          <w:rFonts w:eastAsia="MS Mincho"/>
          <w:b/>
        </w:rPr>
        <w:t>inanciero</w:t>
      </w:r>
      <w:r w:rsidR="00492EAC">
        <w:rPr>
          <w:rFonts w:eastAsia="MS Mincho"/>
          <w:b/>
        </w:rPr>
        <w:t xml:space="preserve">s en las relaciones entre estos y la entidad. </w:t>
      </w:r>
      <w:r w:rsidR="003165AF">
        <w:rPr>
          <w:rFonts w:eastAsia="MS Mincho"/>
          <w:b/>
        </w:rPr>
        <w:t xml:space="preserve"> </w:t>
      </w:r>
    </w:p>
    <w:p w:rsidR="00F939F2" w:rsidRDefault="009209D2" w:rsidP="00A6100C">
      <w:pPr>
        <w:pBdr>
          <w:left w:val="single" w:sz="4" w:space="4" w:color="auto"/>
        </w:pBdr>
        <w:tabs>
          <w:tab w:val="left" w:pos="708"/>
          <w:tab w:val="left" w:pos="1416"/>
          <w:tab w:val="left" w:pos="2124"/>
          <w:tab w:val="left" w:pos="2832"/>
          <w:tab w:val="left" w:pos="3540"/>
          <w:tab w:val="left" w:pos="4248"/>
          <w:tab w:val="left" w:pos="4956"/>
          <w:tab w:val="left" w:pos="5664"/>
          <w:tab w:val="left" w:pos="6148"/>
        </w:tabs>
        <w:ind w:left="705" w:hanging="705"/>
        <w:jc w:val="both"/>
        <w:rPr>
          <w:rFonts w:eastAsia="MS Mincho"/>
          <w:b/>
        </w:rPr>
      </w:pPr>
      <w:r>
        <w:rPr>
          <w:rFonts w:eastAsia="MS Mincho"/>
          <w:b/>
        </w:rPr>
        <w:t>1.4.2.3</w:t>
      </w:r>
      <w:r w:rsidR="00E57886">
        <w:rPr>
          <w:rFonts w:eastAsia="MS Mincho"/>
          <w:b/>
        </w:rPr>
        <w:t xml:space="preserve"> </w:t>
      </w:r>
      <w:r w:rsidR="003165AF">
        <w:rPr>
          <w:rFonts w:eastAsia="MS Mincho"/>
          <w:b/>
        </w:rPr>
        <w:t xml:space="preserve">Cuando, durante </w:t>
      </w:r>
      <w:r w:rsidR="006B6B3A">
        <w:rPr>
          <w:rFonts w:eastAsia="MS Mincho"/>
          <w:b/>
        </w:rPr>
        <w:t xml:space="preserve">el </w:t>
      </w:r>
      <w:r w:rsidR="003165AF">
        <w:rPr>
          <w:rFonts w:eastAsia="MS Mincho"/>
          <w:b/>
        </w:rPr>
        <w:t xml:space="preserve">año </w:t>
      </w:r>
      <w:r w:rsidR="00F939F2" w:rsidRPr="009C2F71">
        <w:rPr>
          <w:rFonts w:eastAsia="MS Mincho"/>
          <w:b/>
        </w:rPr>
        <w:t xml:space="preserve">inmediatamente anterior a </w:t>
      </w:r>
      <w:r w:rsidR="00D16954" w:rsidRPr="009C2F71">
        <w:rPr>
          <w:rFonts w:eastAsia="MS Mincho"/>
          <w:b/>
        </w:rPr>
        <w:t>l</w:t>
      </w:r>
      <w:r w:rsidR="005B1D02" w:rsidRPr="009C2F71">
        <w:rPr>
          <w:rFonts w:eastAsia="MS Mincho"/>
          <w:b/>
        </w:rPr>
        <w:t xml:space="preserve">a </w:t>
      </w:r>
      <w:r w:rsidR="00D16954" w:rsidRPr="009C2F71">
        <w:rPr>
          <w:rFonts w:eastAsia="MS Mincho"/>
          <w:b/>
        </w:rPr>
        <w:t>fecha</w:t>
      </w:r>
      <w:r w:rsidR="00F939F2" w:rsidRPr="009C2F71">
        <w:rPr>
          <w:rFonts w:eastAsia="MS Mincho"/>
          <w:b/>
        </w:rPr>
        <w:t xml:space="preserve"> de aprobación del reglamento por parte de la Junta Directiva</w:t>
      </w:r>
      <w:r w:rsidR="003165AF">
        <w:rPr>
          <w:rFonts w:eastAsia="MS Mincho"/>
          <w:b/>
        </w:rPr>
        <w:t xml:space="preserve">, </w:t>
      </w:r>
      <w:r w:rsidR="00F939F2" w:rsidRPr="009C2F71">
        <w:rPr>
          <w:rFonts w:eastAsia="MS Mincho"/>
          <w:b/>
        </w:rPr>
        <w:t>la entidad vigilada</w:t>
      </w:r>
      <w:r w:rsidR="003165AF">
        <w:rPr>
          <w:rFonts w:eastAsia="MS Mincho"/>
          <w:b/>
        </w:rPr>
        <w:t xml:space="preserve"> h</w:t>
      </w:r>
      <w:r w:rsidR="003165AF" w:rsidRPr="009C2F71">
        <w:rPr>
          <w:rFonts w:eastAsia="MS Mincho"/>
          <w:b/>
        </w:rPr>
        <w:t>aya sido objeto de la adopción de un instituto de salvamento</w:t>
      </w:r>
      <w:r w:rsidR="00E57886">
        <w:rPr>
          <w:rFonts w:eastAsia="MS Mincho"/>
          <w:b/>
        </w:rPr>
        <w:t xml:space="preserve"> y </w:t>
      </w:r>
    </w:p>
    <w:p w:rsidR="0056174C" w:rsidRDefault="009209D2" w:rsidP="00A6100C">
      <w:pPr>
        <w:pBdr>
          <w:left w:val="single" w:sz="4" w:space="4" w:color="auto"/>
        </w:pBdr>
        <w:tabs>
          <w:tab w:val="left" w:pos="708"/>
          <w:tab w:val="left" w:pos="1416"/>
          <w:tab w:val="left" w:pos="2124"/>
          <w:tab w:val="left" w:pos="2832"/>
          <w:tab w:val="left" w:pos="3540"/>
          <w:tab w:val="left" w:pos="4248"/>
          <w:tab w:val="left" w:pos="4956"/>
          <w:tab w:val="left" w:pos="5664"/>
          <w:tab w:val="left" w:pos="6148"/>
        </w:tabs>
        <w:ind w:left="705" w:hanging="705"/>
        <w:jc w:val="both"/>
        <w:rPr>
          <w:rFonts w:eastAsia="MS Mincho"/>
          <w:b/>
        </w:rPr>
      </w:pPr>
      <w:r>
        <w:rPr>
          <w:rFonts w:eastAsia="MS Mincho"/>
          <w:b/>
        </w:rPr>
        <w:t>1.4.2.4</w:t>
      </w:r>
      <w:r w:rsidR="00702383" w:rsidRPr="009C2F71">
        <w:rPr>
          <w:rFonts w:eastAsia="MS Mincho"/>
          <w:b/>
        </w:rPr>
        <w:t xml:space="preserve"> </w:t>
      </w:r>
      <w:r w:rsidR="003165AF">
        <w:rPr>
          <w:rFonts w:eastAsia="MS Mincho"/>
          <w:b/>
        </w:rPr>
        <w:t>Cuando s</w:t>
      </w:r>
      <w:r w:rsidR="00D464A3" w:rsidRPr="009C2F71">
        <w:rPr>
          <w:rFonts w:eastAsia="MS Mincho"/>
          <w:b/>
        </w:rPr>
        <w:t xml:space="preserve">e encuentre </w:t>
      </w:r>
      <w:r w:rsidR="003165AF">
        <w:rPr>
          <w:rFonts w:eastAsia="MS Mincho"/>
          <w:b/>
        </w:rPr>
        <w:t>sometida</w:t>
      </w:r>
      <w:r w:rsidR="00F939F2" w:rsidRPr="009C2F71">
        <w:rPr>
          <w:rFonts w:eastAsia="MS Mincho"/>
          <w:b/>
        </w:rPr>
        <w:t xml:space="preserve"> a vigilancia especial o se encuentren adelantando programas de recuperación, saneamiento o adecuación de capital</w:t>
      </w:r>
      <w:r w:rsidR="00E57886">
        <w:rPr>
          <w:rFonts w:eastAsia="MS Mincho"/>
          <w:b/>
        </w:rPr>
        <w:t>.</w:t>
      </w:r>
    </w:p>
    <w:p w:rsidR="00CE581A" w:rsidRDefault="00CE581A" w:rsidP="00CE581A">
      <w:pPr>
        <w:tabs>
          <w:tab w:val="left" w:pos="708"/>
          <w:tab w:val="left" w:pos="1416"/>
          <w:tab w:val="left" w:pos="2124"/>
          <w:tab w:val="left" w:pos="2832"/>
          <w:tab w:val="left" w:pos="3540"/>
          <w:tab w:val="left" w:pos="4248"/>
          <w:tab w:val="left" w:pos="4956"/>
          <w:tab w:val="left" w:pos="5664"/>
          <w:tab w:val="left" w:pos="6148"/>
        </w:tabs>
        <w:ind w:left="705" w:hanging="705"/>
        <w:jc w:val="both"/>
        <w:rPr>
          <w:rFonts w:eastAsia="MS Mincho"/>
          <w:b/>
        </w:rPr>
      </w:pPr>
    </w:p>
    <w:p w:rsidR="00CE581A" w:rsidRDefault="00CE581A" w:rsidP="00CE581A">
      <w:pPr>
        <w:tabs>
          <w:tab w:val="left" w:pos="708"/>
          <w:tab w:val="left" w:pos="1416"/>
          <w:tab w:val="left" w:pos="2124"/>
          <w:tab w:val="left" w:pos="2832"/>
          <w:tab w:val="left" w:pos="3540"/>
          <w:tab w:val="left" w:pos="4248"/>
          <w:tab w:val="left" w:pos="4956"/>
          <w:tab w:val="left" w:pos="5664"/>
          <w:tab w:val="left" w:pos="6148"/>
        </w:tabs>
        <w:ind w:left="705" w:hanging="705"/>
        <w:jc w:val="both"/>
        <w:rPr>
          <w:rFonts w:eastAsia="MS Mincho"/>
          <w:b/>
        </w:rPr>
      </w:pPr>
    </w:p>
    <w:p w:rsidR="002947EE" w:rsidRPr="00EF5BE4" w:rsidRDefault="002947EE" w:rsidP="002947EE">
      <w:pPr>
        <w:pStyle w:val="Ttulo1"/>
      </w:pPr>
      <w:bookmarkStart w:id="4" w:name="_Toc267336134"/>
      <w:r w:rsidRPr="00EF5BE4">
        <w:t>2. DEPÓSITOS DE AHORRO Y CERTIFICADOS DE AHORRO A TÉRMINO</w:t>
      </w:r>
      <w:bookmarkEnd w:id="4"/>
    </w:p>
    <w:p w:rsidR="002947EE" w:rsidRPr="00EF5BE4" w:rsidRDefault="002947EE" w:rsidP="002947EE">
      <w:pPr>
        <w:jc w:val="both"/>
        <w:rPr>
          <w:rFonts w:cs="Arial"/>
          <w:szCs w:val="16"/>
        </w:rPr>
      </w:pPr>
    </w:p>
    <w:p w:rsidR="002947EE" w:rsidRPr="00EF5BE4" w:rsidRDefault="002947EE" w:rsidP="002947EE">
      <w:pPr>
        <w:pStyle w:val="Ttulo2"/>
      </w:pPr>
      <w:bookmarkStart w:id="5" w:name="_Toc267336135"/>
      <w:r w:rsidRPr="00EF5BE4">
        <w:t xml:space="preserve">2.1. Aspectos </w:t>
      </w:r>
      <w:r>
        <w:t>c</w:t>
      </w:r>
      <w:r w:rsidRPr="00EF5BE4">
        <w:t>omunes</w:t>
      </w:r>
      <w:bookmarkEnd w:id="5"/>
    </w:p>
    <w:p w:rsidR="002947EE" w:rsidRPr="00EF5BE4" w:rsidRDefault="002947EE" w:rsidP="002947EE">
      <w:pPr>
        <w:jc w:val="both"/>
        <w:rPr>
          <w:rFonts w:cs="Arial"/>
          <w:szCs w:val="16"/>
        </w:rPr>
      </w:pPr>
    </w:p>
    <w:p w:rsidR="002947EE" w:rsidRPr="00EF5BE4" w:rsidRDefault="002947EE" w:rsidP="002947EE">
      <w:pPr>
        <w:jc w:val="both"/>
        <w:rPr>
          <w:rFonts w:cs="Arial"/>
          <w:szCs w:val="16"/>
        </w:rPr>
      </w:pPr>
      <w:r w:rsidRPr="00EF5BE4">
        <w:rPr>
          <w:rFonts w:cs="Arial"/>
          <w:szCs w:val="16"/>
        </w:rPr>
        <w:t xml:space="preserve">Tanto en los Certificados de Depósito a Término </w:t>
      </w:r>
      <w:r>
        <w:rPr>
          <w:rFonts w:cs="Arial"/>
          <w:szCs w:val="16"/>
        </w:rPr>
        <w:t>CDT</w:t>
      </w:r>
      <w:r w:rsidRPr="00EF5BE4">
        <w:rPr>
          <w:rFonts w:cs="Arial"/>
          <w:szCs w:val="16"/>
        </w:rPr>
        <w:t xml:space="preserve"> como en los Certificados de Ahorro a Término </w:t>
      </w:r>
      <w:r>
        <w:rPr>
          <w:rFonts w:cs="Arial"/>
          <w:szCs w:val="16"/>
        </w:rPr>
        <w:t>-</w:t>
      </w:r>
      <w:r w:rsidRPr="00EF5BE4">
        <w:rPr>
          <w:rFonts w:cs="Arial"/>
          <w:szCs w:val="16"/>
        </w:rPr>
        <w:t>CDAT</w:t>
      </w:r>
      <w:r>
        <w:rPr>
          <w:rFonts w:cs="Arial"/>
          <w:szCs w:val="16"/>
        </w:rPr>
        <w:t>-</w:t>
      </w:r>
      <w:r w:rsidRPr="00EF5BE4">
        <w:rPr>
          <w:rFonts w:cs="Arial"/>
          <w:szCs w:val="16"/>
        </w:rPr>
        <w:t>, los establecimientos de crédito p</w:t>
      </w:r>
      <w:r>
        <w:rPr>
          <w:rFonts w:cs="Arial"/>
          <w:szCs w:val="16"/>
        </w:rPr>
        <w:t>ueden</w:t>
      </w:r>
      <w:r w:rsidRPr="00EF5BE4">
        <w:rPr>
          <w:rFonts w:cs="Arial"/>
          <w:szCs w:val="16"/>
        </w:rPr>
        <w:t xml:space="preserve"> convenir con el depositante </w:t>
      </w:r>
      <w:proofErr w:type="gramStart"/>
      <w:r w:rsidRPr="00EF5BE4">
        <w:rPr>
          <w:rFonts w:cs="Arial"/>
          <w:szCs w:val="16"/>
        </w:rPr>
        <w:t>que</w:t>
      </w:r>
      <w:proofErr w:type="gramEnd"/>
      <w:r w:rsidRPr="00EF5BE4">
        <w:rPr>
          <w:rFonts w:cs="Arial"/>
          <w:szCs w:val="16"/>
        </w:rPr>
        <w:t xml:space="preserve"> si llegado el término de vencimiento éste no se prorroga, cuando cualquiera de las partes no conviene con ello, el importe del mismo quedará a su disposición a partir del vencimiento del plazo señalado para la restitución del depósito, sin que por ello se cause rendimiento alguno.</w:t>
      </w:r>
    </w:p>
    <w:p w:rsidR="002947EE" w:rsidRDefault="002947EE" w:rsidP="002947EE">
      <w:pPr>
        <w:jc w:val="both"/>
        <w:rPr>
          <w:rFonts w:cs="Arial"/>
          <w:szCs w:val="16"/>
        </w:rPr>
      </w:pPr>
    </w:p>
    <w:p w:rsidR="002947EE" w:rsidRPr="00EF5BE4" w:rsidRDefault="002947EE" w:rsidP="002947EE">
      <w:pPr>
        <w:jc w:val="both"/>
        <w:rPr>
          <w:rFonts w:cs="Arial"/>
          <w:szCs w:val="16"/>
        </w:rPr>
      </w:pPr>
      <w:r w:rsidRPr="00EF5BE4">
        <w:rPr>
          <w:rFonts w:cs="Arial"/>
          <w:szCs w:val="16"/>
        </w:rPr>
        <w:t>Cuando sea el caso, los establecimientos de crédito deben informar oportunamente y por escrito a la dirección del titular del depósito, su decisión de no prorrogar el contrato, salvo que en el texto del certificado se hubiere previsto que, ante el silencio de las partes, el mismo se prorrogará en condiciones previamente determinadas o determinables, y la entidad hiciere uso de tal prerrogativa. En este último evento</w:t>
      </w:r>
      <w:r>
        <w:rPr>
          <w:rFonts w:cs="Arial"/>
          <w:szCs w:val="16"/>
        </w:rPr>
        <w:t>,</w:t>
      </w:r>
      <w:r w:rsidRPr="00EF5BE4">
        <w:rPr>
          <w:rFonts w:cs="Arial"/>
          <w:szCs w:val="16"/>
        </w:rPr>
        <w:t xml:space="preserve"> el certificado se prorrogará por un término igual </w:t>
      </w:r>
      <w:proofErr w:type="gramStart"/>
      <w:r w:rsidRPr="00EF5BE4">
        <w:rPr>
          <w:rFonts w:cs="Arial"/>
          <w:szCs w:val="16"/>
        </w:rPr>
        <w:t>al inicial</w:t>
      </w:r>
      <w:proofErr w:type="gramEnd"/>
      <w:r w:rsidRPr="00EF5BE4">
        <w:rPr>
          <w:rFonts w:cs="Arial"/>
          <w:szCs w:val="16"/>
        </w:rPr>
        <w:t xml:space="preserve"> y en las condiciones (de tasa, modalidad de pago, plazo, otros) que se hubieren previsto para el efecto.</w:t>
      </w:r>
    </w:p>
    <w:p w:rsidR="002947EE" w:rsidRPr="00EF5BE4" w:rsidRDefault="002947EE" w:rsidP="002947EE">
      <w:pPr>
        <w:jc w:val="both"/>
        <w:rPr>
          <w:rFonts w:cs="Arial"/>
          <w:szCs w:val="16"/>
        </w:rPr>
      </w:pPr>
    </w:p>
    <w:p w:rsidR="002947EE" w:rsidRPr="00EF5BE4" w:rsidRDefault="002947EE" w:rsidP="002947EE">
      <w:pPr>
        <w:jc w:val="both"/>
        <w:rPr>
          <w:rFonts w:cs="Arial"/>
          <w:szCs w:val="16"/>
        </w:rPr>
      </w:pPr>
      <w:r w:rsidRPr="00EF5BE4">
        <w:rPr>
          <w:rFonts w:cs="Arial"/>
          <w:szCs w:val="16"/>
        </w:rPr>
        <w:t xml:space="preserve">La constancia que se expide con ocasión de la entrega de recursos en </w:t>
      </w:r>
      <w:r>
        <w:rPr>
          <w:rFonts w:cs="Arial"/>
          <w:szCs w:val="16"/>
        </w:rPr>
        <w:t>depósitos de</w:t>
      </w:r>
      <w:r w:rsidRPr="00EF5BE4">
        <w:rPr>
          <w:rFonts w:cs="Arial"/>
          <w:szCs w:val="16"/>
        </w:rPr>
        <w:t xml:space="preserve"> ahorro es una simple constancia de depósito que legitima a su titular para exigir el pago de su acreencia, sin que tal constancia tenga vocación de circulación en los términos del </w:t>
      </w:r>
      <w:r>
        <w:rPr>
          <w:rFonts w:cs="Arial"/>
          <w:szCs w:val="16"/>
        </w:rPr>
        <w:t>art.</w:t>
      </w:r>
      <w:r w:rsidRPr="00EF5BE4">
        <w:rPr>
          <w:rFonts w:cs="Arial"/>
          <w:szCs w:val="16"/>
        </w:rPr>
        <w:t xml:space="preserve"> 645 del </w:t>
      </w:r>
      <w:proofErr w:type="spellStart"/>
      <w:proofErr w:type="gramStart"/>
      <w:r w:rsidRPr="00EF5BE4">
        <w:rPr>
          <w:rFonts w:cs="Arial"/>
          <w:szCs w:val="16"/>
        </w:rPr>
        <w:t>C</w:t>
      </w:r>
      <w:r>
        <w:rPr>
          <w:rFonts w:cs="Arial"/>
          <w:szCs w:val="16"/>
        </w:rPr>
        <w:t>.</w:t>
      </w:r>
      <w:r w:rsidRPr="00EF5BE4">
        <w:rPr>
          <w:rFonts w:cs="Arial"/>
          <w:szCs w:val="16"/>
        </w:rPr>
        <w:t>Cio</w:t>
      </w:r>
      <w:proofErr w:type="spellEnd"/>
      <w:proofErr w:type="gramEnd"/>
      <w:r>
        <w:rPr>
          <w:rFonts w:cs="Arial"/>
          <w:szCs w:val="16"/>
        </w:rPr>
        <w:t>. Por</w:t>
      </w:r>
      <w:r w:rsidRPr="00EF5BE4">
        <w:rPr>
          <w:rFonts w:cs="Arial"/>
          <w:szCs w:val="16"/>
        </w:rPr>
        <w:t xml:space="preserve"> consiguiente, no podrá ser expedida al portador, ni transferirse mediante endoso.</w:t>
      </w:r>
      <w:r w:rsidRPr="00EF5BE4">
        <w:rPr>
          <w:rFonts w:cs="Arial"/>
          <w:color w:val="000000"/>
          <w:szCs w:val="16"/>
        </w:rPr>
        <w:t xml:space="preserve"> </w:t>
      </w:r>
    </w:p>
    <w:p w:rsidR="002947EE" w:rsidRPr="00EF5BE4" w:rsidRDefault="002947EE" w:rsidP="002947EE">
      <w:pPr>
        <w:jc w:val="both"/>
        <w:rPr>
          <w:rFonts w:cs="Arial"/>
          <w:szCs w:val="16"/>
        </w:rPr>
      </w:pPr>
    </w:p>
    <w:p w:rsidR="002947EE" w:rsidRDefault="002947EE" w:rsidP="002947EE">
      <w:pPr>
        <w:jc w:val="both"/>
        <w:rPr>
          <w:rFonts w:cs="Arial"/>
          <w:szCs w:val="16"/>
        </w:rPr>
      </w:pPr>
      <w:r w:rsidRPr="00EF5BE4">
        <w:rPr>
          <w:rFonts w:cs="Arial"/>
          <w:szCs w:val="16"/>
        </w:rPr>
        <w:t xml:space="preserve">Por tanto, el tratamiento indicado en el </w:t>
      </w:r>
      <w:r>
        <w:rPr>
          <w:rFonts w:cs="Arial"/>
          <w:szCs w:val="16"/>
        </w:rPr>
        <w:t>art.</w:t>
      </w:r>
      <w:r w:rsidRPr="00EF5BE4">
        <w:rPr>
          <w:rFonts w:cs="Arial"/>
          <w:szCs w:val="16"/>
        </w:rPr>
        <w:t xml:space="preserve"> 802 del </w:t>
      </w:r>
      <w:proofErr w:type="spellStart"/>
      <w:proofErr w:type="gramStart"/>
      <w:r>
        <w:rPr>
          <w:rFonts w:cs="Arial"/>
          <w:szCs w:val="16"/>
        </w:rPr>
        <w:t>C.C</w:t>
      </w:r>
      <w:r w:rsidRPr="00EF5BE4">
        <w:rPr>
          <w:rFonts w:cs="Arial"/>
          <w:szCs w:val="16"/>
        </w:rPr>
        <w:t>io</w:t>
      </w:r>
      <w:proofErr w:type="spellEnd"/>
      <w:proofErr w:type="gramEnd"/>
      <w:r>
        <w:rPr>
          <w:rFonts w:cs="Arial"/>
          <w:szCs w:val="16"/>
        </w:rPr>
        <w:t>.</w:t>
      </w:r>
      <w:r w:rsidRPr="00EF5BE4">
        <w:rPr>
          <w:rFonts w:cs="Arial"/>
          <w:szCs w:val="16"/>
        </w:rPr>
        <w:t xml:space="preserve"> para los casos de hurto, destrucción o extravío de los títulos valores no es aplicable a los documentos representativos de los depósitos de esta modalidad de ahorro. </w:t>
      </w:r>
    </w:p>
    <w:p w:rsidR="002947EE" w:rsidRDefault="002947EE" w:rsidP="002947EE">
      <w:pPr>
        <w:jc w:val="both"/>
        <w:rPr>
          <w:rFonts w:cs="Arial"/>
          <w:szCs w:val="16"/>
        </w:rPr>
      </w:pPr>
    </w:p>
    <w:p w:rsidR="002947EE" w:rsidRDefault="002947EE" w:rsidP="002947EE">
      <w:pPr>
        <w:jc w:val="both"/>
        <w:rPr>
          <w:rFonts w:cs="Arial"/>
          <w:szCs w:val="16"/>
        </w:rPr>
      </w:pPr>
    </w:p>
    <w:p w:rsidR="002947EE" w:rsidRDefault="002947EE" w:rsidP="002947EE">
      <w:pPr>
        <w:jc w:val="both"/>
        <w:rPr>
          <w:rFonts w:cs="Arial"/>
          <w:szCs w:val="16"/>
        </w:rPr>
        <w:sectPr w:rsidR="002947EE" w:rsidSect="009C2F71">
          <w:footerReference w:type="default" r:id="rId13"/>
          <w:pgSz w:w="12240" w:h="18720" w:code="14"/>
          <w:pgMar w:top="1418" w:right="1701" w:bottom="1418" w:left="1701" w:header="1134" w:footer="1134" w:gutter="0"/>
          <w:paperSrc w:first="15" w:other="15"/>
          <w:pgNumType w:start="1"/>
          <w:cols w:space="720"/>
          <w:noEndnote/>
          <w:docGrid w:linePitch="218"/>
        </w:sectPr>
      </w:pPr>
    </w:p>
    <w:p w:rsidR="00E40C72" w:rsidRDefault="00E40C72" w:rsidP="00CE581A">
      <w:pPr>
        <w:tabs>
          <w:tab w:val="left" w:pos="708"/>
          <w:tab w:val="left" w:pos="1416"/>
          <w:tab w:val="left" w:pos="2124"/>
          <w:tab w:val="left" w:pos="2832"/>
          <w:tab w:val="left" w:pos="3540"/>
          <w:tab w:val="left" w:pos="4248"/>
          <w:tab w:val="left" w:pos="4956"/>
          <w:tab w:val="left" w:pos="5664"/>
          <w:tab w:val="left" w:pos="6148"/>
        </w:tabs>
        <w:ind w:left="705" w:hanging="705"/>
        <w:jc w:val="both"/>
        <w:rPr>
          <w:rFonts w:eastAsia="MS Mincho"/>
          <w:b/>
        </w:rPr>
      </w:pPr>
    </w:p>
    <w:p w:rsidR="00E40C72" w:rsidRPr="00EF5BE4" w:rsidRDefault="00E40C72" w:rsidP="00E40C72">
      <w:pPr>
        <w:jc w:val="both"/>
        <w:rPr>
          <w:rFonts w:cs="Arial"/>
          <w:szCs w:val="16"/>
        </w:rPr>
      </w:pPr>
      <w:r w:rsidRPr="00EF5BE4">
        <w:rPr>
          <w:rFonts w:cs="Arial"/>
          <w:szCs w:val="16"/>
        </w:rPr>
        <w:t xml:space="preserve">En todo caso, cuando el saldo máximo de las cuentas de ahorro con trámite simplificado no exceda en ningún momento 3 </w:t>
      </w:r>
      <w:proofErr w:type="spellStart"/>
      <w:r>
        <w:rPr>
          <w:rFonts w:cs="Arial"/>
          <w:szCs w:val="16"/>
        </w:rPr>
        <w:t>smmlv</w:t>
      </w:r>
      <w:proofErr w:type="spellEnd"/>
      <w:r w:rsidRPr="00EF5BE4">
        <w:rPr>
          <w:rFonts w:cs="Arial"/>
          <w:szCs w:val="16"/>
        </w:rPr>
        <w:t>, se extenderá la aplicación de las instrucciones especiales para la administración del riesgo de lavado de activos y de la financiación del terrorismo establecidas para los depósitos de dinero electrónico.</w:t>
      </w:r>
    </w:p>
    <w:p w:rsidR="00E40C72" w:rsidRPr="00EF5BE4" w:rsidRDefault="00E40C72" w:rsidP="00E40C72">
      <w:pPr>
        <w:jc w:val="both"/>
        <w:rPr>
          <w:rFonts w:cs="Arial"/>
          <w:b/>
          <w:szCs w:val="16"/>
          <w:lang w:val="es-CO"/>
        </w:rPr>
      </w:pPr>
    </w:p>
    <w:p w:rsidR="00E40C72" w:rsidRPr="00EF5BE4" w:rsidRDefault="00E40C72" w:rsidP="00E40C72">
      <w:pPr>
        <w:pStyle w:val="Ttulo2"/>
      </w:pPr>
      <w:bookmarkStart w:id="6" w:name="_Toc267336147"/>
      <w:r w:rsidRPr="00EF5BE4">
        <w:t>5.</w:t>
      </w:r>
      <w:r>
        <w:t>5</w:t>
      </w:r>
      <w:r w:rsidRPr="00EF5BE4">
        <w:t>. Terminación de las cuentas</w:t>
      </w:r>
      <w:bookmarkEnd w:id="6"/>
      <w:r w:rsidRPr="00EF5BE4">
        <w:t xml:space="preserve"> </w:t>
      </w:r>
    </w:p>
    <w:p w:rsidR="00E40C72" w:rsidRPr="00EF5BE4" w:rsidRDefault="00E40C72" w:rsidP="00E40C72">
      <w:pPr>
        <w:jc w:val="both"/>
        <w:rPr>
          <w:rFonts w:cs="Arial"/>
          <w:b/>
          <w:szCs w:val="16"/>
        </w:rPr>
      </w:pPr>
    </w:p>
    <w:p w:rsidR="00E40C72" w:rsidRPr="00EF5BE4" w:rsidRDefault="00E40C72" w:rsidP="00E40C72">
      <w:pPr>
        <w:jc w:val="both"/>
        <w:rPr>
          <w:rFonts w:cs="Arial"/>
          <w:szCs w:val="16"/>
          <w:lang w:val="es-CO"/>
        </w:rPr>
      </w:pPr>
      <w:r w:rsidRPr="00EF5BE4">
        <w:rPr>
          <w:rFonts w:cs="Arial"/>
          <w:szCs w:val="16"/>
        </w:rPr>
        <w:t>Si al momento de terminar el contrato de las cuentas</w:t>
      </w:r>
      <w:r w:rsidRPr="00EF5BE4">
        <w:rPr>
          <w:rFonts w:cs="Arial"/>
          <w:b/>
          <w:szCs w:val="16"/>
        </w:rPr>
        <w:t xml:space="preserve"> </w:t>
      </w:r>
      <w:r w:rsidRPr="00EF5BE4">
        <w:rPr>
          <w:rFonts w:cs="Arial"/>
          <w:szCs w:val="16"/>
        </w:rPr>
        <w:t xml:space="preserve">de que trata el presente numeral el saldo supera 3 </w:t>
      </w:r>
      <w:proofErr w:type="spellStart"/>
      <w:r>
        <w:rPr>
          <w:rFonts w:cs="Arial"/>
          <w:szCs w:val="16"/>
        </w:rPr>
        <w:t>smmlv</w:t>
      </w:r>
      <w:proofErr w:type="spellEnd"/>
      <w:r w:rsidRPr="00EF5BE4">
        <w:rPr>
          <w:rFonts w:cs="Arial"/>
          <w:szCs w:val="16"/>
        </w:rPr>
        <w:t>, los establecimientos de crédito deben realizar todos los procedimientos generales previstos en las normas vigentes para efectuar el diligenciamiento del formulario de vinculación.</w:t>
      </w:r>
    </w:p>
    <w:p w:rsidR="00E40C72" w:rsidRPr="0074165E" w:rsidRDefault="00E40C72" w:rsidP="00E40C72">
      <w:pPr>
        <w:pStyle w:val="Listaoscura-nfasis610"/>
        <w:rPr>
          <w:rFonts w:cs="Arial"/>
          <w:szCs w:val="16"/>
          <w:lang w:val="es-CO"/>
        </w:rPr>
      </w:pPr>
    </w:p>
    <w:p w:rsidR="00E40C72" w:rsidRPr="00E40C72" w:rsidRDefault="00E40C72" w:rsidP="00E40C72">
      <w:pPr>
        <w:pStyle w:val="Listaoscura-nfasis610"/>
        <w:rPr>
          <w:rFonts w:cs="Arial"/>
          <w:szCs w:val="16"/>
        </w:rPr>
      </w:pPr>
    </w:p>
    <w:p w:rsidR="00E40C72" w:rsidRPr="00E40C72" w:rsidRDefault="00E40C72" w:rsidP="00E40C72">
      <w:pPr>
        <w:pStyle w:val="Ttulo1"/>
        <w:rPr>
          <w:lang w:val="es-CO"/>
        </w:rPr>
      </w:pPr>
      <w:bookmarkStart w:id="7" w:name="_Toc267336148"/>
      <w:r w:rsidRPr="00E40C72">
        <w:rPr>
          <w:lang w:val="es-CO"/>
        </w:rPr>
        <w:t xml:space="preserve">6. DEPÓSITOS ELECTRÓNICOS </w:t>
      </w:r>
      <w:bookmarkEnd w:id="7"/>
    </w:p>
    <w:p w:rsidR="00E40C72" w:rsidRPr="00E40C72" w:rsidRDefault="00E40C72" w:rsidP="00E40C72">
      <w:pPr>
        <w:rPr>
          <w:rFonts w:cs="Arial"/>
          <w:szCs w:val="16"/>
          <w:lang w:val="es-CO"/>
        </w:rPr>
      </w:pPr>
    </w:p>
    <w:p w:rsidR="00E40C72" w:rsidRPr="00E40C72" w:rsidRDefault="00E40C72" w:rsidP="00E40C72">
      <w:pPr>
        <w:jc w:val="both"/>
        <w:rPr>
          <w:rFonts w:cs="Arial"/>
          <w:b/>
          <w:szCs w:val="16"/>
          <w:lang w:val="es-CO"/>
        </w:rPr>
      </w:pPr>
      <w:r w:rsidRPr="00E40C72">
        <w:rPr>
          <w:rFonts w:cs="Arial"/>
          <w:b/>
          <w:szCs w:val="16"/>
          <w:lang w:val="es-CO"/>
        </w:rPr>
        <w:t>6.1. Características</w:t>
      </w:r>
    </w:p>
    <w:p w:rsidR="00E40C72" w:rsidRPr="00E40C72" w:rsidRDefault="00E40C72" w:rsidP="00E40C72">
      <w:pPr>
        <w:jc w:val="both"/>
        <w:rPr>
          <w:rFonts w:cs="Arial"/>
          <w:szCs w:val="16"/>
          <w:lang w:val="es-CO"/>
        </w:rPr>
      </w:pPr>
    </w:p>
    <w:p w:rsidR="00E40C72" w:rsidRPr="00E40C72" w:rsidRDefault="00E40C72" w:rsidP="00E40C72">
      <w:pPr>
        <w:jc w:val="both"/>
        <w:rPr>
          <w:rFonts w:cs="Arial"/>
          <w:szCs w:val="16"/>
          <w:lang w:val="es-CO"/>
        </w:rPr>
      </w:pPr>
      <w:r w:rsidRPr="00E40C72">
        <w:rPr>
          <w:rFonts w:cs="Arial"/>
          <w:szCs w:val="16"/>
          <w:lang w:val="es-CO"/>
        </w:rPr>
        <w:t>Los depósitos electrónicos son depósitos a la vista, diferentes de las cuenta</w:t>
      </w:r>
      <w:r w:rsidR="007857C6">
        <w:rPr>
          <w:rFonts w:cs="Arial"/>
          <w:szCs w:val="16"/>
          <w:lang w:val="es-CO"/>
        </w:rPr>
        <w:t>s</w:t>
      </w:r>
      <w:r w:rsidRPr="00E40C72">
        <w:rPr>
          <w:rFonts w:cs="Arial"/>
          <w:szCs w:val="16"/>
          <w:lang w:val="es-CO"/>
        </w:rPr>
        <w:t xml:space="preserve"> corrientes y de ahorro, a nombre de personas naturales o jurídicas. La administración y el manejo de los depósitos electrónicos deben sujetarse a </w:t>
      </w:r>
      <w:proofErr w:type="gramStart"/>
      <w:r w:rsidRPr="00E40C72">
        <w:rPr>
          <w:rFonts w:cs="Arial"/>
          <w:szCs w:val="16"/>
          <w:lang w:val="es-CO"/>
        </w:rPr>
        <w:t>lo  dispuesto</w:t>
      </w:r>
      <w:proofErr w:type="gramEnd"/>
      <w:r w:rsidRPr="00E40C72">
        <w:rPr>
          <w:rFonts w:cs="Arial"/>
          <w:szCs w:val="16"/>
          <w:lang w:val="es-CO"/>
        </w:rPr>
        <w:t xml:space="preserve"> en los arts. 2.1.15.1.1 y siguientes del Decreto 2555 de 2010. Los establecimientos de crédito y las Sociedades Especializadas en Depósitos y Pagos Electrónicos (SEDPE) deben ofrecer los siguientes trámites de apertura de depósitos electrónicos: </w:t>
      </w:r>
    </w:p>
    <w:p w:rsidR="00E40C72" w:rsidRPr="00E40C72" w:rsidRDefault="00E40C72" w:rsidP="00E40C72">
      <w:pPr>
        <w:jc w:val="both"/>
        <w:rPr>
          <w:rFonts w:cs="Arial"/>
          <w:szCs w:val="16"/>
          <w:lang w:val="es-CO"/>
        </w:rPr>
      </w:pPr>
    </w:p>
    <w:p w:rsidR="00E40C72" w:rsidRPr="00E40C72" w:rsidRDefault="00E40C72" w:rsidP="00E40C72">
      <w:pPr>
        <w:pStyle w:val="Ttulo2"/>
        <w:rPr>
          <w:b w:val="0"/>
        </w:rPr>
      </w:pPr>
      <w:r w:rsidRPr="00E40C72">
        <w:rPr>
          <w:rFonts w:cs="Arial"/>
          <w:b w:val="0"/>
          <w:szCs w:val="16"/>
          <w:lang w:val="es-CO"/>
        </w:rPr>
        <w:t xml:space="preserve">6.1.1. </w:t>
      </w:r>
      <w:r w:rsidRPr="00E40C72">
        <w:rPr>
          <w:b w:val="0"/>
        </w:rPr>
        <w:t>Trámite simplificado de apertura para personas naturales</w:t>
      </w:r>
    </w:p>
    <w:p w:rsidR="00E40C72" w:rsidRPr="00E40C72" w:rsidRDefault="00E40C72" w:rsidP="00E40C72">
      <w:pPr>
        <w:rPr>
          <w:lang w:eastAsia="x-none"/>
        </w:rPr>
      </w:pPr>
    </w:p>
    <w:p w:rsidR="00E40C72" w:rsidRPr="00E40C72" w:rsidRDefault="00E40C72" w:rsidP="00E40C72">
      <w:pPr>
        <w:jc w:val="both"/>
        <w:rPr>
          <w:rFonts w:cs="Arial"/>
          <w:szCs w:val="16"/>
          <w:lang w:val="es-CO"/>
        </w:rPr>
      </w:pPr>
      <w:r w:rsidRPr="00E40C72">
        <w:rPr>
          <w:rFonts w:cs="Arial"/>
          <w:szCs w:val="16"/>
          <w:lang w:val="es-CO"/>
        </w:rPr>
        <w:t>6.1.2. Trámite ordinario de apertura</w:t>
      </w:r>
    </w:p>
    <w:p w:rsidR="00E40C72" w:rsidRPr="00E40C72" w:rsidRDefault="00E40C72" w:rsidP="00E40C72">
      <w:pPr>
        <w:jc w:val="both"/>
      </w:pPr>
    </w:p>
    <w:p w:rsidR="00E40C72" w:rsidRPr="00EF5BE4" w:rsidRDefault="00E40C72" w:rsidP="00E40C72">
      <w:pPr>
        <w:pStyle w:val="Ttulo2"/>
      </w:pPr>
      <w:bookmarkStart w:id="8" w:name="_Toc267336150"/>
      <w:r>
        <w:t xml:space="preserve">6.2. </w:t>
      </w:r>
      <w:r w:rsidRPr="00EF5BE4">
        <w:t>Depósitos de dinero electrónico utilizados para canalizar subsidios estatales</w:t>
      </w:r>
      <w:bookmarkEnd w:id="8"/>
    </w:p>
    <w:p w:rsidR="00E40C72" w:rsidRPr="00EF5BE4" w:rsidRDefault="00E40C72" w:rsidP="00E40C72">
      <w:pPr>
        <w:ind w:left="360"/>
        <w:jc w:val="both"/>
        <w:rPr>
          <w:rFonts w:cs="Arial"/>
          <w:b/>
          <w:szCs w:val="16"/>
        </w:rPr>
      </w:pPr>
    </w:p>
    <w:p w:rsidR="00E40C72" w:rsidRPr="00E40C72" w:rsidRDefault="00E40C72" w:rsidP="00E40C72">
      <w:pPr>
        <w:jc w:val="both"/>
        <w:rPr>
          <w:rFonts w:cs="Arial"/>
          <w:szCs w:val="16"/>
        </w:rPr>
      </w:pPr>
      <w:r w:rsidRPr="00E40C72">
        <w:rPr>
          <w:rFonts w:cs="Arial"/>
          <w:szCs w:val="16"/>
        </w:rPr>
        <w:t xml:space="preserve">Los establecimientos de crédito y las SEDPE pueden ofrecer el trámite simplificado a que se refiere el subnumeral 6.1.1. de este Capítulo, para realizar la apertura de los depósitos de dinero electrónico utilizados para canalizar los recursos provenientes de programas de ayuda y/o subsidios otorgados por el Estado colombiano. </w:t>
      </w:r>
    </w:p>
    <w:p w:rsidR="00E40C72" w:rsidRPr="00E40C72" w:rsidRDefault="00E40C72" w:rsidP="00E40C72">
      <w:pPr>
        <w:jc w:val="both"/>
        <w:rPr>
          <w:rFonts w:cs="Arial"/>
          <w:szCs w:val="16"/>
        </w:rPr>
      </w:pPr>
    </w:p>
    <w:p w:rsidR="00E40C72" w:rsidRPr="00E40C72" w:rsidRDefault="00E40C72" w:rsidP="00E40C72">
      <w:pPr>
        <w:jc w:val="both"/>
        <w:rPr>
          <w:rFonts w:cs="Arial"/>
          <w:szCs w:val="16"/>
        </w:rPr>
      </w:pPr>
      <w:r w:rsidRPr="00E40C72">
        <w:rPr>
          <w:rFonts w:cs="Arial"/>
          <w:szCs w:val="16"/>
        </w:rPr>
        <w:t>En estos eventos, no se aplicará lo previsto en los literales a. y b. del art. 2.1.15.2.2. del Decreto 2555 de 2010, relacionado con los saldos máximos y monto de operaciones.</w:t>
      </w:r>
    </w:p>
    <w:p w:rsidR="00E40C72" w:rsidRPr="005958D1" w:rsidRDefault="00E40C72" w:rsidP="00E40C72">
      <w:pPr>
        <w:jc w:val="both"/>
        <w:rPr>
          <w:rFonts w:cs="Arial"/>
          <w:b/>
          <w:szCs w:val="16"/>
        </w:rPr>
      </w:pPr>
    </w:p>
    <w:p w:rsidR="00E40C72" w:rsidRPr="00EF5BE4" w:rsidRDefault="00E40C72" w:rsidP="00E40C72">
      <w:pPr>
        <w:pStyle w:val="Ttulo2"/>
      </w:pPr>
      <w:bookmarkStart w:id="9" w:name="_Toc267336151"/>
      <w:r>
        <w:t xml:space="preserve">6.3. </w:t>
      </w:r>
      <w:r w:rsidRPr="00EF5BE4">
        <w:t>Autorización de los reglamentos</w:t>
      </w:r>
      <w:bookmarkEnd w:id="9"/>
      <w:r w:rsidRPr="00EF5BE4">
        <w:t xml:space="preserve"> </w:t>
      </w:r>
    </w:p>
    <w:p w:rsidR="00E40C72" w:rsidRPr="00EF5BE4" w:rsidRDefault="00E40C72" w:rsidP="00E40C72">
      <w:pPr>
        <w:jc w:val="both"/>
        <w:rPr>
          <w:rFonts w:cs="Arial"/>
          <w:b/>
          <w:szCs w:val="16"/>
        </w:rPr>
      </w:pPr>
    </w:p>
    <w:p w:rsidR="00E40C72" w:rsidRPr="00E40C72" w:rsidRDefault="00E40C72" w:rsidP="00E40C72">
      <w:pPr>
        <w:pBdr>
          <w:left w:val="single" w:sz="4" w:space="4" w:color="auto"/>
        </w:pBdr>
        <w:jc w:val="both"/>
        <w:rPr>
          <w:rFonts w:cs="Arial"/>
          <w:b/>
          <w:szCs w:val="16"/>
        </w:rPr>
      </w:pPr>
      <w:r w:rsidRPr="00EF5BE4">
        <w:rPr>
          <w:rFonts w:cs="Arial"/>
          <w:szCs w:val="16"/>
        </w:rPr>
        <w:t xml:space="preserve">Los reglamentos de los depósitos de dinero electrónico deben contar con la autorización </w:t>
      </w:r>
      <w:r>
        <w:rPr>
          <w:rFonts w:cs="Arial"/>
          <w:szCs w:val="16"/>
        </w:rPr>
        <w:t xml:space="preserve">de esta Superintendencia, </w:t>
      </w:r>
      <w:r>
        <w:rPr>
          <w:rFonts w:cs="Arial"/>
          <w:b/>
          <w:szCs w:val="16"/>
        </w:rPr>
        <w:t xml:space="preserve">conforme a las reglas establecidas en el subnumeral 1.4 de este Capítulo. </w:t>
      </w:r>
    </w:p>
    <w:p w:rsidR="00E40C72" w:rsidRPr="00EF5BE4" w:rsidRDefault="00E40C72" w:rsidP="00E40C72">
      <w:pPr>
        <w:jc w:val="both"/>
        <w:rPr>
          <w:rFonts w:cs="Arial"/>
          <w:b/>
          <w:szCs w:val="16"/>
        </w:rPr>
      </w:pPr>
    </w:p>
    <w:p w:rsidR="00E40C72" w:rsidRPr="00EF5BE4" w:rsidRDefault="00E40C72" w:rsidP="00E40C72">
      <w:pPr>
        <w:pStyle w:val="Ttulo2"/>
      </w:pPr>
      <w:bookmarkStart w:id="10" w:name="_Toc267336152"/>
      <w:r>
        <w:t xml:space="preserve">6.4. </w:t>
      </w:r>
      <w:r w:rsidRPr="00EF5BE4">
        <w:t>Reglas especiales en materia de información</w:t>
      </w:r>
      <w:bookmarkEnd w:id="10"/>
    </w:p>
    <w:p w:rsidR="00E40C72" w:rsidRPr="00EF5BE4" w:rsidRDefault="00E40C72" w:rsidP="00E40C72">
      <w:pPr>
        <w:jc w:val="both"/>
        <w:rPr>
          <w:rFonts w:cs="Arial"/>
          <w:b/>
          <w:szCs w:val="16"/>
        </w:rPr>
      </w:pPr>
    </w:p>
    <w:p w:rsidR="00E40C72" w:rsidRPr="00EF5BE4" w:rsidRDefault="00E40C72" w:rsidP="00E40C72">
      <w:pPr>
        <w:jc w:val="both"/>
        <w:rPr>
          <w:rFonts w:cs="Arial"/>
          <w:szCs w:val="16"/>
        </w:rPr>
      </w:pPr>
      <w:r w:rsidRPr="00EF5BE4">
        <w:rPr>
          <w:rFonts w:cs="Arial"/>
          <w:szCs w:val="16"/>
        </w:rPr>
        <w:t xml:space="preserve">Además de la información que por virtud de las disposiciones legales vigentes deban divulgar los establecimientos de </w:t>
      </w:r>
      <w:r w:rsidRPr="00E40C72">
        <w:rPr>
          <w:rFonts w:cs="Arial"/>
          <w:szCs w:val="16"/>
        </w:rPr>
        <w:t>crédito y las SEDPE a sus consumidores financieros, en materia de depósitos electrónicos debe proveerse de manera</w:t>
      </w:r>
      <w:r w:rsidRPr="00EF5BE4">
        <w:rPr>
          <w:rFonts w:cs="Arial"/>
          <w:szCs w:val="16"/>
        </w:rPr>
        <w:t xml:space="preserve"> particular, l</w:t>
      </w:r>
      <w:r>
        <w:rPr>
          <w:rFonts w:cs="Arial"/>
          <w:szCs w:val="16"/>
        </w:rPr>
        <w:t>o</w:t>
      </w:r>
      <w:r w:rsidRPr="00EF5BE4">
        <w:rPr>
          <w:rFonts w:cs="Arial"/>
          <w:szCs w:val="16"/>
        </w:rPr>
        <w:t xml:space="preserve"> siguiente:</w:t>
      </w:r>
    </w:p>
    <w:p w:rsidR="00E40C72" w:rsidRPr="00EF5BE4" w:rsidRDefault="00E40C72" w:rsidP="00E40C72">
      <w:pPr>
        <w:jc w:val="both"/>
        <w:rPr>
          <w:rFonts w:cs="Arial"/>
          <w:b/>
          <w:szCs w:val="16"/>
        </w:rPr>
      </w:pPr>
      <w:r w:rsidRPr="00EF5BE4" w:rsidDel="00BD527E">
        <w:rPr>
          <w:rFonts w:cs="Arial"/>
          <w:szCs w:val="16"/>
        </w:rPr>
        <w:t xml:space="preserve"> </w:t>
      </w:r>
    </w:p>
    <w:p w:rsidR="00E40C72" w:rsidRPr="00317574" w:rsidRDefault="00E40C72" w:rsidP="00E40C72">
      <w:pPr>
        <w:jc w:val="both"/>
        <w:rPr>
          <w:rFonts w:cs="Arial"/>
          <w:szCs w:val="16"/>
        </w:rPr>
      </w:pPr>
      <w:r>
        <w:rPr>
          <w:rFonts w:cs="Arial"/>
          <w:szCs w:val="16"/>
        </w:rPr>
        <w:t xml:space="preserve">6.4.1. </w:t>
      </w:r>
      <w:r w:rsidRPr="00317574">
        <w:rPr>
          <w:rFonts w:cs="Arial"/>
          <w:szCs w:val="16"/>
        </w:rPr>
        <w:t>La circunstancia de que los depósitos electrónico</w:t>
      </w:r>
      <w:r>
        <w:rPr>
          <w:rFonts w:cs="Arial"/>
          <w:szCs w:val="16"/>
        </w:rPr>
        <w:t>s</w:t>
      </w:r>
      <w:r w:rsidRPr="00317574">
        <w:rPr>
          <w:rFonts w:cs="Arial"/>
          <w:szCs w:val="16"/>
        </w:rPr>
        <w:t xml:space="preserve"> se encuentran amparados por el seguro de depósito de</w:t>
      </w:r>
      <w:r>
        <w:rPr>
          <w:rFonts w:cs="Arial"/>
          <w:szCs w:val="16"/>
        </w:rPr>
        <w:t>l</w:t>
      </w:r>
      <w:r w:rsidRPr="00317574">
        <w:rPr>
          <w:rFonts w:cs="Arial"/>
          <w:szCs w:val="16"/>
        </w:rPr>
        <w:t xml:space="preserve"> FOGAFÍN.</w:t>
      </w:r>
    </w:p>
    <w:p w:rsidR="00E40C72" w:rsidRPr="00317574" w:rsidRDefault="00E40C72" w:rsidP="00E40C72">
      <w:pPr>
        <w:jc w:val="both"/>
        <w:rPr>
          <w:rFonts w:cs="Arial"/>
          <w:szCs w:val="16"/>
        </w:rPr>
      </w:pPr>
    </w:p>
    <w:p w:rsidR="00E40C72" w:rsidRPr="00317574" w:rsidRDefault="00E40C72" w:rsidP="00E40C72">
      <w:pPr>
        <w:jc w:val="both"/>
        <w:rPr>
          <w:rFonts w:cs="Arial"/>
          <w:szCs w:val="16"/>
        </w:rPr>
      </w:pPr>
      <w:r>
        <w:rPr>
          <w:rFonts w:cs="Arial"/>
          <w:szCs w:val="16"/>
        </w:rPr>
        <w:t xml:space="preserve">6.4.2. </w:t>
      </w:r>
      <w:r w:rsidRPr="00317574">
        <w:rPr>
          <w:rFonts w:cs="Arial"/>
          <w:szCs w:val="16"/>
        </w:rPr>
        <w:t>Los costos asociados a los depósitos electrónico</w:t>
      </w:r>
      <w:r>
        <w:rPr>
          <w:rFonts w:cs="Arial"/>
          <w:szCs w:val="16"/>
        </w:rPr>
        <w:t>s.</w:t>
      </w:r>
    </w:p>
    <w:p w:rsidR="00E40C72" w:rsidRPr="00317574" w:rsidRDefault="00E40C72" w:rsidP="00E40C72">
      <w:pPr>
        <w:ind w:left="360"/>
        <w:jc w:val="both"/>
        <w:rPr>
          <w:rFonts w:cs="Arial"/>
          <w:szCs w:val="16"/>
        </w:rPr>
      </w:pPr>
    </w:p>
    <w:p w:rsidR="00E40C72" w:rsidRDefault="00E40C72" w:rsidP="00E40C72">
      <w:pPr>
        <w:jc w:val="both"/>
        <w:rPr>
          <w:rFonts w:cs="Arial"/>
          <w:szCs w:val="16"/>
        </w:rPr>
      </w:pPr>
      <w:r>
        <w:rPr>
          <w:rFonts w:cs="Arial"/>
          <w:szCs w:val="16"/>
        </w:rPr>
        <w:t xml:space="preserve">6.4.3. </w:t>
      </w:r>
      <w:r w:rsidRPr="00317574">
        <w:rPr>
          <w:rFonts w:cs="Arial"/>
          <w:szCs w:val="16"/>
        </w:rPr>
        <w:t>Las tasas de interés que las entidades decidan ofrecer a los consumidores por la captación de recursos mediante depósitos electrónico</w:t>
      </w:r>
      <w:r>
        <w:rPr>
          <w:rFonts w:cs="Arial"/>
          <w:szCs w:val="16"/>
        </w:rPr>
        <w:t>s</w:t>
      </w:r>
      <w:r w:rsidRPr="00317574">
        <w:rPr>
          <w:rFonts w:cs="Arial"/>
          <w:szCs w:val="16"/>
        </w:rPr>
        <w:t>, si a ello hubiere lugar.</w:t>
      </w:r>
    </w:p>
    <w:p w:rsidR="00E40C72" w:rsidRPr="005A3DBD" w:rsidRDefault="00E40C72" w:rsidP="00E40C72">
      <w:pPr>
        <w:jc w:val="both"/>
      </w:pPr>
    </w:p>
    <w:p w:rsidR="00E40C72" w:rsidRPr="00E40C72" w:rsidRDefault="00E40C72" w:rsidP="00E40C72">
      <w:pPr>
        <w:jc w:val="both"/>
        <w:rPr>
          <w:szCs w:val="16"/>
          <w:lang w:val="es-CO"/>
        </w:rPr>
      </w:pPr>
      <w:r w:rsidRPr="00E40C72">
        <w:rPr>
          <w:szCs w:val="16"/>
        </w:rPr>
        <w:t xml:space="preserve">6.4.4. En relación con los depósitos de dinero electrónico previstos en el art. 2.1.15.1.2. del Decreto 2555 de 2010, deben informar al consumidor financiero la posibilidad de hacer retiros en efectivo. </w:t>
      </w:r>
      <w:r w:rsidRPr="00E40C72">
        <w:rPr>
          <w:szCs w:val="16"/>
          <w:lang w:val="es-CO"/>
        </w:rPr>
        <w:t>Así mismo, para el caso de los depósitos electrónicos transaccionales,</w:t>
      </w:r>
      <w:r w:rsidRPr="00E40C72">
        <w:rPr>
          <w:szCs w:val="16"/>
        </w:rPr>
        <w:t xml:space="preserve"> </w:t>
      </w:r>
      <w:r w:rsidRPr="00E40C72">
        <w:rPr>
          <w:szCs w:val="16"/>
          <w:lang w:val="es-CO"/>
        </w:rPr>
        <w:t>en los cuales se restringe la posibilidad de hacer retiros en efectivo, el cliente deberá ser informado oportunamente sobre la mencionada restricción.</w:t>
      </w:r>
    </w:p>
    <w:p w:rsidR="00E40C72" w:rsidRPr="00E40C72" w:rsidRDefault="00E40C72" w:rsidP="00E40C72">
      <w:pPr>
        <w:jc w:val="both"/>
        <w:rPr>
          <w:rFonts w:cs="Arial"/>
          <w:strike/>
          <w:szCs w:val="16"/>
          <w:lang w:val="es-CO"/>
        </w:rPr>
      </w:pPr>
    </w:p>
    <w:p w:rsidR="00E40C72" w:rsidRPr="00A773BF" w:rsidRDefault="00E40C72" w:rsidP="00E40C72">
      <w:pPr>
        <w:pStyle w:val="Ttulo2"/>
      </w:pPr>
      <w:bookmarkStart w:id="11" w:name="_Toc267336153"/>
      <w:r w:rsidRPr="00A773BF">
        <w:t>6.5. Instrucciones especiales respecto de la administración del riesgo de lavado de activos y de la financiación del terrorismo</w:t>
      </w:r>
      <w:bookmarkEnd w:id="11"/>
    </w:p>
    <w:p w:rsidR="00E40C72" w:rsidRPr="00E40C72" w:rsidRDefault="00E40C72" w:rsidP="00E40C72">
      <w:pPr>
        <w:ind w:left="360"/>
        <w:jc w:val="both"/>
        <w:rPr>
          <w:rFonts w:cs="Arial"/>
          <w:szCs w:val="16"/>
        </w:rPr>
      </w:pPr>
    </w:p>
    <w:p w:rsidR="00E40C72" w:rsidRPr="00E40C72" w:rsidRDefault="00E40C72" w:rsidP="00E40C72">
      <w:pPr>
        <w:jc w:val="both"/>
        <w:rPr>
          <w:rFonts w:cs="Arial"/>
          <w:szCs w:val="16"/>
        </w:rPr>
      </w:pPr>
      <w:r w:rsidRPr="00E40C72">
        <w:rPr>
          <w:rFonts w:cs="Arial"/>
          <w:szCs w:val="16"/>
        </w:rPr>
        <w:t>Respecto de los depósitos electrónicos que cumplan las características a las que se refieren los artículos 2.1.15.2.2. y 2.1.15.2.5. del Decreto 2555 de 2010, los establecimientos de crédito y las SEDPE deben atender las d</w:t>
      </w:r>
      <w:bookmarkStart w:id="12" w:name="_GoBack"/>
      <w:bookmarkEnd w:id="12"/>
      <w:r w:rsidRPr="00E40C72">
        <w:rPr>
          <w:rFonts w:cs="Arial"/>
          <w:szCs w:val="16"/>
        </w:rPr>
        <w:t>isposiciones especiales para la gestión y administración del riesgo de lavado de activos y de la financiación del terrorismo previstas por esta Superintendencia en el Capítulo IV, Título IV de la Parte I de esta Circular.</w:t>
      </w:r>
    </w:p>
    <w:p w:rsidR="00E40C72" w:rsidRPr="00E40C72" w:rsidRDefault="00E40C72" w:rsidP="00E40C72">
      <w:pPr>
        <w:jc w:val="both"/>
        <w:rPr>
          <w:rFonts w:cs="Arial"/>
          <w:szCs w:val="16"/>
        </w:rPr>
      </w:pPr>
    </w:p>
    <w:p w:rsidR="00E40C72" w:rsidRPr="00E40C72" w:rsidRDefault="00E40C72" w:rsidP="00E40C72">
      <w:pPr>
        <w:jc w:val="both"/>
        <w:rPr>
          <w:rFonts w:cs="Arial"/>
          <w:szCs w:val="16"/>
        </w:rPr>
      </w:pPr>
      <w:r w:rsidRPr="00E40C72">
        <w:rPr>
          <w:rFonts w:cs="Arial"/>
          <w:szCs w:val="16"/>
        </w:rPr>
        <w:t>En todo caso, los establecimientos de crédito y las SEDPE deben adoptar mecanismos especiales en sus sistemas de administración del riesgo de lavado de activos y de la financiación del terrorismo, que consideren las características particulares de tales depósitos.</w:t>
      </w:r>
    </w:p>
    <w:p w:rsidR="00E40C72" w:rsidRPr="00E40C72" w:rsidRDefault="00E40C72" w:rsidP="00E40C72">
      <w:pPr>
        <w:tabs>
          <w:tab w:val="left" w:pos="708"/>
          <w:tab w:val="left" w:pos="1416"/>
          <w:tab w:val="left" w:pos="2124"/>
          <w:tab w:val="left" w:pos="2832"/>
          <w:tab w:val="left" w:pos="3540"/>
          <w:tab w:val="left" w:pos="4248"/>
          <w:tab w:val="left" w:pos="4956"/>
          <w:tab w:val="left" w:pos="5664"/>
          <w:tab w:val="left" w:pos="6148"/>
        </w:tabs>
        <w:ind w:left="705" w:hanging="705"/>
        <w:jc w:val="both"/>
        <w:rPr>
          <w:rFonts w:eastAsia="MS Mincho"/>
        </w:rPr>
      </w:pPr>
    </w:p>
    <w:sectPr w:rsidR="00E40C72" w:rsidRPr="00E40C72" w:rsidSect="009C2F71">
      <w:footerReference w:type="default" r:id="rId14"/>
      <w:pgSz w:w="12240" w:h="18720" w:code="14"/>
      <w:pgMar w:top="1418" w:right="1701" w:bottom="1418" w:left="1701" w:header="1134" w:footer="1134" w:gutter="0"/>
      <w:paperSrc w:first="15" w:other="15"/>
      <w:pgNumType w:start="1"/>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2E08" w:rsidRDefault="00DC2E08">
      <w:r>
        <w:separator/>
      </w:r>
    </w:p>
  </w:endnote>
  <w:endnote w:type="continuationSeparator" w:id="0">
    <w:p w:rsidR="00DC2E08" w:rsidRDefault="00DC2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C65" w:rsidRPr="003060B6" w:rsidRDefault="006B7C65" w:rsidP="005B49FD">
    <w:pPr>
      <w:pStyle w:val="Piedepgina"/>
      <w:ind w:left="0" w:firstLine="0"/>
      <w:rPr>
        <w:b/>
        <w:sz w:val="18"/>
        <w:szCs w:val="18"/>
      </w:rPr>
    </w:pPr>
    <w:r w:rsidRPr="003060B6">
      <w:rPr>
        <w:b/>
        <w:sz w:val="18"/>
        <w:szCs w:val="18"/>
      </w:rPr>
      <w:t xml:space="preserve">PARTE II – TÍTULO I – CAPÍTULO III </w:t>
    </w:r>
    <w:r w:rsidRPr="003060B6">
      <w:rPr>
        <w:b/>
        <w:sz w:val="18"/>
        <w:szCs w:val="18"/>
      </w:rPr>
      <w:tab/>
    </w:r>
    <w:r w:rsidRPr="003060B6">
      <w:rPr>
        <w:b/>
        <w:sz w:val="18"/>
        <w:szCs w:val="18"/>
      </w:rPr>
      <w:tab/>
      <w:t xml:space="preserve">   </w:t>
    </w:r>
  </w:p>
  <w:p w:rsidR="006B7C65" w:rsidRPr="00251916" w:rsidRDefault="006B7C65" w:rsidP="005B49FD">
    <w:pPr>
      <w:pStyle w:val="Piedepgina"/>
      <w:tabs>
        <w:tab w:val="center" w:pos="8647"/>
      </w:tabs>
      <w:ind w:left="567"/>
    </w:pPr>
    <w:r w:rsidRPr="000B3A0F">
      <w:rPr>
        <w:b/>
        <w:sz w:val="18"/>
        <w:szCs w:val="18"/>
      </w:rPr>
      <w:t xml:space="preserve">Circular Externa </w:t>
    </w:r>
    <w:r w:rsidR="00676E29">
      <w:rPr>
        <w:b/>
        <w:sz w:val="18"/>
        <w:szCs w:val="18"/>
      </w:rPr>
      <w:t>025</w:t>
    </w:r>
    <w:r>
      <w:rPr>
        <w:b/>
        <w:sz w:val="18"/>
        <w:szCs w:val="18"/>
      </w:rPr>
      <w:t xml:space="preserve"> de 2018</w:t>
    </w:r>
    <w:r w:rsidRPr="000B3A0F">
      <w:rPr>
        <w:b/>
        <w:sz w:val="18"/>
        <w:szCs w:val="18"/>
      </w:rPr>
      <w:t xml:space="preserve">                                                                   </w:t>
    </w:r>
    <w:r>
      <w:rPr>
        <w:b/>
        <w:sz w:val="18"/>
        <w:szCs w:val="18"/>
      </w:rPr>
      <w:t xml:space="preserve">                 </w:t>
    </w:r>
    <w:r w:rsidR="008211AA">
      <w:rPr>
        <w:b/>
        <w:sz w:val="18"/>
        <w:szCs w:val="18"/>
      </w:rPr>
      <w:t xml:space="preserve">        </w:t>
    </w:r>
    <w:proofErr w:type="gramStart"/>
    <w:r w:rsidR="003731C9">
      <w:rPr>
        <w:b/>
        <w:sz w:val="18"/>
        <w:szCs w:val="18"/>
      </w:rPr>
      <w:t>Novie</w:t>
    </w:r>
    <w:r w:rsidR="00AB798A">
      <w:rPr>
        <w:b/>
        <w:sz w:val="18"/>
        <w:szCs w:val="18"/>
      </w:rPr>
      <w:t>m</w:t>
    </w:r>
    <w:r w:rsidR="003731C9">
      <w:rPr>
        <w:b/>
        <w:sz w:val="18"/>
        <w:szCs w:val="18"/>
      </w:rPr>
      <w:t>bre</w:t>
    </w:r>
    <w:proofErr w:type="gramEnd"/>
    <w:r w:rsidR="002947EE">
      <w:rPr>
        <w:b/>
        <w:sz w:val="18"/>
        <w:szCs w:val="18"/>
      </w:rPr>
      <w:t xml:space="preserve"> </w:t>
    </w:r>
    <w:r w:rsidRPr="000B3A0F">
      <w:rPr>
        <w:b/>
        <w:sz w:val="18"/>
        <w:szCs w:val="18"/>
      </w:rPr>
      <w:t>de 201</w:t>
    </w:r>
    <w:r>
      <w:rPr>
        <w:b/>
        <w:sz w:val="18"/>
        <w:szCs w:val="18"/>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C65" w:rsidRDefault="006B7C65" w:rsidP="003060B6">
    <w:pPr>
      <w:pStyle w:val="Piedepgina"/>
      <w:ind w:left="0" w:firstLine="0"/>
      <w:rPr>
        <w:b/>
        <w:sz w:val="18"/>
        <w:szCs w:val="18"/>
      </w:rPr>
    </w:pPr>
  </w:p>
  <w:p w:rsidR="006B7C65" w:rsidRPr="003060B6" w:rsidRDefault="006B7C65" w:rsidP="003060B6">
    <w:pPr>
      <w:pStyle w:val="Piedepgina"/>
      <w:ind w:left="0" w:firstLine="0"/>
      <w:rPr>
        <w:b/>
        <w:sz w:val="18"/>
        <w:szCs w:val="18"/>
      </w:rPr>
    </w:pPr>
    <w:r w:rsidRPr="003060B6">
      <w:rPr>
        <w:b/>
        <w:sz w:val="18"/>
        <w:szCs w:val="18"/>
      </w:rPr>
      <w:t xml:space="preserve">PARTE II – TÍTULO I – CAPÍTULO III </w:t>
    </w:r>
    <w:r w:rsidRPr="003060B6">
      <w:rPr>
        <w:b/>
        <w:sz w:val="18"/>
        <w:szCs w:val="18"/>
      </w:rPr>
      <w:tab/>
    </w:r>
    <w:r w:rsidRPr="003060B6">
      <w:rPr>
        <w:b/>
        <w:sz w:val="18"/>
        <w:szCs w:val="18"/>
      </w:rPr>
      <w:tab/>
    </w:r>
    <w:r w:rsidR="002947EE">
      <w:rPr>
        <w:b/>
        <w:sz w:val="18"/>
        <w:szCs w:val="18"/>
      </w:rPr>
      <w:t xml:space="preserve"> </w:t>
    </w:r>
    <w:r w:rsidRPr="003060B6">
      <w:rPr>
        <w:b/>
        <w:sz w:val="18"/>
        <w:szCs w:val="18"/>
      </w:rPr>
      <w:t>PÁGINA</w:t>
    </w:r>
    <w:r w:rsidR="002947EE">
      <w:rPr>
        <w:b/>
        <w:sz w:val="18"/>
        <w:szCs w:val="18"/>
      </w:rPr>
      <w:t xml:space="preserve"> 1</w:t>
    </w:r>
    <w:r w:rsidRPr="003060B6">
      <w:rPr>
        <w:b/>
        <w:sz w:val="18"/>
        <w:szCs w:val="18"/>
      </w:rPr>
      <w:t xml:space="preserve">   </w:t>
    </w:r>
  </w:p>
  <w:p w:rsidR="006B7C65" w:rsidRPr="00251916" w:rsidRDefault="006B7C65" w:rsidP="00943FE4">
    <w:pPr>
      <w:pStyle w:val="Piedepgina"/>
      <w:tabs>
        <w:tab w:val="center" w:pos="8647"/>
      </w:tabs>
      <w:ind w:left="567"/>
    </w:pPr>
    <w:r w:rsidRPr="000B3A0F">
      <w:rPr>
        <w:b/>
        <w:sz w:val="18"/>
        <w:szCs w:val="18"/>
      </w:rPr>
      <w:t xml:space="preserve">Circular Externa </w:t>
    </w:r>
    <w:r w:rsidR="00676E29">
      <w:rPr>
        <w:b/>
        <w:sz w:val="18"/>
        <w:szCs w:val="18"/>
      </w:rPr>
      <w:t xml:space="preserve">025 </w:t>
    </w:r>
    <w:r>
      <w:rPr>
        <w:b/>
        <w:sz w:val="18"/>
        <w:szCs w:val="18"/>
      </w:rPr>
      <w:t>de 2018</w:t>
    </w:r>
    <w:r w:rsidRPr="000B3A0F">
      <w:rPr>
        <w:b/>
        <w:sz w:val="18"/>
        <w:szCs w:val="18"/>
      </w:rPr>
      <w:t xml:space="preserve">                                                                   </w:t>
    </w:r>
    <w:r>
      <w:rPr>
        <w:b/>
        <w:sz w:val="18"/>
        <w:szCs w:val="18"/>
      </w:rPr>
      <w:t xml:space="preserve">                         </w:t>
    </w:r>
    <w:r w:rsidR="008211AA">
      <w:rPr>
        <w:b/>
        <w:sz w:val="18"/>
        <w:szCs w:val="18"/>
      </w:rPr>
      <w:t xml:space="preserve"> </w:t>
    </w:r>
    <w:proofErr w:type="gramStart"/>
    <w:r w:rsidR="003731C9">
      <w:rPr>
        <w:b/>
        <w:sz w:val="18"/>
        <w:szCs w:val="18"/>
      </w:rPr>
      <w:t>Noviembre</w:t>
    </w:r>
    <w:proofErr w:type="gramEnd"/>
    <w:r w:rsidR="003731C9">
      <w:rPr>
        <w:b/>
        <w:sz w:val="18"/>
        <w:szCs w:val="18"/>
      </w:rPr>
      <w:t xml:space="preserve"> </w:t>
    </w:r>
    <w:r w:rsidR="00761488">
      <w:rPr>
        <w:b/>
        <w:sz w:val="18"/>
        <w:szCs w:val="18"/>
      </w:rPr>
      <w:t xml:space="preserve">de </w:t>
    </w:r>
    <w:r w:rsidRPr="000B3A0F">
      <w:rPr>
        <w:b/>
        <w:sz w:val="18"/>
        <w:szCs w:val="18"/>
      </w:rPr>
      <w:t>201</w:t>
    </w:r>
    <w:r>
      <w:rPr>
        <w:b/>
        <w:sz w:val="18"/>
        <w:szCs w:val="18"/>
      </w:rPr>
      <w:t>8</w:t>
    </w:r>
  </w:p>
  <w:p w:rsidR="006B7C65" w:rsidRPr="00251916" w:rsidRDefault="006B7C65" w:rsidP="00031E98">
    <w:pPr>
      <w:pStyle w:val="Piedepgina"/>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EE" w:rsidRPr="003060B6" w:rsidRDefault="002947EE" w:rsidP="003060B6">
    <w:pPr>
      <w:pStyle w:val="Piedepgina"/>
      <w:ind w:left="0" w:firstLine="0"/>
      <w:rPr>
        <w:b/>
        <w:sz w:val="18"/>
        <w:szCs w:val="18"/>
      </w:rPr>
    </w:pPr>
    <w:r w:rsidRPr="003060B6">
      <w:rPr>
        <w:b/>
        <w:sz w:val="18"/>
        <w:szCs w:val="18"/>
      </w:rPr>
      <w:t xml:space="preserve">PARTE II – TÍTULO I – CAPÍTULO III </w:t>
    </w:r>
    <w:r w:rsidRPr="003060B6">
      <w:rPr>
        <w:b/>
        <w:sz w:val="18"/>
        <w:szCs w:val="18"/>
      </w:rPr>
      <w:tab/>
    </w:r>
    <w:r w:rsidRPr="003060B6">
      <w:rPr>
        <w:b/>
        <w:sz w:val="18"/>
        <w:szCs w:val="18"/>
      </w:rPr>
      <w:tab/>
    </w:r>
    <w:r>
      <w:rPr>
        <w:b/>
        <w:sz w:val="18"/>
        <w:szCs w:val="18"/>
      </w:rPr>
      <w:t xml:space="preserve"> </w:t>
    </w:r>
    <w:r w:rsidRPr="003060B6">
      <w:rPr>
        <w:b/>
        <w:sz w:val="18"/>
        <w:szCs w:val="18"/>
      </w:rPr>
      <w:t>PÁGINA</w:t>
    </w:r>
    <w:r>
      <w:rPr>
        <w:b/>
        <w:sz w:val="18"/>
        <w:szCs w:val="18"/>
      </w:rPr>
      <w:t xml:space="preserve"> 1-1</w:t>
    </w:r>
    <w:r w:rsidRPr="003060B6">
      <w:rPr>
        <w:b/>
        <w:sz w:val="18"/>
        <w:szCs w:val="18"/>
      </w:rPr>
      <w:t xml:space="preserve">   </w:t>
    </w:r>
  </w:p>
  <w:p w:rsidR="002947EE" w:rsidRPr="00251916" w:rsidRDefault="002947EE" w:rsidP="00943FE4">
    <w:pPr>
      <w:pStyle w:val="Piedepgina"/>
      <w:tabs>
        <w:tab w:val="center" w:pos="8647"/>
      </w:tabs>
      <w:ind w:left="567"/>
    </w:pPr>
    <w:r w:rsidRPr="000B3A0F">
      <w:rPr>
        <w:b/>
        <w:sz w:val="18"/>
        <w:szCs w:val="18"/>
      </w:rPr>
      <w:t xml:space="preserve">Circular Externa </w:t>
    </w:r>
    <w:r w:rsidR="00676E29">
      <w:rPr>
        <w:b/>
        <w:sz w:val="18"/>
        <w:szCs w:val="18"/>
      </w:rPr>
      <w:t>025</w:t>
    </w:r>
    <w:r>
      <w:rPr>
        <w:b/>
        <w:sz w:val="18"/>
        <w:szCs w:val="18"/>
      </w:rPr>
      <w:t xml:space="preserve"> de 2018</w:t>
    </w:r>
    <w:r w:rsidRPr="000B3A0F">
      <w:rPr>
        <w:b/>
        <w:sz w:val="18"/>
        <w:szCs w:val="18"/>
      </w:rPr>
      <w:t xml:space="preserve">                                                                   </w:t>
    </w:r>
    <w:r>
      <w:rPr>
        <w:b/>
        <w:sz w:val="18"/>
        <w:szCs w:val="18"/>
      </w:rPr>
      <w:t xml:space="preserve">                      </w:t>
    </w:r>
    <w:proofErr w:type="gramStart"/>
    <w:r w:rsidR="003731C9">
      <w:rPr>
        <w:b/>
        <w:sz w:val="18"/>
        <w:szCs w:val="18"/>
      </w:rPr>
      <w:t>Noviembre</w:t>
    </w:r>
    <w:proofErr w:type="gramEnd"/>
    <w:r w:rsidR="003731C9">
      <w:rPr>
        <w:b/>
        <w:sz w:val="18"/>
        <w:szCs w:val="18"/>
      </w:rPr>
      <w:t xml:space="preserve"> </w:t>
    </w:r>
    <w:r>
      <w:rPr>
        <w:b/>
        <w:sz w:val="18"/>
        <w:szCs w:val="18"/>
      </w:rPr>
      <w:t xml:space="preserve">de </w:t>
    </w:r>
    <w:r w:rsidRPr="000B3A0F">
      <w:rPr>
        <w:b/>
        <w:sz w:val="18"/>
        <w:szCs w:val="18"/>
      </w:rPr>
      <w:t>201</w:t>
    </w:r>
    <w:r>
      <w:rPr>
        <w:b/>
        <w:sz w:val="18"/>
        <w:szCs w:val="18"/>
      </w:rPr>
      <w:t>8</w:t>
    </w:r>
  </w:p>
  <w:p w:rsidR="002947EE" w:rsidRPr="00251916" w:rsidRDefault="002947EE" w:rsidP="00031E98">
    <w:pPr>
      <w:pStyle w:val="Piedepgina"/>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EE" w:rsidRPr="003060B6" w:rsidRDefault="002947EE" w:rsidP="003060B6">
    <w:pPr>
      <w:pStyle w:val="Piedepgina"/>
      <w:ind w:left="0" w:firstLine="0"/>
      <w:rPr>
        <w:b/>
        <w:sz w:val="18"/>
        <w:szCs w:val="18"/>
      </w:rPr>
    </w:pPr>
    <w:r w:rsidRPr="003060B6">
      <w:rPr>
        <w:b/>
        <w:sz w:val="18"/>
        <w:szCs w:val="18"/>
      </w:rPr>
      <w:t xml:space="preserve">PARTE II – TÍTULO I – CAPÍTULO III </w:t>
    </w:r>
    <w:r w:rsidRPr="003060B6">
      <w:rPr>
        <w:b/>
        <w:sz w:val="18"/>
        <w:szCs w:val="18"/>
      </w:rPr>
      <w:tab/>
    </w:r>
    <w:r w:rsidRPr="003060B6">
      <w:rPr>
        <w:b/>
        <w:sz w:val="18"/>
        <w:szCs w:val="18"/>
      </w:rPr>
      <w:tab/>
    </w:r>
    <w:r>
      <w:rPr>
        <w:b/>
        <w:sz w:val="18"/>
        <w:szCs w:val="18"/>
      </w:rPr>
      <w:t xml:space="preserve"> </w:t>
    </w:r>
    <w:r w:rsidRPr="003060B6">
      <w:rPr>
        <w:b/>
        <w:sz w:val="18"/>
        <w:szCs w:val="18"/>
      </w:rPr>
      <w:t>PÁGINA</w:t>
    </w:r>
    <w:r>
      <w:rPr>
        <w:b/>
        <w:sz w:val="18"/>
        <w:szCs w:val="18"/>
      </w:rPr>
      <w:t xml:space="preserve"> 1-2</w:t>
    </w:r>
    <w:r w:rsidRPr="003060B6">
      <w:rPr>
        <w:b/>
        <w:sz w:val="18"/>
        <w:szCs w:val="18"/>
      </w:rPr>
      <w:t xml:space="preserve">   </w:t>
    </w:r>
  </w:p>
  <w:p w:rsidR="002947EE" w:rsidRPr="00251916" w:rsidRDefault="002947EE" w:rsidP="00943FE4">
    <w:pPr>
      <w:pStyle w:val="Piedepgina"/>
      <w:tabs>
        <w:tab w:val="center" w:pos="8647"/>
      </w:tabs>
      <w:ind w:left="567"/>
    </w:pPr>
    <w:r w:rsidRPr="000B3A0F">
      <w:rPr>
        <w:b/>
        <w:sz w:val="18"/>
        <w:szCs w:val="18"/>
      </w:rPr>
      <w:t xml:space="preserve">Circular Externa </w:t>
    </w:r>
    <w:r w:rsidR="00676E29">
      <w:rPr>
        <w:b/>
        <w:sz w:val="18"/>
        <w:szCs w:val="18"/>
      </w:rPr>
      <w:t xml:space="preserve">025 </w:t>
    </w:r>
    <w:r>
      <w:rPr>
        <w:b/>
        <w:sz w:val="18"/>
        <w:szCs w:val="18"/>
      </w:rPr>
      <w:t>de 2018</w:t>
    </w:r>
    <w:r w:rsidRPr="000B3A0F">
      <w:rPr>
        <w:b/>
        <w:sz w:val="18"/>
        <w:szCs w:val="18"/>
      </w:rPr>
      <w:t xml:space="preserve">                                                                   </w:t>
    </w:r>
    <w:r w:rsidR="003731C9">
      <w:rPr>
        <w:b/>
        <w:sz w:val="18"/>
        <w:szCs w:val="18"/>
      </w:rPr>
      <w:t xml:space="preserve">                     </w:t>
    </w:r>
    <w:proofErr w:type="gramStart"/>
    <w:r w:rsidR="003731C9">
      <w:rPr>
        <w:b/>
        <w:sz w:val="18"/>
        <w:szCs w:val="18"/>
      </w:rPr>
      <w:t>Noviembre</w:t>
    </w:r>
    <w:proofErr w:type="gramEnd"/>
    <w:r w:rsidR="003731C9">
      <w:rPr>
        <w:b/>
        <w:sz w:val="18"/>
        <w:szCs w:val="18"/>
      </w:rPr>
      <w:t xml:space="preserve"> </w:t>
    </w:r>
    <w:r>
      <w:rPr>
        <w:b/>
        <w:sz w:val="18"/>
        <w:szCs w:val="18"/>
      </w:rPr>
      <w:t xml:space="preserve">de </w:t>
    </w:r>
    <w:r w:rsidRPr="000B3A0F">
      <w:rPr>
        <w:b/>
        <w:sz w:val="18"/>
        <w:szCs w:val="18"/>
      </w:rPr>
      <w:t>201</w:t>
    </w:r>
    <w:r>
      <w:rPr>
        <w:b/>
        <w:sz w:val="18"/>
        <w:szCs w:val="18"/>
      </w:rPr>
      <w:t>8</w:t>
    </w:r>
  </w:p>
  <w:p w:rsidR="002947EE" w:rsidRPr="00251916" w:rsidRDefault="002947EE" w:rsidP="00031E98">
    <w:pPr>
      <w:pStyle w:val="Piedepgina"/>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EE" w:rsidRPr="003060B6" w:rsidRDefault="002947EE" w:rsidP="003060B6">
    <w:pPr>
      <w:pStyle w:val="Piedepgina"/>
      <w:ind w:left="0" w:firstLine="0"/>
      <w:rPr>
        <w:b/>
        <w:sz w:val="18"/>
        <w:szCs w:val="18"/>
      </w:rPr>
    </w:pPr>
    <w:r w:rsidRPr="003060B6">
      <w:rPr>
        <w:b/>
        <w:sz w:val="18"/>
        <w:szCs w:val="18"/>
      </w:rPr>
      <w:t xml:space="preserve">PARTE II – TÍTULO I – CAPÍTULO III </w:t>
    </w:r>
    <w:r w:rsidRPr="003060B6">
      <w:rPr>
        <w:b/>
        <w:sz w:val="18"/>
        <w:szCs w:val="18"/>
      </w:rPr>
      <w:tab/>
    </w:r>
    <w:r w:rsidRPr="003060B6">
      <w:rPr>
        <w:b/>
        <w:sz w:val="18"/>
        <w:szCs w:val="18"/>
      </w:rPr>
      <w:tab/>
    </w:r>
    <w:r>
      <w:rPr>
        <w:b/>
        <w:sz w:val="18"/>
        <w:szCs w:val="18"/>
      </w:rPr>
      <w:t xml:space="preserve"> </w:t>
    </w:r>
    <w:r w:rsidRPr="003060B6">
      <w:rPr>
        <w:b/>
        <w:sz w:val="18"/>
        <w:szCs w:val="18"/>
      </w:rPr>
      <w:t>PÁGINA</w:t>
    </w:r>
    <w:r>
      <w:rPr>
        <w:b/>
        <w:sz w:val="18"/>
        <w:szCs w:val="18"/>
      </w:rPr>
      <w:t xml:space="preserve"> 5</w:t>
    </w:r>
  </w:p>
  <w:p w:rsidR="002947EE" w:rsidRPr="00251916" w:rsidRDefault="002947EE" w:rsidP="00943FE4">
    <w:pPr>
      <w:pStyle w:val="Piedepgina"/>
      <w:tabs>
        <w:tab w:val="center" w:pos="8647"/>
      </w:tabs>
      <w:ind w:left="567"/>
    </w:pPr>
    <w:r w:rsidRPr="000B3A0F">
      <w:rPr>
        <w:b/>
        <w:sz w:val="18"/>
        <w:szCs w:val="18"/>
      </w:rPr>
      <w:t xml:space="preserve">Circular Externa </w:t>
    </w:r>
    <w:r w:rsidR="00676E29">
      <w:rPr>
        <w:b/>
        <w:sz w:val="18"/>
        <w:szCs w:val="18"/>
      </w:rPr>
      <w:t>025</w:t>
    </w:r>
    <w:r>
      <w:rPr>
        <w:b/>
        <w:sz w:val="18"/>
        <w:szCs w:val="18"/>
      </w:rPr>
      <w:t xml:space="preserve"> de 2018</w:t>
    </w:r>
    <w:r w:rsidRPr="000B3A0F">
      <w:rPr>
        <w:b/>
        <w:sz w:val="18"/>
        <w:szCs w:val="18"/>
      </w:rPr>
      <w:t xml:space="preserve">                                                                   </w:t>
    </w:r>
    <w:r>
      <w:rPr>
        <w:b/>
        <w:sz w:val="18"/>
        <w:szCs w:val="18"/>
      </w:rPr>
      <w:t xml:space="preserve">                     </w:t>
    </w:r>
    <w:r w:rsidR="003731C9">
      <w:rPr>
        <w:b/>
        <w:sz w:val="18"/>
        <w:szCs w:val="18"/>
      </w:rPr>
      <w:t xml:space="preserve"> </w:t>
    </w:r>
    <w:proofErr w:type="gramStart"/>
    <w:r w:rsidR="003731C9">
      <w:rPr>
        <w:b/>
        <w:sz w:val="18"/>
        <w:szCs w:val="18"/>
      </w:rPr>
      <w:t>Noviembre</w:t>
    </w:r>
    <w:proofErr w:type="gramEnd"/>
    <w:r w:rsidR="003731C9">
      <w:rPr>
        <w:b/>
        <w:sz w:val="18"/>
        <w:szCs w:val="18"/>
      </w:rPr>
      <w:t xml:space="preserve"> </w:t>
    </w:r>
    <w:r>
      <w:rPr>
        <w:b/>
        <w:sz w:val="18"/>
        <w:szCs w:val="18"/>
      </w:rPr>
      <w:t xml:space="preserve">de </w:t>
    </w:r>
    <w:r w:rsidRPr="000B3A0F">
      <w:rPr>
        <w:b/>
        <w:sz w:val="18"/>
        <w:szCs w:val="18"/>
      </w:rPr>
      <w:t>201</w:t>
    </w:r>
    <w:r>
      <w:rPr>
        <w:b/>
        <w:sz w:val="18"/>
        <w:szCs w:val="18"/>
      </w:rPr>
      <w:t>8</w:t>
    </w:r>
  </w:p>
  <w:p w:rsidR="002947EE" w:rsidRPr="00251916" w:rsidRDefault="002947EE" w:rsidP="00031E98">
    <w:pPr>
      <w:pStyle w:val="Piedepgina"/>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2E08" w:rsidRDefault="00DC2E08">
      <w:r>
        <w:separator/>
      </w:r>
    </w:p>
  </w:footnote>
  <w:footnote w:type="continuationSeparator" w:id="0">
    <w:p w:rsidR="00DC2E08" w:rsidRDefault="00DC2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C65" w:rsidRPr="00E15ABB" w:rsidRDefault="006B7C65" w:rsidP="00CE1216">
    <w:pPr>
      <w:pStyle w:val="Encabezado"/>
      <w:jc w:val="center"/>
      <w:rPr>
        <w:rFonts w:cs="Arial"/>
        <w:szCs w:val="24"/>
      </w:rPr>
    </w:pPr>
    <w:r w:rsidRPr="00E15ABB">
      <w:rPr>
        <w:rFonts w:cs="Arial"/>
        <w:b/>
        <w:szCs w:val="24"/>
      </w:rPr>
      <w:t>SUPERINTENDENCIA FINANCIERA DE COLOMBIA</w:t>
    </w:r>
  </w:p>
  <w:p w:rsidR="006B7C65" w:rsidRDefault="006B7C65" w:rsidP="003060B6">
    <w:pPr>
      <w:pStyle w:val="Encabezado"/>
      <w:tabs>
        <w:tab w:val="clear" w:pos="4252"/>
        <w:tab w:val="clear" w:pos="8504"/>
        <w:tab w:val="left" w:pos="2154"/>
      </w:tabs>
      <w:ind w:left="0" w:firstLine="0"/>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C65" w:rsidRPr="00E15ABB" w:rsidRDefault="006B7C65" w:rsidP="00CE1216">
    <w:pPr>
      <w:pStyle w:val="Encabezado"/>
      <w:jc w:val="center"/>
      <w:rPr>
        <w:rFonts w:cs="Arial"/>
        <w:szCs w:val="24"/>
      </w:rPr>
    </w:pPr>
    <w:r w:rsidRPr="00E15ABB">
      <w:rPr>
        <w:rFonts w:cs="Arial"/>
        <w:b/>
        <w:szCs w:val="24"/>
      </w:rPr>
      <w:t>SUPERINTENDENCIA FINANCIERA DE COLOMBIA</w:t>
    </w:r>
  </w:p>
  <w:p w:rsidR="006B7C65" w:rsidRDefault="006B7C65" w:rsidP="003060B6">
    <w:pPr>
      <w:pStyle w:val="Encabezado"/>
      <w:tabs>
        <w:tab w:val="clear" w:pos="4252"/>
        <w:tab w:val="clear" w:pos="8504"/>
        <w:tab w:val="left" w:pos="2154"/>
      </w:tabs>
      <w:ind w:left="0" w:firstLine="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404E6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EB7685"/>
    <w:multiLevelType w:val="multilevel"/>
    <w:tmpl w:val="0F7A28B0"/>
    <w:lvl w:ilvl="0">
      <w:start w:val="6"/>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106067D4"/>
    <w:multiLevelType w:val="multilevel"/>
    <w:tmpl w:val="FF32A7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2A44DDE"/>
    <w:multiLevelType w:val="hybridMultilevel"/>
    <w:tmpl w:val="1BF27510"/>
    <w:lvl w:ilvl="0" w:tplc="545A7666">
      <w:start w:val="1"/>
      <w:numFmt w:val="lowerLetter"/>
      <w:lvlText w:val="%1)"/>
      <w:lvlJc w:val="left"/>
      <w:pPr>
        <w:ind w:left="644" w:hanging="360"/>
      </w:pPr>
      <w:rPr>
        <w:rFonts w:ascii="Arial" w:eastAsia="Times New Roman" w:hAnsi="Arial" w:cs="Arial"/>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4" w15:restartNumberingAfterBreak="0">
    <w:nsid w:val="1F0D7491"/>
    <w:multiLevelType w:val="hybridMultilevel"/>
    <w:tmpl w:val="7F22B91C"/>
    <w:lvl w:ilvl="0" w:tplc="0C0A0017">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F4C5E4B"/>
    <w:multiLevelType w:val="multilevel"/>
    <w:tmpl w:val="769E26E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1E33CA1"/>
    <w:multiLevelType w:val="hybridMultilevel"/>
    <w:tmpl w:val="4CFE146C"/>
    <w:lvl w:ilvl="0" w:tplc="5B36C202">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22BC49B8"/>
    <w:multiLevelType w:val="hybridMultilevel"/>
    <w:tmpl w:val="58FE5FE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CA32B40"/>
    <w:multiLevelType w:val="hybridMultilevel"/>
    <w:tmpl w:val="7F22B91C"/>
    <w:lvl w:ilvl="0" w:tplc="0C0A0017">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3002020F"/>
    <w:multiLevelType w:val="multilevel"/>
    <w:tmpl w:val="2B18AAF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E35886"/>
    <w:multiLevelType w:val="multilevel"/>
    <w:tmpl w:val="CD8C1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9FE71F7"/>
    <w:multiLevelType w:val="hybridMultilevel"/>
    <w:tmpl w:val="CB7AB2AC"/>
    <w:lvl w:ilvl="0" w:tplc="240A000F">
      <w:start w:val="7"/>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C9B3B63"/>
    <w:multiLevelType w:val="hybridMultilevel"/>
    <w:tmpl w:val="2D48B036"/>
    <w:lvl w:ilvl="0" w:tplc="0C0A0017">
      <w:start w:val="10"/>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FB25AE9"/>
    <w:multiLevelType w:val="hybridMultilevel"/>
    <w:tmpl w:val="CAE8BA4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16571EA"/>
    <w:multiLevelType w:val="hybridMultilevel"/>
    <w:tmpl w:val="7F22B91C"/>
    <w:lvl w:ilvl="0" w:tplc="0C0A0017">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1BF7A3B"/>
    <w:multiLevelType w:val="hybridMultilevel"/>
    <w:tmpl w:val="2B18AAF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486B7888"/>
    <w:multiLevelType w:val="hybridMultilevel"/>
    <w:tmpl w:val="75944664"/>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4C773D4A"/>
    <w:multiLevelType w:val="hybridMultilevel"/>
    <w:tmpl w:val="4CACC6BC"/>
    <w:lvl w:ilvl="0" w:tplc="420297A0">
      <w:start w:val="1"/>
      <w:numFmt w:val="lowerRoman"/>
      <w:lvlText w:val="(%1)"/>
      <w:lvlJc w:val="left"/>
      <w:pPr>
        <w:tabs>
          <w:tab w:val="num" w:pos="795"/>
        </w:tabs>
        <w:ind w:left="795" w:hanging="720"/>
      </w:pPr>
      <w:rPr>
        <w:rFonts w:cs="Arial" w:hint="default"/>
      </w:rPr>
    </w:lvl>
    <w:lvl w:ilvl="1" w:tplc="0C0A0019" w:tentative="1">
      <w:start w:val="1"/>
      <w:numFmt w:val="lowerLetter"/>
      <w:lvlText w:val="%2."/>
      <w:lvlJc w:val="left"/>
      <w:pPr>
        <w:tabs>
          <w:tab w:val="num" w:pos="1155"/>
        </w:tabs>
        <w:ind w:left="1155" w:hanging="360"/>
      </w:pPr>
    </w:lvl>
    <w:lvl w:ilvl="2" w:tplc="0C0A001B" w:tentative="1">
      <w:start w:val="1"/>
      <w:numFmt w:val="lowerRoman"/>
      <w:lvlText w:val="%3."/>
      <w:lvlJc w:val="right"/>
      <w:pPr>
        <w:tabs>
          <w:tab w:val="num" w:pos="1875"/>
        </w:tabs>
        <w:ind w:left="1875" w:hanging="180"/>
      </w:pPr>
    </w:lvl>
    <w:lvl w:ilvl="3" w:tplc="0C0A000F" w:tentative="1">
      <w:start w:val="1"/>
      <w:numFmt w:val="decimal"/>
      <w:lvlText w:val="%4."/>
      <w:lvlJc w:val="left"/>
      <w:pPr>
        <w:tabs>
          <w:tab w:val="num" w:pos="2595"/>
        </w:tabs>
        <w:ind w:left="2595" w:hanging="360"/>
      </w:pPr>
    </w:lvl>
    <w:lvl w:ilvl="4" w:tplc="0C0A0019" w:tentative="1">
      <w:start w:val="1"/>
      <w:numFmt w:val="lowerLetter"/>
      <w:lvlText w:val="%5."/>
      <w:lvlJc w:val="left"/>
      <w:pPr>
        <w:tabs>
          <w:tab w:val="num" w:pos="3315"/>
        </w:tabs>
        <w:ind w:left="3315" w:hanging="360"/>
      </w:pPr>
    </w:lvl>
    <w:lvl w:ilvl="5" w:tplc="0C0A001B" w:tentative="1">
      <w:start w:val="1"/>
      <w:numFmt w:val="lowerRoman"/>
      <w:lvlText w:val="%6."/>
      <w:lvlJc w:val="right"/>
      <w:pPr>
        <w:tabs>
          <w:tab w:val="num" w:pos="4035"/>
        </w:tabs>
        <w:ind w:left="4035" w:hanging="180"/>
      </w:pPr>
    </w:lvl>
    <w:lvl w:ilvl="6" w:tplc="0C0A000F" w:tentative="1">
      <w:start w:val="1"/>
      <w:numFmt w:val="decimal"/>
      <w:lvlText w:val="%7."/>
      <w:lvlJc w:val="left"/>
      <w:pPr>
        <w:tabs>
          <w:tab w:val="num" w:pos="4755"/>
        </w:tabs>
        <w:ind w:left="4755" w:hanging="360"/>
      </w:pPr>
    </w:lvl>
    <w:lvl w:ilvl="7" w:tplc="0C0A0019" w:tentative="1">
      <w:start w:val="1"/>
      <w:numFmt w:val="lowerLetter"/>
      <w:lvlText w:val="%8."/>
      <w:lvlJc w:val="left"/>
      <w:pPr>
        <w:tabs>
          <w:tab w:val="num" w:pos="5475"/>
        </w:tabs>
        <w:ind w:left="5475" w:hanging="360"/>
      </w:pPr>
    </w:lvl>
    <w:lvl w:ilvl="8" w:tplc="0C0A001B" w:tentative="1">
      <w:start w:val="1"/>
      <w:numFmt w:val="lowerRoman"/>
      <w:lvlText w:val="%9."/>
      <w:lvlJc w:val="right"/>
      <w:pPr>
        <w:tabs>
          <w:tab w:val="num" w:pos="6195"/>
        </w:tabs>
        <w:ind w:left="6195" w:hanging="180"/>
      </w:pPr>
    </w:lvl>
  </w:abstractNum>
  <w:abstractNum w:abstractNumId="18" w15:restartNumberingAfterBreak="0">
    <w:nsid w:val="52E31607"/>
    <w:multiLevelType w:val="multilevel"/>
    <w:tmpl w:val="BFDE408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59EB4629"/>
    <w:multiLevelType w:val="multilevel"/>
    <w:tmpl w:val="BA0E4208"/>
    <w:lvl w:ilvl="0">
      <w:start w:val="6"/>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6CF36EDD"/>
    <w:multiLevelType w:val="hybridMultilevel"/>
    <w:tmpl w:val="4CACC6BC"/>
    <w:lvl w:ilvl="0" w:tplc="420297A0">
      <w:start w:val="1"/>
      <w:numFmt w:val="lowerRoman"/>
      <w:lvlText w:val="(%1)"/>
      <w:lvlJc w:val="left"/>
      <w:pPr>
        <w:tabs>
          <w:tab w:val="num" w:pos="720"/>
        </w:tabs>
        <w:ind w:left="720" w:hanging="720"/>
      </w:pPr>
      <w:rPr>
        <w:rFonts w:cs="Arial"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765A3804"/>
    <w:multiLevelType w:val="hybridMultilevel"/>
    <w:tmpl w:val="1BF27510"/>
    <w:lvl w:ilvl="0" w:tplc="545A7666">
      <w:start w:val="1"/>
      <w:numFmt w:val="lowerLetter"/>
      <w:lvlText w:val="%1)"/>
      <w:lvlJc w:val="left"/>
      <w:pPr>
        <w:ind w:left="644" w:hanging="360"/>
      </w:pPr>
      <w:rPr>
        <w:rFonts w:ascii="Arial" w:eastAsia="Times New Roman" w:hAnsi="Arial" w:cs="Arial"/>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22" w15:restartNumberingAfterBreak="0">
    <w:nsid w:val="7B5E1F99"/>
    <w:multiLevelType w:val="hybridMultilevel"/>
    <w:tmpl w:val="E5ACB934"/>
    <w:lvl w:ilvl="0" w:tplc="0C0A0019">
      <w:start w:val="1"/>
      <w:numFmt w:val="lowerLetter"/>
      <w:lvlText w:val="%1."/>
      <w:lvlJc w:val="left"/>
      <w:pPr>
        <w:ind w:left="360" w:hanging="360"/>
      </w:pPr>
      <w:rPr>
        <w:rFonts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CA05728"/>
    <w:multiLevelType w:val="multilevel"/>
    <w:tmpl w:val="89864AD4"/>
    <w:lvl w:ilvl="0">
      <w:start w:val="7"/>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4"/>
      <w:numFmt w:val="decimal"/>
      <w:lvlText w:val="%1.%2.%3.%4.%5.%6."/>
      <w:lvlJc w:val="left"/>
      <w:pPr>
        <w:ind w:left="1789" w:hanging="1080"/>
      </w:pPr>
      <w:rPr>
        <w:rFonts w:hint="default"/>
        <w:b/>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7"/>
  </w:num>
  <w:num w:numId="3">
    <w:abstractNumId w:val="5"/>
  </w:num>
  <w:num w:numId="4">
    <w:abstractNumId w:val="15"/>
  </w:num>
  <w:num w:numId="5">
    <w:abstractNumId w:val="12"/>
  </w:num>
  <w:num w:numId="6">
    <w:abstractNumId w:val="17"/>
  </w:num>
  <w:num w:numId="7">
    <w:abstractNumId w:val="9"/>
  </w:num>
  <w:num w:numId="8">
    <w:abstractNumId w:val="6"/>
  </w:num>
  <w:num w:numId="9">
    <w:abstractNumId w:val="4"/>
  </w:num>
  <w:num w:numId="10">
    <w:abstractNumId w:val="19"/>
  </w:num>
  <w:num w:numId="11">
    <w:abstractNumId w:val="10"/>
  </w:num>
  <w:num w:numId="12">
    <w:abstractNumId w:val="14"/>
  </w:num>
  <w:num w:numId="13">
    <w:abstractNumId w:val="11"/>
  </w:num>
  <w:num w:numId="14">
    <w:abstractNumId w:val="3"/>
  </w:num>
  <w:num w:numId="15">
    <w:abstractNumId w:val="21"/>
  </w:num>
  <w:num w:numId="16">
    <w:abstractNumId w:val="20"/>
  </w:num>
  <w:num w:numId="17">
    <w:abstractNumId w:val="0"/>
  </w:num>
  <w:num w:numId="18">
    <w:abstractNumId w:val="16"/>
  </w:num>
  <w:num w:numId="19">
    <w:abstractNumId w:val="22"/>
  </w:num>
  <w:num w:numId="20">
    <w:abstractNumId w:val="2"/>
  </w:num>
  <w:num w:numId="21">
    <w:abstractNumId w:val="1"/>
  </w:num>
  <w:num w:numId="22">
    <w:abstractNumId w:val="13"/>
  </w:num>
  <w:num w:numId="23">
    <w:abstractNumId w:val="18"/>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122"/>
    <w:rsid w:val="00022123"/>
    <w:rsid w:val="00022DB2"/>
    <w:rsid w:val="0002514E"/>
    <w:rsid w:val="00031B85"/>
    <w:rsid w:val="00031E98"/>
    <w:rsid w:val="000330B2"/>
    <w:rsid w:val="00041520"/>
    <w:rsid w:val="00042FAD"/>
    <w:rsid w:val="000503C2"/>
    <w:rsid w:val="00050777"/>
    <w:rsid w:val="0005442C"/>
    <w:rsid w:val="000569B3"/>
    <w:rsid w:val="000573AD"/>
    <w:rsid w:val="00065076"/>
    <w:rsid w:val="000707A9"/>
    <w:rsid w:val="00072327"/>
    <w:rsid w:val="00073FD3"/>
    <w:rsid w:val="000751DD"/>
    <w:rsid w:val="000778A8"/>
    <w:rsid w:val="00080B91"/>
    <w:rsid w:val="00085296"/>
    <w:rsid w:val="00090D33"/>
    <w:rsid w:val="00094CC8"/>
    <w:rsid w:val="0009724D"/>
    <w:rsid w:val="000A455E"/>
    <w:rsid w:val="000B0FE9"/>
    <w:rsid w:val="000B1F50"/>
    <w:rsid w:val="000B4A1A"/>
    <w:rsid w:val="000B4CDE"/>
    <w:rsid w:val="000B6E8D"/>
    <w:rsid w:val="000B7CE7"/>
    <w:rsid w:val="000C0ED4"/>
    <w:rsid w:val="000C7303"/>
    <w:rsid w:val="000D304D"/>
    <w:rsid w:val="000D66A2"/>
    <w:rsid w:val="000E21B7"/>
    <w:rsid w:val="000F2C56"/>
    <w:rsid w:val="000F4834"/>
    <w:rsid w:val="00100C8D"/>
    <w:rsid w:val="00101157"/>
    <w:rsid w:val="0010324F"/>
    <w:rsid w:val="0011217C"/>
    <w:rsid w:val="00112E81"/>
    <w:rsid w:val="00115B80"/>
    <w:rsid w:val="00117C91"/>
    <w:rsid w:val="00145AD4"/>
    <w:rsid w:val="0014781B"/>
    <w:rsid w:val="00153CEC"/>
    <w:rsid w:val="0016169F"/>
    <w:rsid w:val="00162C78"/>
    <w:rsid w:val="001718FF"/>
    <w:rsid w:val="00176BA1"/>
    <w:rsid w:val="0018682E"/>
    <w:rsid w:val="00187182"/>
    <w:rsid w:val="0019480E"/>
    <w:rsid w:val="00195B8A"/>
    <w:rsid w:val="001A008A"/>
    <w:rsid w:val="001A1CE6"/>
    <w:rsid w:val="001A3B89"/>
    <w:rsid w:val="001A4B90"/>
    <w:rsid w:val="001A6083"/>
    <w:rsid w:val="001A621C"/>
    <w:rsid w:val="001A65E8"/>
    <w:rsid w:val="001A661A"/>
    <w:rsid w:val="001A70E8"/>
    <w:rsid w:val="001A7522"/>
    <w:rsid w:val="001B1D31"/>
    <w:rsid w:val="001B46CC"/>
    <w:rsid w:val="001B5526"/>
    <w:rsid w:val="001B5894"/>
    <w:rsid w:val="001C36D9"/>
    <w:rsid w:val="001D0B1D"/>
    <w:rsid w:val="001D1565"/>
    <w:rsid w:val="001E0322"/>
    <w:rsid w:val="001E4291"/>
    <w:rsid w:val="001E523D"/>
    <w:rsid w:val="001F2517"/>
    <w:rsid w:val="00203BB7"/>
    <w:rsid w:val="002049AE"/>
    <w:rsid w:val="00204B30"/>
    <w:rsid w:val="00204F19"/>
    <w:rsid w:val="00215E80"/>
    <w:rsid w:val="00222B86"/>
    <w:rsid w:val="002230E1"/>
    <w:rsid w:val="002337C8"/>
    <w:rsid w:val="002359D3"/>
    <w:rsid w:val="00241D43"/>
    <w:rsid w:val="00242A86"/>
    <w:rsid w:val="002445FD"/>
    <w:rsid w:val="00245D88"/>
    <w:rsid w:val="00251916"/>
    <w:rsid w:val="002563C8"/>
    <w:rsid w:val="00261E72"/>
    <w:rsid w:val="00264A70"/>
    <w:rsid w:val="002704AC"/>
    <w:rsid w:val="00273029"/>
    <w:rsid w:val="00274932"/>
    <w:rsid w:val="00275444"/>
    <w:rsid w:val="00277B46"/>
    <w:rsid w:val="00282238"/>
    <w:rsid w:val="00282246"/>
    <w:rsid w:val="00285883"/>
    <w:rsid w:val="00285C8D"/>
    <w:rsid w:val="0028776F"/>
    <w:rsid w:val="002919DD"/>
    <w:rsid w:val="00292CC1"/>
    <w:rsid w:val="0029354B"/>
    <w:rsid w:val="002947EE"/>
    <w:rsid w:val="00294F18"/>
    <w:rsid w:val="002A25E4"/>
    <w:rsid w:val="002A4722"/>
    <w:rsid w:val="002A753A"/>
    <w:rsid w:val="002B0C93"/>
    <w:rsid w:val="002B488A"/>
    <w:rsid w:val="002B6832"/>
    <w:rsid w:val="002C390B"/>
    <w:rsid w:val="002E18B8"/>
    <w:rsid w:val="002E3795"/>
    <w:rsid w:val="002E6A0F"/>
    <w:rsid w:val="002E7360"/>
    <w:rsid w:val="002F0B27"/>
    <w:rsid w:val="002F1E29"/>
    <w:rsid w:val="002F3283"/>
    <w:rsid w:val="003060B6"/>
    <w:rsid w:val="00312C9E"/>
    <w:rsid w:val="003165AF"/>
    <w:rsid w:val="00317574"/>
    <w:rsid w:val="003209EA"/>
    <w:rsid w:val="00320CF2"/>
    <w:rsid w:val="003210DD"/>
    <w:rsid w:val="00322203"/>
    <w:rsid w:val="00322D4E"/>
    <w:rsid w:val="00323C5F"/>
    <w:rsid w:val="00326192"/>
    <w:rsid w:val="00327F39"/>
    <w:rsid w:val="0033189D"/>
    <w:rsid w:val="00335E4A"/>
    <w:rsid w:val="003437AA"/>
    <w:rsid w:val="00345CD6"/>
    <w:rsid w:val="00356069"/>
    <w:rsid w:val="0036166A"/>
    <w:rsid w:val="00365A5E"/>
    <w:rsid w:val="003731C9"/>
    <w:rsid w:val="003738F0"/>
    <w:rsid w:val="00381E49"/>
    <w:rsid w:val="00382030"/>
    <w:rsid w:val="00385A56"/>
    <w:rsid w:val="00386EB7"/>
    <w:rsid w:val="00391F69"/>
    <w:rsid w:val="00392461"/>
    <w:rsid w:val="00393CE0"/>
    <w:rsid w:val="00397001"/>
    <w:rsid w:val="003A03B7"/>
    <w:rsid w:val="003A2678"/>
    <w:rsid w:val="003A2B9E"/>
    <w:rsid w:val="003B35AA"/>
    <w:rsid w:val="003B4596"/>
    <w:rsid w:val="003C2102"/>
    <w:rsid w:val="003C24C2"/>
    <w:rsid w:val="003C48F2"/>
    <w:rsid w:val="003C5E3C"/>
    <w:rsid w:val="003C61BA"/>
    <w:rsid w:val="003D7A09"/>
    <w:rsid w:val="003E0725"/>
    <w:rsid w:val="003F0D86"/>
    <w:rsid w:val="003F120D"/>
    <w:rsid w:val="00400522"/>
    <w:rsid w:val="0040103D"/>
    <w:rsid w:val="0040162F"/>
    <w:rsid w:val="004033A0"/>
    <w:rsid w:val="00403CEA"/>
    <w:rsid w:val="00405B6D"/>
    <w:rsid w:val="004063D4"/>
    <w:rsid w:val="00411374"/>
    <w:rsid w:val="00411CD1"/>
    <w:rsid w:val="004174A9"/>
    <w:rsid w:val="004216D4"/>
    <w:rsid w:val="0042784C"/>
    <w:rsid w:val="0043099A"/>
    <w:rsid w:val="004334D2"/>
    <w:rsid w:val="004339C2"/>
    <w:rsid w:val="00436511"/>
    <w:rsid w:val="0044042C"/>
    <w:rsid w:val="004424D2"/>
    <w:rsid w:val="00462B98"/>
    <w:rsid w:val="00462C0E"/>
    <w:rsid w:val="00463B29"/>
    <w:rsid w:val="00470831"/>
    <w:rsid w:val="00471DEC"/>
    <w:rsid w:val="0047794B"/>
    <w:rsid w:val="00485C67"/>
    <w:rsid w:val="00492EAC"/>
    <w:rsid w:val="00494236"/>
    <w:rsid w:val="00497DFC"/>
    <w:rsid w:val="004A4A56"/>
    <w:rsid w:val="004A70CA"/>
    <w:rsid w:val="004B642F"/>
    <w:rsid w:val="004C7145"/>
    <w:rsid w:val="004D135A"/>
    <w:rsid w:val="004D57D9"/>
    <w:rsid w:val="004E0D8F"/>
    <w:rsid w:val="004E1767"/>
    <w:rsid w:val="004F2FB3"/>
    <w:rsid w:val="004F38BB"/>
    <w:rsid w:val="004F5552"/>
    <w:rsid w:val="0050191F"/>
    <w:rsid w:val="005046CC"/>
    <w:rsid w:val="00513F3F"/>
    <w:rsid w:val="005160D9"/>
    <w:rsid w:val="00517E7B"/>
    <w:rsid w:val="005268B7"/>
    <w:rsid w:val="00530746"/>
    <w:rsid w:val="005373AD"/>
    <w:rsid w:val="005545AD"/>
    <w:rsid w:val="00560841"/>
    <w:rsid w:val="0056174C"/>
    <w:rsid w:val="0056402D"/>
    <w:rsid w:val="0056462F"/>
    <w:rsid w:val="0056531B"/>
    <w:rsid w:val="00565B3F"/>
    <w:rsid w:val="00566DE9"/>
    <w:rsid w:val="00566F36"/>
    <w:rsid w:val="00571239"/>
    <w:rsid w:val="005825F7"/>
    <w:rsid w:val="00593625"/>
    <w:rsid w:val="005958D1"/>
    <w:rsid w:val="005A41B1"/>
    <w:rsid w:val="005A6391"/>
    <w:rsid w:val="005B0448"/>
    <w:rsid w:val="005B1D02"/>
    <w:rsid w:val="005B49FD"/>
    <w:rsid w:val="005C02CE"/>
    <w:rsid w:val="005C0BEB"/>
    <w:rsid w:val="005C252C"/>
    <w:rsid w:val="005C390C"/>
    <w:rsid w:val="005C5DCF"/>
    <w:rsid w:val="005D30B5"/>
    <w:rsid w:val="005E0802"/>
    <w:rsid w:val="005E3568"/>
    <w:rsid w:val="005E5297"/>
    <w:rsid w:val="005F3336"/>
    <w:rsid w:val="005F3C5F"/>
    <w:rsid w:val="00603EF1"/>
    <w:rsid w:val="00607C08"/>
    <w:rsid w:val="00611CA6"/>
    <w:rsid w:val="006213E5"/>
    <w:rsid w:val="006220E8"/>
    <w:rsid w:val="00632C74"/>
    <w:rsid w:val="0063574A"/>
    <w:rsid w:val="00641B05"/>
    <w:rsid w:val="006433F4"/>
    <w:rsid w:val="006436AF"/>
    <w:rsid w:val="00646EBE"/>
    <w:rsid w:val="00653C13"/>
    <w:rsid w:val="00660873"/>
    <w:rsid w:val="00663DBA"/>
    <w:rsid w:val="00666E05"/>
    <w:rsid w:val="00672124"/>
    <w:rsid w:val="006757BD"/>
    <w:rsid w:val="00676E29"/>
    <w:rsid w:val="00677E29"/>
    <w:rsid w:val="0068203F"/>
    <w:rsid w:val="00692C42"/>
    <w:rsid w:val="00696076"/>
    <w:rsid w:val="00697A37"/>
    <w:rsid w:val="006A1272"/>
    <w:rsid w:val="006A349C"/>
    <w:rsid w:val="006B6B3A"/>
    <w:rsid w:val="006B7C65"/>
    <w:rsid w:val="006C3BEF"/>
    <w:rsid w:val="006D0C7D"/>
    <w:rsid w:val="006D3C91"/>
    <w:rsid w:val="006D5DAD"/>
    <w:rsid w:val="006D5E78"/>
    <w:rsid w:val="006D627B"/>
    <w:rsid w:val="006D6EBE"/>
    <w:rsid w:val="006E1FE3"/>
    <w:rsid w:val="006E43AC"/>
    <w:rsid w:val="006F4284"/>
    <w:rsid w:val="006F675A"/>
    <w:rsid w:val="007009F1"/>
    <w:rsid w:val="00702383"/>
    <w:rsid w:val="00704184"/>
    <w:rsid w:val="00705175"/>
    <w:rsid w:val="00705FF7"/>
    <w:rsid w:val="00713C34"/>
    <w:rsid w:val="0071428B"/>
    <w:rsid w:val="00721470"/>
    <w:rsid w:val="0074165E"/>
    <w:rsid w:val="0074342C"/>
    <w:rsid w:val="0074519B"/>
    <w:rsid w:val="0075120E"/>
    <w:rsid w:val="0075244A"/>
    <w:rsid w:val="0075760E"/>
    <w:rsid w:val="00761488"/>
    <w:rsid w:val="007631BE"/>
    <w:rsid w:val="00767700"/>
    <w:rsid w:val="00770531"/>
    <w:rsid w:val="007778C3"/>
    <w:rsid w:val="00780BCD"/>
    <w:rsid w:val="00782104"/>
    <w:rsid w:val="00784A4B"/>
    <w:rsid w:val="007857C6"/>
    <w:rsid w:val="00786D5E"/>
    <w:rsid w:val="0079240A"/>
    <w:rsid w:val="007A43F9"/>
    <w:rsid w:val="007C24A3"/>
    <w:rsid w:val="007C2BCB"/>
    <w:rsid w:val="007D7957"/>
    <w:rsid w:val="007E19DA"/>
    <w:rsid w:val="008063CF"/>
    <w:rsid w:val="0081164D"/>
    <w:rsid w:val="00820832"/>
    <w:rsid w:val="008211AA"/>
    <w:rsid w:val="008214D4"/>
    <w:rsid w:val="008242C7"/>
    <w:rsid w:val="00826134"/>
    <w:rsid w:val="00836BE7"/>
    <w:rsid w:val="0084163A"/>
    <w:rsid w:val="008438D4"/>
    <w:rsid w:val="00844CA2"/>
    <w:rsid w:val="00845CC0"/>
    <w:rsid w:val="00847E08"/>
    <w:rsid w:val="00847EB1"/>
    <w:rsid w:val="00854433"/>
    <w:rsid w:val="00854D65"/>
    <w:rsid w:val="008632FC"/>
    <w:rsid w:val="0086348C"/>
    <w:rsid w:val="00863B70"/>
    <w:rsid w:val="0087308F"/>
    <w:rsid w:val="00874BB3"/>
    <w:rsid w:val="0088133F"/>
    <w:rsid w:val="00881DC8"/>
    <w:rsid w:val="008937A2"/>
    <w:rsid w:val="00896D93"/>
    <w:rsid w:val="008A232C"/>
    <w:rsid w:val="008A2ED3"/>
    <w:rsid w:val="008A35E6"/>
    <w:rsid w:val="008B0C64"/>
    <w:rsid w:val="008B26B4"/>
    <w:rsid w:val="008B6219"/>
    <w:rsid w:val="008B652A"/>
    <w:rsid w:val="008C07EB"/>
    <w:rsid w:val="008C1067"/>
    <w:rsid w:val="008C6920"/>
    <w:rsid w:val="008E3237"/>
    <w:rsid w:val="008F0693"/>
    <w:rsid w:val="008F622B"/>
    <w:rsid w:val="00902E1A"/>
    <w:rsid w:val="00905EA3"/>
    <w:rsid w:val="0091478C"/>
    <w:rsid w:val="009152B8"/>
    <w:rsid w:val="009171CB"/>
    <w:rsid w:val="00920389"/>
    <w:rsid w:val="009209D2"/>
    <w:rsid w:val="00922FFA"/>
    <w:rsid w:val="00923C63"/>
    <w:rsid w:val="0092445B"/>
    <w:rsid w:val="00924B7B"/>
    <w:rsid w:val="00927B15"/>
    <w:rsid w:val="00927C34"/>
    <w:rsid w:val="00930074"/>
    <w:rsid w:val="009311FF"/>
    <w:rsid w:val="00931A31"/>
    <w:rsid w:val="0093253D"/>
    <w:rsid w:val="009421C2"/>
    <w:rsid w:val="00943FE4"/>
    <w:rsid w:val="00945FC5"/>
    <w:rsid w:val="009478D3"/>
    <w:rsid w:val="00953706"/>
    <w:rsid w:val="00961581"/>
    <w:rsid w:val="0096257C"/>
    <w:rsid w:val="009650A8"/>
    <w:rsid w:val="00967302"/>
    <w:rsid w:val="00972CF7"/>
    <w:rsid w:val="009735E2"/>
    <w:rsid w:val="00973C4E"/>
    <w:rsid w:val="009765F0"/>
    <w:rsid w:val="00980231"/>
    <w:rsid w:val="00983A40"/>
    <w:rsid w:val="00991510"/>
    <w:rsid w:val="00993C73"/>
    <w:rsid w:val="00996219"/>
    <w:rsid w:val="009A56EF"/>
    <w:rsid w:val="009A576C"/>
    <w:rsid w:val="009A641B"/>
    <w:rsid w:val="009B4938"/>
    <w:rsid w:val="009B76AB"/>
    <w:rsid w:val="009C09FD"/>
    <w:rsid w:val="009C2F71"/>
    <w:rsid w:val="009C454A"/>
    <w:rsid w:val="009D3FBC"/>
    <w:rsid w:val="009D778E"/>
    <w:rsid w:val="009E54B4"/>
    <w:rsid w:val="009E5A95"/>
    <w:rsid w:val="009E7C62"/>
    <w:rsid w:val="009F0971"/>
    <w:rsid w:val="009F3497"/>
    <w:rsid w:val="009F4415"/>
    <w:rsid w:val="009F5D04"/>
    <w:rsid w:val="009F79BC"/>
    <w:rsid w:val="009F7B89"/>
    <w:rsid w:val="00A0163A"/>
    <w:rsid w:val="00A01B78"/>
    <w:rsid w:val="00A052C2"/>
    <w:rsid w:val="00A233CD"/>
    <w:rsid w:val="00A319F1"/>
    <w:rsid w:val="00A517D9"/>
    <w:rsid w:val="00A6100C"/>
    <w:rsid w:val="00A67657"/>
    <w:rsid w:val="00A74B65"/>
    <w:rsid w:val="00A773BF"/>
    <w:rsid w:val="00A82316"/>
    <w:rsid w:val="00A84C9E"/>
    <w:rsid w:val="00A84EAB"/>
    <w:rsid w:val="00AA2CF0"/>
    <w:rsid w:val="00AA42E3"/>
    <w:rsid w:val="00AB1122"/>
    <w:rsid w:val="00AB3E19"/>
    <w:rsid w:val="00AB4E69"/>
    <w:rsid w:val="00AB798A"/>
    <w:rsid w:val="00AC62CA"/>
    <w:rsid w:val="00AC6D0D"/>
    <w:rsid w:val="00AD6A60"/>
    <w:rsid w:val="00AE2AEF"/>
    <w:rsid w:val="00AE61C2"/>
    <w:rsid w:val="00AE6E83"/>
    <w:rsid w:val="00AF2347"/>
    <w:rsid w:val="00AF4FD4"/>
    <w:rsid w:val="00B00A42"/>
    <w:rsid w:val="00B00ECF"/>
    <w:rsid w:val="00B05391"/>
    <w:rsid w:val="00B066D5"/>
    <w:rsid w:val="00B0699F"/>
    <w:rsid w:val="00B10A03"/>
    <w:rsid w:val="00B12BD6"/>
    <w:rsid w:val="00B15464"/>
    <w:rsid w:val="00B226E4"/>
    <w:rsid w:val="00B24820"/>
    <w:rsid w:val="00B41918"/>
    <w:rsid w:val="00B426A0"/>
    <w:rsid w:val="00B43A3D"/>
    <w:rsid w:val="00B44588"/>
    <w:rsid w:val="00B55A62"/>
    <w:rsid w:val="00B56142"/>
    <w:rsid w:val="00B65AD2"/>
    <w:rsid w:val="00B70E0F"/>
    <w:rsid w:val="00B70E9F"/>
    <w:rsid w:val="00B72062"/>
    <w:rsid w:val="00B72D67"/>
    <w:rsid w:val="00B73FDA"/>
    <w:rsid w:val="00B76402"/>
    <w:rsid w:val="00B76ED9"/>
    <w:rsid w:val="00B90D35"/>
    <w:rsid w:val="00B914A5"/>
    <w:rsid w:val="00B96244"/>
    <w:rsid w:val="00B96EFF"/>
    <w:rsid w:val="00B97DCB"/>
    <w:rsid w:val="00BB2465"/>
    <w:rsid w:val="00BB3E53"/>
    <w:rsid w:val="00BB6BD9"/>
    <w:rsid w:val="00BB7FDA"/>
    <w:rsid w:val="00BC5750"/>
    <w:rsid w:val="00BD21A0"/>
    <w:rsid w:val="00BD3732"/>
    <w:rsid w:val="00BD527E"/>
    <w:rsid w:val="00BE012C"/>
    <w:rsid w:val="00BE27D2"/>
    <w:rsid w:val="00BE766A"/>
    <w:rsid w:val="00BF2EFF"/>
    <w:rsid w:val="00BF7A2B"/>
    <w:rsid w:val="00C020B9"/>
    <w:rsid w:val="00C1200E"/>
    <w:rsid w:val="00C16A35"/>
    <w:rsid w:val="00C2020D"/>
    <w:rsid w:val="00C21FDD"/>
    <w:rsid w:val="00C47E90"/>
    <w:rsid w:val="00C503B8"/>
    <w:rsid w:val="00C53D67"/>
    <w:rsid w:val="00C56A1A"/>
    <w:rsid w:val="00C60D89"/>
    <w:rsid w:val="00C612A3"/>
    <w:rsid w:val="00C63449"/>
    <w:rsid w:val="00C65E6E"/>
    <w:rsid w:val="00C65F49"/>
    <w:rsid w:val="00C672AC"/>
    <w:rsid w:val="00C705DF"/>
    <w:rsid w:val="00C71D48"/>
    <w:rsid w:val="00C835B7"/>
    <w:rsid w:val="00C83D2A"/>
    <w:rsid w:val="00C84CA7"/>
    <w:rsid w:val="00C90109"/>
    <w:rsid w:val="00C917F4"/>
    <w:rsid w:val="00CA230C"/>
    <w:rsid w:val="00CB4A87"/>
    <w:rsid w:val="00CC0908"/>
    <w:rsid w:val="00CD48AC"/>
    <w:rsid w:val="00CD562D"/>
    <w:rsid w:val="00CD7739"/>
    <w:rsid w:val="00CE1216"/>
    <w:rsid w:val="00CE3C9D"/>
    <w:rsid w:val="00CE4A19"/>
    <w:rsid w:val="00CE581A"/>
    <w:rsid w:val="00CF00A1"/>
    <w:rsid w:val="00CF4724"/>
    <w:rsid w:val="00CF5AEA"/>
    <w:rsid w:val="00CF7CF1"/>
    <w:rsid w:val="00D02389"/>
    <w:rsid w:val="00D059BF"/>
    <w:rsid w:val="00D12D85"/>
    <w:rsid w:val="00D16954"/>
    <w:rsid w:val="00D24C47"/>
    <w:rsid w:val="00D36B35"/>
    <w:rsid w:val="00D37479"/>
    <w:rsid w:val="00D464A3"/>
    <w:rsid w:val="00D5371B"/>
    <w:rsid w:val="00D575B0"/>
    <w:rsid w:val="00D62030"/>
    <w:rsid w:val="00D658ED"/>
    <w:rsid w:val="00D80AEB"/>
    <w:rsid w:val="00D835EB"/>
    <w:rsid w:val="00D842BB"/>
    <w:rsid w:val="00D902B7"/>
    <w:rsid w:val="00DA44FC"/>
    <w:rsid w:val="00DA5699"/>
    <w:rsid w:val="00DB3227"/>
    <w:rsid w:val="00DC12A6"/>
    <w:rsid w:val="00DC2E08"/>
    <w:rsid w:val="00DD2EF7"/>
    <w:rsid w:val="00DF1C9F"/>
    <w:rsid w:val="00E00654"/>
    <w:rsid w:val="00E0444C"/>
    <w:rsid w:val="00E046C3"/>
    <w:rsid w:val="00E04883"/>
    <w:rsid w:val="00E12638"/>
    <w:rsid w:val="00E24427"/>
    <w:rsid w:val="00E251FB"/>
    <w:rsid w:val="00E26814"/>
    <w:rsid w:val="00E26AC5"/>
    <w:rsid w:val="00E40C72"/>
    <w:rsid w:val="00E43278"/>
    <w:rsid w:val="00E43F33"/>
    <w:rsid w:val="00E50325"/>
    <w:rsid w:val="00E53A05"/>
    <w:rsid w:val="00E55860"/>
    <w:rsid w:val="00E57886"/>
    <w:rsid w:val="00E607DB"/>
    <w:rsid w:val="00E61B68"/>
    <w:rsid w:val="00E70000"/>
    <w:rsid w:val="00E75C21"/>
    <w:rsid w:val="00E83F30"/>
    <w:rsid w:val="00E8607D"/>
    <w:rsid w:val="00E91D58"/>
    <w:rsid w:val="00E93772"/>
    <w:rsid w:val="00E95329"/>
    <w:rsid w:val="00EA66EB"/>
    <w:rsid w:val="00EA6888"/>
    <w:rsid w:val="00EB4745"/>
    <w:rsid w:val="00EB483A"/>
    <w:rsid w:val="00EC5DF0"/>
    <w:rsid w:val="00ED2256"/>
    <w:rsid w:val="00ED7A07"/>
    <w:rsid w:val="00EE3F49"/>
    <w:rsid w:val="00EE4CAC"/>
    <w:rsid w:val="00EF20E0"/>
    <w:rsid w:val="00EF5BE4"/>
    <w:rsid w:val="00EF6A18"/>
    <w:rsid w:val="00F00291"/>
    <w:rsid w:val="00F0114B"/>
    <w:rsid w:val="00F0220F"/>
    <w:rsid w:val="00F02300"/>
    <w:rsid w:val="00F0686D"/>
    <w:rsid w:val="00F11D0F"/>
    <w:rsid w:val="00F21ED4"/>
    <w:rsid w:val="00F24B2D"/>
    <w:rsid w:val="00F25C3E"/>
    <w:rsid w:val="00F33247"/>
    <w:rsid w:val="00F375A5"/>
    <w:rsid w:val="00F4227C"/>
    <w:rsid w:val="00F44959"/>
    <w:rsid w:val="00F45341"/>
    <w:rsid w:val="00F454CD"/>
    <w:rsid w:val="00F47FC8"/>
    <w:rsid w:val="00F52DE1"/>
    <w:rsid w:val="00F53550"/>
    <w:rsid w:val="00F6536F"/>
    <w:rsid w:val="00F660A9"/>
    <w:rsid w:val="00F70EFB"/>
    <w:rsid w:val="00F75D72"/>
    <w:rsid w:val="00F769D6"/>
    <w:rsid w:val="00F774EF"/>
    <w:rsid w:val="00F808AE"/>
    <w:rsid w:val="00F8538F"/>
    <w:rsid w:val="00F92A99"/>
    <w:rsid w:val="00F9302A"/>
    <w:rsid w:val="00F939F2"/>
    <w:rsid w:val="00F964D2"/>
    <w:rsid w:val="00FA035B"/>
    <w:rsid w:val="00FB048B"/>
    <w:rsid w:val="00FB11FB"/>
    <w:rsid w:val="00FB1809"/>
    <w:rsid w:val="00FC41A3"/>
    <w:rsid w:val="00FC5ADB"/>
    <w:rsid w:val="00FD5976"/>
    <w:rsid w:val="00FE0613"/>
    <w:rsid w:val="00FE2FDB"/>
    <w:rsid w:val="00FE31A6"/>
    <w:rsid w:val="00FE4D51"/>
    <w:rsid w:val="00FF0B0B"/>
    <w:rsid w:val="00FF42A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6F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s-CO" w:eastAsia="es-C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62B98"/>
    <w:rPr>
      <w:rFonts w:ascii="Arial" w:eastAsia="Times New Roman" w:hAnsi="Arial"/>
      <w:sz w:val="16"/>
      <w:lang w:val="es-ES_tradnl"/>
    </w:rPr>
  </w:style>
  <w:style w:type="paragraph" w:styleId="Ttulo1">
    <w:name w:val="heading 1"/>
    <w:basedOn w:val="Normal"/>
    <w:next w:val="Normal"/>
    <w:link w:val="Ttulo1Car"/>
    <w:qFormat/>
    <w:rsid w:val="00411374"/>
    <w:pPr>
      <w:keepNext/>
      <w:outlineLvl w:val="0"/>
    </w:pPr>
    <w:rPr>
      <w:b/>
      <w:bCs/>
      <w:caps/>
      <w:kern w:val="32"/>
      <w:szCs w:val="32"/>
      <w:lang w:eastAsia="x-none"/>
    </w:rPr>
  </w:style>
  <w:style w:type="paragraph" w:styleId="Ttulo2">
    <w:name w:val="heading 2"/>
    <w:basedOn w:val="Normal"/>
    <w:next w:val="Normal"/>
    <w:link w:val="Ttulo2Car"/>
    <w:qFormat/>
    <w:rsid w:val="00411374"/>
    <w:pPr>
      <w:keepNext/>
      <w:jc w:val="both"/>
      <w:outlineLvl w:val="1"/>
    </w:pPr>
    <w:rPr>
      <w:b/>
      <w:bCs/>
      <w:iCs/>
      <w:szCs w:val="28"/>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462B98"/>
  </w:style>
  <w:style w:type="paragraph" w:styleId="Encabezado">
    <w:name w:val="header"/>
    <w:basedOn w:val="Normal"/>
    <w:link w:val="EncabezadoCar"/>
    <w:rsid w:val="00462B98"/>
    <w:pPr>
      <w:tabs>
        <w:tab w:val="center" w:pos="4252"/>
        <w:tab w:val="right" w:pos="8504"/>
      </w:tabs>
      <w:ind w:left="1191" w:hanging="567"/>
      <w:jc w:val="both"/>
    </w:pPr>
    <w:rPr>
      <w:sz w:val="24"/>
    </w:rPr>
  </w:style>
  <w:style w:type="paragraph" w:styleId="Piedepgina">
    <w:name w:val="footer"/>
    <w:basedOn w:val="Normal"/>
    <w:link w:val="PiedepginaCar"/>
    <w:uiPriority w:val="99"/>
    <w:rsid w:val="00462B98"/>
    <w:pPr>
      <w:tabs>
        <w:tab w:val="center" w:pos="4252"/>
        <w:tab w:val="right" w:pos="8504"/>
      </w:tabs>
      <w:ind w:left="1191" w:hanging="567"/>
      <w:jc w:val="both"/>
    </w:pPr>
    <w:rPr>
      <w:sz w:val="24"/>
    </w:rPr>
  </w:style>
  <w:style w:type="paragraph" w:customStyle="1" w:styleId="Textoindependiente21">
    <w:name w:val="Texto independiente 21"/>
    <w:basedOn w:val="Normal"/>
    <w:rsid w:val="00462B98"/>
    <w:pPr>
      <w:jc w:val="both"/>
    </w:pPr>
    <w:rPr>
      <w:spacing w:val="20"/>
    </w:rPr>
  </w:style>
  <w:style w:type="paragraph" w:styleId="Sangradetextonormal">
    <w:name w:val="Body Text Indent"/>
    <w:basedOn w:val="Normal"/>
    <w:rsid w:val="00462B98"/>
    <w:pPr>
      <w:ind w:left="360" w:hanging="360"/>
      <w:jc w:val="both"/>
    </w:pPr>
    <w:rPr>
      <w:spacing w:val="20"/>
    </w:rPr>
  </w:style>
  <w:style w:type="paragraph" w:styleId="Textoindependiente2">
    <w:name w:val="Body Text 2"/>
    <w:basedOn w:val="Normal"/>
    <w:rsid w:val="00462B98"/>
    <w:pPr>
      <w:pBdr>
        <w:left w:val="single" w:sz="6" w:space="1" w:color="auto"/>
      </w:pBdr>
      <w:jc w:val="both"/>
    </w:pPr>
    <w:rPr>
      <w:b/>
      <w:spacing w:val="20"/>
    </w:rPr>
  </w:style>
  <w:style w:type="paragraph" w:styleId="Textoindependiente3">
    <w:name w:val="Body Text 3"/>
    <w:basedOn w:val="Normal"/>
    <w:rsid w:val="00462B98"/>
    <w:pPr>
      <w:pBdr>
        <w:left w:val="single" w:sz="6" w:space="1" w:color="auto"/>
      </w:pBdr>
      <w:jc w:val="both"/>
    </w:pPr>
    <w:rPr>
      <w:spacing w:val="20"/>
    </w:rPr>
  </w:style>
  <w:style w:type="paragraph" w:styleId="Textodebloque">
    <w:name w:val="Block Text"/>
    <w:basedOn w:val="Normal"/>
    <w:rsid w:val="00BC5750"/>
    <w:pPr>
      <w:tabs>
        <w:tab w:val="left" w:pos="12474"/>
      </w:tabs>
      <w:ind w:left="426" w:right="192"/>
    </w:pPr>
    <w:rPr>
      <w:sz w:val="18"/>
      <w:lang w:val="es-ES"/>
    </w:rPr>
  </w:style>
  <w:style w:type="paragraph" w:styleId="Textodeglobo">
    <w:name w:val="Balloon Text"/>
    <w:basedOn w:val="Normal"/>
    <w:semiHidden/>
    <w:rsid w:val="00B97DCB"/>
    <w:rPr>
      <w:rFonts w:ascii="Tahoma" w:hAnsi="Tahoma" w:cs="Tahoma"/>
      <w:szCs w:val="16"/>
    </w:rPr>
  </w:style>
  <w:style w:type="character" w:customStyle="1" w:styleId="PiedepginaCar">
    <w:name w:val="Pie de página Car"/>
    <w:link w:val="Piedepgina"/>
    <w:uiPriority w:val="99"/>
    <w:locked/>
    <w:rsid w:val="00847E08"/>
    <w:rPr>
      <w:rFonts w:ascii="Arial" w:eastAsia="Times New Roman" w:hAnsi="Arial"/>
      <w:sz w:val="24"/>
      <w:lang w:val="es-ES_tradnl" w:eastAsia="es-CO"/>
    </w:rPr>
  </w:style>
  <w:style w:type="character" w:customStyle="1" w:styleId="EncabezadoCar">
    <w:name w:val="Encabezado Car"/>
    <w:link w:val="Encabezado"/>
    <w:locked/>
    <w:rsid w:val="00847E08"/>
    <w:rPr>
      <w:rFonts w:ascii="Arial" w:eastAsia="Times New Roman" w:hAnsi="Arial"/>
      <w:sz w:val="24"/>
      <w:lang w:val="es-ES_tradnl" w:eastAsia="es-CO"/>
    </w:rPr>
  </w:style>
  <w:style w:type="paragraph" w:customStyle="1" w:styleId="nfasissutil1">
    <w:name w:val="Énfasis sutil1"/>
    <w:basedOn w:val="Normal"/>
    <w:uiPriority w:val="99"/>
    <w:qFormat/>
    <w:rsid w:val="00847E08"/>
    <w:pPr>
      <w:ind w:left="708"/>
    </w:pPr>
    <w:rPr>
      <w:rFonts w:eastAsia="SimSun"/>
    </w:rPr>
  </w:style>
  <w:style w:type="paragraph" w:customStyle="1" w:styleId="Listaoscura-nfasis61">
    <w:name w:val="Lista oscura - Énfasis 61"/>
    <w:uiPriority w:val="1"/>
    <w:qFormat/>
    <w:rsid w:val="00820832"/>
    <w:rPr>
      <w:rFonts w:ascii="Arial" w:eastAsia="Times New Roman" w:hAnsi="Arial"/>
      <w:sz w:val="16"/>
      <w:lang w:val="es-ES_tradnl"/>
    </w:rPr>
  </w:style>
  <w:style w:type="paragraph" w:styleId="Ttulo">
    <w:name w:val="Title"/>
    <w:basedOn w:val="Normal"/>
    <w:link w:val="TtuloCar"/>
    <w:qFormat/>
    <w:rsid w:val="006F4284"/>
    <w:pPr>
      <w:spacing w:before="240" w:after="60"/>
      <w:ind w:left="1191" w:hanging="567"/>
      <w:jc w:val="center"/>
    </w:pPr>
    <w:rPr>
      <w:b/>
      <w:kern w:val="28"/>
      <w:sz w:val="32"/>
      <w:lang w:val="x-none"/>
    </w:rPr>
  </w:style>
  <w:style w:type="character" w:customStyle="1" w:styleId="TtuloCar">
    <w:name w:val="Título Car"/>
    <w:link w:val="Ttulo"/>
    <w:rsid w:val="006F4284"/>
    <w:rPr>
      <w:rFonts w:ascii="Arial" w:eastAsia="Times New Roman" w:hAnsi="Arial"/>
      <w:b/>
      <w:kern w:val="28"/>
      <w:sz w:val="32"/>
      <w:lang w:eastAsia="es-CO"/>
    </w:rPr>
  </w:style>
  <w:style w:type="character" w:styleId="Refdecomentario">
    <w:name w:val="annotation reference"/>
    <w:rsid w:val="0075120E"/>
    <w:rPr>
      <w:sz w:val="18"/>
      <w:szCs w:val="18"/>
    </w:rPr>
  </w:style>
  <w:style w:type="paragraph" w:styleId="Textocomentario">
    <w:name w:val="annotation text"/>
    <w:basedOn w:val="Normal"/>
    <w:link w:val="TextocomentarioCar"/>
    <w:rsid w:val="0075120E"/>
    <w:rPr>
      <w:sz w:val="24"/>
      <w:szCs w:val="24"/>
      <w:lang w:val="x-none"/>
    </w:rPr>
  </w:style>
  <w:style w:type="character" w:customStyle="1" w:styleId="TextocomentarioCar">
    <w:name w:val="Texto comentario Car"/>
    <w:link w:val="Textocomentario"/>
    <w:rsid w:val="0075120E"/>
    <w:rPr>
      <w:rFonts w:ascii="Arial" w:eastAsia="Times New Roman" w:hAnsi="Arial"/>
      <w:sz w:val="24"/>
      <w:szCs w:val="24"/>
      <w:lang w:eastAsia="es-CO"/>
    </w:rPr>
  </w:style>
  <w:style w:type="paragraph" w:styleId="Asuntodelcomentario">
    <w:name w:val="annotation subject"/>
    <w:basedOn w:val="Textocomentario"/>
    <w:next w:val="Textocomentario"/>
    <w:link w:val="AsuntodelcomentarioCar"/>
    <w:rsid w:val="0075120E"/>
    <w:rPr>
      <w:b/>
      <w:bCs/>
    </w:rPr>
  </w:style>
  <w:style w:type="character" w:customStyle="1" w:styleId="AsuntodelcomentarioCar">
    <w:name w:val="Asunto del comentario Car"/>
    <w:link w:val="Asuntodelcomentario"/>
    <w:rsid w:val="0075120E"/>
    <w:rPr>
      <w:rFonts w:ascii="Arial" w:eastAsia="Times New Roman" w:hAnsi="Arial"/>
      <w:b/>
      <w:bCs/>
      <w:sz w:val="24"/>
      <w:szCs w:val="24"/>
      <w:lang w:eastAsia="es-CO"/>
    </w:rPr>
  </w:style>
  <w:style w:type="paragraph" w:customStyle="1" w:styleId="Cuadrculamulticolor-nfasis61">
    <w:name w:val="Cuadrícula multicolor - Énfasis 61"/>
    <w:hidden/>
    <w:uiPriority w:val="71"/>
    <w:rsid w:val="00653C13"/>
    <w:rPr>
      <w:rFonts w:ascii="Arial" w:eastAsia="Times New Roman" w:hAnsi="Arial"/>
      <w:sz w:val="16"/>
      <w:lang w:val="es-ES_tradnl"/>
    </w:rPr>
  </w:style>
  <w:style w:type="paragraph" w:customStyle="1" w:styleId="Cuadrculamulticolor-nfasis6">
    <w:name w:val="Cuadrícula multicolor - Énfasis 6"/>
    <w:hidden/>
    <w:uiPriority w:val="71"/>
    <w:rsid w:val="00780BCD"/>
    <w:rPr>
      <w:rFonts w:ascii="Arial" w:eastAsia="Times New Roman" w:hAnsi="Arial"/>
      <w:sz w:val="16"/>
      <w:lang w:val="es-ES_tradnl"/>
    </w:rPr>
  </w:style>
  <w:style w:type="character" w:customStyle="1" w:styleId="Ttulo1Car">
    <w:name w:val="Título 1 Car"/>
    <w:link w:val="Ttulo1"/>
    <w:rsid w:val="00411374"/>
    <w:rPr>
      <w:rFonts w:ascii="Arial" w:eastAsia="Times New Roman" w:hAnsi="Arial" w:cs="Times New Roman"/>
      <w:b/>
      <w:bCs/>
      <w:caps/>
      <w:kern w:val="32"/>
      <w:sz w:val="16"/>
      <w:szCs w:val="32"/>
      <w:lang w:val="es-ES_tradnl"/>
    </w:rPr>
  </w:style>
  <w:style w:type="character" w:customStyle="1" w:styleId="Ttulo2Car">
    <w:name w:val="Título 2 Car"/>
    <w:link w:val="Ttulo2"/>
    <w:rsid w:val="00411374"/>
    <w:rPr>
      <w:rFonts w:ascii="Arial" w:eastAsia="Times New Roman" w:hAnsi="Arial" w:cs="Times New Roman"/>
      <w:b/>
      <w:bCs/>
      <w:iCs/>
      <w:sz w:val="16"/>
      <w:szCs w:val="28"/>
      <w:lang w:val="es-ES_tradnl"/>
    </w:rPr>
  </w:style>
  <w:style w:type="paragraph" w:customStyle="1" w:styleId="Encabezadodetabladecontenido">
    <w:name w:val="Encabezado de tabla de contenido"/>
    <w:basedOn w:val="Ttulo1"/>
    <w:next w:val="Normal"/>
    <w:uiPriority w:val="39"/>
    <w:semiHidden/>
    <w:unhideWhenUsed/>
    <w:qFormat/>
    <w:rsid w:val="00386EB7"/>
    <w:pPr>
      <w:keepLines/>
      <w:spacing w:before="480" w:line="276" w:lineRule="auto"/>
      <w:outlineLvl w:val="9"/>
    </w:pPr>
    <w:rPr>
      <w:rFonts w:ascii="Cambria" w:hAnsi="Cambria"/>
      <w:caps w:val="0"/>
      <w:color w:val="365F91"/>
      <w:kern w:val="0"/>
      <w:sz w:val="28"/>
      <w:szCs w:val="28"/>
      <w:lang w:val="es-CO" w:eastAsia="es-CO"/>
    </w:rPr>
  </w:style>
  <w:style w:type="paragraph" w:styleId="TDC1">
    <w:name w:val="toc 1"/>
    <w:basedOn w:val="Normal"/>
    <w:next w:val="Normal"/>
    <w:autoRedefine/>
    <w:uiPriority w:val="39"/>
    <w:rsid w:val="00386EB7"/>
    <w:pPr>
      <w:spacing w:before="240" w:after="120"/>
    </w:pPr>
    <w:rPr>
      <w:b/>
      <w:bCs/>
    </w:rPr>
  </w:style>
  <w:style w:type="paragraph" w:styleId="TDC2">
    <w:name w:val="toc 2"/>
    <w:basedOn w:val="Normal"/>
    <w:next w:val="Normal"/>
    <w:autoRedefine/>
    <w:uiPriority w:val="39"/>
    <w:rsid w:val="00386EB7"/>
    <w:pPr>
      <w:ind w:left="160"/>
    </w:pPr>
    <w:rPr>
      <w:iCs/>
    </w:rPr>
  </w:style>
  <w:style w:type="character" w:styleId="Hipervnculo">
    <w:name w:val="Hyperlink"/>
    <w:uiPriority w:val="99"/>
    <w:unhideWhenUsed/>
    <w:rsid w:val="00386EB7"/>
    <w:rPr>
      <w:color w:val="0000FF"/>
      <w:u w:val="single"/>
    </w:rPr>
  </w:style>
  <w:style w:type="paragraph" w:styleId="TDC3">
    <w:name w:val="toc 3"/>
    <w:basedOn w:val="Normal"/>
    <w:next w:val="Normal"/>
    <w:autoRedefine/>
    <w:rsid w:val="00386EB7"/>
    <w:pPr>
      <w:ind w:left="320"/>
    </w:pPr>
    <w:rPr>
      <w:rFonts w:ascii="Calibri" w:hAnsi="Calibri"/>
      <w:sz w:val="20"/>
    </w:rPr>
  </w:style>
  <w:style w:type="paragraph" w:styleId="TDC4">
    <w:name w:val="toc 4"/>
    <w:basedOn w:val="Normal"/>
    <w:next w:val="Normal"/>
    <w:autoRedefine/>
    <w:rsid w:val="00386EB7"/>
    <w:pPr>
      <w:ind w:left="480"/>
    </w:pPr>
    <w:rPr>
      <w:rFonts w:ascii="Calibri" w:hAnsi="Calibri"/>
      <w:sz w:val="20"/>
    </w:rPr>
  </w:style>
  <w:style w:type="paragraph" w:styleId="TDC5">
    <w:name w:val="toc 5"/>
    <w:basedOn w:val="Normal"/>
    <w:next w:val="Normal"/>
    <w:autoRedefine/>
    <w:rsid w:val="00386EB7"/>
    <w:pPr>
      <w:ind w:left="640"/>
    </w:pPr>
    <w:rPr>
      <w:rFonts w:ascii="Calibri" w:hAnsi="Calibri"/>
      <w:sz w:val="20"/>
    </w:rPr>
  </w:style>
  <w:style w:type="paragraph" w:styleId="TDC6">
    <w:name w:val="toc 6"/>
    <w:basedOn w:val="Normal"/>
    <w:next w:val="Normal"/>
    <w:autoRedefine/>
    <w:rsid w:val="00386EB7"/>
    <w:pPr>
      <w:ind w:left="800"/>
    </w:pPr>
    <w:rPr>
      <w:rFonts w:ascii="Calibri" w:hAnsi="Calibri"/>
      <w:sz w:val="20"/>
    </w:rPr>
  </w:style>
  <w:style w:type="paragraph" w:styleId="TDC7">
    <w:name w:val="toc 7"/>
    <w:basedOn w:val="Normal"/>
    <w:next w:val="Normal"/>
    <w:autoRedefine/>
    <w:rsid w:val="00386EB7"/>
    <w:pPr>
      <w:ind w:left="960"/>
    </w:pPr>
    <w:rPr>
      <w:rFonts w:ascii="Calibri" w:hAnsi="Calibri"/>
      <w:sz w:val="20"/>
    </w:rPr>
  </w:style>
  <w:style w:type="paragraph" w:styleId="TDC8">
    <w:name w:val="toc 8"/>
    <w:basedOn w:val="Normal"/>
    <w:next w:val="Normal"/>
    <w:autoRedefine/>
    <w:rsid w:val="00386EB7"/>
    <w:pPr>
      <w:ind w:left="1120"/>
    </w:pPr>
    <w:rPr>
      <w:rFonts w:ascii="Calibri" w:hAnsi="Calibri"/>
      <w:sz w:val="20"/>
    </w:rPr>
  </w:style>
  <w:style w:type="paragraph" w:styleId="TDC9">
    <w:name w:val="toc 9"/>
    <w:basedOn w:val="Normal"/>
    <w:next w:val="Normal"/>
    <w:autoRedefine/>
    <w:rsid w:val="00386EB7"/>
    <w:pPr>
      <w:ind w:left="1280"/>
    </w:pPr>
    <w:rPr>
      <w:rFonts w:ascii="Calibri" w:hAnsi="Calibri"/>
      <w:sz w:val="20"/>
    </w:rPr>
  </w:style>
  <w:style w:type="paragraph" w:customStyle="1" w:styleId="Listaoscura-nfasis610">
    <w:name w:val="Lista oscura - Énfasis 61"/>
    <w:uiPriority w:val="1"/>
    <w:qFormat/>
    <w:rsid w:val="005B49FD"/>
    <w:rPr>
      <w:rFonts w:ascii="Arial" w:eastAsia="Times New Roman" w:hAnsi="Arial"/>
      <w:sz w:val="16"/>
      <w:lang w:val="es-ES_tradnl"/>
    </w:rPr>
  </w:style>
  <w:style w:type="character" w:customStyle="1" w:styleId="baj1">
    <w:name w:val="b_aj1"/>
    <w:rsid w:val="00E04883"/>
    <w:rPr>
      <w:b/>
      <w:bCs/>
      <w:color w:val="000000"/>
    </w:rPr>
  </w:style>
  <w:style w:type="paragraph" w:styleId="Prrafodelista">
    <w:name w:val="List Paragraph"/>
    <w:basedOn w:val="Normal"/>
    <w:uiPriority w:val="99"/>
    <w:qFormat/>
    <w:rsid w:val="001D1565"/>
    <w:pPr>
      <w:suppressAutoHyphens/>
      <w:autoSpaceDN w:val="0"/>
      <w:ind w:left="720"/>
      <w:textAlignment w:val="baseline"/>
    </w:pPr>
    <w:rPr>
      <w:rFonts w:ascii="Times New Roman" w:hAnsi="Times New Roman"/>
      <w:sz w:val="24"/>
      <w:szCs w:val="24"/>
      <w:lang w:val="es-ES" w:eastAsia="es-ES"/>
    </w:rPr>
  </w:style>
  <w:style w:type="paragraph" w:styleId="Revisin">
    <w:name w:val="Revision"/>
    <w:hidden/>
    <w:uiPriority w:val="99"/>
    <w:semiHidden/>
    <w:rsid w:val="000A455E"/>
    <w:rPr>
      <w:rFonts w:ascii="Arial" w:eastAsia="Times New Roman" w:hAnsi="Arial"/>
      <w:sz w:val="16"/>
      <w:lang w:val="es-ES_tradnl"/>
    </w:rPr>
  </w:style>
  <w:style w:type="character" w:customStyle="1" w:styleId="Ninguno">
    <w:name w:val="Ninguno"/>
    <w:rsid w:val="00E43278"/>
    <w:rPr>
      <w:lang w:val="es-ES_tradnl"/>
    </w:rPr>
  </w:style>
  <w:style w:type="paragraph" w:customStyle="1" w:styleId="Cuerpo">
    <w:name w:val="Cuerpo"/>
    <w:rsid w:val="00E43278"/>
    <w:pPr>
      <w:pBdr>
        <w:top w:val="nil"/>
        <w:left w:val="nil"/>
        <w:bottom w:val="nil"/>
        <w:right w:val="nil"/>
        <w:between w:val="nil"/>
        <w:bar w:val="nil"/>
      </w:pBdr>
    </w:pPr>
    <w:rPr>
      <w:rFonts w:ascii="Courier New" w:eastAsia="Arial Unicode MS" w:hAnsi="Courier New" w:cs="Arial Unicode MS"/>
      <w:color w:val="000000"/>
      <w:sz w:val="24"/>
      <w:szCs w:val="24"/>
      <w:u w:color="000000"/>
      <w:bdr w:val="nil"/>
      <w:lang w:val="es-ES_tradnl" w:eastAsia="es-ES"/>
    </w:rPr>
  </w:style>
  <w:style w:type="character" w:customStyle="1" w:styleId="elema1">
    <w:name w:val="elema1"/>
    <w:rsid w:val="00A82316"/>
    <w:rPr>
      <w:color w:val="0000FF"/>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870421">
      <w:bodyDiv w:val="1"/>
      <w:marLeft w:val="0"/>
      <w:marRight w:val="0"/>
      <w:marTop w:val="0"/>
      <w:marBottom w:val="0"/>
      <w:divBdr>
        <w:top w:val="none" w:sz="0" w:space="0" w:color="auto"/>
        <w:left w:val="none" w:sz="0" w:space="0" w:color="auto"/>
        <w:bottom w:val="none" w:sz="0" w:space="0" w:color="auto"/>
        <w:right w:val="none" w:sz="0" w:space="0" w:color="auto"/>
      </w:divBdr>
    </w:div>
    <w:div w:id="116292483">
      <w:bodyDiv w:val="1"/>
      <w:marLeft w:val="0"/>
      <w:marRight w:val="0"/>
      <w:marTop w:val="0"/>
      <w:marBottom w:val="0"/>
      <w:divBdr>
        <w:top w:val="none" w:sz="0" w:space="0" w:color="auto"/>
        <w:left w:val="none" w:sz="0" w:space="0" w:color="auto"/>
        <w:bottom w:val="none" w:sz="0" w:space="0" w:color="auto"/>
        <w:right w:val="none" w:sz="0" w:space="0" w:color="auto"/>
      </w:divBdr>
      <w:divsChild>
        <w:div w:id="1268540666">
          <w:marLeft w:val="0"/>
          <w:marRight w:val="0"/>
          <w:marTop w:val="0"/>
          <w:marBottom w:val="0"/>
          <w:divBdr>
            <w:top w:val="none" w:sz="0" w:space="0" w:color="auto"/>
            <w:left w:val="none" w:sz="0" w:space="0" w:color="auto"/>
            <w:bottom w:val="none" w:sz="0" w:space="0" w:color="auto"/>
            <w:right w:val="none" w:sz="0" w:space="0" w:color="auto"/>
          </w:divBdr>
        </w:div>
        <w:div w:id="1999458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23B61-0331-4710-80EE-F0F19D3B1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3052</Words>
  <Characters>16791</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2018-09-28T01:14:00Z</dcterms:created>
  <dcterms:modified xsi:type="dcterms:W3CDTF">2018-11-23T16:57:00Z</dcterms:modified>
</cp:coreProperties>
</file>