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AB4" w:rsidRPr="00BE560A" w:rsidRDefault="00B22AB4" w:rsidP="00CE5BA7">
      <w:pPr>
        <w:ind w:left="142"/>
        <w:rPr>
          <w:rFonts w:ascii="Arial" w:hAnsi="Arial" w:cs="Arial"/>
          <w:sz w:val="18"/>
          <w:szCs w:val="22"/>
        </w:rPr>
      </w:pPr>
    </w:p>
    <w:p w:rsidR="003D0DAD" w:rsidRPr="00BE560A" w:rsidRDefault="003D0DAD" w:rsidP="003D0DAD">
      <w:pPr>
        <w:widowControl w:val="0"/>
        <w:adjustRightInd w:val="0"/>
        <w:jc w:val="center"/>
        <w:outlineLvl w:val="0"/>
        <w:rPr>
          <w:rFonts w:ascii="Arial" w:hAnsi="Arial" w:cs="Arial"/>
          <w:b/>
          <w:bCs/>
          <w:sz w:val="18"/>
          <w:szCs w:val="24"/>
        </w:rPr>
      </w:pPr>
      <w:r w:rsidRPr="00BE560A">
        <w:rPr>
          <w:rFonts w:ascii="Arial" w:hAnsi="Arial" w:cs="Arial"/>
          <w:b/>
          <w:bCs/>
          <w:sz w:val="18"/>
          <w:szCs w:val="24"/>
        </w:rPr>
        <w:t xml:space="preserve">ANEXO </w:t>
      </w:r>
      <w:r w:rsidR="0022165F">
        <w:rPr>
          <w:rFonts w:ascii="Arial" w:hAnsi="Arial" w:cs="Arial"/>
          <w:b/>
          <w:bCs/>
          <w:sz w:val="18"/>
          <w:szCs w:val="24"/>
        </w:rPr>
        <w:t>1</w:t>
      </w:r>
    </w:p>
    <w:p w:rsidR="003D0DAD" w:rsidRPr="00BE560A" w:rsidRDefault="003D0DAD" w:rsidP="001E75F8">
      <w:pPr>
        <w:widowControl w:val="0"/>
        <w:adjustRightInd w:val="0"/>
        <w:jc w:val="center"/>
        <w:outlineLvl w:val="0"/>
        <w:rPr>
          <w:rFonts w:ascii="Arial" w:hAnsi="Arial" w:cs="Arial"/>
          <w:b/>
          <w:bCs/>
          <w:sz w:val="18"/>
          <w:szCs w:val="24"/>
        </w:rPr>
      </w:pPr>
    </w:p>
    <w:p w:rsidR="00C75DAF" w:rsidRDefault="000B1B62" w:rsidP="001E75F8">
      <w:pPr>
        <w:pStyle w:val="Textoindependiente"/>
        <w:jc w:val="center"/>
        <w:rPr>
          <w:b/>
          <w:bCs/>
          <w:sz w:val="18"/>
          <w:lang w:val="es-ES_tradnl"/>
        </w:rPr>
      </w:pPr>
      <w:r w:rsidRPr="00BE560A">
        <w:rPr>
          <w:b/>
          <w:bCs/>
          <w:sz w:val="18"/>
          <w:lang w:val="es-ES_tradnl"/>
        </w:rPr>
        <w:t>INSTRUCCIONES</w:t>
      </w:r>
      <w:r w:rsidR="00F41AE0" w:rsidRPr="00BE560A">
        <w:rPr>
          <w:b/>
          <w:bCs/>
          <w:sz w:val="18"/>
          <w:lang w:val="es-ES_tradnl"/>
        </w:rPr>
        <w:t xml:space="preserve"> PARA SOLICITAR </w:t>
      </w:r>
      <w:r w:rsidR="003D0DAD" w:rsidRPr="00BE560A">
        <w:rPr>
          <w:b/>
          <w:bCs/>
          <w:sz w:val="18"/>
          <w:lang w:val="es-ES_tradnl"/>
        </w:rPr>
        <w:t xml:space="preserve">LA CLASIFICACIÓN </w:t>
      </w:r>
    </w:p>
    <w:p w:rsidR="003D0DAD" w:rsidRPr="00BE560A" w:rsidRDefault="003D0DAD" w:rsidP="001E75F8">
      <w:pPr>
        <w:pStyle w:val="Textoindependiente"/>
        <w:jc w:val="center"/>
        <w:rPr>
          <w:b/>
          <w:bCs/>
          <w:sz w:val="18"/>
        </w:rPr>
      </w:pPr>
      <w:r w:rsidRPr="00BE560A">
        <w:rPr>
          <w:b/>
          <w:bCs/>
          <w:sz w:val="18"/>
          <w:lang w:val="es-ES_tradnl"/>
        </w:rPr>
        <w:t>DE LOS INSTRUMENTOS DE CAPITAL</w:t>
      </w:r>
      <w:r w:rsidR="005204A7">
        <w:rPr>
          <w:b/>
          <w:bCs/>
          <w:sz w:val="18"/>
          <w:lang w:val="es-ES_tradnl"/>
        </w:rPr>
        <w:t xml:space="preserve"> </w:t>
      </w:r>
      <w:r w:rsidR="00583F92" w:rsidRPr="00BE560A">
        <w:rPr>
          <w:b/>
          <w:bCs/>
          <w:sz w:val="18"/>
          <w:lang w:val="es-ES_tradnl"/>
        </w:rPr>
        <w:t>EN EL PATRIMONIO TÉCNICO</w:t>
      </w:r>
    </w:p>
    <w:p w:rsidR="003D0DAD" w:rsidRPr="00C75DAF" w:rsidRDefault="003D0DAD" w:rsidP="003D0DAD">
      <w:pPr>
        <w:widowControl w:val="0"/>
        <w:adjustRightInd w:val="0"/>
        <w:jc w:val="both"/>
        <w:rPr>
          <w:rFonts w:ascii="Arial" w:hAnsi="Arial" w:cs="Arial"/>
          <w:sz w:val="18"/>
          <w:szCs w:val="24"/>
          <w:lang w:val="es-CO"/>
        </w:rPr>
      </w:pPr>
    </w:p>
    <w:p w:rsidR="003D0DAD" w:rsidRPr="00BE560A" w:rsidRDefault="003D0DAD" w:rsidP="003D0DAD">
      <w:pPr>
        <w:widowControl w:val="0"/>
        <w:adjustRightInd w:val="0"/>
        <w:jc w:val="both"/>
        <w:rPr>
          <w:rFonts w:ascii="Arial" w:hAnsi="Arial" w:cs="Arial"/>
          <w:sz w:val="18"/>
          <w:szCs w:val="24"/>
        </w:rPr>
      </w:pPr>
    </w:p>
    <w:p w:rsidR="00F54755" w:rsidRPr="0022165F" w:rsidRDefault="00F54755" w:rsidP="0022165F">
      <w:pPr>
        <w:pStyle w:val="Textoindependiente"/>
        <w:tabs>
          <w:tab w:val="left" w:pos="0"/>
        </w:tabs>
        <w:rPr>
          <w:sz w:val="18"/>
          <w:lang w:val="es-ES"/>
        </w:rPr>
      </w:pPr>
      <w:r w:rsidRPr="0022165F">
        <w:rPr>
          <w:rFonts w:cs="Arial"/>
          <w:sz w:val="18"/>
          <w:szCs w:val="22"/>
        </w:rPr>
        <w:t>Las entidades de las que trata el presente Capítulo</w:t>
      </w:r>
      <w:r w:rsidRPr="0022165F">
        <w:rPr>
          <w:sz w:val="18"/>
          <w:lang w:val="es-ES"/>
        </w:rPr>
        <w:t xml:space="preserve"> deben presentar ante la</w:t>
      </w:r>
      <w:r w:rsidR="00BE560A" w:rsidRPr="0022165F">
        <w:rPr>
          <w:sz w:val="18"/>
          <w:lang w:val="es-ES"/>
        </w:rPr>
        <w:t xml:space="preserve"> Superintendencia</w:t>
      </w:r>
      <w:r w:rsidRPr="0022165F">
        <w:rPr>
          <w:sz w:val="18"/>
          <w:lang w:val="es-ES"/>
        </w:rPr>
        <w:t xml:space="preserve"> Financiera de Colombia (SFC) la solicitud de clasificación de los instrumentos de capital regulatorio </w:t>
      </w:r>
      <w:r w:rsidR="001F3B40" w:rsidRPr="0022165F">
        <w:rPr>
          <w:sz w:val="18"/>
          <w:lang w:val="es-ES"/>
        </w:rPr>
        <w:t>a los que hace referencia el artículo 2.1.1.1.6 del Decreto 2555 de 2010</w:t>
      </w:r>
      <w:r w:rsidRPr="0022165F">
        <w:rPr>
          <w:sz w:val="18"/>
          <w:lang w:val="es-ES"/>
        </w:rPr>
        <w:t xml:space="preserve"> para el cómputo de los mismos en el Patrimonio Básico Ordinario </w:t>
      </w:r>
      <w:r w:rsidR="00AD4B6C">
        <w:rPr>
          <w:sz w:val="18"/>
          <w:lang w:val="es-ES"/>
        </w:rPr>
        <w:t xml:space="preserve">neto de deducciones </w:t>
      </w:r>
      <w:r w:rsidRPr="0022165F">
        <w:rPr>
          <w:sz w:val="18"/>
          <w:lang w:val="es-ES"/>
        </w:rPr>
        <w:t>(PBO), Patrimonio Básico Adicional (PBA) o Patrimonio Adicional (PA).</w:t>
      </w:r>
    </w:p>
    <w:p w:rsidR="003D0DAD" w:rsidRPr="00BE560A" w:rsidRDefault="003D0DAD" w:rsidP="003D0DAD">
      <w:pPr>
        <w:pStyle w:val="Textoindependiente"/>
        <w:rPr>
          <w:sz w:val="18"/>
          <w:lang w:val="es-ES"/>
        </w:rPr>
      </w:pPr>
    </w:p>
    <w:p w:rsidR="003D0DAD" w:rsidRPr="00BE560A" w:rsidRDefault="003D0DAD" w:rsidP="0022165F">
      <w:pPr>
        <w:pStyle w:val="Textoindependiente"/>
        <w:rPr>
          <w:sz w:val="18"/>
          <w:lang w:val="es-ES"/>
        </w:rPr>
      </w:pPr>
      <w:r w:rsidRPr="00BE560A">
        <w:rPr>
          <w:sz w:val="18"/>
          <w:lang w:val="es-ES"/>
        </w:rPr>
        <w:t xml:space="preserve">Para el efecto, deben remitir </w:t>
      </w:r>
      <w:r w:rsidR="00F51486" w:rsidRPr="00BE560A">
        <w:rPr>
          <w:sz w:val="18"/>
          <w:lang w:val="es-ES"/>
        </w:rPr>
        <w:t xml:space="preserve">a la Delegatura para Intermediarios Financieros </w:t>
      </w:r>
      <w:r w:rsidRPr="00BE560A">
        <w:rPr>
          <w:sz w:val="18"/>
          <w:lang w:val="es-ES"/>
        </w:rPr>
        <w:t>una comunicación oficial, firmada por el rep</w:t>
      </w:r>
      <w:r w:rsidR="00F51486" w:rsidRPr="00BE560A">
        <w:rPr>
          <w:sz w:val="18"/>
          <w:lang w:val="es-ES"/>
        </w:rPr>
        <w:t>resentante legal de la entidad,</w:t>
      </w:r>
      <w:r w:rsidRPr="00BE560A">
        <w:rPr>
          <w:sz w:val="18"/>
          <w:lang w:val="es-ES"/>
        </w:rPr>
        <w:t xml:space="preserve"> en la cual se incorpore la siguiente información para cada uno de los instrumentos: </w:t>
      </w:r>
    </w:p>
    <w:p w:rsidR="003D0DAD" w:rsidRPr="00BE560A" w:rsidRDefault="003D0DAD" w:rsidP="0022165F">
      <w:pPr>
        <w:pStyle w:val="Textoindependiente"/>
        <w:rPr>
          <w:sz w:val="18"/>
          <w:lang w:val="es-ES"/>
        </w:rPr>
      </w:pPr>
    </w:p>
    <w:p w:rsidR="003D0DAD" w:rsidRPr="00BE560A" w:rsidRDefault="003D0DAD" w:rsidP="0022165F">
      <w:pPr>
        <w:pStyle w:val="Textoindependiente"/>
        <w:numPr>
          <w:ilvl w:val="0"/>
          <w:numId w:val="4"/>
        </w:numPr>
        <w:autoSpaceDE/>
        <w:autoSpaceDN/>
        <w:ind w:left="426" w:hanging="426"/>
        <w:rPr>
          <w:sz w:val="18"/>
          <w:lang w:val="es-ES"/>
        </w:rPr>
      </w:pPr>
      <w:r w:rsidRPr="00BE560A">
        <w:rPr>
          <w:sz w:val="18"/>
          <w:lang w:val="es-ES"/>
        </w:rPr>
        <w:t>Propuesta de clasificación del instrumento de capital en PBO, PBA o PA.</w:t>
      </w:r>
    </w:p>
    <w:p w:rsidR="003D0DAD" w:rsidRPr="00BE560A" w:rsidRDefault="003D0DAD" w:rsidP="0022165F">
      <w:pPr>
        <w:pStyle w:val="Textoindependiente"/>
        <w:ind w:left="426"/>
        <w:rPr>
          <w:sz w:val="18"/>
          <w:lang w:val="es-ES"/>
        </w:rPr>
      </w:pPr>
    </w:p>
    <w:p w:rsidR="003D0DAD" w:rsidRPr="00BE560A" w:rsidRDefault="003D0DAD" w:rsidP="0022165F">
      <w:pPr>
        <w:pStyle w:val="Textoindependiente"/>
        <w:numPr>
          <w:ilvl w:val="0"/>
          <w:numId w:val="4"/>
        </w:numPr>
        <w:autoSpaceDE/>
        <w:autoSpaceDN/>
        <w:ind w:left="426" w:hanging="426"/>
        <w:rPr>
          <w:sz w:val="18"/>
          <w:lang w:val="es-ES"/>
        </w:rPr>
      </w:pPr>
      <w:r w:rsidRPr="00BE560A">
        <w:rPr>
          <w:sz w:val="18"/>
          <w:lang w:val="es-ES"/>
        </w:rPr>
        <w:t xml:space="preserve">Exposición de las </w:t>
      </w:r>
      <w:r w:rsidRPr="0022165F">
        <w:rPr>
          <w:sz w:val="18"/>
          <w:lang w:val="es-ES"/>
        </w:rPr>
        <w:t>razones que sustentan la propuesta del literal a), para lo cual deben tener en cuenta el cumplimiento de los criterios señalados en los artículos 2.1.1.1.7, 2.1.1.1.8</w:t>
      </w:r>
      <w:r w:rsidR="001F3B40" w:rsidRPr="0022165F">
        <w:rPr>
          <w:sz w:val="18"/>
          <w:lang w:val="es-ES"/>
        </w:rPr>
        <w:t>,</w:t>
      </w:r>
      <w:r w:rsidRPr="0022165F">
        <w:rPr>
          <w:sz w:val="18"/>
          <w:lang w:val="es-ES"/>
        </w:rPr>
        <w:t xml:space="preserve"> 2.1.1.1.9</w:t>
      </w:r>
      <w:r w:rsidR="001F3B40" w:rsidRPr="0022165F">
        <w:rPr>
          <w:sz w:val="18"/>
          <w:lang w:val="es-ES"/>
        </w:rPr>
        <w:t>, 2.1.1.1.12 y 2.1.1.1.13</w:t>
      </w:r>
      <w:r w:rsidR="00C75DAF" w:rsidRPr="0022165F">
        <w:rPr>
          <w:sz w:val="18"/>
          <w:lang w:val="es-ES"/>
        </w:rPr>
        <w:t xml:space="preserve"> del Decreto 2555 de 2010, así como lo</w:t>
      </w:r>
      <w:r w:rsidR="0085349A" w:rsidRPr="0022165F">
        <w:rPr>
          <w:sz w:val="18"/>
          <w:lang w:val="es-ES"/>
        </w:rPr>
        <w:t xml:space="preserve">s previstos en </w:t>
      </w:r>
      <w:r w:rsidR="0085349A" w:rsidRPr="00762EC8">
        <w:rPr>
          <w:sz w:val="18"/>
          <w:lang w:val="es-ES"/>
        </w:rPr>
        <w:t>el subnumeral 2.</w:t>
      </w:r>
      <w:r w:rsidR="0022165F" w:rsidRPr="00762EC8">
        <w:rPr>
          <w:sz w:val="18"/>
          <w:lang w:val="es-ES"/>
        </w:rPr>
        <w:t>3</w:t>
      </w:r>
      <w:r w:rsidR="0085349A" w:rsidRPr="00762EC8">
        <w:rPr>
          <w:sz w:val="18"/>
          <w:lang w:val="es-ES"/>
        </w:rPr>
        <w:t>.1</w:t>
      </w:r>
      <w:r w:rsidR="00C75DAF" w:rsidRPr="00762EC8">
        <w:rPr>
          <w:sz w:val="18"/>
          <w:lang w:val="es-ES"/>
        </w:rPr>
        <w:t xml:space="preserve"> del presente</w:t>
      </w:r>
      <w:r w:rsidR="00C75DAF" w:rsidRPr="0022165F">
        <w:rPr>
          <w:sz w:val="18"/>
          <w:lang w:val="es-ES"/>
        </w:rPr>
        <w:t xml:space="preserve"> capítulo.</w:t>
      </w:r>
    </w:p>
    <w:p w:rsidR="003D0DAD" w:rsidRPr="00BE560A" w:rsidRDefault="003D0DAD" w:rsidP="0022165F">
      <w:pPr>
        <w:pStyle w:val="Textoindependiente"/>
        <w:rPr>
          <w:sz w:val="18"/>
          <w:lang w:val="es-ES"/>
        </w:rPr>
      </w:pPr>
    </w:p>
    <w:p w:rsidR="003D0DAD" w:rsidRPr="00BE560A" w:rsidRDefault="003D0DAD" w:rsidP="0022165F">
      <w:pPr>
        <w:pStyle w:val="Textoindependiente"/>
        <w:numPr>
          <w:ilvl w:val="0"/>
          <w:numId w:val="4"/>
        </w:numPr>
        <w:autoSpaceDE/>
        <w:autoSpaceDN/>
        <w:ind w:left="426" w:hanging="426"/>
        <w:rPr>
          <w:sz w:val="18"/>
          <w:lang w:val="es-ES"/>
        </w:rPr>
      </w:pPr>
      <w:r w:rsidRPr="00BE560A">
        <w:rPr>
          <w:sz w:val="18"/>
          <w:lang w:val="es-ES"/>
        </w:rPr>
        <w:t>Evidencia documental que soporte las razones señaladas en el literal b).</w:t>
      </w:r>
    </w:p>
    <w:p w:rsidR="003D0DAD" w:rsidRPr="00BE560A" w:rsidRDefault="003D0DAD" w:rsidP="0022165F">
      <w:pPr>
        <w:pStyle w:val="Textoindependiente"/>
        <w:rPr>
          <w:sz w:val="18"/>
          <w:lang w:val="es-ES"/>
        </w:rPr>
      </w:pPr>
    </w:p>
    <w:p w:rsidR="003D0DAD" w:rsidRPr="0022165F" w:rsidRDefault="003D0DAD" w:rsidP="0022165F">
      <w:pPr>
        <w:pStyle w:val="Textoindependiente"/>
        <w:numPr>
          <w:ilvl w:val="0"/>
          <w:numId w:val="4"/>
        </w:numPr>
        <w:autoSpaceDE/>
        <w:autoSpaceDN/>
        <w:ind w:left="426" w:hanging="426"/>
        <w:rPr>
          <w:sz w:val="18"/>
        </w:rPr>
      </w:pPr>
      <w:r w:rsidRPr="00BE560A">
        <w:rPr>
          <w:sz w:val="18"/>
          <w:lang w:val="es-ES"/>
        </w:rPr>
        <w:t>Prospecto de emisión de cada instrumento. Sin embargo, cuando los</w:t>
      </w:r>
      <w:r w:rsidRPr="00BE560A">
        <w:rPr>
          <w:sz w:val="18"/>
        </w:rPr>
        <w:t xml:space="preserve"> prospectos de emisión aprobados se encuentren en la Superintendencia y contengan parte de la información solicitada, no se requerirá el envío del mismo, sino que bastará que en la solicitud se referencien los apartes en los cuales se puede verificar dicha información y se </w:t>
      </w:r>
      <w:r w:rsidRPr="0022165F">
        <w:rPr>
          <w:sz w:val="18"/>
        </w:rPr>
        <w:t>identifique el prospecto correspondiente.</w:t>
      </w:r>
    </w:p>
    <w:p w:rsidR="003D0DAD" w:rsidRPr="0022165F" w:rsidRDefault="003D0DAD" w:rsidP="0022165F">
      <w:pPr>
        <w:pStyle w:val="Textoindependiente"/>
        <w:rPr>
          <w:sz w:val="18"/>
        </w:rPr>
      </w:pPr>
    </w:p>
    <w:p w:rsidR="003D0DAD" w:rsidRPr="0022165F" w:rsidRDefault="003D0DAD" w:rsidP="0022165F">
      <w:pPr>
        <w:pStyle w:val="Textoindependiente"/>
        <w:rPr>
          <w:sz w:val="18"/>
        </w:rPr>
      </w:pPr>
      <w:r w:rsidRPr="0022165F">
        <w:rPr>
          <w:sz w:val="18"/>
        </w:rPr>
        <w:t>Se recuerda que la SFC evaluará la solicitud a la luz de la información proporcionada por la entidad y de</w:t>
      </w:r>
      <w:r w:rsidR="00C75DAF" w:rsidRPr="0022165F">
        <w:rPr>
          <w:sz w:val="18"/>
        </w:rPr>
        <w:t>l cumplimiento de</w:t>
      </w:r>
      <w:r w:rsidRPr="0022165F">
        <w:rPr>
          <w:sz w:val="18"/>
        </w:rPr>
        <w:t xml:space="preserve"> los criterios señalados</w:t>
      </w:r>
      <w:r w:rsidR="00C75DAF" w:rsidRPr="0022165F">
        <w:rPr>
          <w:sz w:val="18"/>
        </w:rPr>
        <w:t xml:space="preserve"> en el literal b) del presente anexo</w:t>
      </w:r>
      <w:r w:rsidRPr="0022165F">
        <w:rPr>
          <w:sz w:val="18"/>
        </w:rPr>
        <w:t xml:space="preserve">. Los instrumentos que la SFC no clasifique en el capital regulatorio no </w:t>
      </w:r>
      <w:r w:rsidR="00F54755" w:rsidRPr="0022165F">
        <w:rPr>
          <w:sz w:val="18"/>
        </w:rPr>
        <w:t>computarán</w:t>
      </w:r>
      <w:r w:rsidR="008F7176" w:rsidRPr="0022165F">
        <w:rPr>
          <w:sz w:val="18"/>
        </w:rPr>
        <w:t xml:space="preserve"> </w:t>
      </w:r>
      <w:r w:rsidR="00206D4D" w:rsidRPr="0022165F">
        <w:rPr>
          <w:sz w:val="18"/>
        </w:rPr>
        <w:t xml:space="preserve">en el </w:t>
      </w:r>
      <w:r w:rsidR="00F54755" w:rsidRPr="0022165F">
        <w:rPr>
          <w:sz w:val="18"/>
        </w:rPr>
        <w:t xml:space="preserve">Patrimonio Técnico </w:t>
      </w:r>
      <w:r w:rsidR="00206D4D" w:rsidRPr="0022165F">
        <w:rPr>
          <w:sz w:val="18"/>
        </w:rPr>
        <w:t>de la entidad</w:t>
      </w:r>
      <w:r w:rsidRPr="0022165F">
        <w:rPr>
          <w:sz w:val="18"/>
        </w:rPr>
        <w:t>.</w:t>
      </w:r>
    </w:p>
    <w:p w:rsidR="008F7176" w:rsidRPr="0022165F" w:rsidRDefault="008F7176" w:rsidP="0022165F">
      <w:pPr>
        <w:pStyle w:val="Textoindependiente"/>
        <w:tabs>
          <w:tab w:val="left" w:pos="284"/>
        </w:tabs>
        <w:autoSpaceDE/>
        <w:autoSpaceDN/>
        <w:rPr>
          <w:sz w:val="18"/>
        </w:rPr>
      </w:pPr>
    </w:p>
    <w:p w:rsidR="003D0DAD" w:rsidRPr="0022165F" w:rsidRDefault="003D0DAD" w:rsidP="0022165F">
      <w:pPr>
        <w:pStyle w:val="Textoindependiente"/>
        <w:tabs>
          <w:tab w:val="left" w:pos="284"/>
        </w:tabs>
        <w:autoSpaceDE/>
        <w:autoSpaceDN/>
        <w:rPr>
          <w:sz w:val="18"/>
          <w:lang w:val="es-ES"/>
        </w:rPr>
      </w:pPr>
      <w:r w:rsidRPr="0022165F">
        <w:rPr>
          <w:sz w:val="18"/>
          <w:lang w:val="es-ES"/>
        </w:rPr>
        <w:t>La SFC clasificará los instrumentos presentados por las entidades de acuerdo a lo previsto anteriormente. Sin embargo, se podrá modificar dicha clasificación si existe evidencia de situaciones que afecten el cumplimiento de los criterios señalados en los artículos 2.1.1.1.7, 2.1.1.1.8</w:t>
      </w:r>
      <w:r w:rsidR="00C75DAF" w:rsidRPr="0022165F">
        <w:rPr>
          <w:sz w:val="18"/>
          <w:lang w:val="es-ES"/>
        </w:rPr>
        <w:t>,</w:t>
      </w:r>
      <w:r w:rsidRPr="0022165F">
        <w:rPr>
          <w:sz w:val="18"/>
          <w:lang w:val="es-ES"/>
        </w:rPr>
        <w:t xml:space="preserve"> 2.1.1.1.9</w:t>
      </w:r>
      <w:r w:rsidR="00C75DAF" w:rsidRPr="0022165F">
        <w:rPr>
          <w:sz w:val="18"/>
          <w:lang w:val="es-ES"/>
        </w:rPr>
        <w:t>, 2.1.1.1.12 y 2.1.1.1.13 del Decreto 2555 de 2010, así como lo</w:t>
      </w:r>
      <w:r w:rsidR="0085349A" w:rsidRPr="0022165F">
        <w:rPr>
          <w:sz w:val="18"/>
          <w:lang w:val="es-ES"/>
        </w:rPr>
        <w:t>s previstos en el subnumeral 2.</w:t>
      </w:r>
      <w:r w:rsidR="0022165F">
        <w:rPr>
          <w:sz w:val="18"/>
          <w:lang w:val="es-ES"/>
        </w:rPr>
        <w:t>3</w:t>
      </w:r>
      <w:r w:rsidR="0085349A" w:rsidRPr="0022165F">
        <w:rPr>
          <w:sz w:val="18"/>
          <w:lang w:val="es-ES"/>
        </w:rPr>
        <w:t>.1</w:t>
      </w:r>
      <w:r w:rsidR="00C75DAF" w:rsidRPr="0022165F">
        <w:rPr>
          <w:sz w:val="18"/>
          <w:lang w:val="es-ES"/>
        </w:rPr>
        <w:t xml:space="preserve"> del presente capítulo</w:t>
      </w:r>
      <w:r w:rsidRPr="0022165F">
        <w:rPr>
          <w:sz w:val="18"/>
          <w:lang w:val="es-ES"/>
        </w:rPr>
        <w:t>.</w:t>
      </w:r>
    </w:p>
    <w:p w:rsidR="003D0DAD" w:rsidRPr="0022165F" w:rsidRDefault="003D0DAD" w:rsidP="0022165F">
      <w:pPr>
        <w:pStyle w:val="Textoindependiente"/>
        <w:rPr>
          <w:sz w:val="18"/>
        </w:rPr>
      </w:pPr>
    </w:p>
    <w:p w:rsidR="003D0DAD" w:rsidRPr="00BE560A" w:rsidRDefault="003D0DAD" w:rsidP="003D0DAD">
      <w:pPr>
        <w:jc w:val="both"/>
        <w:rPr>
          <w:rFonts w:ascii="Arial" w:hAnsi="Arial" w:cs="Arial"/>
          <w:sz w:val="18"/>
          <w:szCs w:val="22"/>
          <w:lang w:val="es-CO"/>
        </w:rPr>
      </w:pPr>
      <w:r w:rsidRPr="00BE560A">
        <w:rPr>
          <w:rFonts w:ascii="Arial" w:hAnsi="Arial" w:cs="Arial"/>
          <w:sz w:val="18"/>
          <w:szCs w:val="22"/>
          <w:lang w:val="es-CO"/>
        </w:rPr>
        <w:t xml:space="preserve">La solicitud de clasificación de los instrumentos de capital regulatorio debe remitirse a esta Superintendencia </w:t>
      </w:r>
      <w:r w:rsidRPr="00BE560A">
        <w:rPr>
          <w:rFonts w:ascii="Arial" w:hAnsi="Arial" w:cs="Arial"/>
          <w:sz w:val="18"/>
          <w:szCs w:val="22"/>
        </w:rPr>
        <w:t xml:space="preserve">a través del trámite 126 “Solvencia para establecimientos de crédito”. </w:t>
      </w:r>
    </w:p>
    <w:p w:rsidR="00E7381E" w:rsidRPr="00BE560A" w:rsidRDefault="00E7381E" w:rsidP="003D0DAD">
      <w:pPr>
        <w:pStyle w:val="Ttulo1"/>
        <w:rPr>
          <w:rFonts w:ascii="Arial" w:hAnsi="Arial" w:cs="Arial"/>
          <w:sz w:val="18"/>
          <w:szCs w:val="22"/>
          <w:lang w:val="es-CO"/>
        </w:rPr>
      </w:pPr>
      <w:bookmarkStart w:id="0" w:name="_GoBack"/>
      <w:bookmarkEnd w:id="0"/>
    </w:p>
    <w:sectPr w:rsidR="00E7381E" w:rsidRPr="00BE560A" w:rsidSect="00CE5BA7">
      <w:headerReference w:type="default" r:id="rId8"/>
      <w:footerReference w:type="default" r:id="rId9"/>
      <w:headerReference w:type="first" r:id="rId10"/>
      <w:footerReference w:type="first" r:id="rId11"/>
      <w:pgSz w:w="12242" w:h="18722" w:code="14"/>
      <w:pgMar w:top="1145" w:right="1134" w:bottom="1701" w:left="1701" w:header="567"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E04" w:rsidRDefault="007E6E04">
      <w:r>
        <w:separator/>
      </w:r>
    </w:p>
  </w:endnote>
  <w:endnote w:type="continuationSeparator" w:id="0">
    <w:p w:rsidR="007E6E04" w:rsidRDefault="007E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BCE" w:rsidRPr="00F108A4" w:rsidRDefault="005A2BCE" w:rsidP="005A2BCE">
    <w:pPr>
      <w:pStyle w:val="Textoindependiente"/>
      <w:rPr>
        <w:rFonts w:cs="Arial"/>
        <w:b/>
        <w:bCs/>
        <w:sz w:val="22"/>
        <w:szCs w:val="22"/>
      </w:rPr>
    </w:pPr>
    <w:r w:rsidRPr="00B43DA9">
      <w:rPr>
        <w:b/>
        <w:sz w:val="20"/>
        <w:lang w:val="pt-BR"/>
      </w:rPr>
      <w:t xml:space="preserve">Anexo </w:t>
    </w:r>
    <w:r>
      <w:rPr>
        <w:b/>
        <w:sz w:val="20"/>
        <w:lang w:val="pt-BR"/>
      </w:rPr>
      <w:t xml:space="preserve">1 </w:t>
    </w:r>
    <w:r w:rsidRPr="00ED62F9">
      <w:rPr>
        <w:rFonts w:cs="Arial"/>
        <w:b/>
        <w:sz w:val="20"/>
      </w:rPr>
      <w:t>–</w:t>
    </w:r>
    <w:r>
      <w:rPr>
        <w:rFonts w:cs="Arial"/>
        <w:b/>
        <w:sz w:val="20"/>
      </w:rPr>
      <w:t xml:space="preserve"> M</w:t>
    </w:r>
    <w:r w:rsidRPr="00407B35">
      <w:rPr>
        <w:rFonts w:cs="Arial"/>
        <w:b/>
        <w:sz w:val="22"/>
        <w:szCs w:val="22"/>
      </w:rPr>
      <w:t>ecanismos para solicitar la aprobación por parte de la SFC de los compromi</w:t>
    </w:r>
    <w:r>
      <w:rPr>
        <w:rFonts w:cs="Arial"/>
        <w:b/>
        <w:sz w:val="22"/>
        <w:szCs w:val="22"/>
      </w:rPr>
      <w:t>sos señalados en los literales a</w:t>
    </w:r>
    <w:r w:rsidRPr="00407B35">
      <w:rPr>
        <w:rFonts w:cs="Arial"/>
        <w:b/>
        <w:sz w:val="22"/>
        <w:szCs w:val="22"/>
      </w:rPr>
      <w:t xml:space="preserve">), </w:t>
    </w:r>
    <w:r>
      <w:rPr>
        <w:rFonts w:cs="Arial"/>
        <w:b/>
        <w:sz w:val="22"/>
        <w:szCs w:val="22"/>
      </w:rPr>
      <w:t>b) y j) del artículo 2.1.1.1.13 del D</w:t>
    </w:r>
    <w:r w:rsidRPr="00407B35">
      <w:rPr>
        <w:rFonts w:cs="Arial"/>
        <w:b/>
        <w:sz w:val="22"/>
        <w:szCs w:val="22"/>
      </w:rPr>
      <w:t>ecreto 2555 de 2010</w:t>
    </w:r>
    <w:r w:rsidRPr="00F108A4">
      <w:rPr>
        <w:rFonts w:cs="Arial"/>
        <w:b/>
        <w:sz w:val="22"/>
        <w:szCs w:val="22"/>
      </w:rPr>
      <w:t>.</w:t>
    </w:r>
  </w:p>
  <w:p w:rsidR="005A2BCE" w:rsidRDefault="005A2BCE" w:rsidP="005A2BCE">
    <w:pPr>
      <w:pStyle w:val="Piedepgina"/>
      <w:tabs>
        <w:tab w:val="clear" w:pos="8504"/>
        <w:tab w:val="right" w:pos="9356"/>
      </w:tabs>
    </w:pPr>
    <w:r w:rsidRPr="00043351">
      <w:rPr>
        <w:rFonts w:ascii="Arial" w:hAnsi="Arial"/>
        <w:b/>
        <w:lang w:val="pt-BR"/>
      </w:rPr>
      <w:t xml:space="preserve">Circular Externa </w:t>
    </w:r>
    <w:r>
      <w:rPr>
        <w:rFonts w:ascii="Arial" w:hAnsi="Arial"/>
        <w:b/>
        <w:lang w:val="pt-BR"/>
      </w:rPr>
      <w:t xml:space="preserve">  </w:t>
    </w:r>
    <w:r w:rsidRPr="00043351">
      <w:rPr>
        <w:rFonts w:ascii="Arial" w:hAnsi="Arial"/>
        <w:b/>
        <w:lang w:val="pt-BR"/>
      </w:rPr>
      <w:t xml:space="preserve">   de 20</w:t>
    </w:r>
    <w:r>
      <w:rPr>
        <w:rFonts w:ascii="Arial" w:hAnsi="Arial"/>
        <w:b/>
        <w:lang w:val="pt-BR"/>
      </w:rPr>
      <w:t>13</w:t>
    </w:r>
    <w:r>
      <w:rPr>
        <w:rFonts w:ascii="Arial" w:hAnsi="Arial"/>
        <w:b/>
        <w:lang w:val="pt-BR"/>
      </w:rPr>
      <w:tab/>
      <w:t xml:space="preserve">                                                                                              </w:t>
    </w:r>
    <w:proofErr w:type="spellStart"/>
    <w:r>
      <w:rPr>
        <w:rFonts w:ascii="Arial" w:hAnsi="Arial"/>
        <w:b/>
        <w:lang w:val="pt-BR"/>
      </w:rPr>
      <w:t>Junio</w:t>
    </w:r>
    <w:proofErr w:type="spellEnd"/>
    <w:r>
      <w:rPr>
        <w:rFonts w:ascii="Arial" w:hAnsi="Arial"/>
        <w:b/>
        <w:lang w:val="pt-BR"/>
      </w:rPr>
      <w:t xml:space="preserve">     de 2013</w:t>
    </w:r>
  </w:p>
  <w:p w:rsidR="00407B35" w:rsidRDefault="00407B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560A" w:rsidRDefault="002E205F" w:rsidP="00BE560A">
    <w:pPr>
      <w:pStyle w:val="Textoindependiente"/>
      <w:jc w:val="center"/>
      <w:rPr>
        <w:b/>
        <w:bCs/>
        <w:sz w:val="18"/>
        <w:lang w:val="es-ES_tradnl"/>
      </w:rPr>
    </w:pPr>
    <w:r w:rsidRPr="00BE560A">
      <w:rPr>
        <w:rFonts w:cs="Arial"/>
        <w:b/>
        <w:sz w:val="18"/>
      </w:rPr>
      <w:t>A</w:t>
    </w:r>
    <w:r w:rsidRPr="00BE560A">
      <w:rPr>
        <w:rFonts w:cs="Arial"/>
        <w:b/>
        <w:sz w:val="18"/>
        <w:lang w:val="pt-BR"/>
      </w:rPr>
      <w:t xml:space="preserve">nexo </w:t>
    </w:r>
    <w:r w:rsidR="00AD4B6C">
      <w:rPr>
        <w:rFonts w:cs="Arial"/>
        <w:b/>
        <w:sz w:val="18"/>
        <w:lang w:val="pt-BR"/>
      </w:rPr>
      <w:t>1</w:t>
    </w:r>
    <w:r w:rsidRPr="00BE560A">
      <w:rPr>
        <w:rFonts w:cs="Arial"/>
        <w:b/>
        <w:sz w:val="18"/>
        <w:lang w:val="pt-BR"/>
      </w:rPr>
      <w:t xml:space="preserve"> </w:t>
    </w:r>
    <w:r w:rsidRPr="00BE560A">
      <w:rPr>
        <w:rFonts w:cs="Arial"/>
        <w:b/>
        <w:sz w:val="18"/>
      </w:rPr>
      <w:t xml:space="preserve">– </w:t>
    </w:r>
    <w:r w:rsidR="00BE560A" w:rsidRPr="00BE560A">
      <w:rPr>
        <w:b/>
        <w:bCs/>
        <w:sz w:val="18"/>
        <w:lang w:val="es-ES_tradnl"/>
      </w:rPr>
      <w:t>Instrucciones para solicitar la clasificación de los instrumentos de capital en el Patrimonio Técnico</w:t>
    </w:r>
  </w:p>
  <w:p w:rsidR="00B05C6E" w:rsidRPr="00BE560A" w:rsidRDefault="00B05C6E" w:rsidP="00BE560A">
    <w:pPr>
      <w:pStyle w:val="Textoindependiente"/>
      <w:jc w:val="center"/>
      <w:rPr>
        <w:b/>
        <w:bCs/>
        <w:sz w:val="18"/>
      </w:rPr>
    </w:pPr>
  </w:p>
  <w:p w:rsidR="002E205F" w:rsidRPr="00F9628F" w:rsidRDefault="00235581" w:rsidP="002E205F">
    <w:pPr>
      <w:pStyle w:val="Piedepgina"/>
      <w:tabs>
        <w:tab w:val="clear" w:pos="8504"/>
        <w:tab w:val="right" w:pos="9356"/>
      </w:tabs>
      <w:rPr>
        <w:rFonts w:ascii="Arial" w:hAnsi="Arial"/>
        <w:b/>
        <w:sz w:val="18"/>
        <w:lang w:val="pt-BR"/>
      </w:rPr>
    </w:pPr>
    <w:proofErr w:type="gramStart"/>
    <w:r>
      <w:rPr>
        <w:rFonts w:ascii="Arial" w:hAnsi="Arial"/>
        <w:b/>
        <w:sz w:val="18"/>
        <w:lang w:val="pt-BR"/>
      </w:rPr>
      <w:t>Circular Ex</w:t>
    </w:r>
    <w:r w:rsidR="00F9628F">
      <w:rPr>
        <w:rFonts w:ascii="Arial" w:hAnsi="Arial"/>
        <w:b/>
        <w:sz w:val="18"/>
        <w:lang w:val="pt-BR"/>
      </w:rPr>
      <w:t>terna</w:t>
    </w:r>
    <w:proofErr w:type="gramEnd"/>
    <w:r w:rsidR="00F9628F">
      <w:rPr>
        <w:rFonts w:ascii="Arial" w:hAnsi="Arial"/>
        <w:b/>
        <w:sz w:val="18"/>
        <w:lang w:val="pt-BR"/>
      </w:rPr>
      <w:t xml:space="preserve"> </w:t>
    </w:r>
    <w:r w:rsidR="00AD2068">
      <w:rPr>
        <w:rFonts w:ascii="Arial" w:hAnsi="Arial"/>
        <w:b/>
        <w:sz w:val="18"/>
        <w:lang w:val="pt-BR"/>
      </w:rPr>
      <w:t>0</w:t>
    </w:r>
    <w:r w:rsidR="00F9628F">
      <w:rPr>
        <w:rFonts w:ascii="Arial" w:hAnsi="Arial"/>
        <w:b/>
        <w:sz w:val="18"/>
        <w:lang w:val="pt-BR"/>
      </w:rPr>
      <w:t xml:space="preserve">20 </w:t>
    </w:r>
    <w:r w:rsidR="00B05C6E">
      <w:rPr>
        <w:rFonts w:ascii="Arial" w:hAnsi="Arial"/>
        <w:b/>
        <w:sz w:val="18"/>
        <w:lang w:val="pt-BR"/>
      </w:rPr>
      <w:t>de 201</w:t>
    </w:r>
    <w:r w:rsidR="0022165F">
      <w:rPr>
        <w:rFonts w:ascii="Arial" w:hAnsi="Arial"/>
        <w:b/>
        <w:sz w:val="18"/>
        <w:lang w:val="pt-BR"/>
      </w:rPr>
      <w:t>9</w:t>
    </w:r>
    <w:r w:rsidR="00B05C6E">
      <w:rPr>
        <w:rFonts w:ascii="Arial" w:hAnsi="Arial"/>
        <w:b/>
        <w:sz w:val="18"/>
        <w:lang w:val="pt-BR"/>
      </w:rPr>
      <w:t xml:space="preserve">                                                                                        </w:t>
    </w:r>
    <w:r w:rsidR="00075AB3">
      <w:rPr>
        <w:rFonts w:ascii="Arial" w:hAnsi="Arial"/>
        <w:b/>
        <w:sz w:val="18"/>
        <w:lang w:val="pt-BR"/>
      </w:rPr>
      <w:t xml:space="preserve">   </w:t>
    </w:r>
    <w:r w:rsidR="00F9628F">
      <w:rPr>
        <w:rFonts w:ascii="Arial" w:hAnsi="Arial"/>
        <w:b/>
        <w:sz w:val="18"/>
        <w:lang w:val="pt-BR"/>
      </w:rPr>
      <w:t xml:space="preserve">              </w:t>
    </w:r>
    <w:proofErr w:type="spellStart"/>
    <w:r w:rsidR="00075AB3">
      <w:rPr>
        <w:rFonts w:ascii="Arial" w:hAnsi="Arial"/>
        <w:b/>
        <w:sz w:val="18"/>
        <w:lang w:val="pt-BR"/>
      </w:rPr>
      <w:t>Septiembre</w:t>
    </w:r>
    <w:proofErr w:type="spellEnd"/>
    <w:r w:rsidR="00075AB3">
      <w:rPr>
        <w:rFonts w:ascii="Arial" w:hAnsi="Arial"/>
        <w:b/>
        <w:sz w:val="18"/>
        <w:lang w:val="pt-BR"/>
      </w:rPr>
      <w:t xml:space="preserve"> </w:t>
    </w:r>
    <w:r w:rsidR="00B05C6E">
      <w:rPr>
        <w:rFonts w:ascii="Arial" w:hAnsi="Arial"/>
        <w:b/>
        <w:sz w:val="18"/>
        <w:lang w:val="pt-BR"/>
      </w:rPr>
      <w:t>de 201</w:t>
    </w:r>
    <w:r w:rsidR="0022165F">
      <w:rPr>
        <w:rFonts w:ascii="Arial" w:hAnsi="Arial"/>
        <w:b/>
        <w:sz w:val="18"/>
        <w:lang w:val="pt-BR"/>
      </w:rPr>
      <w:t>9</w:t>
    </w:r>
    <w:r w:rsidR="00B05C6E">
      <w:rPr>
        <w:rFonts w:ascii="Arial" w:hAnsi="Arial"/>
        <w:b/>
        <w:sz w:val="18"/>
        <w:lang w:val="pt-BR"/>
      </w:rPr>
      <w:tab/>
    </w:r>
    <w:r w:rsidR="00B05C6E">
      <w:rPr>
        <w:rFonts w:ascii="Arial" w:hAnsi="Arial"/>
        <w:b/>
        <w:sz w:val="18"/>
        <w:lang w:val="pt-BR"/>
      </w:rPr>
      <w:tab/>
    </w:r>
    <w:r w:rsidR="00B05C6E">
      <w:rPr>
        <w:rFonts w:ascii="Arial" w:hAnsi="Arial"/>
        <w:b/>
        <w:sz w:val="18"/>
        <w:lang w:val="pt-BR"/>
      </w:rPr>
      <w:tab/>
    </w:r>
    <w:r w:rsidR="003D4771">
      <w:rPr>
        <w:rFonts w:ascii="Arial" w:hAnsi="Arial"/>
        <w:b/>
        <w:sz w:val="18"/>
        <w:lang w:val="pt-BR"/>
      </w:rPr>
      <w:t xml:space="preserve">    </w:t>
    </w:r>
    <w:r w:rsidR="002E205F" w:rsidRPr="00BE560A">
      <w:rPr>
        <w:rFonts w:ascii="Arial" w:hAnsi="Arial"/>
        <w:b/>
        <w:sz w:val="18"/>
        <w:lang w:val="pt-BR"/>
      </w:rPr>
      <w:tab/>
      <w:t xml:space="preserve">                 </w:t>
    </w:r>
    <w:r w:rsidR="00BE560A" w:rsidRPr="00BE560A">
      <w:rPr>
        <w:rFonts w:ascii="Arial" w:hAnsi="Arial"/>
        <w:b/>
        <w:sz w:val="18"/>
        <w:lang w:val="pt-BR"/>
      </w:rPr>
      <w:t xml:space="preserve">           </w:t>
    </w:r>
    <w:r w:rsidR="001F3B40">
      <w:rPr>
        <w:rFonts w:ascii="Arial" w:hAnsi="Arial"/>
        <w:b/>
        <w:sz w:val="18"/>
        <w:lang w:val="pt-BR"/>
      </w:rPr>
      <w:t xml:space="preserve">   </w:t>
    </w:r>
    <w:r w:rsidR="00BE560A" w:rsidRPr="00BE560A">
      <w:rPr>
        <w:rFonts w:ascii="Arial" w:hAnsi="Arial"/>
        <w:b/>
        <w:sz w:val="18"/>
        <w:lang w:val="pt-BR"/>
      </w:rPr>
      <w:t xml:space="preserve">               </w:t>
    </w:r>
    <w:r w:rsidR="002E205F" w:rsidRPr="00BE560A">
      <w:rPr>
        <w:rFonts w:ascii="Arial" w:hAnsi="Arial"/>
        <w:b/>
        <w:sz w:val="18"/>
        <w:lang w:val="pt-BR"/>
      </w:rPr>
      <w:t xml:space="preserve">                                                                 </w:t>
    </w:r>
    <w:r w:rsidR="003D4771">
      <w:rPr>
        <w:rFonts w:ascii="Arial" w:hAnsi="Arial"/>
        <w:b/>
        <w:sz w:val="18"/>
        <w:lang w:val="pt-BR"/>
      </w:rPr>
      <w:t xml:space="preserve">         </w:t>
    </w:r>
    <w:r w:rsidR="002E205F" w:rsidRPr="00BE560A">
      <w:rPr>
        <w:rFonts w:ascii="Arial" w:hAnsi="Arial"/>
        <w:b/>
        <w:sz w:val="18"/>
        <w:lang w:val="pt-BR"/>
      </w:rPr>
      <w:t xml:space="preserve">  </w:t>
    </w:r>
    <w:r w:rsidR="008C6D7D">
      <w:rPr>
        <w:rFonts w:ascii="Arial" w:hAnsi="Arial"/>
        <w:b/>
        <w:sz w:val="18"/>
        <w:lang w:val="pt-BR"/>
      </w:rPr>
      <w:t xml:space="preserve">        </w:t>
    </w:r>
    <w:r w:rsidR="002E205F" w:rsidRPr="00BE560A">
      <w:rPr>
        <w:rFonts w:ascii="Arial" w:hAnsi="Arial"/>
        <w:b/>
        <w:sz w:val="18"/>
        <w:lang w:val="pt-BR"/>
      </w:rPr>
      <w:t xml:space="preserve">  </w:t>
    </w:r>
  </w:p>
  <w:p w:rsidR="00407B35" w:rsidRPr="003D0DAD" w:rsidRDefault="00407B35" w:rsidP="003D0DA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E04" w:rsidRDefault="007E6E04">
      <w:r>
        <w:separator/>
      </w:r>
    </w:p>
  </w:footnote>
  <w:footnote w:type="continuationSeparator" w:id="0">
    <w:p w:rsidR="007E6E04" w:rsidRDefault="007E6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F5" w:rsidRDefault="005905F5" w:rsidP="005905F5">
    <w:pPr>
      <w:pStyle w:val="Encabezado"/>
      <w:rPr>
        <w:rFonts w:ascii="Arial" w:hAnsi="Arial"/>
        <w:b/>
      </w:rPr>
    </w:pPr>
    <w:r>
      <w:rPr>
        <w:rFonts w:ascii="Arial" w:hAnsi="Arial"/>
        <w:b/>
      </w:rPr>
      <w:t>CAPITULO XIII - 1 R</w:t>
    </w:r>
    <w:r w:rsidRPr="00407B35">
      <w:rPr>
        <w:rFonts w:ascii="Arial" w:hAnsi="Arial"/>
        <w:b/>
      </w:rPr>
      <w:t>ELACIÓN DE ACTIVOS PONDERADOS POR SU NIVEL DE RIESGO</w:t>
    </w:r>
  </w:p>
  <w:p w:rsidR="0037593E" w:rsidRPr="005905F5" w:rsidRDefault="005905F5" w:rsidP="005905F5">
    <w:pPr>
      <w:pStyle w:val="Encabezado"/>
    </w:pPr>
    <w:r>
      <w:rPr>
        <w:rFonts w:ascii="Arial" w:hAnsi="Arial"/>
        <w:b/>
      </w:rPr>
      <w:t>Página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5BA7" w:rsidRPr="00CE2095" w:rsidRDefault="00CE5BA7" w:rsidP="00CE5BA7">
    <w:pPr>
      <w:pStyle w:val="Encabezado"/>
      <w:jc w:val="center"/>
      <w:rPr>
        <w:rFonts w:ascii="Arial" w:hAnsi="Arial" w:cs="Arial"/>
        <w:b/>
        <w:sz w:val="24"/>
        <w:szCs w:val="24"/>
      </w:rPr>
    </w:pPr>
    <w:r w:rsidRPr="00CE2095">
      <w:rPr>
        <w:rFonts w:ascii="Arial" w:hAnsi="Arial" w:cs="Arial"/>
        <w:b/>
        <w:sz w:val="24"/>
        <w:szCs w:val="24"/>
      </w:rPr>
      <w:t>SUPERINTENDENCIA FINANCIERA DE COLOMBIA</w:t>
    </w:r>
  </w:p>
  <w:p w:rsidR="00CE5BA7" w:rsidRPr="00CE5BA7" w:rsidRDefault="00CE5BA7" w:rsidP="00CE5BA7">
    <w:pPr>
      <w:pStyle w:val="Encabezado"/>
      <w:jc w:val="center"/>
      <w:rPr>
        <w:rFonts w:ascii="Arial" w:hAnsi="Arial" w:cs="Arial"/>
        <w:sz w:val="28"/>
        <w:szCs w:val="18"/>
      </w:rPr>
    </w:pPr>
  </w:p>
  <w:p w:rsidR="00CE5BA7" w:rsidRPr="004E161E" w:rsidRDefault="00CE5BA7" w:rsidP="00CE5BA7">
    <w:pPr>
      <w:pStyle w:val="Encabezado"/>
      <w:rPr>
        <w:rFonts w:ascii="Arial" w:hAnsi="Arial"/>
        <w:b/>
        <w:sz w:val="18"/>
        <w:szCs w:val="18"/>
      </w:rPr>
    </w:pPr>
    <w:r w:rsidRPr="004E161E">
      <w:rPr>
        <w:rFonts w:ascii="Arial" w:hAnsi="Arial"/>
        <w:b/>
        <w:sz w:val="18"/>
        <w:szCs w:val="18"/>
      </w:rPr>
      <w:t xml:space="preserve">CAPITULO XIII – </w:t>
    </w:r>
    <w:r w:rsidR="00840FA7">
      <w:rPr>
        <w:rFonts w:ascii="Arial" w:hAnsi="Arial"/>
        <w:b/>
        <w:sz w:val="18"/>
        <w:szCs w:val="18"/>
      </w:rPr>
      <w:t xml:space="preserve">16 </w:t>
    </w:r>
    <w:r w:rsidR="00840FA7" w:rsidRPr="004E161E">
      <w:rPr>
        <w:rFonts w:ascii="Arial" w:hAnsi="Arial"/>
        <w:b/>
        <w:sz w:val="18"/>
        <w:szCs w:val="18"/>
      </w:rPr>
      <w:t>MÁRGEN</w:t>
    </w:r>
    <w:r w:rsidR="0022165F" w:rsidRPr="0022165F">
      <w:rPr>
        <w:rFonts w:ascii="Arial" w:hAnsi="Arial"/>
        <w:b/>
        <w:sz w:val="18"/>
        <w:szCs w:val="18"/>
      </w:rPr>
      <w:t xml:space="preserve"> DE SOLVENCIA Y OTROS REQUERIMIENTOS DE PATRIMONIO</w:t>
    </w:r>
  </w:p>
  <w:p w:rsidR="0037593E" w:rsidRPr="00CE5BA7" w:rsidRDefault="00CE5BA7" w:rsidP="00CE5BA7">
    <w:pPr>
      <w:pStyle w:val="Encabezado"/>
      <w:rPr>
        <w:sz w:val="18"/>
        <w:szCs w:val="18"/>
      </w:rPr>
    </w:pPr>
    <w:r w:rsidRPr="004E161E">
      <w:rPr>
        <w:rFonts w:ascii="Arial" w:hAnsi="Arial"/>
        <w:b/>
        <w:sz w:val="18"/>
        <w:szCs w:val="18"/>
      </w:rPr>
      <w:t xml:space="preserve">Página    </w:t>
    </w:r>
    <w:r w:rsidRPr="004E161E">
      <w:rPr>
        <w:rFonts w:ascii="Arial" w:hAnsi="Arial"/>
        <w:b/>
        <w:sz w:val="18"/>
        <w:szCs w:val="18"/>
      </w:rPr>
      <w:fldChar w:fldCharType="begin"/>
    </w:r>
    <w:r w:rsidRPr="004E161E">
      <w:rPr>
        <w:rFonts w:ascii="Arial" w:hAnsi="Arial"/>
        <w:b/>
        <w:sz w:val="18"/>
        <w:szCs w:val="18"/>
      </w:rPr>
      <w:instrText xml:space="preserve"> PAGE </w:instrText>
    </w:r>
    <w:r w:rsidRPr="004E161E">
      <w:rPr>
        <w:rFonts w:ascii="Arial" w:hAnsi="Arial"/>
        <w:b/>
        <w:sz w:val="18"/>
        <w:szCs w:val="18"/>
      </w:rPr>
      <w:fldChar w:fldCharType="separate"/>
    </w:r>
    <w:r w:rsidR="00F9628F">
      <w:rPr>
        <w:rFonts w:ascii="Arial" w:hAnsi="Arial"/>
        <w:b/>
        <w:noProof/>
        <w:sz w:val="18"/>
        <w:szCs w:val="18"/>
      </w:rPr>
      <w:t>1</w:t>
    </w:r>
    <w:r w:rsidRPr="004E161E">
      <w:rPr>
        <w:rFonts w:ascii="Arial" w:hAnsi="Arial"/>
        <w:b/>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A0295"/>
    <w:multiLevelType w:val="hybridMultilevel"/>
    <w:tmpl w:val="78A841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1BC4322"/>
    <w:multiLevelType w:val="hybridMultilevel"/>
    <w:tmpl w:val="1B68C8E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4801AC8"/>
    <w:multiLevelType w:val="hybridMultilevel"/>
    <w:tmpl w:val="436AB406"/>
    <w:lvl w:ilvl="0" w:tplc="D91E0C4C">
      <w:start w:val="1"/>
      <w:numFmt w:val="lowerLetter"/>
      <w:lvlText w:val="%1)"/>
      <w:lvlJc w:val="left"/>
      <w:pPr>
        <w:ind w:left="720" w:hanging="360"/>
      </w:pPr>
      <w:rPr>
        <w:rFonts w:ascii="Arial" w:eastAsia="Times New Roman"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E6F3422"/>
    <w:multiLevelType w:val="hybridMultilevel"/>
    <w:tmpl w:val="C442C66A"/>
    <w:lvl w:ilvl="0" w:tplc="B06CBBA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F4369B0"/>
    <w:multiLevelType w:val="hybridMultilevel"/>
    <w:tmpl w:val="6B065B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A41"/>
    <w:rsid w:val="0001517D"/>
    <w:rsid w:val="0002097B"/>
    <w:rsid w:val="0002582C"/>
    <w:rsid w:val="00027F3C"/>
    <w:rsid w:val="00034558"/>
    <w:rsid w:val="00036150"/>
    <w:rsid w:val="00036AF1"/>
    <w:rsid w:val="00050BE5"/>
    <w:rsid w:val="0006786D"/>
    <w:rsid w:val="00073082"/>
    <w:rsid w:val="000743D2"/>
    <w:rsid w:val="0007466A"/>
    <w:rsid w:val="00075AB3"/>
    <w:rsid w:val="00075BE8"/>
    <w:rsid w:val="00075F32"/>
    <w:rsid w:val="000841CD"/>
    <w:rsid w:val="00087DB6"/>
    <w:rsid w:val="00092E46"/>
    <w:rsid w:val="000A1A45"/>
    <w:rsid w:val="000A30F2"/>
    <w:rsid w:val="000B1B62"/>
    <w:rsid w:val="000B2995"/>
    <w:rsid w:val="000C3F06"/>
    <w:rsid w:val="000D3F88"/>
    <w:rsid w:val="000E0E12"/>
    <w:rsid w:val="000E11A6"/>
    <w:rsid w:val="000E7481"/>
    <w:rsid w:val="001067D8"/>
    <w:rsid w:val="00114F0C"/>
    <w:rsid w:val="0012098F"/>
    <w:rsid w:val="001279CA"/>
    <w:rsid w:val="00130176"/>
    <w:rsid w:val="001518A0"/>
    <w:rsid w:val="00153E0C"/>
    <w:rsid w:val="001746CA"/>
    <w:rsid w:val="001752D0"/>
    <w:rsid w:val="001904E9"/>
    <w:rsid w:val="00191C7A"/>
    <w:rsid w:val="001C2A31"/>
    <w:rsid w:val="001C3AB9"/>
    <w:rsid w:val="001D418D"/>
    <w:rsid w:val="001E75F8"/>
    <w:rsid w:val="001F3B40"/>
    <w:rsid w:val="00200340"/>
    <w:rsid w:val="00205C30"/>
    <w:rsid w:val="00206D4D"/>
    <w:rsid w:val="0022165F"/>
    <w:rsid w:val="0022233C"/>
    <w:rsid w:val="00231738"/>
    <w:rsid w:val="00235581"/>
    <w:rsid w:val="002376CC"/>
    <w:rsid w:val="0024417C"/>
    <w:rsid w:val="00245C7C"/>
    <w:rsid w:val="002553C1"/>
    <w:rsid w:val="0026052F"/>
    <w:rsid w:val="002639A7"/>
    <w:rsid w:val="0027114C"/>
    <w:rsid w:val="002746EC"/>
    <w:rsid w:val="002925D3"/>
    <w:rsid w:val="0029286A"/>
    <w:rsid w:val="00292DC2"/>
    <w:rsid w:val="00295B71"/>
    <w:rsid w:val="00297400"/>
    <w:rsid w:val="002C267E"/>
    <w:rsid w:val="002D76CD"/>
    <w:rsid w:val="002E0FA6"/>
    <w:rsid w:val="002E205F"/>
    <w:rsid w:val="002E4405"/>
    <w:rsid w:val="00310705"/>
    <w:rsid w:val="00316E62"/>
    <w:rsid w:val="00320690"/>
    <w:rsid w:val="00322624"/>
    <w:rsid w:val="00325A29"/>
    <w:rsid w:val="00342B68"/>
    <w:rsid w:val="00356BBB"/>
    <w:rsid w:val="0036095B"/>
    <w:rsid w:val="0036106D"/>
    <w:rsid w:val="00362C35"/>
    <w:rsid w:val="003712F4"/>
    <w:rsid w:val="00371997"/>
    <w:rsid w:val="003733B3"/>
    <w:rsid w:val="0037593E"/>
    <w:rsid w:val="003761A5"/>
    <w:rsid w:val="0038372F"/>
    <w:rsid w:val="003A4805"/>
    <w:rsid w:val="003C3D12"/>
    <w:rsid w:val="003C4C6F"/>
    <w:rsid w:val="003D0DAD"/>
    <w:rsid w:val="003D33D7"/>
    <w:rsid w:val="003D4771"/>
    <w:rsid w:val="003D5828"/>
    <w:rsid w:val="003D5AF3"/>
    <w:rsid w:val="003E1AF3"/>
    <w:rsid w:val="003E7287"/>
    <w:rsid w:val="003F60DE"/>
    <w:rsid w:val="004048C8"/>
    <w:rsid w:val="004063BA"/>
    <w:rsid w:val="00407B35"/>
    <w:rsid w:val="00413ADA"/>
    <w:rsid w:val="004351DD"/>
    <w:rsid w:val="00453DC5"/>
    <w:rsid w:val="00474B80"/>
    <w:rsid w:val="00481D55"/>
    <w:rsid w:val="00486076"/>
    <w:rsid w:val="00492E5E"/>
    <w:rsid w:val="00496CC9"/>
    <w:rsid w:val="004A1DA8"/>
    <w:rsid w:val="004D5FC8"/>
    <w:rsid w:val="004E708A"/>
    <w:rsid w:val="004F71E4"/>
    <w:rsid w:val="004F7E7D"/>
    <w:rsid w:val="005029B9"/>
    <w:rsid w:val="005107E7"/>
    <w:rsid w:val="00513EB2"/>
    <w:rsid w:val="00520283"/>
    <w:rsid w:val="005204A7"/>
    <w:rsid w:val="00520BF8"/>
    <w:rsid w:val="005312EC"/>
    <w:rsid w:val="00554891"/>
    <w:rsid w:val="00555A41"/>
    <w:rsid w:val="00557B23"/>
    <w:rsid w:val="00574567"/>
    <w:rsid w:val="00575D50"/>
    <w:rsid w:val="00583F92"/>
    <w:rsid w:val="00584976"/>
    <w:rsid w:val="00586378"/>
    <w:rsid w:val="005905F5"/>
    <w:rsid w:val="0059453D"/>
    <w:rsid w:val="00595A4B"/>
    <w:rsid w:val="00596297"/>
    <w:rsid w:val="00597391"/>
    <w:rsid w:val="005A2BCE"/>
    <w:rsid w:val="005C12FD"/>
    <w:rsid w:val="005C1497"/>
    <w:rsid w:val="005D371B"/>
    <w:rsid w:val="005F1F25"/>
    <w:rsid w:val="005F39D8"/>
    <w:rsid w:val="005F440D"/>
    <w:rsid w:val="006102EB"/>
    <w:rsid w:val="00633B7E"/>
    <w:rsid w:val="006565C1"/>
    <w:rsid w:val="00657CDC"/>
    <w:rsid w:val="00667867"/>
    <w:rsid w:val="00672B77"/>
    <w:rsid w:val="00672BD4"/>
    <w:rsid w:val="0067692B"/>
    <w:rsid w:val="00680CA2"/>
    <w:rsid w:val="00684154"/>
    <w:rsid w:val="00696471"/>
    <w:rsid w:val="006A2405"/>
    <w:rsid w:val="006C10B3"/>
    <w:rsid w:val="006D3C77"/>
    <w:rsid w:val="006D3D93"/>
    <w:rsid w:val="006E141D"/>
    <w:rsid w:val="006E4C84"/>
    <w:rsid w:val="00707042"/>
    <w:rsid w:val="0071309B"/>
    <w:rsid w:val="00714F34"/>
    <w:rsid w:val="00725135"/>
    <w:rsid w:val="00736654"/>
    <w:rsid w:val="007378D4"/>
    <w:rsid w:val="007410BE"/>
    <w:rsid w:val="007451CF"/>
    <w:rsid w:val="0074749E"/>
    <w:rsid w:val="0074798D"/>
    <w:rsid w:val="0075032C"/>
    <w:rsid w:val="00751B99"/>
    <w:rsid w:val="00762EC8"/>
    <w:rsid w:val="00763295"/>
    <w:rsid w:val="00771346"/>
    <w:rsid w:val="007A3B3E"/>
    <w:rsid w:val="007B32FC"/>
    <w:rsid w:val="007B7029"/>
    <w:rsid w:val="007C0996"/>
    <w:rsid w:val="007D4861"/>
    <w:rsid w:val="007E0C25"/>
    <w:rsid w:val="007E1880"/>
    <w:rsid w:val="007E3854"/>
    <w:rsid w:val="007E614A"/>
    <w:rsid w:val="007E6E04"/>
    <w:rsid w:val="007F622A"/>
    <w:rsid w:val="007F6D52"/>
    <w:rsid w:val="00807092"/>
    <w:rsid w:val="00813702"/>
    <w:rsid w:val="00815FD0"/>
    <w:rsid w:val="008174A6"/>
    <w:rsid w:val="008208A0"/>
    <w:rsid w:val="0083063D"/>
    <w:rsid w:val="00840FA7"/>
    <w:rsid w:val="00842895"/>
    <w:rsid w:val="008517A1"/>
    <w:rsid w:val="0085349A"/>
    <w:rsid w:val="00855961"/>
    <w:rsid w:val="00862901"/>
    <w:rsid w:val="008664D7"/>
    <w:rsid w:val="00873518"/>
    <w:rsid w:val="0088166D"/>
    <w:rsid w:val="00886824"/>
    <w:rsid w:val="00892AFD"/>
    <w:rsid w:val="008937C9"/>
    <w:rsid w:val="00895EB3"/>
    <w:rsid w:val="008A3479"/>
    <w:rsid w:val="008A3795"/>
    <w:rsid w:val="008A6D01"/>
    <w:rsid w:val="008C6D7D"/>
    <w:rsid w:val="008C7336"/>
    <w:rsid w:val="008C787C"/>
    <w:rsid w:val="008D144F"/>
    <w:rsid w:val="008E12AE"/>
    <w:rsid w:val="008E4588"/>
    <w:rsid w:val="008F0463"/>
    <w:rsid w:val="008F7176"/>
    <w:rsid w:val="0090494D"/>
    <w:rsid w:val="009073B3"/>
    <w:rsid w:val="0091297A"/>
    <w:rsid w:val="009153DE"/>
    <w:rsid w:val="0092034F"/>
    <w:rsid w:val="00922B50"/>
    <w:rsid w:val="00935A60"/>
    <w:rsid w:val="009414AA"/>
    <w:rsid w:val="00952EB9"/>
    <w:rsid w:val="0095439E"/>
    <w:rsid w:val="00957F6F"/>
    <w:rsid w:val="00962148"/>
    <w:rsid w:val="00963B94"/>
    <w:rsid w:val="0096692C"/>
    <w:rsid w:val="00967EBD"/>
    <w:rsid w:val="00970DEF"/>
    <w:rsid w:val="00981777"/>
    <w:rsid w:val="009825F3"/>
    <w:rsid w:val="00994F41"/>
    <w:rsid w:val="009953A5"/>
    <w:rsid w:val="009B6551"/>
    <w:rsid w:val="009C2F75"/>
    <w:rsid w:val="009C7A2F"/>
    <w:rsid w:val="009D7754"/>
    <w:rsid w:val="009E08FC"/>
    <w:rsid w:val="009E1B94"/>
    <w:rsid w:val="009F6513"/>
    <w:rsid w:val="00A00530"/>
    <w:rsid w:val="00A127A2"/>
    <w:rsid w:val="00A144E9"/>
    <w:rsid w:val="00A355EB"/>
    <w:rsid w:val="00A510C8"/>
    <w:rsid w:val="00A549CA"/>
    <w:rsid w:val="00A57A11"/>
    <w:rsid w:val="00A65ECF"/>
    <w:rsid w:val="00A740CA"/>
    <w:rsid w:val="00A76E16"/>
    <w:rsid w:val="00A8480E"/>
    <w:rsid w:val="00AA6CFB"/>
    <w:rsid w:val="00AA7EFF"/>
    <w:rsid w:val="00AB7F41"/>
    <w:rsid w:val="00AC6E3B"/>
    <w:rsid w:val="00AD2068"/>
    <w:rsid w:val="00AD4160"/>
    <w:rsid w:val="00AD4B6C"/>
    <w:rsid w:val="00AE7796"/>
    <w:rsid w:val="00AF644F"/>
    <w:rsid w:val="00B05C6E"/>
    <w:rsid w:val="00B11064"/>
    <w:rsid w:val="00B14148"/>
    <w:rsid w:val="00B22AB4"/>
    <w:rsid w:val="00B24771"/>
    <w:rsid w:val="00B25585"/>
    <w:rsid w:val="00B26A8F"/>
    <w:rsid w:val="00B36274"/>
    <w:rsid w:val="00B37C41"/>
    <w:rsid w:val="00B479A4"/>
    <w:rsid w:val="00B51313"/>
    <w:rsid w:val="00B52E47"/>
    <w:rsid w:val="00B54C6B"/>
    <w:rsid w:val="00B6089E"/>
    <w:rsid w:val="00B633F7"/>
    <w:rsid w:val="00B65906"/>
    <w:rsid w:val="00B67120"/>
    <w:rsid w:val="00B8399A"/>
    <w:rsid w:val="00B86714"/>
    <w:rsid w:val="00BA3DD9"/>
    <w:rsid w:val="00BB5A00"/>
    <w:rsid w:val="00BC39C3"/>
    <w:rsid w:val="00BD15C0"/>
    <w:rsid w:val="00BD72B9"/>
    <w:rsid w:val="00BE1B01"/>
    <w:rsid w:val="00BE560A"/>
    <w:rsid w:val="00BE56BC"/>
    <w:rsid w:val="00BE6418"/>
    <w:rsid w:val="00BE6BDE"/>
    <w:rsid w:val="00C1272F"/>
    <w:rsid w:val="00C13963"/>
    <w:rsid w:val="00C343E6"/>
    <w:rsid w:val="00C53372"/>
    <w:rsid w:val="00C7161E"/>
    <w:rsid w:val="00C75DAF"/>
    <w:rsid w:val="00C76A77"/>
    <w:rsid w:val="00CB4CAE"/>
    <w:rsid w:val="00CD68E1"/>
    <w:rsid w:val="00CE5BA7"/>
    <w:rsid w:val="00CE77CE"/>
    <w:rsid w:val="00CF2720"/>
    <w:rsid w:val="00CF6338"/>
    <w:rsid w:val="00D1649A"/>
    <w:rsid w:val="00D24C1E"/>
    <w:rsid w:val="00D266C4"/>
    <w:rsid w:val="00D417D8"/>
    <w:rsid w:val="00D41F4B"/>
    <w:rsid w:val="00D432E1"/>
    <w:rsid w:val="00D44A5B"/>
    <w:rsid w:val="00D57619"/>
    <w:rsid w:val="00D57A3F"/>
    <w:rsid w:val="00D604A5"/>
    <w:rsid w:val="00D6279B"/>
    <w:rsid w:val="00D771E0"/>
    <w:rsid w:val="00D77E35"/>
    <w:rsid w:val="00D81AD8"/>
    <w:rsid w:val="00D87F1A"/>
    <w:rsid w:val="00D90997"/>
    <w:rsid w:val="00DA2685"/>
    <w:rsid w:val="00DA3BA6"/>
    <w:rsid w:val="00DA4710"/>
    <w:rsid w:val="00DB2092"/>
    <w:rsid w:val="00DB216E"/>
    <w:rsid w:val="00DE4B62"/>
    <w:rsid w:val="00E0407C"/>
    <w:rsid w:val="00E062BE"/>
    <w:rsid w:val="00E06A0F"/>
    <w:rsid w:val="00E12236"/>
    <w:rsid w:val="00E176B2"/>
    <w:rsid w:val="00E223DF"/>
    <w:rsid w:val="00E479ED"/>
    <w:rsid w:val="00E51B9D"/>
    <w:rsid w:val="00E735CD"/>
    <w:rsid w:val="00E7381E"/>
    <w:rsid w:val="00E770B6"/>
    <w:rsid w:val="00E811D3"/>
    <w:rsid w:val="00E838ED"/>
    <w:rsid w:val="00E871C1"/>
    <w:rsid w:val="00E904FA"/>
    <w:rsid w:val="00E92D13"/>
    <w:rsid w:val="00E96E06"/>
    <w:rsid w:val="00EA0BBD"/>
    <w:rsid w:val="00EA6045"/>
    <w:rsid w:val="00EB6612"/>
    <w:rsid w:val="00EC1F1E"/>
    <w:rsid w:val="00ED23D2"/>
    <w:rsid w:val="00ED56B4"/>
    <w:rsid w:val="00ED799B"/>
    <w:rsid w:val="00EE23D1"/>
    <w:rsid w:val="00F0314F"/>
    <w:rsid w:val="00F108A4"/>
    <w:rsid w:val="00F10E8C"/>
    <w:rsid w:val="00F1142D"/>
    <w:rsid w:val="00F20D95"/>
    <w:rsid w:val="00F25950"/>
    <w:rsid w:val="00F3311E"/>
    <w:rsid w:val="00F348C1"/>
    <w:rsid w:val="00F41AE0"/>
    <w:rsid w:val="00F51486"/>
    <w:rsid w:val="00F52EFF"/>
    <w:rsid w:val="00F54755"/>
    <w:rsid w:val="00F5647C"/>
    <w:rsid w:val="00F652FB"/>
    <w:rsid w:val="00F703BF"/>
    <w:rsid w:val="00F73169"/>
    <w:rsid w:val="00F774D0"/>
    <w:rsid w:val="00F817A1"/>
    <w:rsid w:val="00F8550A"/>
    <w:rsid w:val="00F87966"/>
    <w:rsid w:val="00F94085"/>
    <w:rsid w:val="00F9628F"/>
    <w:rsid w:val="00FA5B0E"/>
    <w:rsid w:val="00FB16B5"/>
    <w:rsid w:val="00FB189E"/>
    <w:rsid w:val="00FB5DAF"/>
    <w:rsid w:val="00FC6B6A"/>
    <w:rsid w:val="00FE147C"/>
    <w:rsid w:val="00FE7B6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B3EB16"/>
  <w15:chartTrackingRefBased/>
  <w15:docId w15:val="{12BC0DAD-982C-4362-AE0C-D1CDD38FF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3D12"/>
    <w:pPr>
      <w:autoSpaceDE w:val="0"/>
      <w:autoSpaceDN w:val="0"/>
    </w:pPr>
    <w:rPr>
      <w:lang w:val="es-ES"/>
    </w:rPr>
  </w:style>
  <w:style w:type="paragraph" w:styleId="Ttulo1">
    <w:name w:val="heading 1"/>
    <w:basedOn w:val="Normal"/>
    <w:next w:val="Normal"/>
    <w:qFormat/>
    <w:rsid w:val="003C3D12"/>
    <w:pPr>
      <w:keepNext/>
      <w:jc w:val="center"/>
      <w:outlineLvl w:val="0"/>
    </w:pPr>
    <w:rPr>
      <w:b/>
      <w:bCs/>
      <w:sz w:val="24"/>
      <w:szCs w:val="24"/>
    </w:rPr>
  </w:style>
  <w:style w:type="paragraph" w:styleId="Ttulo6">
    <w:name w:val="heading 6"/>
    <w:basedOn w:val="Normal"/>
    <w:next w:val="Normal"/>
    <w:qFormat/>
    <w:rsid w:val="003C3D12"/>
    <w:pPr>
      <w:keepNext/>
      <w:tabs>
        <w:tab w:val="left" w:pos="1624"/>
      </w:tabs>
      <w:jc w:val="center"/>
      <w:outlineLvl w:val="5"/>
    </w:pPr>
    <w:rPr>
      <w:rFonts w:ascii="Arial" w:hAnsi="Arial" w:cs="Arial"/>
      <w:b/>
      <w:bCs/>
      <w:color w:val="000000"/>
      <w:sz w:val="24"/>
      <w:szCs w:val="24"/>
    </w:rPr>
  </w:style>
  <w:style w:type="paragraph" w:styleId="Ttulo8">
    <w:name w:val="heading 8"/>
    <w:basedOn w:val="Normal"/>
    <w:next w:val="Normal"/>
    <w:qFormat/>
    <w:rsid w:val="003C3D12"/>
    <w:pPr>
      <w:keepNext/>
      <w:jc w:val="center"/>
      <w:outlineLvl w:val="7"/>
    </w:pPr>
    <w:rPr>
      <w:rFonts w:ascii="Arial" w:hAnsi="Arial" w:cs="Arial"/>
      <w:b/>
      <w:bCs/>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55A41"/>
    <w:pPr>
      <w:tabs>
        <w:tab w:val="center" w:pos="4252"/>
        <w:tab w:val="right" w:pos="8504"/>
      </w:tabs>
    </w:pPr>
    <w:rPr>
      <w:lang w:eastAsia="x-none"/>
    </w:rPr>
  </w:style>
  <w:style w:type="paragraph" w:styleId="Piedepgina">
    <w:name w:val="footer"/>
    <w:basedOn w:val="Normal"/>
    <w:rsid w:val="00555A41"/>
    <w:pPr>
      <w:tabs>
        <w:tab w:val="center" w:pos="4252"/>
        <w:tab w:val="right" w:pos="8504"/>
      </w:tabs>
    </w:pPr>
  </w:style>
  <w:style w:type="paragraph" w:styleId="Textoindependiente">
    <w:name w:val="Body Text"/>
    <w:basedOn w:val="Normal"/>
    <w:rsid w:val="00555A41"/>
    <w:pPr>
      <w:jc w:val="both"/>
    </w:pPr>
    <w:rPr>
      <w:rFonts w:ascii="Arial" w:hAnsi="Arial"/>
      <w:sz w:val="24"/>
      <w:lang w:val="es-CO"/>
    </w:rPr>
  </w:style>
  <w:style w:type="paragraph" w:customStyle="1" w:styleId="Default">
    <w:name w:val="Default"/>
    <w:rsid w:val="0006786D"/>
    <w:pPr>
      <w:autoSpaceDE w:val="0"/>
      <w:autoSpaceDN w:val="0"/>
      <w:adjustRightInd w:val="0"/>
    </w:pPr>
    <w:rPr>
      <w:rFonts w:ascii="Arial" w:hAnsi="Arial" w:cs="Arial"/>
      <w:color w:val="000000"/>
      <w:sz w:val="24"/>
      <w:szCs w:val="24"/>
    </w:rPr>
  </w:style>
  <w:style w:type="paragraph" w:customStyle="1" w:styleId="CM18">
    <w:name w:val="CM18"/>
    <w:basedOn w:val="Default"/>
    <w:next w:val="Default"/>
    <w:uiPriority w:val="99"/>
    <w:rsid w:val="00696471"/>
    <w:rPr>
      <w:color w:val="auto"/>
    </w:rPr>
  </w:style>
  <w:style w:type="character" w:styleId="Nmerodepgina">
    <w:name w:val="page number"/>
    <w:rsid w:val="002553C1"/>
  </w:style>
  <w:style w:type="paragraph" w:styleId="Textodeglobo">
    <w:name w:val="Balloon Text"/>
    <w:basedOn w:val="Normal"/>
    <w:link w:val="TextodegloboCar"/>
    <w:rsid w:val="00453DC5"/>
    <w:rPr>
      <w:rFonts w:ascii="Tahoma" w:hAnsi="Tahoma"/>
      <w:sz w:val="16"/>
      <w:szCs w:val="16"/>
      <w:lang w:eastAsia="x-none"/>
    </w:rPr>
  </w:style>
  <w:style w:type="character" w:customStyle="1" w:styleId="TextodegloboCar">
    <w:name w:val="Texto de globo Car"/>
    <w:link w:val="Textodeglobo"/>
    <w:rsid w:val="00453DC5"/>
    <w:rPr>
      <w:rFonts w:ascii="Tahoma" w:hAnsi="Tahoma" w:cs="Tahoma"/>
      <w:sz w:val="16"/>
      <w:szCs w:val="16"/>
      <w:lang w:val="es-ES"/>
    </w:rPr>
  </w:style>
  <w:style w:type="character" w:styleId="Hipervnculo">
    <w:name w:val="Hyperlink"/>
    <w:rsid w:val="007E0C25"/>
    <w:rPr>
      <w:color w:val="0000FF"/>
      <w:u w:val="single"/>
    </w:rPr>
  </w:style>
  <w:style w:type="paragraph" w:styleId="Prrafodelista">
    <w:name w:val="List Paragraph"/>
    <w:basedOn w:val="Normal"/>
    <w:uiPriority w:val="34"/>
    <w:qFormat/>
    <w:rsid w:val="006E141D"/>
    <w:pPr>
      <w:autoSpaceDE/>
      <w:autoSpaceDN/>
      <w:spacing w:after="200" w:line="276" w:lineRule="auto"/>
      <w:ind w:left="720"/>
      <w:contextualSpacing/>
    </w:pPr>
    <w:rPr>
      <w:rFonts w:ascii="Calibri" w:eastAsia="Calibri" w:hAnsi="Calibri"/>
      <w:sz w:val="22"/>
      <w:szCs w:val="22"/>
      <w:lang w:val="es-CO" w:eastAsia="en-US"/>
    </w:rPr>
  </w:style>
  <w:style w:type="paragraph" w:styleId="Textonotapie">
    <w:name w:val="footnote text"/>
    <w:basedOn w:val="Normal"/>
    <w:link w:val="TextonotapieCar"/>
    <w:uiPriority w:val="99"/>
    <w:unhideWhenUsed/>
    <w:rsid w:val="006E141D"/>
    <w:pPr>
      <w:autoSpaceDE/>
      <w:autoSpaceDN/>
    </w:pPr>
    <w:rPr>
      <w:rFonts w:ascii="Calibri" w:eastAsia="Calibri" w:hAnsi="Calibri"/>
      <w:lang w:val="x-none" w:eastAsia="en-US"/>
    </w:rPr>
  </w:style>
  <w:style w:type="character" w:customStyle="1" w:styleId="TextonotapieCar">
    <w:name w:val="Texto nota pie Car"/>
    <w:link w:val="Textonotapie"/>
    <w:uiPriority w:val="99"/>
    <w:rsid w:val="006E141D"/>
    <w:rPr>
      <w:rFonts w:ascii="Calibri" w:eastAsia="Calibri" w:hAnsi="Calibri"/>
      <w:lang w:eastAsia="en-US"/>
    </w:rPr>
  </w:style>
  <w:style w:type="character" w:styleId="Refdenotaalpie">
    <w:name w:val="footnote reference"/>
    <w:uiPriority w:val="99"/>
    <w:unhideWhenUsed/>
    <w:rsid w:val="006E141D"/>
    <w:rPr>
      <w:vertAlign w:val="superscript"/>
    </w:rPr>
  </w:style>
  <w:style w:type="character" w:customStyle="1" w:styleId="EncabezadoCar">
    <w:name w:val="Encabezado Car"/>
    <w:link w:val="Encabezado"/>
    <w:uiPriority w:val="99"/>
    <w:rsid w:val="00E7381E"/>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47962">
      <w:bodyDiv w:val="1"/>
      <w:marLeft w:val="0"/>
      <w:marRight w:val="0"/>
      <w:marTop w:val="0"/>
      <w:marBottom w:val="0"/>
      <w:divBdr>
        <w:top w:val="none" w:sz="0" w:space="0" w:color="auto"/>
        <w:left w:val="none" w:sz="0" w:space="0" w:color="auto"/>
        <w:bottom w:val="none" w:sz="0" w:space="0" w:color="auto"/>
        <w:right w:val="none" w:sz="0" w:space="0" w:color="auto"/>
      </w:divBdr>
    </w:div>
    <w:div w:id="897783118">
      <w:bodyDiv w:val="1"/>
      <w:marLeft w:val="0"/>
      <w:marRight w:val="0"/>
      <w:marTop w:val="0"/>
      <w:marBottom w:val="0"/>
      <w:divBdr>
        <w:top w:val="none" w:sz="0" w:space="0" w:color="auto"/>
        <w:left w:val="none" w:sz="0" w:space="0" w:color="auto"/>
        <w:bottom w:val="none" w:sz="0" w:space="0" w:color="auto"/>
        <w:right w:val="none" w:sz="0" w:space="0" w:color="auto"/>
      </w:divBdr>
    </w:div>
    <w:div w:id="904608652">
      <w:bodyDiv w:val="1"/>
      <w:marLeft w:val="0"/>
      <w:marRight w:val="0"/>
      <w:marTop w:val="0"/>
      <w:marBottom w:val="0"/>
      <w:divBdr>
        <w:top w:val="none" w:sz="0" w:space="0" w:color="auto"/>
        <w:left w:val="none" w:sz="0" w:space="0" w:color="auto"/>
        <w:bottom w:val="none" w:sz="0" w:space="0" w:color="auto"/>
        <w:right w:val="none" w:sz="0" w:space="0" w:color="auto"/>
      </w:divBdr>
    </w:div>
    <w:div w:id="1114977314">
      <w:bodyDiv w:val="1"/>
      <w:marLeft w:val="0"/>
      <w:marRight w:val="0"/>
      <w:marTop w:val="0"/>
      <w:marBottom w:val="0"/>
      <w:divBdr>
        <w:top w:val="none" w:sz="0" w:space="0" w:color="auto"/>
        <w:left w:val="none" w:sz="0" w:space="0" w:color="auto"/>
        <w:bottom w:val="none" w:sz="0" w:space="0" w:color="auto"/>
        <w:right w:val="none" w:sz="0" w:space="0" w:color="auto"/>
      </w:divBdr>
    </w:div>
    <w:div w:id="1164587259">
      <w:bodyDiv w:val="1"/>
      <w:marLeft w:val="0"/>
      <w:marRight w:val="0"/>
      <w:marTop w:val="0"/>
      <w:marBottom w:val="0"/>
      <w:divBdr>
        <w:top w:val="none" w:sz="0" w:space="0" w:color="auto"/>
        <w:left w:val="none" w:sz="0" w:space="0" w:color="auto"/>
        <w:bottom w:val="none" w:sz="0" w:space="0" w:color="auto"/>
        <w:right w:val="none" w:sz="0" w:space="0" w:color="auto"/>
      </w:divBdr>
    </w:div>
    <w:div w:id="1238326924">
      <w:bodyDiv w:val="1"/>
      <w:marLeft w:val="0"/>
      <w:marRight w:val="0"/>
      <w:marTop w:val="0"/>
      <w:marBottom w:val="0"/>
      <w:divBdr>
        <w:top w:val="none" w:sz="0" w:space="0" w:color="auto"/>
        <w:left w:val="none" w:sz="0" w:space="0" w:color="auto"/>
        <w:bottom w:val="none" w:sz="0" w:space="0" w:color="auto"/>
        <w:right w:val="none" w:sz="0" w:space="0" w:color="auto"/>
      </w:divBdr>
    </w:div>
    <w:div w:id="1368220880">
      <w:bodyDiv w:val="1"/>
      <w:marLeft w:val="0"/>
      <w:marRight w:val="0"/>
      <w:marTop w:val="0"/>
      <w:marBottom w:val="0"/>
      <w:divBdr>
        <w:top w:val="none" w:sz="0" w:space="0" w:color="auto"/>
        <w:left w:val="none" w:sz="0" w:space="0" w:color="auto"/>
        <w:bottom w:val="none" w:sz="0" w:space="0" w:color="auto"/>
        <w:right w:val="none" w:sz="0" w:space="0" w:color="auto"/>
      </w:divBdr>
    </w:div>
    <w:div w:id="138637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67907-6E0C-457B-8750-D7648B0F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387</Words>
  <Characters>2147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Diaz Cleves</dc:creator>
  <cp:keywords/>
  <cp:lastModifiedBy>Gabriel Armando Ospina Garcia</cp:lastModifiedBy>
  <cp:revision>6</cp:revision>
  <cp:lastPrinted>2019-09-06T14:34:00Z</cp:lastPrinted>
  <dcterms:created xsi:type="dcterms:W3CDTF">2019-09-02T14:07:00Z</dcterms:created>
  <dcterms:modified xsi:type="dcterms:W3CDTF">2019-09-06T15:04:00Z</dcterms:modified>
</cp:coreProperties>
</file>