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84A" w:rsidRPr="000A17D7" w:rsidRDefault="0013684A" w:rsidP="0013684A">
      <w:pPr>
        <w:rPr>
          <w:rFonts w:ascii="Arial" w:hAnsi="Arial" w:cs="Arial"/>
          <w:sz w:val="18"/>
          <w:szCs w:val="18"/>
        </w:rPr>
      </w:pPr>
    </w:p>
    <w:p w:rsidR="005426D8" w:rsidRPr="000A17D7" w:rsidRDefault="005426D8" w:rsidP="0013684A">
      <w:pPr>
        <w:rPr>
          <w:rFonts w:ascii="Arial" w:hAnsi="Arial" w:cs="Arial"/>
          <w:sz w:val="18"/>
          <w:szCs w:val="18"/>
        </w:rPr>
      </w:pPr>
    </w:p>
    <w:p w:rsidR="0013684A" w:rsidRPr="00C22134" w:rsidRDefault="0013684A" w:rsidP="0013684A">
      <w:pPr>
        <w:pStyle w:val="Puesto"/>
        <w:spacing w:line="240" w:lineRule="auto"/>
        <w:rPr>
          <w:rFonts w:cs="Arial"/>
          <w:spacing w:val="0"/>
          <w:sz w:val="18"/>
          <w:szCs w:val="18"/>
        </w:rPr>
      </w:pPr>
      <w:r w:rsidRPr="00716840">
        <w:rPr>
          <w:rFonts w:cs="Arial"/>
          <w:spacing w:val="0"/>
          <w:sz w:val="18"/>
          <w:szCs w:val="18"/>
        </w:rPr>
        <w:t>CAPITULO XIII-1</w:t>
      </w:r>
      <w:r w:rsidR="00126E04">
        <w:rPr>
          <w:rFonts w:cs="Arial"/>
          <w:spacing w:val="0"/>
          <w:sz w:val="18"/>
          <w:szCs w:val="18"/>
        </w:rPr>
        <w:t>6</w:t>
      </w:r>
    </w:p>
    <w:p w:rsidR="0013684A" w:rsidRPr="00C22134" w:rsidRDefault="0013684A" w:rsidP="0013684A">
      <w:pPr>
        <w:jc w:val="center"/>
        <w:rPr>
          <w:rFonts w:ascii="Arial" w:hAnsi="Arial" w:cs="Arial"/>
          <w:b/>
          <w:sz w:val="18"/>
          <w:szCs w:val="18"/>
        </w:rPr>
      </w:pPr>
    </w:p>
    <w:p w:rsidR="0013684A" w:rsidRPr="00C22134" w:rsidRDefault="004E3D4D" w:rsidP="0013684A">
      <w:pPr>
        <w:jc w:val="center"/>
        <w:rPr>
          <w:rFonts w:ascii="Arial" w:hAnsi="Arial" w:cs="Arial"/>
          <w:b/>
          <w:sz w:val="18"/>
          <w:szCs w:val="18"/>
        </w:rPr>
      </w:pPr>
      <w:r>
        <w:rPr>
          <w:rFonts w:ascii="Arial" w:hAnsi="Arial" w:cs="Arial"/>
          <w:b/>
          <w:sz w:val="18"/>
          <w:szCs w:val="18"/>
        </w:rPr>
        <w:t>MÁRGEN DE SOLVENCIA Y OTROS REQUERIMIENTOS DE PATRIMONIO</w:t>
      </w:r>
    </w:p>
    <w:p w:rsidR="0013684A" w:rsidRPr="00C22134" w:rsidRDefault="0013684A" w:rsidP="0013684A">
      <w:pPr>
        <w:jc w:val="center"/>
        <w:rPr>
          <w:rFonts w:ascii="Arial" w:hAnsi="Arial" w:cs="Arial"/>
          <w:b/>
          <w:sz w:val="18"/>
          <w:szCs w:val="18"/>
        </w:rPr>
      </w:pPr>
    </w:p>
    <w:p w:rsidR="0013684A" w:rsidRPr="00C22134" w:rsidRDefault="0013684A" w:rsidP="0013684A">
      <w:pPr>
        <w:jc w:val="center"/>
        <w:rPr>
          <w:rFonts w:ascii="Arial" w:hAnsi="Arial" w:cs="Arial"/>
          <w:b/>
          <w:sz w:val="18"/>
          <w:szCs w:val="18"/>
        </w:rPr>
      </w:pPr>
      <w:r w:rsidRPr="00C22134">
        <w:rPr>
          <w:rFonts w:ascii="Arial" w:hAnsi="Arial" w:cs="Arial"/>
          <w:b/>
          <w:sz w:val="18"/>
          <w:szCs w:val="18"/>
        </w:rPr>
        <w:t>CONTENIDO</w:t>
      </w:r>
    </w:p>
    <w:p w:rsidR="0013684A" w:rsidRPr="00C22134" w:rsidRDefault="0013684A" w:rsidP="0013684A">
      <w:pPr>
        <w:jc w:val="center"/>
        <w:rPr>
          <w:rFonts w:ascii="Arial" w:hAnsi="Arial" w:cs="Arial"/>
          <w:b/>
          <w:sz w:val="18"/>
          <w:szCs w:val="18"/>
        </w:rPr>
      </w:pPr>
    </w:p>
    <w:p w:rsidR="0013684A" w:rsidRPr="00C22134" w:rsidRDefault="0013684A" w:rsidP="0013684A">
      <w:pPr>
        <w:jc w:val="both"/>
        <w:rPr>
          <w:rFonts w:ascii="Arial" w:hAnsi="Arial" w:cs="Arial"/>
          <w:b/>
          <w:sz w:val="18"/>
          <w:szCs w:val="18"/>
        </w:rPr>
      </w:pPr>
    </w:p>
    <w:p w:rsidR="006C1F76" w:rsidRPr="00C22134" w:rsidRDefault="006C1F76" w:rsidP="0013684A">
      <w:pPr>
        <w:jc w:val="both"/>
        <w:rPr>
          <w:rFonts w:ascii="Arial" w:hAnsi="Arial" w:cs="Arial"/>
          <w:b/>
          <w:sz w:val="18"/>
          <w:szCs w:val="18"/>
        </w:rPr>
      </w:pPr>
    </w:p>
    <w:tbl>
      <w:tblPr>
        <w:tblW w:w="31610" w:type="dxa"/>
        <w:tblInd w:w="70" w:type="dxa"/>
        <w:tblCellMar>
          <w:left w:w="70" w:type="dxa"/>
          <w:right w:w="70" w:type="dxa"/>
        </w:tblCellMar>
        <w:tblLook w:val="04A0" w:firstRow="1" w:lastRow="0" w:firstColumn="1" w:lastColumn="0" w:noHBand="0" w:noVBand="1"/>
      </w:tblPr>
      <w:tblGrid>
        <w:gridCol w:w="30511"/>
        <w:gridCol w:w="1099"/>
      </w:tblGrid>
      <w:tr w:rsidR="0013684A" w:rsidRPr="00C22134" w:rsidTr="001A0E4B">
        <w:trPr>
          <w:trHeight w:val="240"/>
        </w:trPr>
        <w:tc>
          <w:tcPr>
            <w:tcW w:w="30511" w:type="dxa"/>
            <w:tcBorders>
              <w:top w:val="nil"/>
              <w:left w:val="nil"/>
              <w:bottom w:val="nil"/>
              <w:right w:val="nil"/>
            </w:tcBorders>
            <w:shd w:val="clear" w:color="000000" w:fill="FFFFFF"/>
            <w:noWrap/>
            <w:vAlign w:val="center"/>
            <w:hideMark/>
          </w:tcPr>
          <w:p w:rsidR="0013684A" w:rsidRPr="00C22134" w:rsidRDefault="001A0E4B" w:rsidP="001A0E4B">
            <w:pPr>
              <w:jc w:val="both"/>
              <w:rPr>
                <w:rFonts w:ascii="Arial" w:hAnsi="Arial" w:cs="Arial"/>
                <w:b/>
                <w:snapToGrid/>
                <w:color w:val="000000"/>
                <w:sz w:val="18"/>
                <w:szCs w:val="18"/>
                <w:lang w:val="es-CO" w:eastAsia="es-CO"/>
              </w:rPr>
            </w:pPr>
            <w:bookmarkStart w:id="0" w:name="RANGE!B2:B15"/>
            <w:r w:rsidRPr="00C22134">
              <w:rPr>
                <w:rFonts w:ascii="Arial" w:hAnsi="Arial" w:cs="Arial"/>
                <w:b/>
                <w:snapToGrid/>
                <w:color w:val="000000"/>
                <w:sz w:val="18"/>
                <w:szCs w:val="18"/>
                <w:lang w:val="es-CO" w:eastAsia="es-CO"/>
              </w:rPr>
              <w:t xml:space="preserve">1. </w:t>
            </w:r>
            <w:r w:rsidR="0013684A" w:rsidRPr="00C22134">
              <w:rPr>
                <w:rFonts w:ascii="Arial" w:hAnsi="Arial" w:cs="Arial"/>
                <w:b/>
                <w:snapToGrid/>
                <w:color w:val="000000"/>
                <w:sz w:val="18"/>
                <w:szCs w:val="18"/>
                <w:lang w:val="es-CO" w:eastAsia="es-CO"/>
              </w:rPr>
              <w:t>CONSIDERACIONES GENERALES</w:t>
            </w:r>
            <w:bookmarkEnd w:id="0"/>
          </w:p>
          <w:p w:rsidR="0013684A" w:rsidRPr="00C22134" w:rsidRDefault="0013684A" w:rsidP="005426D8">
            <w:pPr>
              <w:jc w:val="both"/>
              <w:rPr>
                <w:rFonts w:ascii="Arial" w:hAnsi="Arial" w:cs="Arial"/>
                <w:snapToGrid/>
                <w:color w:val="000000"/>
                <w:sz w:val="18"/>
                <w:szCs w:val="18"/>
                <w:lang w:val="es-CO" w:eastAsia="es-CO"/>
              </w:rPr>
            </w:pPr>
          </w:p>
        </w:tc>
        <w:tc>
          <w:tcPr>
            <w:tcW w:w="1099" w:type="dxa"/>
            <w:tcBorders>
              <w:top w:val="nil"/>
              <w:left w:val="nil"/>
              <w:bottom w:val="nil"/>
              <w:right w:val="nil"/>
            </w:tcBorders>
            <w:shd w:val="clear" w:color="000000" w:fill="FFFFFF"/>
            <w:noWrap/>
            <w:vAlign w:val="bottom"/>
          </w:tcPr>
          <w:p w:rsidR="0013684A" w:rsidRPr="00C22134" w:rsidRDefault="0013684A" w:rsidP="005426D8">
            <w:pPr>
              <w:jc w:val="center"/>
              <w:rPr>
                <w:rFonts w:ascii="Arial" w:hAnsi="Arial" w:cs="Arial"/>
                <w:snapToGrid/>
                <w:color w:val="000000"/>
                <w:sz w:val="18"/>
                <w:szCs w:val="18"/>
                <w:lang w:val="es-CO" w:eastAsia="es-CO"/>
              </w:rPr>
            </w:pPr>
          </w:p>
        </w:tc>
      </w:tr>
      <w:tr w:rsidR="0013684A" w:rsidRPr="00C22134" w:rsidTr="001A0E4B">
        <w:trPr>
          <w:trHeight w:val="240"/>
        </w:trPr>
        <w:tc>
          <w:tcPr>
            <w:tcW w:w="30511" w:type="dxa"/>
            <w:tcBorders>
              <w:top w:val="nil"/>
              <w:left w:val="nil"/>
              <w:bottom w:val="nil"/>
              <w:right w:val="nil"/>
            </w:tcBorders>
            <w:shd w:val="clear" w:color="000000" w:fill="FFFFFF"/>
            <w:noWrap/>
            <w:vAlign w:val="bottom"/>
            <w:hideMark/>
          </w:tcPr>
          <w:p w:rsidR="0013684A" w:rsidRPr="00CA6A57" w:rsidRDefault="00CA6A57" w:rsidP="00CA6A57">
            <w:pP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 xml:space="preserve">1.1. </w:t>
            </w:r>
            <w:r w:rsidR="0013684A" w:rsidRPr="00CA6A57">
              <w:rPr>
                <w:rFonts w:ascii="Arial" w:hAnsi="Arial" w:cs="Arial"/>
                <w:snapToGrid/>
                <w:color w:val="000000"/>
                <w:sz w:val="18"/>
                <w:szCs w:val="18"/>
                <w:lang w:val="es-CO" w:eastAsia="es-CO"/>
              </w:rPr>
              <w:t>Ámbito de aplicación</w:t>
            </w:r>
          </w:p>
          <w:p w:rsidR="0013684A" w:rsidRPr="00C22134" w:rsidRDefault="0013684A" w:rsidP="005426D8">
            <w:pPr>
              <w:rPr>
                <w:rFonts w:ascii="Arial" w:hAnsi="Arial" w:cs="Arial"/>
                <w:snapToGrid/>
                <w:color w:val="000000"/>
                <w:sz w:val="18"/>
                <w:szCs w:val="18"/>
                <w:lang w:val="es-CO" w:eastAsia="es-CO"/>
              </w:rPr>
            </w:pPr>
          </w:p>
          <w:p w:rsidR="0013684A" w:rsidRPr="00C22134" w:rsidRDefault="0013684A" w:rsidP="005426D8">
            <w:pPr>
              <w:rPr>
                <w:rFonts w:ascii="Arial" w:hAnsi="Arial" w:cs="Arial"/>
                <w:snapToGrid/>
                <w:color w:val="000000"/>
                <w:sz w:val="18"/>
                <w:szCs w:val="18"/>
                <w:lang w:val="es-CO" w:eastAsia="es-CO"/>
              </w:rPr>
            </w:pPr>
          </w:p>
        </w:tc>
        <w:tc>
          <w:tcPr>
            <w:tcW w:w="1099" w:type="dxa"/>
            <w:tcBorders>
              <w:top w:val="nil"/>
              <w:left w:val="nil"/>
              <w:bottom w:val="nil"/>
              <w:right w:val="nil"/>
            </w:tcBorders>
            <w:shd w:val="clear" w:color="000000" w:fill="FFFFFF"/>
            <w:noWrap/>
            <w:vAlign w:val="bottom"/>
          </w:tcPr>
          <w:p w:rsidR="0013684A" w:rsidRPr="00C22134" w:rsidRDefault="0013684A" w:rsidP="005426D8">
            <w:pPr>
              <w:jc w:val="center"/>
              <w:rPr>
                <w:rFonts w:ascii="Arial" w:hAnsi="Arial" w:cs="Arial"/>
                <w:snapToGrid/>
                <w:color w:val="000000"/>
                <w:sz w:val="18"/>
                <w:szCs w:val="18"/>
                <w:lang w:val="es-CO" w:eastAsia="es-CO"/>
              </w:rPr>
            </w:pPr>
          </w:p>
        </w:tc>
      </w:tr>
      <w:tr w:rsidR="0013684A" w:rsidRPr="00C22134" w:rsidTr="001A0E4B">
        <w:trPr>
          <w:trHeight w:val="240"/>
        </w:trPr>
        <w:tc>
          <w:tcPr>
            <w:tcW w:w="30511" w:type="dxa"/>
            <w:tcBorders>
              <w:top w:val="nil"/>
              <w:left w:val="nil"/>
              <w:bottom w:val="nil"/>
              <w:right w:val="nil"/>
            </w:tcBorders>
            <w:shd w:val="clear" w:color="000000" w:fill="FFFFFF"/>
            <w:noWrap/>
            <w:vAlign w:val="center"/>
            <w:hideMark/>
          </w:tcPr>
          <w:p w:rsidR="00484A3C" w:rsidRDefault="001A0E4B" w:rsidP="004932A8">
            <w:pPr>
              <w:rPr>
                <w:rFonts w:ascii="Arial" w:hAnsi="Arial" w:cs="Arial"/>
                <w:b/>
                <w:snapToGrid/>
                <w:color w:val="000000"/>
                <w:sz w:val="18"/>
                <w:szCs w:val="18"/>
                <w:lang w:val="es-CO" w:eastAsia="es-CO"/>
              </w:rPr>
            </w:pPr>
            <w:r w:rsidRPr="00C22134">
              <w:rPr>
                <w:rFonts w:ascii="Arial" w:hAnsi="Arial" w:cs="Arial"/>
                <w:b/>
                <w:snapToGrid/>
                <w:color w:val="000000"/>
                <w:sz w:val="18"/>
                <w:szCs w:val="18"/>
                <w:lang w:val="es-CO" w:eastAsia="es-CO"/>
              </w:rPr>
              <w:t xml:space="preserve">2. </w:t>
            </w:r>
            <w:r w:rsidR="0013684A" w:rsidRPr="00C22134">
              <w:rPr>
                <w:rFonts w:ascii="Arial" w:hAnsi="Arial" w:cs="Arial"/>
                <w:b/>
                <w:snapToGrid/>
                <w:color w:val="000000"/>
                <w:sz w:val="18"/>
                <w:szCs w:val="18"/>
                <w:lang w:val="es-CO" w:eastAsia="es-CO"/>
              </w:rPr>
              <w:t xml:space="preserve">DEFINICIÓN Y CÁLCULO </w:t>
            </w:r>
            <w:r w:rsidRPr="00C22134">
              <w:rPr>
                <w:rFonts w:ascii="Arial" w:hAnsi="Arial" w:cs="Arial"/>
                <w:b/>
                <w:snapToGrid/>
                <w:color w:val="000000"/>
                <w:sz w:val="18"/>
                <w:szCs w:val="18"/>
                <w:lang w:val="es-CO" w:eastAsia="es-CO"/>
              </w:rPr>
              <w:t>DE LAS RELACIONES DE SOLVENCIA Y OTROS REQUERIMIENTOS</w:t>
            </w:r>
          </w:p>
          <w:p w:rsidR="0013684A" w:rsidRDefault="002A1090" w:rsidP="004932A8">
            <w:pPr>
              <w:rPr>
                <w:rFonts w:ascii="Arial" w:hAnsi="Arial" w:cs="Arial"/>
                <w:b/>
                <w:snapToGrid/>
                <w:color w:val="000000"/>
                <w:sz w:val="18"/>
                <w:szCs w:val="18"/>
                <w:lang w:val="es-CO" w:eastAsia="es-CO"/>
              </w:rPr>
            </w:pPr>
            <w:r>
              <w:rPr>
                <w:rFonts w:ascii="Arial" w:hAnsi="Arial" w:cs="Arial"/>
                <w:b/>
                <w:snapToGrid/>
                <w:color w:val="000000"/>
                <w:sz w:val="18"/>
                <w:szCs w:val="18"/>
                <w:lang w:val="es-CO" w:eastAsia="es-CO"/>
              </w:rPr>
              <w:t xml:space="preserve">    </w:t>
            </w:r>
            <w:r w:rsidR="001A0E4B" w:rsidRPr="00C22134">
              <w:rPr>
                <w:rFonts w:ascii="Arial" w:hAnsi="Arial" w:cs="Arial"/>
                <w:b/>
                <w:snapToGrid/>
                <w:color w:val="000000"/>
                <w:sz w:val="18"/>
                <w:szCs w:val="18"/>
                <w:lang w:val="es-CO" w:eastAsia="es-CO"/>
              </w:rPr>
              <w:t>DE PATRIMONIO</w:t>
            </w:r>
          </w:p>
          <w:p w:rsidR="004932A8" w:rsidRPr="00C22134" w:rsidRDefault="004932A8" w:rsidP="004932A8">
            <w:pPr>
              <w:rPr>
                <w:rFonts w:ascii="Arial" w:hAnsi="Arial" w:cs="Arial"/>
                <w:b/>
                <w:snapToGrid/>
                <w:color w:val="000000"/>
                <w:sz w:val="18"/>
                <w:szCs w:val="18"/>
                <w:lang w:val="es-CO" w:eastAsia="es-CO"/>
              </w:rPr>
            </w:pPr>
          </w:p>
          <w:p w:rsidR="0013684A" w:rsidRPr="00CA6A57" w:rsidRDefault="00CA6A57" w:rsidP="00CA6A57">
            <w:pPr>
              <w:jc w:val="both"/>
              <w:rPr>
                <w:rFonts w:ascii="Arial" w:hAnsi="Arial" w:cs="Arial"/>
                <w:snapToGrid/>
                <w:color w:val="000000"/>
                <w:sz w:val="18"/>
                <w:szCs w:val="18"/>
                <w:lang w:val="es-CO" w:eastAsia="es-CO"/>
              </w:rPr>
            </w:pPr>
            <w:r>
              <w:rPr>
                <w:rFonts w:ascii="Arial" w:hAnsi="Arial" w:cs="Arial"/>
                <w:snapToGrid/>
                <w:color w:val="000000"/>
                <w:sz w:val="18"/>
                <w:szCs w:val="18"/>
                <w:lang w:val="es-CO" w:eastAsia="es-CO"/>
              </w:rPr>
              <w:t xml:space="preserve">2.1. </w:t>
            </w:r>
            <w:r w:rsidR="0013684A" w:rsidRPr="00CA6A57">
              <w:rPr>
                <w:rFonts w:ascii="Arial" w:hAnsi="Arial" w:cs="Arial"/>
                <w:snapToGrid/>
                <w:color w:val="000000"/>
                <w:sz w:val="18"/>
                <w:szCs w:val="18"/>
                <w:lang w:val="es-CO" w:eastAsia="es-CO"/>
              </w:rPr>
              <w:t>Relaciones</w:t>
            </w:r>
            <w:r w:rsidR="001A0E4B" w:rsidRPr="00CA6A57">
              <w:rPr>
                <w:rFonts w:ascii="Arial" w:hAnsi="Arial" w:cs="Arial"/>
                <w:snapToGrid/>
                <w:color w:val="000000"/>
                <w:sz w:val="18"/>
                <w:szCs w:val="18"/>
                <w:lang w:val="es-CO" w:eastAsia="es-CO"/>
              </w:rPr>
              <w:t xml:space="preserve"> mínimas de solvencia</w:t>
            </w:r>
          </w:p>
          <w:p w:rsidR="001A0E4B" w:rsidRPr="002A1090" w:rsidRDefault="001A0E4B" w:rsidP="002A1090">
            <w:pPr>
              <w:jc w:val="both"/>
              <w:rPr>
                <w:rFonts w:ascii="Arial" w:hAnsi="Arial" w:cs="Arial"/>
                <w:snapToGrid/>
                <w:color w:val="000000"/>
                <w:sz w:val="18"/>
                <w:szCs w:val="18"/>
                <w:lang w:val="es-CO" w:eastAsia="es-CO"/>
              </w:rPr>
            </w:pPr>
          </w:p>
          <w:p w:rsidR="001A0E4B" w:rsidRPr="00CA6A57" w:rsidRDefault="00CA6A57" w:rsidP="00CA6A57">
            <w:pPr>
              <w:jc w:val="both"/>
              <w:rPr>
                <w:rFonts w:ascii="Arial" w:hAnsi="Arial" w:cs="Arial"/>
                <w:snapToGrid/>
                <w:color w:val="000000"/>
                <w:sz w:val="18"/>
                <w:szCs w:val="18"/>
                <w:lang w:val="es-CO" w:eastAsia="es-CO"/>
              </w:rPr>
            </w:pPr>
            <w:r>
              <w:rPr>
                <w:rFonts w:ascii="Arial" w:hAnsi="Arial" w:cs="Arial"/>
                <w:snapToGrid/>
                <w:color w:val="000000"/>
                <w:sz w:val="18"/>
                <w:szCs w:val="18"/>
                <w:lang w:val="es-CO" w:eastAsia="es-CO"/>
              </w:rPr>
              <w:t xml:space="preserve">2.2. </w:t>
            </w:r>
            <w:r w:rsidR="001A0E4B" w:rsidRPr="00CA6A57">
              <w:rPr>
                <w:rFonts w:ascii="Arial" w:hAnsi="Arial" w:cs="Arial"/>
                <w:snapToGrid/>
                <w:color w:val="000000"/>
                <w:sz w:val="18"/>
                <w:szCs w:val="18"/>
                <w:lang w:val="es-CO" w:eastAsia="es-CO"/>
              </w:rPr>
              <w:t xml:space="preserve">Colchones de capital </w:t>
            </w:r>
          </w:p>
          <w:p w:rsidR="001A0E4B" w:rsidRPr="00C22134" w:rsidRDefault="001A0E4B" w:rsidP="001A0E4B">
            <w:pPr>
              <w:jc w:val="both"/>
              <w:rPr>
                <w:rFonts w:ascii="Arial" w:hAnsi="Arial" w:cs="Arial"/>
                <w:snapToGrid/>
                <w:color w:val="000000"/>
                <w:sz w:val="18"/>
                <w:szCs w:val="18"/>
                <w:lang w:val="es-CO" w:eastAsia="es-CO"/>
              </w:rPr>
            </w:pPr>
          </w:p>
          <w:p w:rsidR="001A0E4B" w:rsidRPr="00CA6A57" w:rsidRDefault="00CA6A57" w:rsidP="00CA6A57">
            <w:pPr>
              <w:jc w:val="both"/>
              <w:rPr>
                <w:rFonts w:ascii="Arial" w:hAnsi="Arial" w:cs="Arial"/>
                <w:snapToGrid/>
                <w:color w:val="000000"/>
                <w:sz w:val="18"/>
                <w:szCs w:val="18"/>
                <w:lang w:val="es-CO" w:eastAsia="es-CO"/>
              </w:rPr>
            </w:pPr>
            <w:r>
              <w:rPr>
                <w:rFonts w:ascii="Arial" w:hAnsi="Arial" w:cs="Arial"/>
                <w:snapToGrid/>
                <w:color w:val="000000"/>
                <w:sz w:val="18"/>
                <w:szCs w:val="18"/>
                <w:lang w:val="es-CO" w:eastAsia="es-CO"/>
              </w:rPr>
              <w:t xml:space="preserve">2.3. </w:t>
            </w:r>
            <w:r w:rsidR="001A0E4B" w:rsidRPr="00CA6A57">
              <w:rPr>
                <w:rFonts w:ascii="Arial" w:hAnsi="Arial" w:cs="Arial"/>
                <w:snapToGrid/>
                <w:color w:val="000000"/>
                <w:sz w:val="18"/>
                <w:szCs w:val="18"/>
                <w:lang w:val="es-CO" w:eastAsia="es-CO"/>
              </w:rPr>
              <w:t xml:space="preserve">Patrimonio </w:t>
            </w:r>
            <w:r w:rsidR="00126E04">
              <w:rPr>
                <w:rFonts w:ascii="Arial" w:hAnsi="Arial" w:cs="Arial"/>
                <w:snapToGrid/>
                <w:color w:val="000000"/>
                <w:sz w:val="18"/>
                <w:szCs w:val="18"/>
                <w:lang w:val="es-CO" w:eastAsia="es-CO"/>
              </w:rPr>
              <w:t>t</w:t>
            </w:r>
            <w:r w:rsidR="004B2EF0" w:rsidRPr="00CA6A57">
              <w:rPr>
                <w:rFonts w:ascii="Arial" w:hAnsi="Arial" w:cs="Arial"/>
                <w:snapToGrid/>
                <w:color w:val="000000"/>
                <w:sz w:val="18"/>
                <w:szCs w:val="18"/>
                <w:lang w:val="es-CO" w:eastAsia="es-CO"/>
              </w:rPr>
              <w:t>écnico</w:t>
            </w:r>
          </w:p>
          <w:p w:rsidR="001A0E4B" w:rsidRPr="00C22134" w:rsidRDefault="001A0E4B" w:rsidP="001A0E4B">
            <w:pPr>
              <w:jc w:val="both"/>
              <w:rPr>
                <w:rFonts w:ascii="Arial" w:hAnsi="Arial" w:cs="Arial"/>
                <w:snapToGrid/>
                <w:color w:val="000000"/>
                <w:sz w:val="18"/>
                <w:szCs w:val="18"/>
                <w:lang w:val="es-CO" w:eastAsia="es-CO"/>
              </w:rPr>
            </w:pPr>
          </w:p>
          <w:p w:rsidR="001A0E4B" w:rsidRPr="00CA6A57" w:rsidRDefault="00CA6A57" w:rsidP="00CA6A57">
            <w:pPr>
              <w:jc w:val="both"/>
              <w:rPr>
                <w:rFonts w:ascii="Arial" w:hAnsi="Arial" w:cs="Arial"/>
                <w:snapToGrid/>
                <w:color w:val="000000"/>
                <w:sz w:val="18"/>
                <w:szCs w:val="18"/>
                <w:lang w:val="es-CO" w:eastAsia="es-CO"/>
              </w:rPr>
            </w:pPr>
            <w:r>
              <w:rPr>
                <w:rFonts w:ascii="Arial" w:hAnsi="Arial" w:cs="Arial"/>
                <w:snapToGrid/>
                <w:color w:val="000000"/>
                <w:sz w:val="18"/>
                <w:szCs w:val="18"/>
                <w:lang w:val="es-CO" w:eastAsia="es-CO"/>
              </w:rPr>
              <w:t xml:space="preserve">2.4. </w:t>
            </w:r>
            <w:r w:rsidR="00126E04">
              <w:rPr>
                <w:rFonts w:ascii="Arial" w:hAnsi="Arial" w:cs="Arial"/>
                <w:snapToGrid/>
                <w:color w:val="000000"/>
                <w:sz w:val="18"/>
                <w:szCs w:val="18"/>
                <w:lang w:val="es-CO" w:eastAsia="es-CO"/>
              </w:rPr>
              <w:t>Activos ponderados por nivel de r</w:t>
            </w:r>
            <w:r w:rsidR="001A0E4B" w:rsidRPr="00CA6A57">
              <w:rPr>
                <w:rFonts w:ascii="Arial" w:hAnsi="Arial" w:cs="Arial"/>
                <w:snapToGrid/>
                <w:color w:val="000000"/>
                <w:sz w:val="18"/>
                <w:szCs w:val="18"/>
                <w:lang w:val="es-CO" w:eastAsia="es-CO"/>
              </w:rPr>
              <w:t>iesgo</w:t>
            </w:r>
            <w:r w:rsidR="005D22A7">
              <w:rPr>
                <w:rFonts w:ascii="Arial" w:hAnsi="Arial" w:cs="Arial"/>
                <w:snapToGrid/>
                <w:color w:val="000000"/>
                <w:sz w:val="18"/>
                <w:szCs w:val="18"/>
                <w:lang w:val="es-CO" w:eastAsia="es-CO"/>
              </w:rPr>
              <w:t xml:space="preserve"> crediticio</w:t>
            </w:r>
          </w:p>
          <w:p w:rsidR="0013684A" w:rsidRPr="00C22134" w:rsidRDefault="0013684A" w:rsidP="005426D8">
            <w:pPr>
              <w:jc w:val="both"/>
              <w:rPr>
                <w:rFonts w:ascii="Arial" w:hAnsi="Arial" w:cs="Arial"/>
                <w:snapToGrid/>
                <w:color w:val="000000"/>
                <w:sz w:val="18"/>
                <w:szCs w:val="18"/>
                <w:lang w:val="es-CO" w:eastAsia="es-CO"/>
              </w:rPr>
            </w:pPr>
          </w:p>
          <w:p w:rsidR="001A0E4B" w:rsidRPr="00C22134" w:rsidRDefault="001A0E4B" w:rsidP="005426D8">
            <w:pPr>
              <w:jc w:val="both"/>
              <w:rPr>
                <w:rFonts w:ascii="Arial" w:hAnsi="Arial" w:cs="Arial"/>
                <w:snapToGrid/>
                <w:color w:val="000000"/>
                <w:sz w:val="18"/>
                <w:szCs w:val="18"/>
                <w:lang w:val="es-CO" w:eastAsia="es-CO"/>
              </w:rPr>
            </w:pPr>
          </w:p>
        </w:tc>
        <w:tc>
          <w:tcPr>
            <w:tcW w:w="1099" w:type="dxa"/>
            <w:tcBorders>
              <w:top w:val="nil"/>
              <w:left w:val="nil"/>
              <w:bottom w:val="nil"/>
              <w:right w:val="nil"/>
            </w:tcBorders>
            <w:shd w:val="clear" w:color="000000" w:fill="FFFFFF"/>
            <w:noWrap/>
            <w:vAlign w:val="center"/>
          </w:tcPr>
          <w:p w:rsidR="0013684A" w:rsidRPr="00C22134" w:rsidRDefault="0013684A" w:rsidP="005426D8">
            <w:pPr>
              <w:jc w:val="center"/>
              <w:rPr>
                <w:rFonts w:ascii="Arial" w:hAnsi="Arial" w:cs="Arial"/>
                <w:snapToGrid/>
                <w:color w:val="000000"/>
                <w:sz w:val="18"/>
                <w:szCs w:val="18"/>
                <w:lang w:val="es-CO" w:eastAsia="es-CO"/>
              </w:rPr>
            </w:pPr>
          </w:p>
        </w:tc>
      </w:tr>
      <w:tr w:rsidR="0013684A" w:rsidRPr="00C22134" w:rsidTr="001A0E4B">
        <w:trPr>
          <w:trHeight w:val="240"/>
        </w:trPr>
        <w:tc>
          <w:tcPr>
            <w:tcW w:w="30511" w:type="dxa"/>
            <w:tcBorders>
              <w:top w:val="nil"/>
              <w:left w:val="nil"/>
              <w:bottom w:val="nil"/>
              <w:right w:val="nil"/>
            </w:tcBorders>
            <w:shd w:val="clear" w:color="000000" w:fill="FFFFFF"/>
            <w:noWrap/>
            <w:vAlign w:val="bottom"/>
            <w:hideMark/>
          </w:tcPr>
          <w:p w:rsidR="0013684A" w:rsidRPr="00C22134" w:rsidRDefault="001A0E4B" w:rsidP="005426D8">
            <w:pPr>
              <w:ind w:left="356" w:hanging="356"/>
              <w:rPr>
                <w:rFonts w:ascii="Arial" w:hAnsi="Arial" w:cs="Arial"/>
                <w:b/>
                <w:snapToGrid/>
                <w:color w:val="000000"/>
                <w:sz w:val="18"/>
                <w:szCs w:val="18"/>
                <w:lang w:val="es-CO" w:eastAsia="es-CO"/>
              </w:rPr>
            </w:pPr>
            <w:r w:rsidRPr="00C22134">
              <w:rPr>
                <w:rFonts w:ascii="Arial" w:hAnsi="Arial" w:cs="Arial"/>
                <w:b/>
                <w:snapToGrid/>
                <w:color w:val="000000"/>
                <w:sz w:val="18"/>
                <w:szCs w:val="18"/>
                <w:lang w:val="es-CO" w:eastAsia="es-CO"/>
              </w:rPr>
              <w:t xml:space="preserve">3. </w:t>
            </w:r>
            <w:r w:rsidR="00C22134" w:rsidRPr="00C22134">
              <w:rPr>
                <w:rFonts w:ascii="Arial" w:hAnsi="Arial" w:cs="Arial"/>
                <w:b/>
                <w:snapToGrid/>
                <w:color w:val="000000"/>
                <w:sz w:val="18"/>
                <w:szCs w:val="18"/>
                <w:lang w:val="es-CO" w:eastAsia="es-CO"/>
              </w:rPr>
              <w:t>RIESGO DE MERCADO</w:t>
            </w:r>
          </w:p>
          <w:p w:rsidR="0013684A" w:rsidRPr="00C22134" w:rsidRDefault="0013684A" w:rsidP="005426D8">
            <w:pPr>
              <w:rPr>
                <w:rFonts w:ascii="Arial" w:hAnsi="Arial" w:cs="Arial"/>
                <w:b/>
                <w:snapToGrid/>
                <w:color w:val="000000"/>
                <w:sz w:val="18"/>
                <w:szCs w:val="18"/>
                <w:lang w:val="es-CO" w:eastAsia="es-CO"/>
              </w:rPr>
            </w:pPr>
          </w:p>
          <w:p w:rsidR="0013684A" w:rsidRPr="00C22134" w:rsidRDefault="0013684A" w:rsidP="005426D8">
            <w:pPr>
              <w:rPr>
                <w:rFonts w:ascii="Arial" w:hAnsi="Arial" w:cs="Arial"/>
                <w:b/>
                <w:snapToGrid/>
                <w:color w:val="000000"/>
                <w:sz w:val="18"/>
                <w:szCs w:val="18"/>
                <w:lang w:val="es-CO" w:eastAsia="es-CO"/>
              </w:rPr>
            </w:pPr>
          </w:p>
        </w:tc>
        <w:tc>
          <w:tcPr>
            <w:tcW w:w="1099" w:type="dxa"/>
            <w:tcBorders>
              <w:top w:val="nil"/>
              <w:left w:val="nil"/>
              <w:bottom w:val="nil"/>
              <w:right w:val="nil"/>
            </w:tcBorders>
            <w:shd w:val="clear" w:color="000000" w:fill="FFFFFF"/>
            <w:noWrap/>
            <w:vAlign w:val="center"/>
          </w:tcPr>
          <w:p w:rsidR="0013684A" w:rsidRPr="00C22134" w:rsidRDefault="0013684A" w:rsidP="005426D8">
            <w:pPr>
              <w:jc w:val="center"/>
              <w:rPr>
                <w:rFonts w:ascii="Arial" w:hAnsi="Arial" w:cs="Arial"/>
                <w:snapToGrid/>
                <w:color w:val="000000"/>
                <w:sz w:val="18"/>
                <w:szCs w:val="18"/>
                <w:lang w:val="es-CO" w:eastAsia="es-CO"/>
              </w:rPr>
            </w:pPr>
          </w:p>
        </w:tc>
      </w:tr>
      <w:tr w:rsidR="0013684A" w:rsidRPr="00CA6A57" w:rsidTr="001A0E4B">
        <w:trPr>
          <w:trHeight w:val="240"/>
        </w:trPr>
        <w:tc>
          <w:tcPr>
            <w:tcW w:w="30511" w:type="dxa"/>
            <w:tcBorders>
              <w:top w:val="nil"/>
              <w:left w:val="nil"/>
              <w:bottom w:val="nil"/>
              <w:right w:val="nil"/>
            </w:tcBorders>
            <w:shd w:val="clear" w:color="000000" w:fill="FFFFFF"/>
            <w:noWrap/>
            <w:vAlign w:val="center"/>
            <w:hideMark/>
          </w:tcPr>
          <w:p w:rsidR="0013684A" w:rsidRPr="00CA6A57" w:rsidRDefault="001A0E4B" w:rsidP="005426D8">
            <w:pPr>
              <w:jc w:val="both"/>
              <w:rPr>
                <w:rFonts w:ascii="Arial" w:hAnsi="Arial" w:cs="Arial"/>
                <w:b/>
                <w:snapToGrid/>
                <w:color w:val="000000"/>
                <w:sz w:val="18"/>
                <w:szCs w:val="18"/>
                <w:lang w:val="es-CO" w:eastAsia="es-CO"/>
              </w:rPr>
            </w:pPr>
            <w:r w:rsidRPr="00CA6A57">
              <w:rPr>
                <w:rFonts w:ascii="Arial" w:hAnsi="Arial" w:cs="Arial"/>
                <w:b/>
                <w:snapToGrid/>
                <w:color w:val="000000"/>
                <w:sz w:val="18"/>
                <w:szCs w:val="18"/>
                <w:lang w:val="es-CO" w:eastAsia="es-CO"/>
              </w:rPr>
              <w:t xml:space="preserve">4. </w:t>
            </w:r>
            <w:r w:rsidR="0013684A" w:rsidRPr="00CA6A57">
              <w:rPr>
                <w:rFonts w:ascii="Arial" w:hAnsi="Arial" w:cs="Arial"/>
                <w:b/>
                <w:snapToGrid/>
                <w:color w:val="000000"/>
                <w:sz w:val="18"/>
                <w:szCs w:val="18"/>
                <w:lang w:val="es-CO" w:eastAsia="es-CO"/>
              </w:rPr>
              <w:t>PLAN</w:t>
            </w:r>
            <w:r w:rsidR="00C22134" w:rsidRPr="00CA6A57">
              <w:rPr>
                <w:rFonts w:ascii="Arial" w:hAnsi="Arial" w:cs="Arial"/>
                <w:b/>
                <w:snapToGrid/>
                <w:color w:val="000000"/>
                <w:sz w:val="18"/>
                <w:szCs w:val="18"/>
                <w:lang w:val="es-CO" w:eastAsia="es-CO"/>
              </w:rPr>
              <w:t>ES</w:t>
            </w:r>
            <w:r w:rsidR="0013684A" w:rsidRPr="00CA6A57">
              <w:rPr>
                <w:rFonts w:ascii="Arial" w:hAnsi="Arial" w:cs="Arial"/>
                <w:b/>
                <w:snapToGrid/>
                <w:color w:val="000000"/>
                <w:sz w:val="18"/>
                <w:szCs w:val="18"/>
                <w:lang w:val="es-CO" w:eastAsia="es-CO"/>
              </w:rPr>
              <w:t xml:space="preserve"> DE AJUSTE</w:t>
            </w:r>
          </w:p>
          <w:p w:rsidR="0013684A" w:rsidRPr="00CA6A57" w:rsidRDefault="0013684A" w:rsidP="005426D8">
            <w:pPr>
              <w:jc w:val="both"/>
              <w:rPr>
                <w:rFonts w:ascii="Arial" w:hAnsi="Arial" w:cs="Arial"/>
                <w:snapToGrid/>
                <w:color w:val="000000"/>
                <w:sz w:val="18"/>
                <w:szCs w:val="18"/>
                <w:lang w:val="es-CO" w:eastAsia="es-CO"/>
              </w:rPr>
            </w:pPr>
          </w:p>
          <w:p w:rsidR="00CA6A57" w:rsidRPr="00CA6A57" w:rsidRDefault="00CA6A57" w:rsidP="00CA6A57">
            <w:pPr>
              <w:jc w:val="both"/>
              <w:rPr>
                <w:rFonts w:ascii="Arial" w:hAnsi="Arial" w:cs="Arial"/>
                <w:sz w:val="18"/>
                <w:szCs w:val="18"/>
              </w:rPr>
            </w:pPr>
            <w:r>
              <w:rPr>
                <w:rFonts w:ascii="Arial" w:hAnsi="Arial" w:cs="Arial"/>
                <w:sz w:val="18"/>
                <w:szCs w:val="18"/>
              </w:rPr>
              <w:t xml:space="preserve">4.1. </w:t>
            </w:r>
            <w:r w:rsidRPr="00CA6A57">
              <w:rPr>
                <w:rFonts w:ascii="Arial" w:hAnsi="Arial" w:cs="Arial"/>
                <w:sz w:val="18"/>
                <w:szCs w:val="18"/>
              </w:rPr>
              <w:t>Plan de ajuste frente a las relaciones mínimas de solvencia</w:t>
            </w:r>
          </w:p>
          <w:p w:rsidR="00CA6A57" w:rsidRDefault="00CA6A57" w:rsidP="005426D8">
            <w:pPr>
              <w:jc w:val="both"/>
              <w:rPr>
                <w:rFonts w:ascii="Arial" w:hAnsi="Arial" w:cs="Arial"/>
                <w:snapToGrid/>
                <w:color w:val="000000"/>
                <w:sz w:val="18"/>
                <w:szCs w:val="18"/>
                <w:lang w:val="es-CO" w:eastAsia="es-CO"/>
              </w:rPr>
            </w:pPr>
          </w:p>
          <w:p w:rsidR="00CA6A57" w:rsidRPr="00CA6A57" w:rsidRDefault="00CA6A57" w:rsidP="005426D8">
            <w:pPr>
              <w:jc w:val="both"/>
              <w:rPr>
                <w:rFonts w:ascii="Arial" w:hAnsi="Arial" w:cs="Arial"/>
                <w:snapToGrid/>
                <w:color w:val="000000"/>
                <w:sz w:val="18"/>
                <w:szCs w:val="18"/>
                <w:lang w:val="es-CO" w:eastAsia="es-CO"/>
              </w:rPr>
            </w:pPr>
            <w:r>
              <w:rPr>
                <w:rFonts w:ascii="Arial" w:hAnsi="Arial" w:cs="Arial"/>
                <w:snapToGrid/>
                <w:color w:val="000000"/>
                <w:sz w:val="18"/>
                <w:szCs w:val="18"/>
                <w:lang w:val="es-CO" w:eastAsia="es-CO"/>
              </w:rPr>
              <w:t xml:space="preserve">4.2. </w:t>
            </w:r>
            <w:r w:rsidRPr="00CA6A57">
              <w:rPr>
                <w:rFonts w:ascii="Arial" w:hAnsi="Arial" w:cs="Arial"/>
                <w:snapToGrid/>
                <w:color w:val="000000"/>
                <w:sz w:val="18"/>
                <w:szCs w:val="18"/>
                <w:lang w:val="es-CO" w:eastAsia="es-CO"/>
              </w:rPr>
              <w:t>Plan de ajuste frente a los colchones de capital</w:t>
            </w:r>
          </w:p>
          <w:p w:rsidR="0013684A" w:rsidRDefault="0013684A" w:rsidP="005426D8">
            <w:pPr>
              <w:jc w:val="both"/>
              <w:rPr>
                <w:rFonts w:ascii="Arial" w:hAnsi="Arial" w:cs="Arial"/>
                <w:snapToGrid/>
                <w:color w:val="000000"/>
                <w:sz w:val="18"/>
                <w:szCs w:val="18"/>
                <w:lang w:val="es-CO" w:eastAsia="es-CO"/>
              </w:rPr>
            </w:pPr>
          </w:p>
          <w:p w:rsidR="00126E04" w:rsidRPr="00CA6A57" w:rsidRDefault="00126E04" w:rsidP="005426D8">
            <w:pPr>
              <w:jc w:val="both"/>
              <w:rPr>
                <w:rFonts w:ascii="Arial" w:hAnsi="Arial" w:cs="Arial"/>
                <w:snapToGrid/>
                <w:color w:val="000000"/>
                <w:sz w:val="18"/>
                <w:szCs w:val="18"/>
                <w:lang w:val="es-CO" w:eastAsia="es-CO"/>
              </w:rPr>
            </w:pPr>
          </w:p>
        </w:tc>
        <w:tc>
          <w:tcPr>
            <w:tcW w:w="1099" w:type="dxa"/>
            <w:tcBorders>
              <w:top w:val="nil"/>
              <w:left w:val="nil"/>
              <w:bottom w:val="nil"/>
              <w:right w:val="nil"/>
            </w:tcBorders>
            <w:shd w:val="clear" w:color="000000" w:fill="FFFFFF"/>
            <w:noWrap/>
            <w:vAlign w:val="center"/>
          </w:tcPr>
          <w:p w:rsidR="0013684A" w:rsidRPr="00CA6A57" w:rsidRDefault="0013684A" w:rsidP="005426D8">
            <w:pPr>
              <w:jc w:val="center"/>
              <w:rPr>
                <w:rFonts w:ascii="Arial" w:hAnsi="Arial" w:cs="Arial"/>
                <w:snapToGrid/>
                <w:color w:val="000000"/>
                <w:sz w:val="18"/>
                <w:szCs w:val="18"/>
                <w:lang w:val="es-CO" w:eastAsia="es-CO"/>
              </w:rPr>
            </w:pPr>
          </w:p>
        </w:tc>
      </w:tr>
      <w:tr w:rsidR="0013684A" w:rsidRPr="000A17D7" w:rsidTr="001A0E4B">
        <w:trPr>
          <w:trHeight w:val="240"/>
        </w:trPr>
        <w:tc>
          <w:tcPr>
            <w:tcW w:w="30511" w:type="dxa"/>
            <w:tcBorders>
              <w:top w:val="nil"/>
              <w:left w:val="nil"/>
              <w:bottom w:val="nil"/>
              <w:right w:val="nil"/>
            </w:tcBorders>
            <w:shd w:val="clear" w:color="000000" w:fill="FFFFFF"/>
            <w:noWrap/>
            <w:vAlign w:val="center"/>
            <w:hideMark/>
          </w:tcPr>
          <w:p w:rsidR="0013684A" w:rsidRPr="00C22134" w:rsidRDefault="00C22134" w:rsidP="005426D8">
            <w:pPr>
              <w:rPr>
                <w:rFonts w:ascii="Arial" w:hAnsi="Arial" w:cs="Arial"/>
                <w:b/>
                <w:snapToGrid/>
                <w:color w:val="000000"/>
                <w:sz w:val="18"/>
                <w:szCs w:val="18"/>
                <w:lang w:val="es-CO" w:eastAsia="es-CO"/>
              </w:rPr>
            </w:pPr>
            <w:r w:rsidRPr="00C22134">
              <w:rPr>
                <w:rFonts w:ascii="Arial" w:hAnsi="Arial" w:cs="Arial"/>
                <w:b/>
                <w:snapToGrid/>
                <w:color w:val="000000"/>
                <w:sz w:val="18"/>
                <w:szCs w:val="18"/>
                <w:lang w:val="es-CO" w:eastAsia="es-CO"/>
              </w:rPr>
              <w:t>5. REPORTE DE LA INFORMACIÓN</w:t>
            </w:r>
          </w:p>
          <w:p w:rsidR="00EA00EB" w:rsidRDefault="00EA00EB" w:rsidP="005426D8">
            <w:pPr>
              <w:rPr>
                <w:rFonts w:ascii="Arial" w:hAnsi="Arial" w:cs="Arial"/>
                <w:b/>
                <w:snapToGrid/>
                <w:color w:val="000000"/>
                <w:sz w:val="18"/>
                <w:szCs w:val="18"/>
                <w:lang w:val="es-CO" w:eastAsia="es-CO"/>
              </w:rPr>
            </w:pPr>
          </w:p>
          <w:p w:rsidR="00126E04" w:rsidRPr="00C22134" w:rsidRDefault="00126E04" w:rsidP="005426D8">
            <w:pPr>
              <w:rPr>
                <w:rFonts w:ascii="Arial" w:hAnsi="Arial" w:cs="Arial"/>
                <w:b/>
                <w:snapToGrid/>
                <w:color w:val="000000"/>
                <w:sz w:val="18"/>
                <w:szCs w:val="18"/>
                <w:lang w:val="es-CO" w:eastAsia="es-CO"/>
              </w:rPr>
            </w:pPr>
          </w:p>
          <w:p w:rsidR="00C22134" w:rsidRPr="000A17D7" w:rsidRDefault="00C22134" w:rsidP="005426D8">
            <w:pPr>
              <w:rPr>
                <w:rFonts w:ascii="Arial" w:hAnsi="Arial" w:cs="Arial"/>
                <w:b/>
                <w:snapToGrid/>
                <w:color w:val="000000"/>
                <w:sz w:val="18"/>
                <w:szCs w:val="18"/>
                <w:lang w:val="es-CO" w:eastAsia="es-CO"/>
              </w:rPr>
            </w:pPr>
            <w:r w:rsidRPr="00C22134">
              <w:rPr>
                <w:rFonts w:ascii="Arial" w:hAnsi="Arial" w:cs="Arial"/>
                <w:b/>
                <w:snapToGrid/>
                <w:color w:val="000000"/>
                <w:sz w:val="18"/>
                <w:szCs w:val="18"/>
                <w:lang w:val="es-CO" w:eastAsia="es-CO"/>
              </w:rPr>
              <w:t>6. SANCIONES</w:t>
            </w:r>
          </w:p>
        </w:tc>
        <w:tc>
          <w:tcPr>
            <w:tcW w:w="1099" w:type="dxa"/>
            <w:tcBorders>
              <w:top w:val="nil"/>
              <w:left w:val="nil"/>
              <w:bottom w:val="nil"/>
              <w:right w:val="nil"/>
            </w:tcBorders>
            <w:shd w:val="clear" w:color="000000" w:fill="FFFFFF"/>
            <w:noWrap/>
            <w:vAlign w:val="center"/>
          </w:tcPr>
          <w:p w:rsidR="0013684A" w:rsidRPr="000A17D7" w:rsidRDefault="0013684A" w:rsidP="005426D8">
            <w:pPr>
              <w:jc w:val="center"/>
              <w:rPr>
                <w:rFonts w:ascii="Arial" w:hAnsi="Arial" w:cs="Arial"/>
                <w:snapToGrid/>
                <w:color w:val="000000"/>
                <w:sz w:val="18"/>
                <w:szCs w:val="18"/>
                <w:lang w:val="es-CO" w:eastAsia="es-CO"/>
              </w:rPr>
            </w:pPr>
          </w:p>
        </w:tc>
      </w:tr>
    </w:tbl>
    <w:p w:rsidR="0013684A" w:rsidRPr="000A17D7" w:rsidRDefault="0013684A" w:rsidP="0013684A">
      <w:pPr>
        <w:jc w:val="both"/>
        <w:rPr>
          <w:rFonts w:ascii="Arial" w:hAnsi="Arial" w:cs="Arial"/>
          <w:b/>
          <w:sz w:val="18"/>
          <w:szCs w:val="18"/>
        </w:rPr>
      </w:pPr>
    </w:p>
    <w:p w:rsidR="00D81532" w:rsidRPr="000A17D7" w:rsidRDefault="00D81532" w:rsidP="0013684A">
      <w:pPr>
        <w:jc w:val="both"/>
        <w:rPr>
          <w:rFonts w:ascii="Arial" w:hAnsi="Arial" w:cs="Arial"/>
          <w:b/>
          <w:sz w:val="18"/>
          <w:szCs w:val="18"/>
        </w:rPr>
        <w:sectPr w:rsidR="00D81532" w:rsidRPr="000A17D7" w:rsidSect="003252B5">
          <w:headerReference w:type="default" r:id="rId8"/>
          <w:footerReference w:type="default" r:id="rId9"/>
          <w:headerReference w:type="first" r:id="rId10"/>
          <w:pgSz w:w="12240" w:h="18720" w:code="41"/>
          <w:pgMar w:top="1678" w:right="1134" w:bottom="1701" w:left="1701" w:header="567" w:footer="567" w:gutter="0"/>
          <w:paperSrc w:first="3" w:other="3"/>
          <w:pgNumType w:start="82"/>
          <w:cols w:space="720"/>
          <w:noEndnote/>
          <w:docGrid w:linePitch="272"/>
        </w:sectPr>
      </w:pPr>
    </w:p>
    <w:p w:rsidR="00243A33" w:rsidRPr="000A17D7" w:rsidRDefault="00243A33" w:rsidP="0013684A">
      <w:pPr>
        <w:jc w:val="both"/>
        <w:rPr>
          <w:rFonts w:ascii="Arial" w:hAnsi="Arial" w:cs="Arial"/>
          <w:b/>
          <w:sz w:val="18"/>
          <w:szCs w:val="18"/>
        </w:rPr>
      </w:pPr>
    </w:p>
    <w:p w:rsidR="0013684A" w:rsidRPr="00A61FAB" w:rsidRDefault="0013684A" w:rsidP="00513595">
      <w:pPr>
        <w:pStyle w:val="Prrafodelista"/>
        <w:numPr>
          <w:ilvl w:val="0"/>
          <w:numId w:val="14"/>
        </w:numPr>
        <w:jc w:val="both"/>
        <w:rPr>
          <w:rFonts w:ascii="Arial" w:hAnsi="Arial" w:cs="Arial"/>
          <w:b/>
          <w:sz w:val="18"/>
          <w:szCs w:val="18"/>
        </w:rPr>
      </w:pPr>
      <w:bookmarkStart w:id="1" w:name="_Toc354948161"/>
      <w:bookmarkStart w:id="2" w:name="_Toc354978976"/>
      <w:bookmarkStart w:id="3" w:name="_Toc354995207"/>
      <w:r w:rsidRPr="00A61FAB">
        <w:rPr>
          <w:rFonts w:ascii="Arial" w:hAnsi="Arial" w:cs="Arial"/>
          <w:b/>
          <w:sz w:val="18"/>
          <w:szCs w:val="18"/>
        </w:rPr>
        <w:t>CONSIDERACIONES GENERALES</w:t>
      </w:r>
      <w:bookmarkEnd w:id="1"/>
      <w:bookmarkEnd w:id="2"/>
      <w:bookmarkEnd w:id="3"/>
    </w:p>
    <w:p w:rsidR="0013684A" w:rsidRPr="000A17D7" w:rsidRDefault="0013684A" w:rsidP="0013684A">
      <w:pPr>
        <w:jc w:val="both"/>
        <w:rPr>
          <w:rFonts w:ascii="Arial" w:hAnsi="Arial" w:cs="Arial"/>
          <w:sz w:val="18"/>
          <w:szCs w:val="18"/>
        </w:rPr>
      </w:pPr>
    </w:p>
    <w:p w:rsidR="0013684A" w:rsidRPr="000A17D7" w:rsidRDefault="0013684A" w:rsidP="0013684A">
      <w:pPr>
        <w:jc w:val="both"/>
        <w:rPr>
          <w:rFonts w:ascii="Arial" w:hAnsi="Arial" w:cs="Arial"/>
          <w:sz w:val="18"/>
          <w:szCs w:val="18"/>
        </w:rPr>
      </w:pPr>
      <w:r w:rsidRPr="000A17D7">
        <w:rPr>
          <w:rFonts w:ascii="Arial" w:hAnsi="Arial" w:cs="Arial"/>
          <w:sz w:val="18"/>
          <w:szCs w:val="18"/>
        </w:rPr>
        <w:t xml:space="preserve">El presente Capítulo señala los criterios y parámetros que las entidades destinatarias del mismo deben observar para el cumplimiento </w:t>
      </w:r>
      <w:r w:rsidR="008A741E">
        <w:rPr>
          <w:rFonts w:ascii="Arial" w:hAnsi="Arial" w:cs="Arial"/>
          <w:sz w:val="18"/>
          <w:szCs w:val="18"/>
        </w:rPr>
        <w:t>de</w:t>
      </w:r>
      <w:r w:rsidR="00E21573">
        <w:rPr>
          <w:rFonts w:ascii="Arial" w:hAnsi="Arial" w:cs="Arial"/>
          <w:sz w:val="18"/>
          <w:szCs w:val="18"/>
        </w:rPr>
        <w:t xml:space="preserve"> los márgenes de solvencia y otros </w:t>
      </w:r>
      <w:r w:rsidR="004F5198">
        <w:rPr>
          <w:rFonts w:ascii="Arial" w:hAnsi="Arial" w:cs="Arial"/>
          <w:sz w:val="18"/>
          <w:szCs w:val="18"/>
        </w:rPr>
        <w:t>requerimientos</w:t>
      </w:r>
      <w:r w:rsidR="00E21573">
        <w:rPr>
          <w:rFonts w:ascii="Arial" w:hAnsi="Arial" w:cs="Arial"/>
          <w:sz w:val="18"/>
          <w:szCs w:val="18"/>
        </w:rPr>
        <w:t xml:space="preserve"> de patrimonio </w:t>
      </w:r>
      <w:r w:rsidRPr="000A17D7">
        <w:rPr>
          <w:rFonts w:ascii="Arial" w:hAnsi="Arial" w:cs="Arial"/>
          <w:sz w:val="18"/>
          <w:szCs w:val="18"/>
        </w:rPr>
        <w:t>establecid</w:t>
      </w:r>
      <w:r w:rsidR="008A741E">
        <w:rPr>
          <w:rFonts w:ascii="Arial" w:hAnsi="Arial" w:cs="Arial"/>
          <w:sz w:val="18"/>
          <w:szCs w:val="18"/>
        </w:rPr>
        <w:t>o</w:t>
      </w:r>
      <w:r w:rsidRPr="000A17D7">
        <w:rPr>
          <w:rFonts w:ascii="Arial" w:hAnsi="Arial" w:cs="Arial"/>
          <w:sz w:val="18"/>
          <w:szCs w:val="18"/>
        </w:rPr>
        <w:t>s en el Título 1 del Libro 1 de la Parte 2 del Decreto 2555 de 2010.</w:t>
      </w:r>
    </w:p>
    <w:p w:rsidR="007E1008" w:rsidRPr="000A17D7" w:rsidRDefault="007E1008" w:rsidP="0013684A">
      <w:pPr>
        <w:jc w:val="both"/>
        <w:rPr>
          <w:rFonts w:ascii="Arial" w:hAnsi="Arial" w:cs="Arial"/>
          <w:sz w:val="18"/>
          <w:szCs w:val="18"/>
        </w:rPr>
      </w:pPr>
    </w:p>
    <w:p w:rsidR="0013684A" w:rsidRPr="00D11F16" w:rsidRDefault="0013684A" w:rsidP="00513595">
      <w:pPr>
        <w:pStyle w:val="Prrafodelista"/>
        <w:numPr>
          <w:ilvl w:val="1"/>
          <w:numId w:val="13"/>
        </w:numPr>
        <w:jc w:val="both"/>
        <w:rPr>
          <w:rFonts w:ascii="Arial" w:hAnsi="Arial" w:cs="Arial"/>
          <w:b/>
          <w:sz w:val="18"/>
          <w:szCs w:val="18"/>
        </w:rPr>
      </w:pPr>
      <w:r w:rsidRPr="00D11F16">
        <w:rPr>
          <w:rFonts w:ascii="Arial" w:hAnsi="Arial" w:cs="Arial"/>
          <w:b/>
          <w:sz w:val="18"/>
          <w:szCs w:val="18"/>
        </w:rPr>
        <w:t>Ámbito de aplicación</w:t>
      </w:r>
    </w:p>
    <w:p w:rsidR="0013684A" w:rsidRPr="000A17D7" w:rsidRDefault="0013684A" w:rsidP="00E32946">
      <w:pPr>
        <w:jc w:val="both"/>
        <w:rPr>
          <w:rFonts w:ascii="Arial" w:hAnsi="Arial" w:cs="Arial"/>
          <w:sz w:val="18"/>
          <w:szCs w:val="18"/>
        </w:rPr>
      </w:pPr>
    </w:p>
    <w:p w:rsidR="00FD468D" w:rsidRPr="000A17D7" w:rsidRDefault="000826AD" w:rsidP="0013684A">
      <w:pPr>
        <w:jc w:val="both"/>
        <w:rPr>
          <w:rFonts w:ascii="Arial" w:hAnsi="Arial" w:cs="Arial"/>
          <w:sz w:val="18"/>
          <w:szCs w:val="18"/>
        </w:rPr>
      </w:pPr>
      <w:r w:rsidRPr="000A17D7">
        <w:rPr>
          <w:rFonts w:ascii="Arial" w:hAnsi="Arial" w:cs="Arial"/>
          <w:sz w:val="18"/>
          <w:szCs w:val="18"/>
        </w:rPr>
        <w:t>L</w:t>
      </w:r>
      <w:r w:rsidR="00E32946" w:rsidRPr="000A17D7">
        <w:rPr>
          <w:rFonts w:ascii="Arial" w:hAnsi="Arial" w:cs="Arial"/>
          <w:sz w:val="18"/>
          <w:szCs w:val="18"/>
        </w:rPr>
        <w:t>os establecimientos de crédito, los organismos cooperativos de grado superior de carácter financiero</w:t>
      </w:r>
      <w:r w:rsidR="003E0362" w:rsidRPr="000A17D7">
        <w:rPr>
          <w:rFonts w:ascii="Arial" w:hAnsi="Arial" w:cs="Arial"/>
          <w:sz w:val="18"/>
          <w:szCs w:val="18"/>
        </w:rPr>
        <w:t>, el Banco de Comercio Exterior de Colombia S.A. (</w:t>
      </w:r>
      <w:proofErr w:type="spellStart"/>
      <w:r w:rsidR="003E0362" w:rsidRPr="000A17D7">
        <w:rPr>
          <w:rFonts w:ascii="Arial" w:hAnsi="Arial" w:cs="Arial"/>
          <w:sz w:val="18"/>
          <w:szCs w:val="18"/>
        </w:rPr>
        <w:t>Bancoldex</w:t>
      </w:r>
      <w:proofErr w:type="spellEnd"/>
      <w:r w:rsidR="003E0362" w:rsidRPr="000A17D7">
        <w:rPr>
          <w:rFonts w:ascii="Arial" w:hAnsi="Arial" w:cs="Arial"/>
          <w:sz w:val="18"/>
          <w:szCs w:val="18"/>
        </w:rPr>
        <w:t xml:space="preserve">), </w:t>
      </w:r>
      <w:r w:rsidR="00BF139E">
        <w:rPr>
          <w:rFonts w:ascii="Arial" w:hAnsi="Arial" w:cs="Arial"/>
          <w:sz w:val="18"/>
          <w:szCs w:val="18"/>
        </w:rPr>
        <w:t xml:space="preserve">la </w:t>
      </w:r>
      <w:r w:rsidR="003E0362" w:rsidRPr="000A17D7">
        <w:rPr>
          <w:rFonts w:ascii="Arial" w:hAnsi="Arial" w:cs="Arial"/>
          <w:sz w:val="18"/>
          <w:szCs w:val="18"/>
        </w:rPr>
        <w:t xml:space="preserve">Caja Promotora de Vivienda Militar y de Policía, </w:t>
      </w:r>
      <w:r w:rsidR="00FD468D" w:rsidRPr="000A17D7">
        <w:rPr>
          <w:rFonts w:ascii="Arial" w:hAnsi="Arial" w:cs="Arial"/>
          <w:sz w:val="18"/>
          <w:szCs w:val="18"/>
        </w:rPr>
        <w:t xml:space="preserve">la </w:t>
      </w:r>
      <w:r w:rsidR="003E0362" w:rsidRPr="000A17D7">
        <w:rPr>
          <w:rFonts w:ascii="Arial" w:hAnsi="Arial" w:cs="Arial"/>
          <w:sz w:val="18"/>
          <w:szCs w:val="18"/>
        </w:rPr>
        <w:t>Financiera de Desarrollo Nacional S.A.</w:t>
      </w:r>
      <w:r w:rsidR="006D238C">
        <w:rPr>
          <w:rFonts w:ascii="Arial" w:hAnsi="Arial" w:cs="Arial"/>
          <w:sz w:val="18"/>
          <w:szCs w:val="18"/>
        </w:rPr>
        <w:t xml:space="preserve"> (FDN)</w:t>
      </w:r>
      <w:r w:rsidR="003E0362" w:rsidRPr="000A17D7">
        <w:rPr>
          <w:rFonts w:ascii="Arial" w:hAnsi="Arial" w:cs="Arial"/>
          <w:sz w:val="18"/>
          <w:szCs w:val="18"/>
        </w:rPr>
        <w:t xml:space="preserve">, </w:t>
      </w:r>
      <w:r w:rsidR="00FD468D" w:rsidRPr="000A17D7">
        <w:rPr>
          <w:rFonts w:ascii="Arial" w:hAnsi="Arial" w:cs="Arial"/>
          <w:sz w:val="18"/>
          <w:szCs w:val="18"/>
        </w:rPr>
        <w:t xml:space="preserve">la </w:t>
      </w:r>
      <w:r w:rsidR="003E0362" w:rsidRPr="000A17D7">
        <w:rPr>
          <w:rFonts w:ascii="Arial" w:hAnsi="Arial" w:cs="Arial"/>
          <w:sz w:val="18"/>
          <w:szCs w:val="18"/>
        </w:rPr>
        <w:t xml:space="preserve">Financiera de Desarrollo Territorial (Findeter), </w:t>
      </w:r>
      <w:r w:rsidR="00FD468D" w:rsidRPr="000A17D7">
        <w:rPr>
          <w:rFonts w:ascii="Arial" w:hAnsi="Arial" w:cs="Arial"/>
          <w:sz w:val="18"/>
          <w:szCs w:val="18"/>
        </w:rPr>
        <w:t xml:space="preserve">el </w:t>
      </w:r>
      <w:r w:rsidR="003E0362" w:rsidRPr="000A17D7">
        <w:rPr>
          <w:rFonts w:ascii="Arial" w:hAnsi="Arial" w:cs="Arial"/>
          <w:sz w:val="18"/>
          <w:szCs w:val="18"/>
        </w:rPr>
        <w:t>Fondo Nacional del Ahorro (FNA)</w:t>
      </w:r>
      <w:r w:rsidR="00FD468D" w:rsidRPr="000A17D7">
        <w:rPr>
          <w:rFonts w:ascii="Arial" w:hAnsi="Arial" w:cs="Arial"/>
          <w:sz w:val="18"/>
          <w:szCs w:val="18"/>
        </w:rPr>
        <w:t xml:space="preserve"> y</w:t>
      </w:r>
      <w:r w:rsidR="003E0362" w:rsidRPr="000A17D7">
        <w:rPr>
          <w:rFonts w:ascii="Arial" w:hAnsi="Arial" w:cs="Arial"/>
          <w:sz w:val="18"/>
          <w:szCs w:val="18"/>
        </w:rPr>
        <w:t xml:space="preserve"> </w:t>
      </w:r>
      <w:r w:rsidR="00FD468D" w:rsidRPr="000A17D7">
        <w:rPr>
          <w:rFonts w:ascii="Arial" w:hAnsi="Arial" w:cs="Arial"/>
          <w:sz w:val="18"/>
          <w:szCs w:val="18"/>
        </w:rPr>
        <w:t xml:space="preserve">el </w:t>
      </w:r>
      <w:r w:rsidR="003E0362" w:rsidRPr="000A17D7">
        <w:rPr>
          <w:rFonts w:ascii="Arial" w:hAnsi="Arial" w:cs="Arial"/>
          <w:sz w:val="18"/>
          <w:szCs w:val="18"/>
        </w:rPr>
        <w:t xml:space="preserve">Fondo para el Financiamiento del Sector Agropecuario (Finagro) </w:t>
      </w:r>
      <w:r w:rsidR="00863F0D" w:rsidRPr="000A17D7">
        <w:rPr>
          <w:rFonts w:ascii="Arial" w:hAnsi="Arial" w:cs="Arial"/>
          <w:sz w:val="18"/>
          <w:szCs w:val="18"/>
        </w:rPr>
        <w:t xml:space="preserve">deben </w:t>
      </w:r>
      <w:r w:rsidR="00214C91" w:rsidRPr="000A17D7">
        <w:rPr>
          <w:rFonts w:ascii="Arial" w:hAnsi="Arial" w:cs="Arial"/>
          <w:sz w:val="18"/>
          <w:szCs w:val="18"/>
        </w:rPr>
        <w:t>seguir</w:t>
      </w:r>
      <w:r w:rsidR="00863F0D" w:rsidRPr="000A17D7">
        <w:rPr>
          <w:rFonts w:ascii="Arial" w:hAnsi="Arial" w:cs="Arial"/>
          <w:sz w:val="18"/>
          <w:szCs w:val="18"/>
        </w:rPr>
        <w:t xml:space="preserve"> las instrucciones del presente Capítulo</w:t>
      </w:r>
      <w:r w:rsidR="0013684A" w:rsidRPr="000A17D7">
        <w:rPr>
          <w:rFonts w:ascii="Arial" w:hAnsi="Arial" w:cs="Arial"/>
          <w:sz w:val="18"/>
          <w:szCs w:val="18"/>
        </w:rPr>
        <w:t>.</w:t>
      </w:r>
    </w:p>
    <w:p w:rsidR="00FD468D" w:rsidRPr="000A17D7" w:rsidRDefault="00FD468D" w:rsidP="0013684A">
      <w:pPr>
        <w:jc w:val="both"/>
        <w:rPr>
          <w:rFonts w:ascii="Arial" w:hAnsi="Arial" w:cs="Arial"/>
          <w:sz w:val="18"/>
          <w:szCs w:val="18"/>
        </w:rPr>
      </w:pPr>
    </w:p>
    <w:p w:rsidR="0013684A" w:rsidRPr="000A17D7" w:rsidRDefault="00B77E5B" w:rsidP="0013684A">
      <w:pPr>
        <w:jc w:val="both"/>
        <w:rPr>
          <w:rFonts w:ascii="Arial" w:hAnsi="Arial" w:cs="Arial"/>
          <w:sz w:val="18"/>
          <w:szCs w:val="18"/>
        </w:rPr>
      </w:pPr>
      <w:r w:rsidRPr="000A17D7">
        <w:rPr>
          <w:rFonts w:ascii="Arial" w:hAnsi="Arial" w:cs="Arial"/>
          <w:sz w:val="18"/>
          <w:szCs w:val="18"/>
        </w:rPr>
        <w:t xml:space="preserve">Estas entidades </w:t>
      </w:r>
      <w:r w:rsidR="0013684A" w:rsidRPr="000A17D7">
        <w:rPr>
          <w:rFonts w:ascii="Arial" w:hAnsi="Arial" w:cs="Arial"/>
          <w:sz w:val="18"/>
          <w:szCs w:val="18"/>
        </w:rPr>
        <w:t>deben cumplir en todo momento las relaciones mínimas de solvencia</w:t>
      </w:r>
      <w:r w:rsidR="008A741E">
        <w:rPr>
          <w:rFonts w:ascii="Arial" w:hAnsi="Arial" w:cs="Arial"/>
          <w:sz w:val="18"/>
          <w:szCs w:val="18"/>
        </w:rPr>
        <w:t>,</w:t>
      </w:r>
      <w:r w:rsidR="00281AFF" w:rsidRPr="000A17D7">
        <w:rPr>
          <w:rFonts w:ascii="Arial" w:hAnsi="Arial" w:cs="Arial"/>
          <w:sz w:val="18"/>
          <w:szCs w:val="18"/>
        </w:rPr>
        <w:t xml:space="preserve"> </w:t>
      </w:r>
      <w:r w:rsidR="008A741E">
        <w:rPr>
          <w:rFonts w:ascii="Arial" w:hAnsi="Arial" w:cs="Arial"/>
          <w:sz w:val="18"/>
          <w:szCs w:val="18"/>
        </w:rPr>
        <w:t>el</w:t>
      </w:r>
      <w:r w:rsidR="00C12931" w:rsidRPr="000A17D7">
        <w:rPr>
          <w:rFonts w:ascii="Arial" w:hAnsi="Arial" w:cs="Arial"/>
          <w:sz w:val="18"/>
          <w:szCs w:val="18"/>
        </w:rPr>
        <w:t xml:space="preserve"> colch</w:t>
      </w:r>
      <w:r w:rsidR="008A741E">
        <w:rPr>
          <w:rFonts w:ascii="Arial" w:hAnsi="Arial" w:cs="Arial"/>
          <w:sz w:val="18"/>
          <w:szCs w:val="18"/>
        </w:rPr>
        <w:t>ón</w:t>
      </w:r>
      <w:r w:rsidR="00C12931" w:rsidRPr="000A17D7">
        <w:rPr>
          <w:rFonts w:ascii="Arial" w:hAnsi="Arial" w:cs="Arial"/>
          <w:sz w:val="18"/>
          <w:szCs w:val="18"/>
        </w:rPr>
        <w:t xml:space="preserve"> </w:t>
      </w:r>
      <w:r w:rsidR="00281AFF" w:rsidRPr="000A17D7">
        <w:rPr>
          <w:rFonts w:ascii="Arial" w:hAnsi="Arial" w:cs="Arial"/>
          <w:sz w:val="18"/>
          <w:szCs w:val="18"/>
        </w:rPr>
        <w:t>de conservación</w:t>
      </w:r>
      <w:r w:rsidR="008A741E">
        <w:rPr>
          <w:rFonts w:ascii="Arial" w:hAnsi="Arial" w:cs="Arial"/>
          <w:sz w:val="18"/>
          <w:szCs w:val="18"/>
        </w:rPr>
        <w:t>,</w:t>
      </w:r>
      <w:r w:rsidR="00281AFF" w:rsidRPr="000A17D7">
        <w:rPr>
          <w:rFonts w:ascii="Arial" w:hAnsi="Arial" w:cs="Arial"/>
          <w:sz w:val="18"/>
          <w:szCs w:val="18"/>
        </w:rPr>
        <w:t xml:space="preserve"> y </w:t>
      </w:r>
      <w:r w:rsidR="008A741E">
        <w:rPr>
          <w:rFonts w:ascii="Arial" w:hAnsi="Arial" w:cs="Arial"/>
          <w:sz w:val="18"/>
          <w:szCs w:val="18"/>
        </w:rPr>
        <w:t xml:space="preserve">cuando les resulte aplicable, el colchón </w:t>
      </w:r>
      <w:r w:rsidR="00281AFF" w:rsidRPr="000A17D7">
        <w:rPr>
          <w:rFonts w:ascii="Arial" w:hAnsi="Arial" w:cs="Arial"/>
          <w:sz w:val="18"/>
          <w:szCs w:val="18"/>
        </w:rPr>
        <w:t>de importancia sistémica</w:t>
      </w:r>
      <w:r w:rsidR="008A741E">
        <w:rPr>
          <w:rFonts w:ascii="Arial" w:hAnsi="Arial" w:cs="Arial"/>
          <w:sz w:val="18"/>
          <w:szCs w:val="18"/>
        </w:rPr>
        <w:t>. Dicho cumplimiento debe darse tanto a nivel individual como</w:t>
      </w:r>
      <w:r w:rsidR="008A741E" w:rsidRPr="000A17D7">
        <w:rPr>
          <w:rFonts w:ascii="Arial" w:hAnsi="Arial" w:cs="Arial"/>
          <w:sz w:val="18"/>
          <w:szCs w:val="18"/>
        </w:rPr>
        <w:t xml:space="preserve"> consolidado</w:t>
      </w:r>
      <w:r w:rsidR="008A741E">
        <w:rPr>
          <w:rFonts w:ascii="Arial" w:hAnsi="Arial" w:cs="Arial"/>
          <w:sz w:val="18"/>
          <w:szCs w:val="18"/>
        </w:rPr>
        <w:t>,</w:t>
      </w:r>
      <w:r w:rsidR="00281AFF" w:rsidRPr="000A17D7">
        <w:rPr>
          <w:rFonts w:ascii="Arial" w:hAnsi="Arial" w:cs="Arial"/>
          <w:sz w:val="18"/>
          <w:szCs w:val="18"/>
        </w:rPr>
        <w:t xml:space="preserve"> y </w:t>
      </w:r>
      <w:r w:rsidR="0013684A" w:rsidRPr="000A17D7">
        <w:rPr>
          <w:rFonts w:ascii="Arial" w:hAnsi="Arial" w:cs="Arial"/>
          <w:sz w:val="18"/>
          <w:szCs w:val="18"/>
        </w:rPr>
        <w:t>reportar</w:t>
      </w:r>
      <w:r w:rsidR="008A741E">
        <w:rPr>
          <w:rFonts w:ascii="Arial" w:hAnsi="Arial" w:cs="Arial"/>
          <w:sz w:val="18"/>
          <w:szCs w:val="18"/>
        </w:rPr>
        <w:t>se</w:t>
      </w:r>
      <w:r w:rsidR="0013684A" w:rsidRPr="000A17D7">
        <w:rPr>
          <w:rFonts w:ascii="Arial" w:hAnsi="Arial" w:cs="Arial"/>
          <w:sz w:val="18"/>
          <w:szCs w:val="18"/>
        </w:rPr>
        <w:t xml:space="preserve"> </w:t>
      </w:r>
      <w:r w:rsidR="008A741E" w:rsidRPr="000A17D7">
        <w:rPr>
          <w:rFonts w:ascii="Arial" w:hAnsi="Arial" w:cs="Arial"/>
          <w:sz w:val="18"/>
          <w:szCs w:val="18"/>
        </w:rPr>
        <w:t>mensual</w:t>
      </w:r>
      <w:r w:rsidR="008A741E">
        <w:rPr>
          <w:rFonts w:ascii="Arial" w:hAnsi="Arial" w:cs="Arial"/>
          <w:sz w:val="18"/>
          <w:szCs w:val="18"/>
        </w:rPr>
        <w:t>mente</w:t>
      </w:r>
      <w:r w:rsidR="008A741E" w:rsidRPr="000A17D7">
        <w:rPr>
          <w:rFonts w:ascii="Arial" w:hAnsi="Arial" w:cs="Arial"/>
          <w:sz w:val="18"/>
          <w:szCs w:val="18"/>
        </w:rPr>
        <w:t xml:space="preserve"> </w:t>
      </w:r>
      <w:r w:rsidR="008A741E">
        <w:rPr>
          <w:rFonts w:ascii="Arial" w:hAnsi="Arial" w:cs="Arial"/>
          <w:sz w:val="18"/>
          <w:szCs w:val="18"/>
        </w:rPr>
        <w:t>de forma</w:t>
      </w:r>
      <w:r w:rsidR="0013684A" w:rsidRPr="000A17D7">
        <w:rPr>
          <w:rFonts w:ascii="Arial" w:hAnsi="Arial" w:cs="Arial"/>
          <w:sz w:val="18"/>
          <w:szCs w:val="18"/>
        </w:rPr>
        <w:t xml:space="preserve"> individual y </w:t>
      </w:r>
      <w:r w:rsidR="008A741E" w:rsidRPr="000A17D7">
        <w:rPr>
          <w:rFonts w:ascii="Arial" w:hAnsi="Arial" w:cs="Arial"/>
          <w:sz w:val="18"/>
          <w:szCs w:val="18"/>
        </w:rPr>
        <w:t>trimestral</w:t>
      </w:r>
      <w:r w:rsidR="008A741E">
        <w:rPr>
          <w:rFonts w:ascii="Arial" w:hAnsi="Arial" w:cs="Arial"/>
          <w:sz w:val="18"/>
          <w:szCs w:val="18"/>
        </w:rPr>
        <w:t>mente de forma</w:t>
      </w:r>
      <w:r w:rsidR="008A741E" w:rsidRPr="000A17D7">
        <w:rPr>
          <w:rFonts w:ascii="Arial" w:hAnsi="Arial" w:cs="Arial"/>
          <w:sz w:val="18"/>
          <w:szCs w:val="18"/>
        </w:rPr>
        <w:t xml:space="preserve"> </w:t>
      </w:r>
      <w:r w:rsidR="0013684A" w:rsidRPr="000A17D7">
        <w:rPr>
          <w:rFonts w:ascii="Arial" w:hAnsi="Arial" w:cs="Arial"/>
          <w:sz w:val="18"/>
          <w:szCs w:val="18"/>
        </w:rPr>
        <w:t>consolidada.</w:t>
      </w:r>
    </w:p>
    <w:p w:rsidR="0013684A" w:rsidRPr="000A17D7" w:rsidRDefault="0013684A" w:rsidP="0013684A">
      <w:pPr>
        <w:jc w:val="both"/>
        <w:rPr>
          <w:rFonts w:ascii="Arial" w:hAnsi="Arial" w:cs="Arial"/>
          <w:sz w:val="18"/>
          <w:szCs w:val="18"/>
        </w:rPr>
      </w:pPr>
    </w:p>
    <w:p w:rsidR="0013684A" w:rsidRDefault="0013684A" w:rsidP="00426BBD">
      <w:pPr>
        <w:jc w:val="both"/>
        <w:rPr>
          <w:rFonts w:ascii="Arial" w:hAnsi="Arial" w:cs="Arial"/>
          <w:sz w:val="18"/>
          <w:szCs w:val="18"/>
        </w:rPr>
      </w:pPr>
      <w:r w:rsidRPr="000A17D7">
        <w:rPr>
          <w:rFonts w:ascii="Arial" w:hAnsi="Arial" w:cs="Arial"/>
          <w:sz w:val="18"/>
          <w:szCs w:val="18"/>
        </w:rPr>
        <w:t>Para el cálculo de las relaciones mínimas de solvencia a nivel consolidado, se debe</w:t>
      </w:r>
      <w:r w:rsidR="004710D1">
        <w:rPr>
          <w:rFonts w:ascii="Arial" w:hAnsi="Arial" w:cs="Arial"/>
          <w:sz w:val="18"/>
          <w:szCs w:val="18"/>
        </w:rPr>
        <w:t>n</w:t>
      </w:r>
      <w:r w:rsidRPr="000A17D7">
        <w:rPr>
          <w:rFonts w:ascii="Arial" w:hAnsi="Arial" w:cs="Arial"/>
          <w:sz w:val="18"/>
          <w:szCs w:val="18"/>
        </w:rPr>
        <w:t xml:space="preserve"> tener en </w:t>
      </w:r>
      <w:r w:rsidRPr="006D238C">
        <w:rPr>
          <w:rFonts w:ascii="Arial" w:hAnsi="Arial" w:cs="Arial"/>
          <w:sz w:val="18"/>
          <w:szCs w:val="18"/>
        </w:rPr>
        <w:t xml:space="preserve">cuenta las instrucciones </w:t>
      </w:r>
      <w:r w:rsidR="00B77E5B" w:rsidRPr="006D238C">
        <w:rPr>
          <w:rFonts w:ascii="Arial" w:hAnsi="Arial" w:cs="Arial"/>
          <w:sz w:val="18"/>
          <w:szCs w:val="18"/>
        </w:rPr>
        <w:t>impartidas para el c</w:t>
      </w:r>
      <w:r w:rsidR="00BC3A91">
        <w:rPr>
          <w:rFonts w:ascii="Arial" w:hAnsi="Arial" w:cs="Arial"/>
          <w:sz w:val="18"/>
          <w:szCs w:val="18"/>
        </w:rPr>
        <w:t xml:space="preserve">umplimiento </w:t>
      </w:r>
      <w:r w:rsidR="00B77E5B" w:rsidRPr="006D238C">
        <w:rPr>
          <w:rFonts w:ascii="Arial" w:hAnsi="Arial" w:cs="Arial"/>
          <w:sz w:val="18"/>
          <w:szCs w:val="18"/>
        </w:rPr>
        <w:t xml:space="preserve">de los controles de ley </w:t>
      </w:r>
      <w:r w:rsidR="00BF139E">
        <w:rPr>
          <w:rFonts w:ascii="Arial" w:hAnsi="Arial" w:cs="Arial"/>
          <w:sz w:val="18"/>
          <w:szCs w:val="18"/>
        </w:rPr>
        <w:t xml:space="preserve">a nivel </w:t>
      </w:r>
      <w:r w:rsidR="00B77E5B" w:rsidRPr="006D238C">
        <w:rPr>
          <w:rFonts w:ascii="Arial" w:hAnsi="Arial" w:cs="Arial"/>
          <w:sz w:val="18"/>
          <w:szCs w:val="18"/>
        </w:rPr>
        <w:t xml:space="preserve">consolidados de las entidades vigiladas por </w:t>
      </w:r>
      <w:r w:rsidR="0020601C">
        <w:rPr>
          <w:rFonts w:ascii="Arial" w:hAnsi="Arial" w:cs="Arial"/>
          <w:sz w:val="18"/>
          <w:szCs w:val="18"/>
        </w:rPr>
        <w:t xml:space="preserve">la </w:t>
      </w:r>
      <w:r w:rsidR="00B77E5B" w:rsidRPr="006D238C">
        <w:rPr>
          <w:rFonts w:ascii="Arial" w:hAnsi="Arial" w:cs="Arial"/>
          <w:sz w:val="18"/>
          <w:szCs w:val="18"/>
        </w:rPr>
        <w:t>Superintendencia</w:t>
      </w:r>
      <w:r w:rsidR="00B77E5B" w:rsidRPr="000A17D7">
        <w:rPr>
          <w:rFonts w:ascii="Arial" w:hAnsi="Arial" w:cs="Arial"/>
          <w:sz w:val="18"/>
          <w:szCs w:val="18"/>
        </w:rPr>
        <w:t xml:space="preserve"> </w:t>
      </w:r>
      <w:r w:rsidR="0020601C">
        <w:rPr>
          <w:rFonts w:ascii="Arial" w:hAnsi="Arial" w:cs="Arial"/>
          <w:sz w:val="18"/>
          <w:szCs w:val="18"/>
        </w:rPr>
        <w:t xml:space="preserve">Financiera de Colombia (SFC) </w:t>
      </w:r>
      <w:r w:rsidRPr="00A10EF6">
        <w:rPr>
          <w:rFonts w:ascii="Arial" w:hAnsi="Arial" w:cs="Arial"/>
          <w:sz w:val="18"/>
          <w:szCs w:val="18"/>
        </w:rPr>
        <w:t>y demás</w:t>
      </w:r>
      <w:r w:rsidRPr="000A17D7">
        <w:rPr>
          <w:rFonts w:ascii="Arial" w:hAnsi="Arial" w:cs="Arial"/>
          <w:sz w:val="18"/>
          <w:szCs w:val="18"/>
        </w:rPr>
        <w:t xml:space="preserve"> normas relacionadas que resulten aplicables.</w:t>
      </w:r>
    </w:p>
    <w:p w:rsidR="00592022" w:rsidRPr="000A17D7" w:rsidRDefault="00592022" w:rsidP="00426BBD">
      <w:pPr>
        <w:jc w:val="both"/>
        <w:rPr>
          <w:rFonts w:ascii="Arial" w:hAnsi="Arial" w:cs="Arial"/>
          <w:sz w:val="18"/>
          <w:szCs w:val="18"/>
        </w:rPr>
      </w:pPr>
    </w:p>
    <w:p w:rsidR="0013684A" w:rsidRPr="000A17D7" w:rsidRDefault="0013684A" w:rsidP="0013684A">
      <w:pPr>
        <w:jc w:val="both"/>
        <w:rPr>
          <w:rFonts w:ascii="Arial" w:hAnsi="Arial" w:cs="Arial"/>
          <w:sz w:val="18"/>
          <w:szCs w:val="18"/>
        </w:rPr>
      </w:pPr>
    </w:p>
    <w:p w:rsidR="0013684A" w:rsidRPr="000A17D7" w:rsidRDefault="0013684A" w:rsidP="00513595">
      <w:pPr>
        <w:pStyle w:val="Prrafodelista"/>
        <w:numPr>
          <w:ilvl w:val="0"/>
          <w:numId w:val="14"/>
        </w:numPr>
        <w:jc w:val="both"/>
        <w:rPr>
          <w:rFonts w:ascii="Arial" w:hAnsi="Arial" w:cs="Arial"/>
          <w:sz w:val="18"/>
          <w:szCs w:val="18"/>
        </w:rPr>
      </w:pPr>
      <w:r w:rsidRPr="000A17D7">
        <w:rPr>
          <w:rFonts w:ascii="Arial" w:hAnsi="Arial" w:cs="Arial"/>
          <w:b/>
          <w:sz w:val="18"/>
          <w:szCs w:val="18"/>
        </w:rPr>
        <w:t>DEFINICIÓN Y CÁLCULO DE</w:t>
      </w:r>
      <w:r w:rsidR="00A632B6" w:rsidRPr="000A17D7">
        <w:rPr>
          <w:rFonts w:ascii="Arial" w:hAnsi="Arial" w:cs="Arial"/>
          <w:b/>
          <w:sz w:val="18"/>
          <w:szCs w:val="18"/>
        </w:rPr>
        <w:t xml:space="preserve"> LAS RELACIONES DE </w:t>
      </w:r>
      <w:r w:rsidR="007D2F5A" w:rsidRPr="000A17D7">
        <w:rPr>
          <w:rFonts w:ascii="Arial" w:hAnsi="Arial" w:cs="Arial"/>
          <w:b/>
          <w:sz w:val="18"/>
          <w:szCs w:val="18"/>
        </w:rPr>
        <w:t xml:space="preserve">SOLVENCIA Y OTROS REQUERIMIENTOS DE </w:t>
      </w:r>
      <w:r w:rsidRPr="000A17D7">
        <w:rPr>
          <w:rFonts w:ascii="Arial" w:hAnsi="Arial" w:cs="Arial"/>
          <w:b/>
          <w:sz w:val="18"/>
          <w:szCs w:val="18"/>
        </w:rPr>
        <w:t>PATRIMONIO</w:t>
      </w:r>
    </w:p>
    <w:p w:rsidR="00426BBD" w:rsidRPr="000A17D7" w:rsidRDefault="00426BBD" w:rsidP="0013684A">
      <w:pPr>
        <w:jc w:val="both"/>
        <w:rPr>
          <w:rFonts w:ascii="Arial" w:hAnsi="Arial" w:cs="Arial"/>
          <w:sz w:val="18"/>
          <w:szCs w:val="18"/>
        </w:rPr>
      </w:pPr>
    </w:p>
    <w:p w:rsidR="0013684A" w:rsidRPr="00A61FAB" w:rsidRDefault="0013684A" w:rsidP="00513595">
      <w:pPr>
        <w:pStyle w:val="Prrafodelista"/>
        <w:numPr>
          <w:ilvl w:val="1"/>
          <w:numId w:val="14"/>
        </w:numPr>
        <w:jc w:val="both"/>
        <w:rPr>
          <w:rFonts w:ascii="Arial" w:hAnsi="Arial" w:cs="Arial"/>
          <w:b/>
          <w:sz w:val="18"/>
          <w:szCs w:val="18"/>
        </w:rPr>
      </w:pPr>
      <w:r w:rsidRPr="00A61FAB">
        <w:rPr>
          <w:rFonts w:ascii="Arial" w:hAnsi="Arial" w:cs="Arial"/>
          <w:b/>
          <w:sz w:val="18"/>
          <w:szCs w:val="18"/>
        </w:rPr>
        <w:t xml:space="preserve">Relaciones </w:t>
      </w:r>
      <w:r w:rsidR="00D42423" w:rsidRPr="00A61FAB">
        <w:rPr>
          <w:rFonts w:ascii="Arial" w:hAnsi="Arial" w:cs="Arial"/>
          <w:b/>
          <w:sz w:val="18"/>
          <w:szCs w:val="18"/>
        </w:rPr>
        <w:t>mínimas de solvencia</w:t>
      </w:r>
    </w:p>
    <w:p w:rsidR="0013684A" w:rsidRPr="000A17D7" w:rsidRDefault="0013684A" w:rsidP="0013684A">
      <w:pPr>
        <w:ind w:left="360" w:hanging="360"/>
        <w:jc w:val="both"/>
        <w:rPr>
          <w:rFonts w:ascii="Arial" w:hAnsi="Arial" w:cs="Arial"/>
          <w:sz w:val="18"/>
          <w:szCs w:val="18"/>
        </w:rPr>
      </w:pPr>
    </w:p>
    <w:p w:rsidR="0013684A" w:rsidRPr="000A17D7" w:rsidRDefault="0013684A" w:rsidP="0013684A">
      <w:pPr>
        <w:jc w:val="both"/>
        <w:rPr>
          <w:rFonts w:ascii="Arial" w:hAnsi="Arial" w:cs="Arial"/>
          <w:sz w:val="18"/>
          <w:szCs w:val="18"/>
        </w:rPr>
      </w:pPr>
      <w:r w:rsidRPr="000A17D7">
        <w:rPr>
          <w:rFonts w:ascii="Arial" w:hAnsi="Arial" w:cs="Arial"/>
          <w:sz w:val="18"/>
          <w:szCs w:val="18"/>
        </w:rPr>
        <w:t xml:space="preserve">Las entidades </w:t>
      </w:r>
      <w:r w:rsidR="004710D1">
        <w:rPr>
          <w:rFonts w:ascii="Arial" w:hAnsi="Arial" w:cs="Arial"/>
          <w:sz w:val="18"/>
          <w:szCs w:val="18"/>
        </w:rPr>
        <w:t xml:space="preserve">a las que se refiere el </w:t>
      </w:r>
      <w:r w:rsidR="00791BBE">
        <w:rPr>
          <w:rFonts w:ascii="Arial" w:hAnsi="Arial" w:cs="Arial"/>
          <w:sz w:val="18"/>
          <w:szCs w:val="18"/>
        </w:rPr>
        <w:t>sub</w:t>
      </w:r>
      <w:r w:rsidR="004710D1">
        <w:rPr>
          <w:rFonts w:ascii="Arial" w:hAnsi="Arial" w:cs="Arial"/>
          <w:sz w:val="18"/>
          <w:szCs w:val="18"/>
        </w:rPr>
        <w:t xml:space="preserve">numeral 1.1. del presente </w:t>
      </w:r>
      <w:r w:rsidRPr="000A17D7">
        <w:rPr>
          <w:rFonts w:ascii="Arial" w:hAnsi="Arial" w:cs="Arial"/>
          <w:sz w:val="18"/>
          <w:szCs w:val="18"/>
        </w:rPr>
        <w:t>Capítulo deben cumplir con los siguientes niveles mínimos de solvencia:</w:t>
      </w:r>
    </w:p>
    <w:p w:rsidR="0013684A" w:rsidRPr="000A17D7" w:rsidRDefault="0013684A" w:rsidP="0013684A">
      <w:pPr>
        <w:jc w:val="both"/>
        <w:rPr>
          <w:rFonts w:ascii="Arial" w:hAnsi="Arial" w:cs="Arial"/>
          <w:sz w:val="18"/>
          <w:szCs w:val="18"/>
        </w:rPr>
      </w:pPr>
    </w:p>
    <w:p w:rsidR="0013684A" w:rsidRPr="000A17D7" w:rsidRDefault="0013684A" w:rsidP="00BA1C72">
      <w:pPr>
        <w:pStyle w:val="Prrafodelista"/>
        <w:numPr>
          <w:ilvl w:val="0"/>
          <w:numId w:val="1"/>
        </w:numPr>
        <w:jc w:val="both"/>
        <w:rPr>
          <w:rFonts w:ascii="Arial" w:hAnsi="Arial" w:cs="Arial"/>
          <w:sz w:val="18"/>
          <w:szCs w:val="18"/>
        </w:rPr>
      </w:pPr>
      <w:r w:rsidRPr="000A17D7">
        <w:rPr>
          <w:rFonts w:ascii="Arial" w:hAnsi="Arial" w:cs="Arial"/>
          <w:sz w:val="18"/>
          <w:szCs w:val="18"/>
        </w:rPr>
        <w:t xml:space="preserve">Relación de Solvencia Básica: Se define como el valor del Patrimonio Básico Ordinario </w:t>
      </w:r>
      <w:r w:rsidR="008A741E">
        <w:rPr>
          <w:rFonts w:ascii="Arial" w:hAnsi="Arial" w:cs="Arial"/>
          <w:sz w:val="18"/>
          <w:szCs w:val="18"/>
        </w:rPr>
        <w:t>N</w:t>
      </w:r>
      <w:r w:rsidR="007D2F5A" w:rsidRPr="000A17D7">
        <w:rPr>
          <w:rFonts w:ascii="Arial" w:hAnsi="Arial" w:cs="Arial"/>
          <w:sz w:val="18"/>
          <w:szCs w:val="18"/>
        </w:rPr>
        <w:t xml:space="preserve">eto de </w:t>
      </w:r>
      <w:r w:rsidR="008A741E">
        <w:rPr>
          <w:rFonts w:ascii="Arial" w:hAnsi="Arial" w:cs="Arial"/>
          <w:sz w:val="18"/>
          <w:szCs w:val="18"/>
        </w:rPr>
        <w:t>D</w:t>
      </w:r>
      <w:r w:rsidR="007D2F5A" w:rsidRPr="000A17D7">
        <w:rPr>
          <w:rFonts w:ascii="Arial" w:hAnsi="Arial" w:cs="Arial"/>
          <w:sz w:val="18"/>
          <w:szCs w:val="18"/>
        </w:rPr>
        <w:t>educciones</w:t>
      </w:r>
      <w:r w:rsidR="00BA1C72" w:rsidRPr="000A17D7">
        <w:rPr>
          <w:rFonts w:ascii="Arial" w:hAnsi="Arial" w:cs="Arial"/>
          <w:sz w:val="18"/>
          <w:szCs w:val="18"/>
        </w:rPr>
        <w:t xml:space="preserve"> </w:t>
      </w:r>
      <w:r w:rsidR="00BA1C72" w:rsidRPr="00A10EF6">
        <w:rPr>
          <w:rFonts w:ascii="Arial" w:hAnsi="Arial" w:cs="Arial"/>
          <w:sz w:val="18"/>
          <w:szCs w:val="18"/>
        </w:rPr>
        <w:t>(</w:t>
      </w:r>
      <w:r w:rsidR="008A741E">
        <w:rPr>
          <w:rFonts w:ascii="Arial" w:hAnsi="Arial" w:cs="Arial"/>
          <w:sz w:val="18"/>
          <w:szCs w:val="18"/>
        </w:rPr>
        <w:t xml:space="preserve">en adelante </w:t>
      </w:r>
      <w:r w:rsidR="00BA1C72" w:rsidRPr="00A10EF6">
        <w:rPr>
          <w:rFonts w:ascii="Arial" w:hAnsi="Arial" w:cs="Arial"/>
          <w:sz w:val="18"/>
          <w:szCs w:val="18"/>
        </w:rPr>
        <w:t>PBO)</w:t>
      </w:r>
      <w:r w:rsidR="007D2F5A" w:rsidRPr="000A17D7">
        <w:rPr>
          <w:rFonts w:ascii="Arial" w:hAnsi="Arial" w:cs="Arial"/>
          <w:sz w:val="18"/>
          <w:szCs w:val="18"/>
        </w:rPr>
        <w:t xml:space="preserve"> </w:t>
      </w:r>
      <w:r w:rsidRPr="000A17D7">
        <w:rPr>
          <w:rFonts w:ascii="Arial" w:hAnsi="Arial" w:cs="Arial"/>
          <w:sz w:val="18"/>
          <w:szCs w:val="18"/>
        </w:rPr>
        <w:t xml:space="preserve">dividido por el valor de los </w:t>
      </w:r>
      <w:r w:rsidR="00136C4B">
        <w:rPr>
          <w:rFonts w:ascii="Arial" w:hAnsi="Arial" w:cs="Arial"/>
          <w:sz w:val="18"/>
          <w:szCs w:val="18"/>
        </w:rPr>
        <w:t>A</w:t>
      </w:r>
      <w:r w:rsidRPr="000A17D7">
        <w:rPr>
          <w:rFonts w:ascii="Arial" w:hAnsi="Arial" w:cs="Arial"/>
          <w:sz w:val="18"/>
          <w:szCs w:val="18"/>
        </w:rPr>
        <w:t xml:space="preserve">ctivos </w:t>
      </w:r>
      <w:r w:rsidR="00136C4B">
        <w:rPr>
          <w:rFonts w:ascii="Arial" w:hAnsi="Arial" w:cs="Arial"/>
          <w:sz w:val="18"/>
          <w:szCs w:val="18"/>
        </w:rPr>
        <w:t>P</w:t>
      </w:r>
      <w:r w:rsidRPr="000A17D7">
        <w:rPr>
          <w:rFonts w:ascii="Arial" w:hAnsi="Arial" w:cs="Arial"/>
          <w:sz w:val="18"/>
          <w:szCs w:val="18"/>
        </w:rPr>
        <w:t xml:space="preserve">onderados por </w:t>
      </w:r>
      <w:r w:rsidR="00136C4B">
        <w:rPr>
          <w:rFonts w:ascii="Arial" w:hAnsi="Arial" w:cs="Arial"/>
          <w:sz w:val="18"/>
          <w:szCs w:val="18"/>
        </w:rPr>
        <w:t>N</w:t>
      </w:r>
      <w:r w:rsidRPr="000A17D7">
        <w:rPr>
          <w:rFonts w:ascii="Arial" w:hAnsi="Arial" w:cs="Arial"/>
          <w:sz w:val="18"/>
          <w:szCs w:val="18"/>
        </w:rPr>
        <w:t xml:space="preserve">ivel de </w:t>
      </w:r>
      <w:r w:rsidR="00136C4B">
        <w:rPr>
          <w:rFonts w:ascii="Arial" w:hAnsi="Arial" w:cs="Arial"/>
          <w:sz w:val="18"/>
          <w:szCs w:val="18"/>
        </w:rPr>
        <w:t>R</w:t>
      </w:r>
      <w:r w:rsidRPr="000A17D7">
        <w:rPr>
          <w:rFonts w:ascii="Arial" w:hAnsi="Arial" w:cs="Arial"/>
          <w:sz w:val="18"/>
          <w:szCs w:val="18"/>
        </w:rPr>
        <w:t xml:space="preserve">iesgo </w:t>
      </w:r>
      <w:r w:rsidR="00136C4B">
        <w:rPr>
          <w:rFonts w:ascii="Arial" w:hAnsi="Arial" w:cs="Arial"/>
          <w:sz w:val="18"/>
          <w:szCs w:val="18"/>
        </w:rPr>
        <w:t>C</w:t>
      </w:r>
      <w:r w:rsidRPr="000A17D7">
        <w:rPr>
          <w:rFonts w:ascii="Arial" w:hAnsi="Arial" w:cs="Arial"/>
          <w:sz w:val="18"/>
          <w:szCs w:val="18"/>
        </w:rPr>
        <w:t>rediticio</w:t>
      </w:r>
      <w:r w:rsidR="00B650CB" w:rsidRPr="000A17D7">
        <w:rPr>
          <w:rFonts w:ascii="Arial" w:hAnsi="Arial" w:cs="Arial"/>
          <w:sz w:val="18"/>
          <w:szCs w:val="18"/>
        </w:rPr>
        <w:t xml:space="preserve"> </w:t>
      </w:r>
      <w:r w:rsidR="00B650CB" w:rsidRPr="00A10EF6">
        <w:rPr>
          <w:rFonts w:ascii="Arial" w:hAnsi="Arial" w:cs="Arial"/>
          <w:sz w:val="18"/>
          <w:szCs w:val="18"/>
        </w:rPr>
        <w:t>(APNR)</w:t>
      </w:r>
      <w:r w:rsidRPr="00A10EF6">
        <w:rPr>
          <w:rFonts w:ascii="Arial" w:hAnsi="Arial" w:cs="Arial"/>
          <w:sz w:val="18"/>
          <w:szCs w:val="18"/>
        </w:rPr>
        <w:t xml:space="preserve"> y de</w:t>
      </w:r>
      <w:r w:rsidR="00E517A9">
        <w:rPr>
          <w:rFonts w:ascii="Arial" w:hAnsi="Arial" w:cs="Arial"/>
          <w:sz w:val="18"/>
          <w:szCs w:val="18"/>
        </w:rPr>
        <w:t>l riesgo de</w:t>
      </w:r>
      <w:r w:rsidRPr="000A17D7">
        <w:rPr>
          <w:rFonts w:ascii="Arial" w:hAnsi="Arial" w:cs="Arial"/>
          <w:sz w:val="18"/>
          <w:szCs w:val="18"/>
        </w:rPr>
        <w:t xml:space="preserve"> mercado. Esta relación no puede ser inferior a 4.5%.</w:t>
      </w:r>
    </w:p>
    <w:p w:rsidR="0013684A" w:rsidRPr="000A17D7" w:rsidRDefault="0013684A" w:rsidP="007D2F5A">
      <w:pPr>
        <w:jc w:val="both"/>
        <w:rPr>
          <w:rFonts w:ascii="Arial" w:hAnsi="Arial" w:cs="Arial"/>
          <w:sz w:val="18"/>
          <w:szCs w:val="18"/>
        </w:rPr>
      </w:pPr>
    </w:p>
    <w:p w:rsidR="0013684A" w:rsidRPr="000A17D7" w:rsidRDefault="0013684A" w:rsidP="0013684A">
      <w:pPr>
        <w:jc w:val="center"/>
        <w:rPr>
          <w:rFonts w:ascii="Arial" w:hAnsi="Arial" w:cs="Arial"/>
          <w:sz w:val="18"/>
          <w:szCs w:val="18"/>
        </w:rPr>
      </w:pPr>
      <m:oMathPara>
        <m:oMath>
          <m:r>
            <w:rPr>
              <w:rFonts w:ascii="Cambria Math" w:hAnsi="Cambria Math" w:cs="Arial"/>
              <w:sz w:val="18"/>
              <w:szCs w:val="18"/>
            </w:rPr>
            <m:t>Solvencia Básica=</m:t>
          </m:r>
          <m:f>
            <m:fPr>
              <m:ctrlPr>
                <w:rPr>
                  <w:rFonts w:ascii="Cambria Math" w:hAnsi="Cambria Math" w:cs="Arial"/>
                  <w:i/>
                  <w:sz w:val="18"/>
                  <w:szCs w:val="18"/>
                </w:rPr>
              </m:ctrlPr>
            </m:fPr>
            <m:num>
              <m:r>
                <w:rPr>
                  <w:rFonts w:ascii="Cambria Math" w:hAnsi="Cambria Math" w:cs="Arial"/>
                  <w:sz w:val="18"/>
                  <w:szCs w:val="18"/>
                </w:rPr>
                <m:t>PBO</m:t>
              </m:r>
            </m:num>
            <m:den>
              <m:r>
                <w:rPr>
                  <w:rFonts w:ascii="Cambria Math" w:hAnsi="Cambria Math" w:cs="Arial"/>
                  <w:sz w:val="18"/>
                  <w:szCs w:val="18"/>
                </w:rPr>
                <m:t>APNR+</m:t>
              </m:r>
              <m:f>
                <m:fPr>
                  <m:ctrlPr>
                    <w:rPr>
                      <w:rFonts w:ascii="Cambria Math" w:hAnsi="Cambria Math" w:cs="Arial"/>
                      <w:i/>
                      <w:sz w:val="18"/>
                      <w:szCs w:val="18"/>
                    </w:rPr>
                  </m:ctrlPr>
                </m:fPr>
                <m:num>
                  <m:r>
                    <w:rPr>
                      <w:rFonts w:ascii="Cambria Math" w:hAnsi="Cambria Math" w:cs="Arial"/>
                      <w:sz w:val="18"/>
                      <w:szCs w:val="18"/>
                    </w:rPr>
                    <m:t>100</m:t>
                  </m:r>
                </m:num>
                <m:den>
                  <m:r>
                    <w:rPr>
                      <w:rFonts w:ascii="Cambria Math" w:hAnsi="Cambria Math" w:cs="Arial"/>
                      <w:sz w:val="18"/>
                      <w:szCs w:val="18"/>
                    </w:rPr>
                    <m:t>9</m:t>
                  </m:r>
                </m:den>
              </m:f>
              <m:sSub>
                <m:sSubPr>
                  <m:ctrlPr>
                    <w:rPr>
                      <w:rFonts w:ascii="Cambria Math" w:hAnsi="Cambria Math" w:cs="Arial"/>
                      <w:i/>
                      <w:sz w:val="18"/>
                      <w:szCs w:val="18"/>
                    </w:rPr>
                  </m:ctrlPr>
                </m:sSubPr>
                <m:e>
                  <m:r>
                    <w:rPr>
                      <w:rFonts w:ascii="Cambria Math" w:hAnsi="Cambria Math" w:cs="Arial"/>
                      <w:sz w:val="18"/>
                      <w:szCs w:val="18"/>
                    </w:rPr>
                    <m:t>VeR</m:t>
                  </m:r>
                </m:e>
                <m:sub>
                  <m:r>
                    <w:rPr>
                      <w:rFonts w:ascii="Cambria Math" w:hAnsi="Cambria Math" w:cs="Arial"/>
                      <w:sz w:val="18"/>
                      <w:szCs w:val="18"/>
                    </w:rPr>
                    <m:t>RM</m:t>
                  </m:r>
                </m:sub>
              </m:sSub>
            </m:den>
          </m:f>
          <m:r>
            <w:rPr>
              <w:rFonts w:ascii="Cambria Math" w:hAnsi="Cambria Math" w:cs="Arial"/>
              <w:sz w:val="18"/>
              <w:szCs w:val="18"/>
            </w:rPr>
            <m:t>≥4.5%</m:t>
          </m:r>
        </m:oMath>
      </m:oMathPara>
    </w:p>
    <w:p w:rsidR="007D2F5A" w:rsidRPr="000A17D7" w:rsidRDefault="007D2F5A" w:rsidP="007D2F5A">
      <w:pPr>
        <w:rPr>
          <w:rFonts w:ascii="Arial" w:hAnsi="Arial" w:cs="Arial"/>
          <w:sz w:val="18"/>
          <w:szCs w:val="18"/>
        </w:rPr>
      </w:pPr>
    </w:p>
    <w:p w:rsidR="007D2F5A" w:rsidRPr="000A17D7" w:rsidRDefault="007D2F5A" w:rsidP="00E3570C">
      <w:pPr>
        <w:pStyle w:val="Prrafodelista"/>
        <w:numPr>
          <w:ilvl w:val="0"/>
          <w:numId w:val="1"/>
        </w:numPr>
        <w:jc w:val="both"/>
        <w:rPr>
          <w:rFonts w:ascii="Arial" w:hAnsi="Arial" w:cs="Arial"/>
          <w:sz w:val="18"/>
          <w:szCs w:val="18"/>
        </w:rPr>
      </w:pPr>
      <w:r w:rsidRPr="000A17D7">
        <w:rPr>
          <w:rFonts w:ascii="Arial" w:hAnsi="Arial" w:cs="Arial"/>
          <w:sz w:val="18"/>
          <w:szCs w:val="18"/>
        </w:rPr>
        <w:t xml:space="preserve">Relación de Solvencia Básica Adicional: Se define como la suma del valor del </w:t>
      </w:r>
      <w:r w:rsidR="00B650CB" w:rsidRPr="000A17D7">
        <w:rPr>
          <w:rFonts w:ascii="Arial" w:hAnsi="Arial" w:cs="Arial"/>
          <w:sz w:val="18"/>
          <w:szCs w:val="18"/>
        </w:rPr>
        <w:t>PBO</w:t>
      </w:r>
      <w:r w:rsidR="0079603E">
        <w:rPr>
          <w:rFonts w:ascii="Arial" w:hAnsi="Arial" w:cs="Arial"/>
          <w:sz w:val="18"/>
          <w:szCs w:val="18"/>
        </w:rPr>
        <w:t xml:space="preserve"> y el </w:t>
      </w:r>
      <w:r w:rsidR="0079603E" w:rsidRPr="00A10EF6">
        <w:rPr>
          <w:rFonts w:ascii="Arial" w:hAnsi="Arial" w:cs="Arial"/>
          <w:sz w:val="18"/>
          <w:szCs w:val="18"/>
        </w:rPr>
        <w:t>P</w:t>
      </w:r>
      <w:r w:rsidR="00A10EF6">
        <w:rPr>
          <w:rFonts w:ascii="Arial" w:hAnsi="Arial" w:cs="Arial"/>
          <w:sz w:val="18"/>
          <w:szCs w:val="18"/>
        </w:rPr>
        <w:t xml:space="preserve">atrimonio </w:t>
      </w:r>
      <w:r w:rsidR="0079603E" w:rsidRPr="00A10EF6">
        <w:rPr>
          <w:rFonts w:ascii="Arial" w:hAnsi="Arial" w:cs="Arial"/>
          <w:sz w:val="18"/>
          <w:szCs w:val="18"/>
        </w:rPr>
        <w:t>B</w:t>
      </w:r>
      <w:r w:rsidR="00A10EF6">
        <w:rPr>
          <w:rFonts w:ascii="Arial" w:hAnsi="Arial" w:cs="Arial"/>
          <w:sz w:val="18"/>
          <w:szCs w:val="18"/>
        </w:rPr>
        <w:t xml:space="preserve">ásico </w:t>
      </w:r>
      <w:r w:rsidR="00A10EF6" w:rsidRPr="00A10EF6">
        <w:rPr>
          <w:rFonts w:ascii="Arial" w:hAnsi="Arial" w:cs="Arial"/>
          <w:sz w:val="18"/>
          <w:szCs w:val="18"/>
        </w:rPr>
        <w:t>A</w:t>
      </w:r>
      <w:r w:rsidR="00A10EF6">
        <w:rPr>
          <w:rFonts w:ascii="Arial" w:hAnsi="Arial" w:cs="Arial"/>
          <w:sz w:val="18"/>
          <w:szCs w:val="18"/>
        </w:rPr>
        <w:t xml:space="preserve">dicional (PBA) </w:t>
      </w:r>
      <w:r w:rsidRPr="00A10EF6">
        <w:rPr>
          <w:rFonts w:ascii="Arial" w:hAnsi="Arial" w:cs="Arial"/>
          <w:sz w:val="18"/>
          <w:szCs w:val="18"/>
        </w:rPr>
        <w:t>dividido</w:t>
      </w:r>
      <w:r w:rsidRPr="000A17D7">
        <w:rPr>
          <w:rFonts w:ascii="Arial" w:hAnsi="Arial" w:cs="Arial"/>
          <w:sz w:val="18"/>
          <w:szCs w:val="18"/>
        </w:rPr>
        <w:t xml:space="preserve"> por el valor de los </w:t>
      </w:r>
      <w:r w:rsidR="00136C4B">
        <w:rPr>
          <w:rFonts w:ascii="Arial" w:hAnsi="Arial" w:cs="Arial"/>
          <w:sz w:val="18"/>
          <w:szCs w:val="18"/>
        </w:rPr>
        <w:t>APNR</w:t>
      </w:r>
      <w:r w:rsidRPr="000A17D7">
        <w:rPr>
          <w:rFonts w:ascii="Arial" w:hAnsi="Arial" w:cs="Arial"/>
          <w:sz w:val="18"/>
          <w:szCs w:val="18"/>
        </w:rPr>
        <w:t xml:space="preserve"> y de</w:t>
      </w:r>
      <w:r w:rsidR="00E517A9">
        <w:rPr>
          <w:rFonts w:ascii="Arial" w:hAnsi="Arial" w:cs="Arial"/>
          <w:sz w:val="18"/>
          <w:szCs w:val="18"/>
        </w:rPr>
        <w:t>l</w:t>
      </w:r>
      <w:r w:rsidR="00791BBE">
        <w:rPr>
          <w:rFonts w:ascii="Arial" w:hAnsi="Arial" w:cs="Arial"/>
          <w:sz w:val="18"/>
          <w:szCs w:val="18"/>
        </w:rPr>
        <w:t xml:space="preserve"> riesgo de</w:t>
      </w:r>
      <w:r w:rsidRPr="000A17D7">
        <w:rPr>
          <w:rFonts w:ascii="Arial" w:hAnsi="Arial" w:cs="Arial"/>
          <w:sz w:val="18"/>
          <w:szCs w:val="18"/>
        </w:rPr>
        <w:t xml:space="preserve"> mercado. Esta relación no puede ser inferior a 6%.</w:t>
      </w:r>
    </w:p>
    <w:p w:rsidR="007D2F5A" w:rsidRPr="000A17D7" w:rsidRDefault="007D2F5A" w:rsidP="007D2F5A">
      <w:pPr>
        <w:jc w:val="both"/>
        <w:rPr>
          <w:rFonts w:ascii="Arial" w:hAnsi="Arial" w:cs="Arial"/>
          <w:sz w:val="18"/>
          <w:szCs w:val="18"/>
        </w:rPr>
      </w:pPr>
    </w:p>
    <w:p w:rsidR="007D2F5A" w:rsidRPr="000A17D7" w:rsidRDefault="007D2F5A" w:rsidP="007D2F5A">
      <w:pPr>
        <w:jc w:val="center"/>
        <w:rPr>
          <w:rFonts w:ascii="Arial" w:hAnsi="Arial" w:cs="Arial"/>
          <w:sz w:val="18"/>
          <w:szCs w:val="18"/>
        </w:rPr>
      </w:pPr>
      <m:oMathPara>
        <m:oMath>
          <m:r>
            <w:rPr>
              <w:rFonts w:ascii="Cambria Math" w:hAnsi="Cambria Math" w:cs="Arial"/>
              <w:sz w:val="18"/>
              <w:szCs w:val="18"/>
            </w:rPr>
            <m:t>Solvencia Básica Adicional=</m:t>
          </m:r>
          <m:f>
            <m:fPr>
              <m:ctrlPr>
                <w:rPr>
                  <w:rFonts w:ascii="Cambria Math" w:hAnsi="Cambria Math" w:cs="Arial"/>
                  <w:i/>
                  <w:sz w:val="18"/>
                  <w:szCs w:val="18"/>
                </w:rPr>
              </m:ctrlPr>
            </m:fPr>
            <m:num>
              <m:r>
                <w:rPr>
                  <w:rFonts w:ascii="Cambria Math" w:hAnsi="Cambria Math" w:cs="Arial"/>
                  <w:sz w:val="18"/>
                  <w:szCs w:val="18"/>
                </w:rPr>
                <m:t>PBO+PBA</m:t>
              </m:r>
            </m:num>
            <m:den>
              <m:r>
                <w:rPr>
                  <w:rFonts w:ascii="Cambria Math" w:hAnsi="Cambria Math" w:cs="Arial"/>
                  <w:sz w:val="18"/>
                  <w:szCs w:val="18"/>
                </w:rPr>
                <m:t>APNR+</m:t>
              </m:r>
              <m:f>
                <m:fPr>
                  <m:ctrlPr>
                    <w:rPr>
                      <w:rFonts w:ascii="Cambria Math" w:hAnsi="Cambria Math" w:cs="Arial"/>
                      <w:i/>
                      <w:sz w:val="18"/>
                      <w:szCs w:val="18"/>
                    </w:rPr>
                  </m:ctrlPr>
                </m:fPr>
                <m:num>
                  <m:r>
                    <w:rPr>
                      <w:rFonts w:ascii="Cambria Math" w:hAnsi="Cambria Math" w:cs="Arial"/>
                      <w:sz w:val="18"/>
                      <w:szCs w:val="18"/>
                    </w:rPr>
                    <m:t>100</m:t>
                  </m:r>
                </m:num>
                <m:den>
                  <m:r>
                    <w:rPr>
                      <w:rFonts w:ascii="Cambria Math" w:hAnsi="Cambria Math" w:cs="Arial"/>
                      <w:sz w:val="18"/>
                      <w:szCs w:val="18"/>
                    </w:rPr>
                    <m:t>9</m:t>
                  </m:r>
                </m:den>
              </m:f>
              <m:sSub>
                <m:sSubPr>
                  <m:ctrlPr>
                    <w:rPr>
                      <w:rFonts w:ascii="Cambria Math" w:hAnsi="Cambria Math" w:cs="Arial"/>
                      <w:i/>
                      <w:sz w:val="18"/>
                      <w:szCs w:val="18"/>
                    </w:rPr>
                  </m:ctrlPr>
                </m:sSubPr>
                <m:e>
                  <m:r>
                    <w:rPr>
                      <w:rFonts w:ascii="Cambria Math" w:hAnsi="Cambria Math" w:cs="Arial"/>
                      <w:sz w:val="18"/>
                      <w:szCs w:val="18"/>
                    </w:rPr>
                    <m:t>VeR</m:t>
                  </m:r>
                </m:e>
                <m:sub>
                  <m:r>
                    <w:rPr>
                      <w:rFonts w:ascii="Cambria Math" w:hAnsi="Cambria Math" w:cs="Arial"/>
                      <w:sz w:val="18"/>
                      <w:szCs w:val="18"/>
                    </w:rPr>
                    <m:t>RM</m:t>
                  </m:r>
                </m:sub>
              </m:sSub>
            </m:den>
          </m:f>
          <m:r>
            <w:rPr>
              <w:rFonts w:ascii="Cambria Math" w:hAnsi="Cambria Math" w:cs="Arial"/>
              <w:sz w:val="18"/>
              <w:szCs w:val="18"/>
            </w:rPr>
            <m:t>≥6%</m:t>
          </m:r>
        </m:oMath>
      </m:oMathPara>
    </w:p>
    <w:p w:rsidR="007D2F5A" w:rsidRPr="000A17D7" w:rsidRDefault="007D2F5A" w:rsidP="007D2F5A">
      <w:pPr>
        <w:rPr>
          <w:rFonts w:ascii="Arial" w:hAnsi="Arial" w:cs="Arial"/>
          <w:sz w:val="18"/>
          <w:szCs w:val="18"/>
        </w:rPr>
      </w:pPr>
    </w:p>
    <w:p w:rsidR="00952817" w:rsidRPr="000A17D7" w:rsidRDefault="00952817" w:rsidP="00E3570C">
      <w:pPr>
        <w:pStyle w:val="Prrafodelista"/>
        <w:numPr>
          <w:ilvl w:val="0"/>
          <w:numId w:val="1"/>
        </w:numPr>
        <w:jc w:val="both"/>
        <w:rPr>
          <w:rFonts w:ascii="Arial" w:hAnsi="Arial" w:cs="Arial"/>
          <w:sz w:val="18"/>
          <w:szCs w:val="18"/>
        </w:rPr>
      </w:pPr>
      <w:r w:rsidRPr="000A17D7">
        <w:rPr>
          <w:rFonts w:ascii="Arial" w:hAnsi="Arial" w:cs="Arial"/>
          <w:sz w:val="18"/>
          <w:szCs w:val="18"/>
        </w:rPr>
        <w:t xml:space="preserve">Relación de Apalancamiento: Se define como la suma del valor </w:t>
      </w:r>
      <w:r w:rsidR="009055F8">
        <w:rPr>
          <w:rFonts w:ascii="Arial" w:hAnsi="Arial" w:cs="Arial"/>
          <w:sz w:val="18"/>
          <w:szCs w:val="18"/>
        </w:rPr>
        <w:t xml:space="preserve">del </w:t>
      </w:r>
      <w:r w:rsidR="00736323" w:rsidRPr="000A17D7">
        <w:rPr>
          <w:rFonts w:ascii="Arial" w:hAnsi="Arial" w:cs="Arial"/>
          <w:sz w:val="18"/>
          <w:szCs w:val="18"/>
        </w:rPr>
        <w:t>PBO</w:t>
      </w:r>
      <w:r w:rsidRPr="000A17D7">
        <w:rPr>
          <w:rFonts w:ascii="Arial" w:hAnsi="Arial" w:cs="Arial"/>
          <w:sz w:val="18"/>
          <w:szCs w:val="18"/>
        </w:rPr>
        <w:t xml:space="preserve"> y el </w:t>
      </w:r>
      <w:r w:rsidR="00736323" w:rsidRPr="000A17D7">
        <w:rPr>
          <w:rFonts w:ascii="Arial" w:hAnsi="Arial" w:cs="Arial"/>
          <w:sz w:val="18"/>
          <w:szCs w:val="18"/>
        </w:rPr>
        <w:t>PBA</w:t>
      </w:r>
      <w:r w:rsidRPr="000A17D7">
        <w:rPr>
          <w:rFonts w:ascii="Arial" w:hAnsi="Arial" w:cs="Arial"/>
          <w:sz w:val="18"/>
          <w:szCs w:val="18"/>
        </w:rPr>
        <w:t xml:space="preserve"> dividido por el valor de apalancamiento. Esta relación no puede ser inferior a 3%.</w:t>
      </w:r>
    </w:p>
    <w:p w:rsidR="00952817" w:rsidRPr="000A17D7" w:rsidRDefault="00952817" w:rsidP="00952817">
      <w:pPr>
        <w:jc w:val="both"/>
        <w:rPr>
          <w:rFonts w:ascii="Arial" w:hAnsi="Arial" w:cs="Arial"/>
          <w:sz w:val="18"/>
          <w:szCs w:val="18"/>
        </w:rPr>
      </w:pPr>
    </w:p>
    <w:p w:rsidR="00952817" w:rsidRPr="000A17D7" w:rsidRDefault="00171C23" w:rsidP="00952817">
      <w:pPr>
        <w:jc w:val="center"/>
        <w:rPr>
          <w:rFonts w:ascii="Arial" w:hAnsi="Arial" w:cs="Arial"/>
          <w:sz w:val="18"/>
          <w:szCs w:val="18"/>
        </w:rPr>
      </w:pPr>
      <m:oMathPara>
        <m:oMath>
          <m:r>
            <w:rPr>
              <w:rFonts w:ascii="Cambria Math" w:hAnsi="Cambria Math" w:cs="Arial"/>
              <w:sz w:val="18"/>
              <w:szCs w:val="18"/>
            </w:rPr>
            <m:t>Relación de Apalancamiento=</m:t>
          </m:r>
          <m:f>
            <m:fPr>
              <m:ctrlPr>
                <w:rPr>
                  <w:rFonts w:ascii="Cambria Math" w:hAnsi="Cambria Math" w:cs="Arial"/>
                  <w:i/>
                  <w:sz w:val="18"/>
                  <w:szCs w:val="18"/>
                </w:rPr>
              </m:ctrlPr>
            </m:fPr>
            <m:num>
              <m:r>
                <w:rPr>
                  <w:rFonts w:ascii="Cambria Math" w:hAnsi="Cambria Math" w:cs="Arial"/>
                  <w:sz w:val="18"/>
                  <w:szCs w:val="18"/>
                </w:rPr>
                <m:t>PBO+PBA</m:t>
              </m:r>
            </m:num>
            <m:den>
              <m:r>
                <w:rPr>
                  <w:rFonts w:ascii="Cambria Math" w:hAnsi="Cambria Math" w:cs="Arial"/>
                  <w:sz w:val="18"/>
                  <w:szCs w:val="18"/>
                </w:rPr>
                <m:t xml:space="preserve">Valor de Apalancamiento </m:t>
              </m:r>
            </m:den>
          </m:f>
          <m:r>
            <w:rPr>
              <w:rFonts w:ascii="Cambria Math" w:hAnsi="Cambria Math" w:cs="Arial"/>
              <w:sz w:val="18"/>
              <w:szCs w:val="18"/>
            </w:rPr>
            <m:t xml:space="preserve"> ≥3%</m:t>
          </m:r>
        </m:oMath>
      </m:oMathPara>
    </w:p>
    <w:p w:rsidR="00952817" w:rsidRDefault="00952817" w:rsidP="0013684A">
      <w:pPr>
        <w:jc w:val="both"/>
        <w:rPr>
          <w:rFonts w:ascii="Arial" w:hAnsi="Arial" w:cs="Arial"/>
          <w:sz w:val="18"/>
          <w:szCs w:val="18"/>
        </w:rPr>
      </w:pPr>
    </w:p>
    <w:p w:rsidR="003337C9" w:rsidRPr="000A17D7" w:rsidRDefault="003337C9" w:rsidP="003337C9">
      <w:pPr>
        <w:pStyle w:val="Prrafodelista"/>
        <w:numPr>
          <w:ilvl w:val="0"/>
          <w:numId w:val="1"/>
        </w:numPr>
        <w:jc w:val="both"/>
        <w:rPr>
          <w:rFonts w:ascii="Arial" w:hAnsi="Arial" w:cs="Arial"/>
          <w:sz w:val="18"/>
          <w:szCs w:val="18"/>
        </w:rPr>
      </w:pPr>
      <w:r w:rsidRPr="000A17D7">
        <w:rPr>
          <w:rFonts w:ascii="Arial" w:hAnsi="Arial" w:cs="Arial"/>
          <w:sz w:val="18"/>
          <w:szCs w:val="18"/>
        </w:rPr>
        <w:t xml:space="preserve">Relación de Solvencia Total: Se define como el valor del Patrimonio Técnico (PT) dividido por el valor de los </w:t>
      </w:r>
      <w:r w:rsidR="00136C4B">
        <w:rPr>
          <w:rFonts w:ascii="Arial" w:hAnsi="Arial" w:cs="Arial"/>
          <w:sz w:val="18"/>
          <w:szCs w:val="18"/>
        </w:rPr>
        <w:t xml:space="preserve">APNR </w:t>
      </w:r>
      <w:r w:rsidRPr="000A17D7">
        <w:rPr>
          <w:rFonts w:ascii="Arial" w:hAnsi="Arial" w:cs="Arial"/>
          <w:sz w:val="18"/>
          <w:szCs w:val="18"/>
        </w:rPr>
        <w:t>y de</w:t>
      </w:r>
      <w:r w:rsidR="009055F8">
        <w:rPr>
          <w:rFonts w:ascii="Arial" w:hAnsi="Arial" w:cs="Arial"/>
          <w:sz w:val="18"/>
          <w:szCs w:val="18"/>
        </w:rPr>
        <w:t>l riesgo de</w:t>
      </w:r>
      <w:r w:rsidRPr="000A17D7">
        <w:rPr>
          <w:rFonts w:ascii="Arial" w:hAnsi="Arial" w:cs="Arial"/>
          <w:sz w:val="18"/>
          <w:szCs w:val="18"/>
        </w:rPr>
        <w:t xml:space="preserve"> mercado. Esta relación no puede ser inferior a 9%.</w:t>
      </w:r>
    </w:p>
    <w:p w:rsidR="003337C9" w:rsidRPr="000A17D7" w:rsidRDefault="003337C9" w:rsidP="003337C9">
      <w:pPr>
        <w:jc w:val="both"/>
        <w:rPr>
          <w:rFonts w:ascii="Arial" w:hAnsi="Arial" w:cs="Arial"/>
          <w:sz w:val="18"/>
          <w:szCs w:val="18"/>
        </w:rPr>
      </w:pPr>
    </w:p>
    <w:p w:rsidR="003337C9" w:rsidRPr="000A17D7" w:rsidRDefault="003337C9" w:rsidP="003337C9">
      <w:pPr>
        <w:jc w:val="center"/>
        <w:rPr>
          <w:rFonts w:ascii="Arial" w:hAnsi="Arial" w:cs="Arial"/>
          <w:sz w:val="18"/>
          <w:szCs w:val="18"/>
        </w:rPr>
      </w:pPr>
      <m:oMathPara>
        <m:oMath>
          <m:r>
            <w:rPr>
              <w:rFonts w:ascii="Cambria Math" w:hAnsi="Cambria Math" w:cs="Arial"/>
              <w:sz w:val="18"/>
              <w:szCs w:val="18"/>
            </w:rPr>
            <m:t>Solvencia Total=</m:t>
          </m:r>
          <m:f>
            <m:fPr>
              <m:ctrlPr>
                <w:rPr>
                  <w:rFonts w:ascii="Cambria Math" w:hAnsi="Cambria Math" w:cs="Arial"/>
                  <w:i/>
                  <w:sz w:val="18"/>
                  <w:szCs w:val="18"/>
                </w:rPr>
              </m:ctrlPr>
            </m:fPr>
            <m:num>
              <m:r>
                <w:rPr>
                  <w:rFonts w:ascii="Cambria Math" w:hAnsi="Cambria Math" w:cs="Arial"/>
                  <w:sz w:val="18"/>
                  <w:szCs w:val="18"/>
                </w:rPr>
                <m:t>PT</m:t>
              </m:r>
            </m:num>
            <m:den>
              <m:r>
                <w:rPr>
                  <w:rFonts w:ascii="Cambria Math" w:hAnsi="Cambria Math" w:cs="Arial"/>
                  <w:sz w:val="18"/>
                  <w:szCs w:val="18"/>
                </w:rPr>
                <m:t>APNR+</m:t>
              </m:r>
              <m:f>
                <m:fPr>
                  <m:ctrlPr>
                    <w:rPr>
                      <w:rFonts w:ascii="Cambria Math" w:hAnsi="Cambria Math" w:cs="Arial"/>
                      <w:i/>
                      <w:sz w:val="18"/>
                      <w:szCs w:val="18"/>
                    </w:rPr>
                  </m:ctrlPr>
                </m:fPr>
                <m:num>
                  <m:r>
                    <w:rPr>
                      <w:rFonts w:ascii="Cambria Math" w:hAnsi="Cambria Math" w:cs="Arial"/>
                      <w:sz w:val="18"/>
                      <w:szCs w:val="18"/>
                    </w:rPr>
                    <m:t>100</m:t>
                  </m:r>
                </m:num>
                <m:den>
                  <m:r>
                    <w:rPr>
                      <w:rFonts w:ascii="Cambria Math" w:hAnsi="Cambria Math" w:cs="Arial"/>
                      <w:sz w:val="18"/>
                      <w:szCs w:val="18"/>
                    </w:rPr>
                    <m:t>9</m:t>
                  </m:r>
                </m:den>
              </m:f>
              <m:sSub>
                <m:sSubPr>
                  <m:ctrlPr>
                    <w:rPr>
                      <w:rFonts w:ascii="Cambria Math" w:hAnsi="Cambria Math" w:cs="Arial"/>
                      <w:i/>
                      <w:sz w:val="18"/>
                      <w:szCs w:val="18"/>
                    </w:rPr>
                  </m:ctrlPr>
                </m:sSubPr>
                <m:e>
                  <m:r>
                    <w:rPr>
                      <w:rFonts w:ascii="Cambria Math" w:hAnsi="Cambria Math" w:cs="Arial"/>
                      <w:sz w:val="18"/>
                      <w:szCs w:val="18"/>
                    </w:rPr>
                    <m:t>VeR</m:t>
                  </m:r>
                </m:e>
                <m:sub>
                  <m:r>
                    <w:rPr>
                      <w:rFonts w:ascii="Cambria Math" w:hAnsi="Cambria Math" w:cs="Arial"/>
                      <w:sz w:val="18"/>
                      <w:szCs w:val="18"/>
                    </w:rPr>
                    <m:t>RM</m:t>
                  </m:r>
                </m:sub>
              </m:sSub>
            </m:den>
          </m:f>
          <m:r>
            <w:rPr>
              <w:rFonts w:ascii="Cambria Math" w:hAnsi="Cambria Math" w:cs="Arial"/>
              <w:sz w:val="18"/>
              <w:szCs w:val="18"/>
            </w:rPr>
            <m:t>≥9%</m:t>
          </m:r>
        </m:oMath>
      </m:oMathPara>
    </w:p>
    <w:p w:rsidR="003337C9" w:rsidRPr="000A17D7" w:rsidRDefault="003337C9" w:rsidP="0013684A">
      <w:pPr>
        <w:jc w:val="both"/>
        <w:rPr>
          <w:rFonts w:ascii="Arial" w:hAnsi="Arial" w:cs="Arial"/>
          <w:sz w:val="18"/>
          <w:szCs w:val="18"/>
        </w:rPr>
      </w:pPr>
    </w:p>
    <w:p w:rsidR="0013684A" w:rsidRPr="000A17D7" w:rsidRDefault="0013684A" w:rsidP="0013684A">
      <w:pPr>
        <w:jc w:val="both"/>
        <w:rPr>
          <w:rFonts w:ascii="Arial" w:hAnsi="Arial" w:cs="Arial"/>
          <w:sz w:val="18"/>
          <w:szCs w:val="18"/>
        </w:rPr>
      </w:pPr>
      <w:r w:rsidRPr="000A17D7">
        <w:rPr>
          <w:rFonts w:ascii="Arial" w:hAnsi="Arial" w:cs="Arial"/>
          <w:sz w:val="18"/>
          <w:szCs w:val="18"/>
        </w:rPr>
        <w:t>En donde:</w:t>
      </w:r>
    </w:p>
    <w:p w:rsidR="0013684A" w:rsidRPr="000A17D7" w:rsidRDefault="0013684A" w:rsidP="0013684A">
      <w:pPr>
        <w:jc w:val="both"/>
        <w:rPr>
          <w:rFonts w:ascii="Arial" w:hAnsi="Arial" w:cs="Arial"/>
          <w:sz w:val="18"/>
          <w:szCs w:val="18"/>
        </w:rPr>
      </w:pPr>
    </w:p>
    <w:p w:rsidR="0013684A" w:rsidRPr="000A17D7" w:rsidRDefault="0013684A" w:rsidP="0013684A">
      <w:pPr>
        <w:jc w:val="both"/>
        <w:rPr>
          <w:rFonts w:ascii="Arial" w:hAnsi="Arial" w:cs="Arial"/>
          <w:sz w:val="18"/>
          <w:szCs w:val="18"/>
        </w:rPr>
      </w:pPr>
      <w:r w:rsidRPr="000A17D7">
        <w:rPr>
          <w:rFonts w:ascii="Arial" w:hAnsi="Arial" w:cs="Arial"/>
          <w:sz w:val="18"/>
          <w:szCs w:val="18"/>
        </w:rPr>
        <w:t xml:space="preserve">PT= </w:t>
      </w:r>
      <w:r w:rsidR="003C71D7">
        <w:rPr>
          <w:rFonts w:ascii="Arial" w:hAnsi="Arial" w:cs="Arial"/>
          <w:sz w:val="18"/>
          <w:szCs w:val="18"/>
        </w:rPr>
        <w:t xml:space="preserve">Valor del </w:t>
      </w:r>
      <w:r w:rsidRPr="000A17D7">
        <w:rPr>
          <w:rFonts w:ascii="Arial" w:hAnsi="Arial" w:cs="Arial"/>
          <w:sz w:val="18"/>
          <w:szCs w:val="18"/>
        </w:rPr>
        <w:t xml:space="preserve">Patrimonio Técnico calculado de acuerdo con las instrucciones </w:t>
      </w:r>
      <w:r w:rsidRPr="006D238C">
        <w:rPr>
          <w:rFonts w:ascii="Arial" w:hAnsi="Arial" w:cs="Arial"/>
          <w:sz w:val="18"/>
          <w:szCs w:val="18"/>
        </w:rPr>
        <w:t xml:space="preserve">impartidas </w:t>
      </w:r>
      <w:r w:rsidR="005B380E" w:rsidRPr="006D238C">
        <w:rPr>
          <w:rFonts w:ascii="Arial" w:hAnsi="Arial" w:cs="Arial"/>
          <w:sz w:val="18"/>
          <w:szCs w:val="18"/>
        </w:rPr>
        <w:t xml:space="preserve">en el </w:t>
      </w:r>
      <w:r w:rsidR="009055F8">
        <w:rPr>
          <w:rFonts w:ascii="Arial" w:hAnsi="Arial" w:cs="Arial"/>
          <w:sz w:val="18"/>
          <w:szCs w:val="18"/>
        </w:rPr>
        <w:t>sub</w:t>
      </w:r>
      <w:r w:rsidR="005B380E" w:rsidRPr="006D238C">
        <w:rPr>
          <w:rFonts w:ascii="Arial" w:hAnsi="Arial" w:cs="Arial"/>
          <w:sz w:val="18"/>
          <w:szCs w:val="18"/>
        </w:rPr>
        <w:t>numeral 2.3</w:t>
      </w:r>
      <w:r w:rsidR="003B2D16">
        <w:rPr>
          <w:rFonts w:ascii="Arial" w:hAnsi="Arial" w:cs="Arial"/>
          <w:sz w:val="18"/>
          <w:szCs w:val="18"/>
        </w:rPr>
        <w:t>.</w:t>
      </w:r>
      <w:r w:rsidRPr="006D238C">
        <w:rPr>
          <w:rFonts w:ascii="Arial" w:hAnsi="Arial" w:cs="Arial"/>
          <w:sz w:val="18"/>
          <w:szCs w:val="18"/>
        </w:rPr>
        <w:t xml:space="preserve"> del presente Capítulo.</w:t>
      </w:r>
    </w:p>
    <w:p w:rsidR="0013684A" w:rsidRPr="000A17D7" w:rsidRDefault="0013684A" w:rsidP="0013684A">
      <w:pPr>
        <w:jc w:val="both"/>
        <w:rPr>
          <w:rFonts w:ascii="Arial" w:hAnsi="Arial" w:cs="Arial"/>
          <w:sz w:val="18"/>
          <w:szCs w:val="18"/>
        </w:rPr>
      </w:pPr>
    </w:p>
    <w:p w:rsidR="0013684A" w:rsidRDefault="0013684A" w:rsidP="0013684A">
      <w:pPr>
        <w:jc w:val="both"/>
        <w:rPr>
          <w:rFonts w:ascii="Arial" w:hAnsi="Arial" w:cs="Arial"/>
          <w:sz w:val="18"/>
          <w:szCs w:val="18"/>
        </w:rPr>
      </w:pPr>
      <w:r w:rsidRPr="000A17D7">
        <w:rPr>
          <w:rFonts w:ascii="Arial" w:hAnsi="Arial" w:cs="Arial"/>
          <w:sz w:val="18"/>
          <w:szCs w:val="18"/>
        </w:rPr>
        <w:t xml:space="preserve">APNR= Activos Ponderados por </w:t>
      </w:r>
      <w:r w:rsidRPr="004E3D4D">
        <w:rPr>
          <w:rFonts w:ascii="Arial" w:hAnsi="Arial" w:cs="Arial"/>
          <w:sz w:val="18"/>
          <w:szCs w:val="18"/>
        </w:rPr>
        <w:t xml:space="preserve">Nivel de Riesgo Crediticio calculado de acuerdo con las instrucciones impartidas en el </w:t>
      </w:r>
      <w:r w:rsidR="009055F8">
        <w:rPr>
          <w:rFonts w:ascii="Arial" w:hAnsi="Arial" w:cs="Arial"/>
          <w:sz w:val="18"/>
          <w:szCs w:val="18"/>
        </w:rPr>
        <w:t>sub</w:t>
      </w:r>
      <w:r w:rsidR="005B380E" w:rsidRPr="00243A33">
        <w:rPr>
          <w:rFonts w:ascii="Arial" w:hAnsi="Arial" w:cs="Arial"/>
          <w:sz w:val="18"/>
          <w:szCs w:val="18"/>
        </w:rPr>
        <w:t xml:space="preserve">numeral </w:t>
      </w:r>
      <w:r w:rsidR="005B380E" w:rsidRPr="009D298D">
        <w:rPr>
          <w:rFonts w:ascii="Arial" w:hAnsi="Arial" w:cs="Arial"/>
          <w:sz w:val="18"/>
          <w:szCs w:val="18"/>
        </w:rPr>
        <w:t>2.4</w:t>
      </w:r>
      <w:r w:rsidR="003B2D16">
        <w:rPr>
          <w:rFonts w:ascii="Arial" w:hAnsi="Arial" w:cs="Arial"/>
          <w:sz w:val="18"/>
          <w:szCs w:val="18"/>
        </w:rPr>
        <w:t>.</w:t>
      </w:r>
      <w:r w:rsidRPr="00243A33">
        <w:rPr>
          <w:rFonts w:ascii="Arial" w:hAnsi="Arial" w:cs="Arial"/>
          <w:sz w:val="18"/>
          <w:szCs w:val="18"/>
        </w:rPr>
        <w:t xml:space="preserve"> del presente Capítulo</w:t>
      </w:r>
      <w:r w:rsidR="00071863" w:rsidRPr="00243A33">
        <w:rPr>
          <w:rFonts w:ascii="Arial" w:hAnsi="Arial" w:cs="Arial"/>
          <w:sz w:val="18"/>
          <w:szCs w:val="18"/>
        </w:rPr>
        <w:t xml:space="preserve"> </w:t>
      </w:r>
      <w:r w:rsidR="003C3F87" w:rsidRPr="00243A33">
        <w:rPr>
          <w:rFonts w:ascii="Arial" w:hAnsi="Arial" w:cs="Arial"/>
          <w:sz w:val="18"/>
          <w:szCs w:val="18"/>
        </w:rPr>
        <w:t xml:space="preserve">y en </w:t>
      </w:r>
      <w:r w:rsidR="00071863" w:rsidRPr="00243A33">
        <w:rPr>
          <w:rFonts w:ascii="Arial" w:hAnsi="Arial" w:cs="Arial"/>
          <w:sz w:val="18"/>
          <w:szCs w:val="18"/>
        </w:rPr>
        <w:t>el</w:t>
      </w:r>
      <w:r w:rsidR="00071863" w:rsidRPr="00243A33">
        <w:rPr>
          <w:rFonts w:ascii="Arial" w:hAnsi="Arial" w:cs="Arial"/>
          <w:b/>
          <w:sz w:val="18"/>
          <w:szCs w:val="18"/>
        </w:rPr>
        <w:t xml:space="preserve"> </w:t>
      </w:r>
      <w:r w:rsidR="00B04C44" w:rsidRPr="00B04C44">
        <w:rPr>
          <w:rFonts w:ascii="Arial" w:hAnsi="Arial" w:cs="Arial"/>
          <w:sz w:val="18"/>
          <w:szCs w:val="18"/>
        </w:rPr>
        <w:t>Formato 239 (Proforma F.1000-141 “Reporte de Información de Margen de Solvencia y Otros Requerimientos de Patrimonio y Declaración del Control de Ley Margen de Solvencia”</w:t>
      </w:r>
      <w:r w:rsidR="004E3D4D" w:rsidRPr="00243A33">
        <w:rPr>
          <w:rFonts w:ascii="Arial" w:hAnsi="Arial" w:cs="Arial"/>
          <w:sz w:val="18"/>
          <w:szCs w:val="18"/>
        </w:rPr>
        <w:t>.</w:t>
      </w:r>
    </w:p>
    <w:p w:rsidR="004E3D4D" w:rsidRPr="000A17D7" w:rsidRDefault="004E3D4D" w:rsidP="0013684A">
      <w:pPr>
        <w:jc w:val="both"/>
        <w:rPr>
          <w:rFonts w:ascii="Arial" w:hAnsi="Arial" w:cs="Arial"/>
          <w:sz w:val="18"/>
          <w:szCs w:val="18"/>
        </w:rPr>
      </w:pPr>
    </w:p>
    <w:p w:rsidR="0013684A" w:rsidRDefault="001F1923" w:rsidP="0013684A">
      <w:pPr>
        <w:jc w:val="both"/>
        <w:rPr>
          <w:rFonts w:ascii="Arial" w:hAnsi="Arial" w:cs="Arial"/>
          <w:sz w:val="18"/>
          <w:szCs w:val="18"/>
        </w:rPr>
      </w:pPr>
      <m:oMath>
        <m:sSub>
          <m:sSubPr>
            <m:ctrlPr>
              <w:rPr>
                <w:rFonts w:ascii="Cambria Math" w:hAnsi="Cambria Math" w:cs="Arial"/>
                <w:i/>
                <w:sz w:val="18"/>
                <w:szCs w:val="18"/>
              </w:rPr>
            </m:ctrlPr>
          </m:sSubPr>
          <m:e>
            <m:r>
              <w:rPr>
                <w:rFonts w:ascii="Cambria Math" w:hAnsi="Cambria Math" w:cs="Arial"/>
                <w:sz w:val="18"/>
                <w:szCs w:val="18"/>
              </w:rPr>
              <m:t>V</m:t>
            </m:r>
            <m:r>
              <m:rPr>
                <m:sty m:val="p"/>
              </m:rPr>
              <w:rPr>
                <w:rFonts w:ascii="Cambria Math" w:hAnsi="Cambria Math" w:cs="Arial"/>
                <w:sz w:val="18"/>
                <w:szCs w:val="18"/>
              </w:rPr>
              <m:t>eR</m:t>
            </m:r>
          </m:e>
          <m:sub>
            <m:r>
              <w:rPr>
                <w:rFonts w:ascii="Cambria Math" w:hAnsi="Cambria Math" w:cs="Arial"/>
                <w:sz w:val="18"/>
                <w:szCs w:val="18"/>
              </w:rPr>
              <m:t>RM</m:t>
            </m:r>
          </m:sub>
        </m:sSub>
      </m:oMath>
      <w:r w:rsidR="0013684A" w:rsidRPr="000A17D7">
        <w:rPr>
          <w:rFonts w:ascii="Arial" w:hAnsi="Arial" w:cs="Arial"/>
          <w:sz w:val="18"/>
          <w:szCs w:val="18"/>
        </w:rPr>
        <w:t xml:space="preserve">= Valor de la exposición por riesgo de mercado calculado de acuerdo con las instrucciones establecidas en el Capítulo XXI “Reglas relativas al sistema de administración de riesgo de mercado” de la </w:t>
      </w:r>
      <w:r w:rsidR="00E411C7">
        <w:rPr>
          <w:rFonts w:ascii="Arial" w:hAnsi="Arial" w:cs="Arial"/>
          <w:sz w:val="18"/>
          <w:szCs w:val="18"/>
        </w:rPr>
        <w:t xml:space="preserve">Circular Básica Contable y Financiera </w:t>
      </w:r>
      <w:r w:rsidR="008A741E">
        <w:rPr>
          <w:rFonts w:ascii="Arial" w:hAnsi="Arial" w:cs="Arial"/>
          <w:sz w:val="18"/>
          <w:szCs w:val="18"/>
        </w:rPr>
        <w:t>(</w:t>
      </w:r>
      <w:r w:rsidR="0013684A" w:rsidRPr="000A17D7">
        <w:rPr>
          <w:rFonts w:ascii="Arial" w:hAnsi="Arial" w:cs="Arial"/>
          <w:sz w:val="18"/>
          <w:szCs w:val="18"/>
        </w:rPr>
        <w:t>CBCF</w:t>
      </w:r>
      <w:r w:rsidR="008A741E">
        <w:rPr>
          <w:rFonts w:ascii="Arial" w:hAnsi="Arial" w:cs="Arial"/>
          <w:sz w:val="18"/>
          <w:szCs w:val="18"/>
        </w:rPr>
        <w:t>)</w:t>
      </w:r>
      <w:r w:rsidR="0013684A" w:rsidRPr="000A17D7">
        <w:rPr>
          <w:rFonts w:ascii="Arial" w:hAnsi="Arial" w:cs="Arial"/>
          <w:sz w:val="18"/>
          <w:szCs w:val="18"/>
        </w:rPr>
        <w:t>.</w:t>
      </w:r>
    </w:p>
    <w:p w:rsidR="003337C9" w:rsidRDefault="003337C9" w:rsidP="0013684A">
      <w:pPr>
        <w:jc w:val="both"/>
        <w:rPr>
          <w:rFonts w:ascii="Arial" w:hAnsi="Arial" w:cs="Arial"/>
          <w:sz w:val="18"/>
          <w:szCs w:val="18"/>
        </w:rPr>
      </w:pPr>
    </w:p>
    <w:p w:rsidR="00786681" w:rsidRDefault="00786681" w:rsidP="0013684A">
      <w:pPr>
        <w:jc w:val="both"/>
        <w:rPr>
          <w:rFonts w:ascii="Arial" w:hAnsi="Arial" w:cs="Arial"/>
          <w:sz w:val="18"/>
          <w:szCs w:val="18"/>
        </w:rPr>
      </w:pPr>
    </w:p>
    <w:p w:rsidR="00786681" w:rsidRPr="000A17D7" w:rsidRDefault="00786681" w:rsidP="0013684A">
      <w:pPr>
        <w:jc w:val="both"/>
        <w:rPr>
          <w:rFonts w:ascii="Arial" w:hAnsi="Arial" w:cs="Arial"/>
          <w:sz w:val="18"/>
          <w:szCs w:val="18"/>
        </w:rPr>
      </w:pPr>
    </w:p>
    <w:p w:rsidR="00997E6B" w:rsidRPr="000A17D7" w:rsidRDefault="008C210A" w:rsidP="00997E6B">
      <w:pPr>
        <w:jc w:val="both"/>
        <w:rPr>
          <w:rFonts w:ascii="Arial" w:hAnsi="Arial" w:cs="Arial"/>
          <w:sz w:val="18"/>
          <w:szCs w:val="18"/>
        </w:rPr>
      </w:pPr>
      <w:r>
        <w:rPr>
          <w:rFonts w:ascii="Arial" w:hAnsi="Arial" w:cs="Arial"/>
          <w:sz w:val="18"/>
          <w:szCs w:val="18"/>
        </w:rPr>
        <w:t>V</w:t>
      </w:r>
      <w:r w:rsidR="00997E6B" w:rsidRPr="000A17D7">
        <w:rPr>
          <w:rFonts w:ascii="Arial" w:hAnsi="Arial" w:cs="Arial"/>
          <w:sz w:val="18"/>
          <w:szCs w:val="18"/>
        </w:rPr>
        <w:t>alor de apalancamiento</w:t>
      </w:r>
      <w:r w:rsidR="00BF139E">
        <w:rPr>
          <w:rFonts w:ascii="Arial" w:hAnsi="Arial" w:cs="Arial"/>
          <w:sz w:val="18"/>
          <w:szCs w:val="18"/>
        </w:rPr>
        <w:t>=</w:t>
      </w:r>
      <w:r w:rsidR="00DC2ADE">
        <w:rPr>
          <w:rFonts w:ascii="Arial" w:hAnsi="Arial" w:cs="Arial"/>
          <w:sz w:val="18"/>
          <w:szCs w:val="18"/>
        </w:rPr>
        <w:t xml:space="preserve"> </w:t>
      </w:r>
      <w:r w:rsidR="00997E6B" w:rsidRPr="000A17D7">
        <w:rPr>
          <w:rFonts w:ascii="Arial" w:hAnsi="Arial" w:cs="Arial"/>
          <w:sz w:val="18"/>
          <w:szCs w:val="18"/>
        </w:rPr>
        <w:t>Corresponde a la suma del valor de todos l</w:t>
      </w:r>
      <w:r w:rsidR="003B2D16">
        <w:rPr>
          <w:rFonts w:ascii="Arial" w:hAnsi="Arial" w:cs="Arial"/>
          <w:sz w:val="18"/>
          <w:szCs w:val="18"/>
        </w:rPr>
        <w:t>os activos netos de provisiones;</w:t>
      </w:r>
      <w:r w:rsidR="00997E6B" w:rsidRPr="000A17D7">
        <w:rPr>
          <w:rFonts w:ascii="Arial" w:hAnsi="Arial" w:cs="Arial"/>
          <w:sz w:val="18"/>
          <w:szCs w:val="18"/>
        </w:rPr>
        <w:t xml:space="preserve"> las exposiciones netas en todas las operaciones de reporto o repo, simultaneas y tr</w:t>
      </w:r>
      <w:r w:rsidR="003B2D16">
        <w:rPr>
          <w:rFonts w:ascii="Arial" w:hAnsi="Arial" w:cs="Arial"/>
          <w:sz w:val="18"/>
          <w:szCs w:val="18"/>
        </w:rPr>
        <w:t>ansferencia temporal de valores;</w:t>
      </w:r>
      <w:r w:rsidR="00997E6B" w:rsidRPr="000A17D7">
        <w:rPr>
          <w:rFonts w:ascii="Arial" w:hAnsi="Arial" w:cs="Arial"/>
          <w:sz w:val="18"/>
          <w:szCs w:val="18"/>
        </w:rPr>
        <w:t xml:space="preserve"> las exposiciones crediticias en todos los instrumentos financieros derivados</w:t>
      </w:r>
      <w:r w:rsidR="003B2D16">
        <w:rPr>
          <w:rFonts w:ascii="Arial" w:hAnsi="Arial" w:cs="Arial"/>
          <w:sz w:val="18"/>
          <w:szCs w:val="18"/>
        </w:rPr>
        <w:t>;</w:t>
      </w:r>
      <w:r w:rsidR="00997E6B" w:rsidRPr="000A17D7">
        <w:rPr>
          <w:rFonts w:ascii="Arial" w:hAnsi="Arial" w:cs="Arial"/>
          <w:sz w:val="18"/>
          <w:szCs w:val="18"/>
        </w:rPr>
        <w:t xml:space="preserve"> y el valor de exposición de todas las contingencias.</w:t>
      </w:r>
      <w:r w:rsidR="005B714D">
        <w:rPr>
          <w:rFonts w:ascii="Arial" w:hAnsi="Arial" w:cs="Arial"/>
          <w:sz w:val="18"/>
          <w:szCs w:val="18"/>
        </w:rPr>
        <w:t xml:space="preserve"> Para</w:t>
      </w:r>
      <w:r w:rsidR="00F40CA6">
        <w:rPr>
          <w:rFonts w:ascii="Arial" w:hAnsi="Arial" w:cs="Arial"/>
          <w:sz w:val="18"/>
          <w:szCs w:val="18"/>
        </w:rPr>
        <w:t xml:space="preserve"> </w:t>
      </w:r>
      <w:r w:rsidR="0033771C">
        <w:rPr>
          <w:rFonts w:ascii="Arial" w:hAnsi="Arial" w:cs="Arial"/>
          <w:sz w:val="18"/>
          <w:szCs w:val="18"/>
        </w:rPr>
        <w:t>determina</w:t>
      </w:r>
      <w:r w:rsidR="00F40CA6">
        <w:rPr>
          <w:rFonts w:ascii="Arial" w:hAnsi="Arial" w:cs="Arial"/>
          <w:sz w:val="18"/>
          <w:szCs w:val="18"/>
        </w:rPr>
        <w:t>r</w:t>
      </w:r>
      <w:r w:rsidR="0033771C">
        <w:rPr>
          <w:rFonts w:ascii="Arial" w:hAnsi="Arial" w:cs="Arial"/>
          <w:sz w:val="18"/>
          <w:szCs w:val="18"/>
        </w:rPr>
        <w:t xml:space="preserve"> el valor de exposición de las contingencias</w:t>
      </w:r>
      <w:r w:rsidR="00F40CA6">
        <w:rPr>
          <w:rFonts w:ascii="Arial" w:hAnsi="Arial" w:cs="Arial"/>
          <w:sz w:val="18"/>
          <w:szCs w:val="18"/>
        </w:rPr>
        <w:t>,</w:t>
      </w:r>
      <w:r w:rsidR="0033771C">
        <w:rPr>
          <w:rFonts w:ascii="Arial" w:hAnsi="Arial" w:cs="Arial"/>
          <w:sz w:val="18"/>
          <w:szCs w:val="18"/>
        </w:rPr>
        <w:t xml:space="preserve"> </w:t>
      </w:r>
      <w:r w:rsidR="00FA52D9">
        <w:rPr>
          <w:rFonts w:ascii="Arial" w:hAnsi="Arial" w:cs="Arial"/>
          <w:sz w:val="18"/>
          <w:szCs w:val="18"/>
        </w:rPr>
        <w:t>se de</w:t>
      </w:r>
      <w:r w:rsidR="00214449">
        <w:rPr>
          <w:rFonts w:ascii="Arial" w:hAnsi="Arial" w:cs="Arial"/>
          <w:sz w:val="18"/>
          <w:szCs w:val="18"/>
        </w:rPr>
        <w:t xml:space="preserve">be </w:t>
      </w:r>
      <w:r w:rsidR="00FA52D9">
        <w:rPr>
          <w:rFonts w:ascii="Arial" w:hAnsi="Arial" w:cs="Arial"/>
          <w:sz w:val="18"/>
          <w:szCs w:val="18"/>
        </w:rPr>
        <w:t>multi</w:t>
      </w:r>
      <w:r w:rsidR="00214449">
        <w:rPr>
          <w:rFonts w:ascii="Arial" w:hAnsi="Arial" w:cs="Arial"/>
          <w:sz w:val="18"/>
          <w:szCs w:val="18"/>
        </w:rPr>
        <w:t>plicar</w:t>
      </w:r>
      <w:r w:rsidR="00FA52D9">
        <w:rPr>
          <w:rFonts w:ascii="Arial" w:hAnsi="Arial" w:cs="Arial"/>
          <w:sz w:val="18"/>
          <w:szCs w:val="18"/>
        </w:rPr>
        <w:t xml:space="preserve"> el monto nominal </w:t>
      </w:r>
      <w:r w:rsidR="0091589B" w:rsidRPr="000A17D7">
        <w:rPr>
          <w:rFonts w:ascii="Arial" w:hAnsi="Arial" w:cs="Arial"/>
          <w:sz w:val="18"/>
          <w:szCs w:val="18"/>
        </w:rPr>
        <w:t>neto de provisiones</w:t>
      </w:r>
      <w:r w:rsidR="0091589B">
        <w:rPr>
          <w:rFonts w:ascii="Arial" w:hAnsi="Arial" w:cs="Arial"/>
          <w:sz w:val="18"/>
          <w:szCs w:val="18"/>
        </w:rPr>
        <w:t xml:space="preserve"> </w:t>
      </w:r>
      <w:r w:rsidR="007774AA">
        <w:rPr>
          <w:rFonts w:ascii="Arial" w:hAnsi="Arial" w:cs="Arial"/>
          <w:sz w:val="18"/>
          <w:szCs w:val="18"/>
        </w:rPr>
        <w:t xml:space="preserve">de </w:t>
      </w:r>
      <w:r w:rsidR="00F40CA6">
        <w:rPr>
          <w:rFonts w:ascii="Arial" w:hAnsi="Arial" w:cs="Arial"/>
          <w:sz w:val="18"/>
          <w:szCs w:val="18"/>
        </w:rPr>
        <w:t>l</w:t>
      </w:r>
      <w:r w:rsidR="007774AA">
        <w:rPr>
          <w:rFonts w:ascii="Arial" w:hAnsi="Arial" w:cs="Arial"/>
          <w:sz w:val="18"/>
          <w:szCs w:val="18"/>
        </w:rPr>
        <w:t xml:space="preserve">a exposición </w:t>
      </w:r>
      <w:r w:rsidR="00BB3A09">
        <w:rPr>
          <w:rFonts w:ascii="Arial" w:hAnsi="Arial" w:cs="Arial"/>
          <w:sz w:val="18"/>
          <w:szCs w:val="18"/>
        </w:rPr>
        <w:t xml:space="preserve">por </w:t>
      </w:r>
      <w:r w:rsidR="00F40CA6">
        <w:rPr>
          <w:rFonts w:ascii="Arial" w:hAnsi="Arial" w:cs="Arial"/>
          <w:sz w:val="18"/>
          <w:szCs w:val="18"/>
        </w:rPr>
        <w:t>el</w:t>
      </w:r>
      <w:r w:rsidR="00BB3A09">
        <w:rPr>
          <w:rFonts w:ascii="Arial" w:hAnsi="Arial" w:cs="Arial"/>
          <w:sz w:val="18"/>
          <w:szCs w:val="18"/>
        </w:rPr>
        <w:t xml:space="preserve"> factor de conversión crediticio </w:t>
      </w:r>
      <w:r w:rsidR="00F40CA6">
        <w:rPr>
          <w:rFonts w:ascii="Arial" w:hAnsi="Arial" w:cs="Arial"/>
          <w:sz w:val="18"/>
          <w:szCs w:val="18"/>
        </w:rPr>
        <w:t>que le resulte aplicable,</w:t>
      </w:r>
      <w:r w:rsidR="00BB3A09">
        <w:rPr>
          <w:rFonts w:ascii="Arial" w:hAnsi="Arial" w:cs="Arial"/>
          <w:sz w:val="18"/>
          <w:szCs w:val="18"/>
        </w:rPr>
        <w:t xml:space="preserve"> seg</w:t>
      </w:r>
      <w:r w:rsidR="00AA6492">
        <w:rPr>
          <w:rFonts w:ascii="Arial" w:hAnsi="Arial" w:cs="Arial"/>
          <w:sz w:val="18"/>
          <w:szCs w:val="18"/>
        </w:rPr>
        <w:t>ún</w:t>
      </w:r>
      <w:r w:rsidR="00BB3A09">
        <w:rPr>
          <w:rFonts w:ascii="Arial" w:hAnsi="Arial" w:cs="Arial"/>
          <w:sz w:val="18"/>
          <w:szCs w:val="18"/>
        </w:rPr>
        <w:t xml:space="preserve"> lo establecido en los literales</w:t>
      </w:r>
      <w:r w:rsidR="003C71D7">
        <w:rPr>
          <w:rFonts w:ascii="Arial" w:hAnsi="Arial" w:cs="Arial"/>
          <w:sz w:val="18"/>
          <w:szCs w:val="18"/>
        </w:rPr>
        <w:t xml:space="preserve"> del</w:t>
      </w:r>
      <w:r w:rsidR="00BB3A09">
        <w:rPr>
          <w:rFonts w:ascii="Arial" w:hAnsi="Arial" w:cs="Arial"/>
          <w:sz w:val="18"/>
          <w:szCs w:val="18"/>
        </w:rPr>
        <w:t xml:space="preserve"> a</w:t>
      </w:r>
      <w:r w:rsidR="007E5FD2">
        <w:rPr>
          <w:rFonts w:ascii="Arial" w:hAnsi="Arial" w:cs="Arial"/>
          <w:sz w:val="18"/>
          <w:szCs w:val="18"/>
        </w:rPr>
        <w:t>)</w:t>
      </w:r>
      <w:r w:rsidR="00214449">
        <w:rPr>
          <w:rFonts w:ascii="Arial" w:hAnsi="Arial" w:cs="Arial"/>
          <w:sz w:val="18"/>
          <w:szCs w:val="18"/>
        </w:rPr>
        <w:t xml:space="preserve"> al c) del</w:t>
      </w:r>
      <w:r w:rsidR="00BB3A09">
        <w:rPr>
          <w:rFonts w:ascii="Arial" w:hAnsi="Arial" w:cs="Arial"/>
          <w:sz w:val="18"/>
          <w:szCs w:val="18"/>
        </w:rPr>
        <w:t xml:space="preserve"> artículo 2.1.1.3.5</w:t>
      </w:r>
      <w:r w:rsidR="007E5FD2">
        <w:rPr>
          <w:rFonts w:ascii="Arial" w:hAnsi="Arial" w:cs="Arial"/>
          <w:sz w:val="18"/>
          <w:szCs w:val="18"/>
        </w:rPr>
        <w:t xml:space="preserve"> del Decreto 2555 de 2010</w:t>
      </w:r>
      <w:r w:rsidR="00214449">
        <w:rPr>
          <w:rFonts w:ascii="Arial" w:hAnsi="Arial" w:cs="Arial"/>
          <w:sz w:val="18"/>
          <w:szCs w:val="18"/>
        </w:rPr>
        <w:t>.</w:t>
      </w:r>
    </w:p>
    <w:p w:rsidR="00997E6B" w:rsidRPr="000A17D7" w:rsidRDefault="00997E6B" w:rsidP="00997E6B">
      <w:pPr>
        <w:jc w:val="both"/>
        <w:rPr>
          <w:rFonts w:ascii="Arial" w:hAnsi="Arial" w:cs="Arial"/>
          <w:sz w:val="18"/>
          <w:szCs w:val="18"/>
        </w:rPr>
      </w:pPr>
    </w:p>
    <w:p w:rsidR="00997E6B" w:rsidRDefault="00C42350" w:rsidP="00997E6B">
      <w:pPr>
        <w:jc w:val="both"/>
        <w:rPr>
          <w:rFonts w:ascii="Arial" w:hAnsi="Arial" w:cs="Arial"/>
          <w:sz w:val="18"/>
          <w:szCs w:val="18"/>
        </w:rPr>
      </w:pPr>
      <w:r>
        <w:rPr>
          <w:rFonts w:ascii="Arial" w:hAnsi="Arial" w:cs="Arial"/>
          <w:sz w:val="18"/>
          <w:szCs w:val="18"/>
        </w:rPr>
        <w:t>El valor de l</w:t>
      </w:r>
      <w:r w:rsidR="00BF139E">
        <w:rPr>
          <w:rFonts w:ascii="Arial" w:hAnsi="Arial" w:cs="Arial"/>
          <w:sz w:val="18"/>
          <w:szCs w:val="18"/>
        </w:rPr>
        <w:t>os activos que se deduzca</w:t>
      </w:r>
      <w:r w:rsidR="00997E6B" w:rsidRPr="000A17D7">
        <w:rPr>
          <w:rFonts w:ascii="Arial" w:hAnsi="Arial" w:cs="Arial"/>
          <w:sz w:val="18"/>
          <w:szCs w:val="18"/>
        </w:rPr>
        <w:t xml:space="preserve"> para efectuar el cálculo del PBO, en desarrollo del artículo 2.1.1.1.11 del </w:t>
      </w:r>
      <w:r w:rsidR="004827A9">
        <w:rPr>
          <w:rFonts w:ascii="Arial" w:hAnsi="Arial" w:cs="Arial"/>
          <w:sz w:val="18"/>
          <w:szCs w:val="18"/>
        </w:rPr>
        <w:t>Decreto 2555 de 2010</w:t>
      </w:r>
      <w:r w:rsidR="00BF139E">
        <w:rPr>
          <w:rFonts w:ascii="Arial" w:hAnsi="Arial" w:cs="Arial"/>
          <w:sz w:val="18"/>
          <w:szCs w:val="18"/>
        </w:rPr>
        <w:t>, o que se deduzca</w:t>
      </w:r>
      <w:r w:rsidR="00997E6B" w:rsidRPr="000A17D7">
        <w:rPr>
          <w:rFonts w:ascii="Arial" w:hAnsi="Arial" w:cs="Arial"/>
          <w:sz w:val="18"/>
          <w:szCs w:val="18"/>
        </w:rPr>
        <w:t xml:space="preserve"> para efectuar el cálculo del </w:t>
      </w:r>
      <w:r w:rsidR="003B2D16">
        <w:rPr>
          <w:rFonts w:ascii="Arial" w:hAnsi="Arial" w:cs="Arial"/>
          <w:sz w:val="18"/>
          <w:szCs w:val="18"/>
        </w:rPr>
        <w:t>PT</w:t>
      </w:r>
      <w:r w:rsidR="00997E6B" w:rsidRPr="000A17D7">
        <w:rPr>
          <w:rFonts w:ascii="Arial" w:hAnsi="Arial" w:cs="Arial"/>
          <w:sz w:val="18"/>
          <w:szCs w:val="18"/>
        </w:rPr>
        <w:t xml:space="preserve">, </w:t>
      </w:r>
      <w:r w:rsidR="00997E6B" w:rsidRPr="004E3D4D">
        <w:rPr>
          <w:rFonts w:ascii="Arial" w:hAnsi="Arial" w:cs="Arial"/>
          <w:sz w:val="18"/>
          <w:szCs w:val="18"/>
        </w:rPr>
        <w:t>en desarrollo del numeral 10</w:t>
      </w:r>
      <w:r w:rsidR="00F33295">
        <w:rPr>
          <w:rFonts w:ascii="Arial" w:hAnsi="Arial" w:cs="Arial"/>
          <w:sz w:val="18"/>
          <w:szCs w:val="18"/>
        </w:rPr>
        <w:t>)</w:t>
      </w:r>
      <w:r w:rsidR="00997E6B" w:rsidRPr="004E3D4D">
        <w:rPr>
          <w:rFonts w:ascii="Arial" w:hAnsi="Arial" w:cs="Arial"/>
          <w:sz w:val="18"/>
          <w:szCs w:val="18"/>
        </w:rPr>
        <w:t xml:space="preserve"> del artículo 2.1.1.3.2 del </w:t>
      </w:r>
      <w:r w:rsidR="00656ACA">
        <w:rPr>
          <w:rFonts w:ascii="Arial" w:hAnsi="Arial" w:cs="Arial"/>
          <w:sz w:val="18"/>
          <w:szCs w:val="18"/>
        </w:rPr>
        <w:t>citado D</w:t>
      </w:r>
      <w:r w:rsidR="00997E6B" w:rsidRPr="004E3D4D">
        <w:rPr>
          <w:rFonts w:ascii="Arial" w:hAnsi="Arial" w:cs="Arial"/>
          <w:sz w:val="18"/>
          <w:szCs w:val="18"/>
        </w:rPr>
        <w:t>ecreto</w:t>
      </w:r>
      <w:r w:rsidR="00656ACA">
        <w:rPr>
          <w:rFonts w:ascii="Arial" w:hAnsi="Arial" w:cs="Arial"/>
          <w:sz w:val="18"/>
          <w:szCs w:val="18"/>
        </w:rPr>
        <w:t xml:space="preserve"> 2555</w:t>
      </w:r>
      <w:r w:rsidR="00F40CA6">
        <w:rPr>
          <w:rFonts w:ascii="Arial" w:hAnsi="Arial" w:cs="Arial"/>
          <w:sz w:val="18"/>
          <w:szCs w:val="18"/>
        </w:rPr>
        <w:t xml:space="preserve"> de 2010</w:t>
      </w:r>
      <w:r w:rsidR="00997E6B" w:rsidRPr="004E3D4D">
        <w:rPr>
          <w:rFonts w:ascii="Arial" w:hAnsi="Arial" w:cs="Arial"/>
          <w:sz w:val="18"/>
          <w:szCs w:val="18"/>
        </w:rPr>
        <w:t xml:space="preserve">, se </w:t>
      </w:r>
      <w:r w:rsidR="00BF139E">
        <w:rPr>
          <w:rFonts w:ascii="Arial" w:hAnsi="Arial" w:cs="Arial"/>
          <w:sz w:val="18"/>
          <w:szCs w:val="18"/>
        </w:rPr>
        <w:t>debe</w:t>
      </w:r>
      <w:r w:rsidR="00E352DC">
        <w:rPr>
          <w:rFonts w:ascii="Arial" w:hAnsi="Arial" w:cs="Arial"/>
          <w:sz w:val="18"/>
          <w:szCs w:val="18"/>
        </w:rPr>
        <w:t xml:space="preserve"> </w:t>
      </w:r>
      <w:r w:rsidR="00997E6B" w:rsidRPr="004E3D4D">
        <w:rPr>
          <w:rFonts w:ascii="Arial" w:hAnsi="Arial" w:cs="Arial"/>
          <w:sz w:val="18"/>
          <w:szCs w:val="18"/>
        </w:rPr>
        <w:t>computar por un valor de cero para efectos de determinar el valor de apalancamiento.</w:t>
      </w:r>
    </w:p>
    <w:p w:rsidR="00952817" w:rsidRPr="000A17D7" w:rsidRDefault="00952817" w:rsidP="00997E6B">
      <w:pPr>
        <w:jc w:val="both"/>
        <w:rPr>
          <w:rFonts w:ascii="Arial" w:hAnsi="Arial" w:cs="Arial"/>
          <w:sz w:val="18"/>
          <w:szCs w:val="18"/>
        </w:rPr>
      </w:pPr>
    </w:p>
    <w:p w:rsidR="004710D1" w:rsidRDefault="0013684A" w:rsidP="00997E6B">
      <w:pPr>
        <w:jc w:val="both"/>
        <w:rPr>
          <w:rFonts w:ascii="Arial" w:hAnsi="Arial" w:cs="Arial"/>
          <w:sz w:val="18"/>
          <w:szCs w:val="18"/>
        </w:rPr>
      </w:pPr>
      <w:r w:rsidRPr="000A17D7">
        <w:rPr>
          <w:rFonts w:ascii="Arial" w:hAnsi="Arial" w:cs="Arial"/>
          <w:sz w:val="18"/>
          <w:szCs w:val="18"/>
        </w:rPr>
        <w:t>El cálculo de cada uno de los rubros que conforman las relaciones mínimas de solvencia</w:t>
      </w:r>
      <w:r w:rsidR="009B287C">
        <w:rPr>
          <w:rFonts w:ascii="Arial" w:hAnsi="Arial" w:cs="Arial"/>
          <w:sz w:val="18"/>
          <w:szCs w:val="18"/>
        </w:rPr>
        <w:t xml:space="preserve"> y </w:t>
      </w:r>
      <w:r w:rsidR="007E7C0B">
        <w:rPr>
          <w:rFonts w:ascii="Arial" w:hAnsi="Arial" w:cs="Arial"/>
          <w:sz w:val="18"/>
          <w:szCs w:val="18"/>
        </w:rPr>
        <w:t xml:space="preserve">de </w:t>
      </w:r>
      <w:r w:rsidR="009B287C">
        <w:rPr>
          <w:rFonts w:ascii="Arial" w:hAnsi="Arial" w:cs="Arial"/>
          <w:sz w:val="18"/>
          <w:szCs w:val="18"/>
        </w:rPr>
        <w:t>los colchones</w:t>
      </w:r>
      <w:r w:rsidR="007E7C0B">
        <w:rPr>
          <w:rFonts w:ascii="Arial" w:hAnsi="Arial" w:cs="Arial"/>
          <w:sz w:val="18"/>
          <w:szCs w:val="18"/>
        </w:rPr>
        <w:t>,</w:t>
      </w:r>
      <w:r w:rsidRPr="000A17D7">
        <w:rPr>
          <w:rFonts w:ascii="Arial" w:hAnsi="Arial" w:cs="Arial"/>
          <w:sz w:val="18"/>
          <w:szCs w:val="18"/>
        </w:rPr>
        <w:t xml:space="preserve"> se debe realizar teniendo en cuenta </w:t>
      </w:r>
      <w:r w:rsidR="00E049DA" w:rsidRPr="000A17D7">
        <w:rPr>
          <w:rFonts w:ascii="Arial" w:hAnsi="Arial" w:cs="Arial"/>
          <w:sz w:val="18"/>
          <w:szCs w:val="18"/>
        </w:rPr>
        <w:t xml:space="preserve">la información </w:t>
      </w:r>
      <w:r w:rsidR="00E049DA" w:rsidRPr="006841EE">
        <w:rPr>
          <w:rFonts w:ascii="Arial" w:hAnsi="Arial" w:cs="Arial"/>
          <w:sz w:val="18"/>
          <w:szCs w:val="18"/>
        </w:rPr>
        <w:t>mensual y trimestral d</w:t>
      </w:r>
      <w:r w:rsidRPr="006841EE">
        <w:rPr>
          <w:rFonts w:ascii="Arial" w:hAnsi="Arial" w:cs="Arial"/>
          <w:sz w:val="18"/>
          <w:szCs w:val="18"/>
        </w:rPr>
        <w:t>el Catálogo Único de Información Financiera con fines de Supervisión</w:t>
      </w:r>
      <w:r w:rsidR="00D94CC9" w:rsidRPr="006841EE">
        <w:rPr>
          <w:rFonts w:ascii="Arial" w:hAnsi="Arial" w:cs="Arial"/>
          <w:sz w:val="18"/>
          <w:szCs w:val="18"/>
        </w:rPr>
        <w:t xml:space="preserve"> y</w:t>
      </w:r>
      <w:r w:rsidRPr="006841EE">
        <w:rPr>
          <w:rFonts w:ascii="Arial" w:hAnsi="Arial" w:cs="Arial"/>
          <w:sz w:val="18"/>
          <w:szCs w:val="18"/>
        </w:rPr>
        <w:t xml:space="preserve"> el </w:t>
      </w:r>
      <w:r w:rsidR="00B04C44" w:rsidRPr="00B04C44">
        <w:rPr>
          <w:rFonts w:ascii="Arial" w:hAnsi="Arial" w:cs="Arial"/>
          <w:sz w:val="18"/>
          <w:szCs w:val="18"/>
        </w:rPr>
        <w:t>Formato 239 (Proforma F.1000-141 “Reporte de Información de Margen de Solvencia y Otros Requerimientos de Patrimonio y Declaración del Control de Ley Margen de Solvencia”</w:t>
      </w:r>
      <w:r w:rsidR="00B04C44">
        <w:rPr>
          <w:rFonts w:ascii="Arial" w:hAnsi="Arial" w:cs="Arial"/>
          <w:sz w:val="18"/>
          <w:szCs w:val="18"/>
        </w:rPr>
        <w:t>,</w:t>
      </w:r>
      <w:r w:rsidRPr="000571A2">
        <w:rPr>
          <w:rFonts w:ascii="Arial" w:hAnsi="Arial" w:cs="Arial"/>
          <w:sz w:val="18"/>
          <w:szCs w:val="18"/>
        </w:rPr>
        <w:t xml:space="preserve"> según se indica en cada uno de los componentes de las relaciones de solvencia</w:t>
      </w:r>
      <w:r w:rsidR="009B287C" w:rsidRPr="000571A2">
        <w:rPr>
          <w:rFonts w:ascii="Arial" w:hAnsi="Arial" w:cs="Arial"/>
          <w:sz w:val="18"/>
          <w:szCs w:val="18"/>
        </w:rPr>
        <w:t xml:space="preserve"> y </w:t>
      </w:r>
      <w:r w:rsidR="007E7C0B" w:rsidRPr="000571A2">
        <w:rPr>
          <w:rFonts w:ascii="Arial" w:hAnsi="Arial" w:cs="Arial"/>
          <w:sz w:val="18"/>
          <w:szCs w:val="18"/>
        </w:rPr>
        <w:t xml:space="preserve">de los </w:t>
      </w:r>
      <w:r w:rsidR="009B287C" w:rsidRPr="000571A2">
        <w:rPr>
          <w:rFonts w:ascii="Arial" w:hAnsi="Arial" w:cs="Arial"/>
          <w:sz w:val="18"/>
          <w:szCs w:val="18"/>
        </w:rPr>
        <w:t>colchones</w:t>
      </w:r>
      <w:r w:rsidRPr="000571A2">
        <w:rPr>
          <w:rFonts w:ascii="Arial" w:hAnsi="Arial" w:cs="Arial"/>
          <w:sz w:val="18"/>
          <w:szCs w:val="18"/>
        </w:rPr>
        <w:t>, así como las instrucciones</w:t>
      </w:r>
      <w:r w:rsidRPr="006841EE">
        <w:rPr>
          <w:rFonts w:ascii="Arial" w:hAnsi="Arial" w:cs="Arial"/>
          <w:sz w:val="18"/>
          <w:szCs w:val="18"/>
        </w:rPr>
        <w:t xml:space="preserve"> vigentes establecidas para </w:t>
      </w:r>
      <w:r w:rsidR="00D94CC9" w:rsidRPr="006841EE">
        <w:rPr>
          <w:rFonts w:ascii="Arial" w:hAnsi="Arial" w:cs="Arial"/>
          <w:sz w:val="18"/>
          <w:szCs w:val="18"/>
        </w:rPr>
        <w:t>los estados financieros consolidados</w:t>
      </w:r>
      <w:r w:rsidRPr="006841EE">
        <w:rPr>
          <w:rFonts w:ascii="Arial" w:hAnsi="Arial" w:cs="Arial"/>
          <w:sz w:val="18"/>
          <w:szCs w:val="18"/>
        </w:rPr>
        <w:t>.</w:t>
      </w:r>
      <w:r w:rsidR="00E049DA" w:rsidRPr="000A17D7">
        <w:rPr>
          <w:rFonts w:ascii="Arial" w:hAnsi="Arial" w:cs="Arial"/>
          <w:sz w:val="18"/>
          <w:szCs w:val="18"/>
        </w:rPr>
        <w:t xml:space="preserve"> </w:t>
      </w:r>
    </w:p>
    <w:p w:rsidR="004710D1" w:rsidRDefault="004710D1" w:rsidP="00997E6B">
      <w:pPr>
        <w:jc w:val="both"/>
        <w:rPr>
          <w:rFonts w:ascii="Arial" w:hAnsi="Arial" w:cs="Arial"/>
          <w:sz w:val="18"/>
          <w:szCs w:val="18"/>
        </w:rPr>
      </w:pPr>
    </w:p>
    <w:p w:rsidR="00426BBD" w:rsidRPr="003B3702" w:rsidRDefault="00426BBD" w:rsidP="00513595">
      <w:pPr>
        <w:pStyle w:val="Prrafodelista"/>
        <w:numPr>
          <w:ilvl w:val="1"/>
          <w:numId w:val="11"/>
        </w:numPr>
        <w:jc w:val="both"/>
        <w:outlineLvl w:val="2"/>
        <w:rPr>
          <w:rFonts w:ascii="Arial" w:hAnsi="Arial" w:cs="Arial"/>
          <w:b/>
          <w:sz w:val="18"/>
          <w:szCs w:val="18"/>
        </w:rPr>
      </w:pPr>
      <w:bookmarkStart w:id="4" w:name="_Toc354995212"/>
      <w:r w:rsidRPr="003B3702">
        <w:rPr>
          <w:rFonts w:ascii="Arial" w:hAnsi="Arial" w:cs="Arial"/>
          <w:b/>
          <w:sz w:val="18"/>
          <w:szCs w:val="18"/>
        </w:rPr>
        <w:t xml:space="preserve">Colchones de </w:t>
      </w:r>
      <w:r w:rsidR="00D42423">
        <w:rPr>
          <w:rFonts w:ascii="Arial" w:hAnsi="Arial" w:cs="Arial"/>
          <w:b/>
          <w:sz w:val="18"/>
          <w:szCs w:val="18"/>
        </w:rPr>
        <w:t>c</w:t>
      </w:r>
      <w:r w:rsidRPr="003B3702">
        <w:rPr>
          <w:rFonts w:ascii="Arial" w:hAnsi="Arial" w:cs="Arial"/>
          <w:b/>
          <w:sz w:val="18"/>
          <w:szCs w:val="18"/>
        </w:rPr>
        <w:t>apital</w:t>
      </w:r>
    </w:p>
    <w:p w:rsidR="009459EA" w:rsidRPr="000A17D7" w:rsidRDefault="009459EA" w:rsidP="009459EA">
      <w:pPr>
        <w:jc w:val="both"/>
        <w:outlineLvl w:val="2"/>
        <w:rPr>
          <w:rFonts w:ascii="Arial" w:hAnsi="Arial" w:cs="Arial"/>
          <w:sz w:val="18"/>
          <w:szCs w:val="18"/>
        </w:rPr>
      </w:pPr>
    </w:p>
    <w:p w:rsidR="009459EA" w:rsidRPr="000A17D7" w:rsidRDefault="009459EA" w:rsidP="009459EA">
      <w:pPr>
        <w:jc w:val="both"/>
        <w:rPr>
          <w:rFonts w:ascii="Arial" w:hAnsi="Arial" w:cs="Arial"/>
          <w:sz w:val="18"/>
          <w:szCs w:val="18"/>
        </w:rPr>
      </w:pPr>
      <w:r w:rsidRPr="000A17D7">
        <w:rPr>
          <w:rFonts w:ascii="Arial" w:hAnsi="Arial" w:cs="Arial"/>
          <w:sz w:val="18"/>
          <w:szCs w:val="18"/>
        </w:rPr>
        <w:t>Las entidades de las que trata el presente Capítulo</w:t>
      </w:r>
      <w:r w:rsidR="00C65A36">
        <w:rPr>
          <w:rFonts w:ascii="Arial" w:hAnsi="Arial" w:cs="Arial"/>
          <w:sz w:val="18"/>
          <w:szCs w:val="18"/>
        </w:rPr>
        <w:t>, según corresponda,</w:t>
      </w:r>
      <w:r w:rsidRPr="000A17D7">
        <w:rPr>
          <w:rFonts w:ascii="Arial" w:hAnsi="Arial" w:cs="Arial"/>
          <w:sz w:val="18"/>
          <w:szCs w:val="18"/>
        </w:rPr>
        <w:t xml:space="preserve"> deben cumplir con los siguientes </w:t>
      </w:r>
      <w:r w:rsidR="004827A9">
        <w:rPr>
          <w:rFonts w:ascii="Arial" w:hAnsi="Arial" w:cs="Arial"/>
          <w:sz w:val="18"/>
          <w:szCs w:val="18"/>
        </w:rPr>
        <w:t xml:space="preserve">requerimientos y </w:t>
      </w:r>
      <w:r w:rsidRPr="000A17D7">
        <w:rPr>
          <w:rFonts w:ascii="Arial" w:hAnsi="Arial" w:cs="Arial"/>
          <w:sz w:val="18"/>
          <w:szCs w:val="18"/>
        </w:rPr>
        <w:t>colchones de capital</w:t>
      </w:r>
      <w:r w:rsidR="004827A9">
        <w:rPr>
          <w:rFonts w:ascii="Arial" w:hAnsi="Arial" w:cs="Arial"/>
          <w:sz w:val="18"/>
          <w:szCs w:val="18"/>
        </w:rPr>
        <w:t xml:space="preserve"> (en porcentaje)</w:t>
      </w:r>
      <w:r w:rsidR="00512FCD" w:rsidRPr="000A17D7">
        <w:rPr>
          <w:rFonts w:ascii="Arial" w:hAnsi="Arial" w:cs="Arial"/>
          <w:sz w:val="18"/>
          <w:szCs w:val="18"/>
        </w:rPr>
        <w:t>:</w:t>
      </w:r>
    </w:p>
    <w:p w:rsidR="00656ACA" w:rsidRPr="000A17D7" w:rsidRDefault="00656ACA" w:rsidP="00656ACA">
      <w:pPr>
        <w:jc w:val="both"/>
        <w:rPr>
          <w:rFonts w:ascii="Arial" w:hAnsi="Arial" w:cs="Arial"/>
          <w:sz w:val="18"/>
          <w:szCs w:val="18"/>
        </w:rPr>
      </w:pPr>
    </w:p>
    <w:tbl>
      <w:tblPr>
        <w:tblStyle w:val="Tablaconcuadrcula"/>
        <w:tblW w:w="0" w:type="auto"/>
        <w:tblInd w:w="1696" w:type="dxa"/>
        <w:tblLook w:val="04A0" w:firstRow="1" w:lastRow="0" w:firstColumn="1" w:lastColumn="0" w:noHBand="0" w:noVBand="1"/>
      </w:tblPr>
      <w:tblGrid>
        <w:gridCol w:w="1134"/>
        <w:gridCol w:w="1367"/>
        <w:gridCol w:w="1327"/>
        <w:gridCol w:w="1701"/>
        <w:gridCol w:w="1275"/>
      </w:tblGrid>
      <w:tr w:rsidR="00656ACA" w:rsidRPr="000A17D7" w:rsidTr="00656ACA">
        <w:tc>
          <w:tcPr>
            <w:tcW w:w="1134" w:type="dxa"/>
            <w:tcBorders>
              <w:top w:val="single" w:sz="4" w:space="0" w:color="auto"/>
              <w:left w:val="single" w:sz="4" w:space="0" w:color="auto"/>
              <w:bottom w:val="nil"/>
              <w:right w:val="single" w:sz="4" w:space="0" w:color="auto"/>
            </w:tcBorders>
          </w:tcPr>
          <w:p w:rsidR="00656ACA" w:rsidRDefault="00656ACA" w:rsidP="00E6565B">
            <w:pPr>
              <w:jc w:val="center"/>
              <w:rPr>
                <w:rFonts w:ascii="Arial" w:hAnsi="Arial" w:cs="Arial"/>
                <w:sz w:val="18"/>
                <w:szCs w:val="18"/>
              </w:rPr>
            </w:pPr>
          </w:p>
          <w:p w:rsidR="00656ACA" w:rsidRPr="00C501B4" w:rsidRDefault="00656ACA" w:rsidP="00E6565B">
            <w:pPr>
              <w:jc w:val="center"/>
              <w:rPr>
                <w:rFonts w:ascii="Arial" w:hAnsi="Arial" w:cs="Arial"/>
                <w:sz w:val="8"/>
                <w:szCs w:val="18"/>
              </w:rPr>
            </w:pPr>
          </w:p>
          <w:p w:rsidR="00656ACA" w:rsidRPr="00707638" w:rsidRDefault="00656ACA" w:rsidP="00E6565B">
            <w:pPr>
              <w:rPr>
                <w:rFonts w:ascii="Arial" w:hAnsi="Arial" w:cs="Arial"/>
                <w:sz w:val="18"/>
                <w:szCs w:val="18"/>
              </w:rPr>
            </w:pPr>
          </w:p>
        </w:tc>
        <w:tc>
          <w:tcPr>
            <w:tcW w:w="1367" w:type="dxa"/>
            <w:tcBorders>
              <w:top w:val="single" w:sz="4" w:space="0" w:color="auto"/>
              <w:left w:val="single" w:sz="4" w:space="0" w:color="auto"/>
              <w:bottom w:val="nil"/>
              <w:right w:val="single" w:sz="4" w:space="0" w:color="auto"/>
            </w:tcBorders>
          </w:tcPr>
          <w:p w:rsidR="00656ACA" w:rsidRPr="000A17D7" w:rsidRDefault="00656ACA" w:rsidP="00E6565B">
            <w:pPr>
              <w:jc w:val="center"/>
              <w:rPr>
                <w:rFonts w:ascii="Arial" w:hAnsi="Arial" w:cs="Arial"/>
                <w:sz w:val="18"/>
                <w:szCs w:val="18"/>
              </w:rPr>
            </w:pPr>
          </w:p>
        </w:tc>
        <w:tc>
          <w:tcPr>
            <w:tcW w:w="1327" w:type="dxa"/>
            <w:tcBorders>
              <w:left w:val="single" w:sz="4" w:space="0" w:color="auto"/>
            </w:tcBorders>
          </w:tcPr>
          <w:p w:rsidR="00656ACA" w:rsidRPr="00656ACA" w:rsidRDefault="00656ACA" w:rsidP="00E6565B">
            <w:pPr>
              <w:jc w:val="center"/>
              <w:rPr>
                <w:rFonts w:ascii="Arial" w:hAnsi="Arial" w:cs="Arial"/>
                <w:b/>
                <w:sz w:val="18"/>
                <w:szCs w:val="18"/>
              </w:rPr>
            </w:pPr>
            <w:r w:rsidRPr="00656ACA">
              <w:rPr>
                <w:rFonts w:ascii="Arial" w:hAnsi="Arial" w:cs="Arial"/>
                <w:b/>
                <w:sz w:val="18"/>
                <w:szCs w:val="18"/>
              </w:rPr>
              <w:t xml:space="preserve">Relación de Solvencia Básica </w:t>
            </w:r>
          </w:p>
        </w:tc>
        <w:tc>
          <w:tcPr>
            <w:tcW w:w="1701" w:type="dxa"/>
          </w:tcPr>
          <w:p w:rsidR="00656ACA" w:rsidRPr="00656ACA" w:rsidRDefault="00656ACA" w:rsidP="00E6565B">
            <w:pPr>
              <w:jc w:val="center"/>
              <w:rPr>
                <w:rFonts w:ascii="Arial" w:hAnsi="Arial" w:cs="Arial"/>
                <w:b/>
                <w:sz w:val="18"/>
                <w:szCs w:val="18"/>
              </w:rPr>
            </w:pPr>
            <w:r w:rsidRPr="00656ACA">
              <w:rPr>
                <w:rFonts w:ascii="Arial" w:hAnsi="Arial" w:cs="Arial"/>
                <w:b/>
                <w:sz w:val="18"/>
                <w:szCs w:val="18"/>
              </w:rPr>
              <w:t xml:space="preserve">Relación de Solvencia Básica Adicional </w:t>
            </w:r>
          </w:p>
        </w:tc>
        <w:tc>
          <w:tcPr>
            <w:tcW w:w="1275" w:type="dxa"/>
          </w:tcPr>
          <w:p w:rsidR="00656ACA" w:rsidRPr="00656ACA" w:rsidRDefault="00656ACA" w:rsidP="00E6565B">
            <w:pPr>
              <w:jc w:val="center"/>
              <w:rPr>
                <w:rFonts w:ascii="Arial" w:hAnsi="Arial" w:cs="Arial"/>
                <w:b/>
                <w:sz w:val="18"/>
                <w:szCs w:val="18"/>
              </w:rPr>
            </w:pPr>
            <w:r w:rsidRPr="00656ACA">
              <w:rPr>
                <w:rFonts w:ascii="Arial" w:hAnsi="Arial" w:cs="Arial"/>
                <w:b/>
                <w:sz w:val="18"/>
                <w:szCs w:val="18"/>
              </w:rPr>
              <w:t xml:space="preserve">Relación de Solvencia Total </w:t>
            </w:r>
          </w:p>
        </w:tc>
      </w:tr>
      <w:tr w:rsidR="00656ACA" w:rsidRPr="000A17D7" w:rsidTr="00656ACA">
        <w:tc>
          <w:tcPr>
            <w:tcW w:w="1134" w:type="dxa"/>
            <w:tcBorders>
              <w:top w:val="nil"/>
              <w:left w:val="single" w:sz="4" w:space="0" w:color="auto"/>
              <w:bottom w:val="single" w:sz="4" w:space="0" w:color="auto"/>
              <w:right w:val="single" w:sz="4" w:space="0" w:color="auto"/>
            </w:tcBorders>
          </w:tcPr>
          <w:p w:rsidR="00656ACA" w:rsidRPr="00707638" w:rsidRDefault="00656ACA" w:rsidP="00E6565B">
            <w:pPr>
              <w:rPr>
                <w:rFonts w:ascii="Arial" w:hAnsi="Arial" w:cs="Arial"/>
                <w:sz w:val="18"/>
                <w:szCs w:val="18"/>
              </w:rPr>
            </w:pPr>
            <w:r>
              <w:rPr>
                <w:rFonts w:ascii="Arial" w:hAnsi="Arial" w:cs="Arial"/>
                <w:sz w:val="18"/>
                <w:szCs w:val="18"/>
              </w:rPr>
              <w:t>Agregación</w:t>
            </w:r>
          </w:p>
        </w:tc>
        <w:tc>
          <w:tcPr>
            <w:tcW w:w="1367" w:type="dxa"/>
            <w:tcBorders>
              <w:top w:val="nil"/>
              <w:left w:val="single" w:sz="4" w:space="0" w:color="auto"/>
              <w:bottom w:val="single" w:sz="4" w:space="0" w:color="auto"/>
              <w:right w:val="single" w:sz="4" w:space="0" w:color="auto"/>
            </w:tcBorders>
          </w:tcPr>
          <w:p w:rsidR="00656ACA" w:rsidRPr="000A17D7" w:rsidRDefault="00656ACA" w:rsidP="00E6565B">
            <w:pPr>
              <w:jc w:val="center"/>
              <w:rPr>
                <w:rFonts w:ascii="Arial" w:hAnsi="Arial" w:cs="Arial"/>
                <w:sz w:val="18"/>
                <w:szCs w:val="18"/>
              </w:rPr>
            </w:pPr>
            <w:r w:rsidRPr="000A17D7">
              <w:rPr>
                <w:rFonts w:ascii="Arial" w:hAnsi="Arial" w:cs="Arial"/>
                <w:sz w:val="18"/>
                <w:szCs w:val="18"/>
              </w:rPr>
              <w:t>Mínimo</w:t>
            </w:r>
          </w:p>
        </w:tc>
        <w:tc>
          <w:tcPr>
            <w:tcW w:w="1327" w:type="dxa"/>
            <w:tcBorders>
              <w:left w:val="single" w:sz="4" w:space="0" w:color="auto"/>
            </w:tcBorders>
          </w:tcPr>
          <w:p w:rsidR="00656ACA" w:rsidRPr="000A17D7" w:rsidRDefault="00656ACA" w:rsidP="00E6565B">
            <w:pPr>
              <w:jc w:val="center"/>
              <w:rPr>
                <w:rFonts w:ascii="Arial" w:hAnsi="Arial" w:cs="Arial"/>
                <w:sz w:val="18"/>
                <w:szCs w:val="18"/>
              </w:rPr>
            </w:pPr>
            <w:r w:rsidRPr="000A17D7">
              <w:rPr>
                <w:rFonts w:ascii="Arial" w:hAnsi="Arial" w:cs="Arial"/>
                <w:sz w:val="18"/>
                <w:szCs w:val="18"/>
              </w:rPr>
              <w:t>4.5%</w:t>
            </w:r>
          </w:p>
        </w:tc>
        <w:tc>
          <w:tcPr>
            <w:tcW w:w="1701" w:type="dxa"/>
          </w:tcPr>
          <w:p w:rsidR="00656ACA" w:rsidRPr="000A17D7" w:rsidRDefault="00656ACA" w:rsidP="00E6565B">
            <w:pPr>
              <w:jc w:val="center"/>
              <w:rPr>
                <w:rFonts w:ascii="Arial" w:hAnsi="Arial" w:cs="Arial"/>
                <w:sz w:val="18"/>
                <w:szCs w:val="18"/>
              </w:rPr>
            </w:pPr>
            <w:r w:rsidRPr="000A17D7">
              <w:rPr>
                <w:rFonts w:ascii="Arial" w:hAnsi="Arial" w:cs="Arial"/>
                <w:sz w:val="18"/>
                <w:szCs w:val="18"/>
              </w:rPr>
              <w:t>6%</w:t>
            </w:r>
          </w:p>
        </w:tc>
        <w:tc>
          <w:tcPr>
            <w:tcW w:w="1275" w:type="dxa"/>
          </w:tcPr>
          <w:p w:rsidR="00656ACA" w:rsidRPr="000A17D7" w:rsidRDefault="00C65A36" w:rsidP="00E6565B">
            <w:pPr>
              <w:jc w:val="center"/>
              <w:rPr>
                <w:rFonts w:ascii="Arial" w:hAnsi="Arial" w:cs="Arial"/>
                <w:sz w:val="18"/>
                <w:szCs w:val="18"/>
              </w:rPr>
            </w:pPr>
            <w:r w:rsidRPr="00C65A36">
              <w:rPr>
                <w:rFonts w:ascii="Arial" w:hAnsi="Arial" w:cs="Arial"/>
                <w:b/>
                <w:sz w:val="18"/>
                <w:szCs w:val="18"/>
              </w:rPr>
              <w:t>=</w:t>
            </w:r>
            <w:r>
              <w:rPr>
                <w:rFonts w:ascii="Arial" w:hAnsi="Arial" w:cs="Arial"/>
                <w:sz w:val="32"/>
                <w:szCs w:val="32"/>
              </w:rPr>
              <w:t xml:space="preserve"> </w:t>
            </w:r>
            <w:r w:rsidR="00656ACA" w:rsidRPr="000A17D7">
              <w:rPr>
                <w:rFonts w:ascii="Arial" w:hAnsi="Arial" w:cs="Arial"/>
                <w:sz w:val="18"/>
                <w:szCs w:val="18"/>
              </w:rPr>
              <w:t>9%</w:t>
            </w:r>
          </w:p>
        </w:tc>
      </w:tr>
    </w:tbl>
    <w:p w:rsidR="00656ACA" w:rsidRPr="00656ACA" w:rsidRDefault="00656ACA" w:rsidP="00656ACA">
      <w:pPr>
        <w:jc w:val="both"/>
        <w:rPr>
          <w:rFonts w:ascii="Arial" w:hAnsi="Arial" w:cs="Arial"/>
          <w:sz w:val="10"/>
          <w:szCs w:val="18"/>
        </w:rPr>
      </w:pPr>
    </w:p>
    <w:tbl>
      <w:tblPr>
        <w:tblStyle w:val="Tablaconcuadrcula"/>
        <w:tblW w:w="0" w:type="auto"/>
        <w:tblInd w:w="1696" w:type="dxa"/>
        <w:tblLook w:val="04A0" w:firstRow="1" w:lastRow="0" w:firstColumn="1" w:lastColumn="0" w:noHBand="0" w:noVBand="1"/>
      </w:tblPr>
      <w:tblGrid>
        <w:gridCol w:w="1134"/>
        <w:gridCol w:w="1418"/>
        <w:gridCol w:w="1276"/>
      </w:tblGrid>
      <w:tr w:rsidR="00656ACA" w:rsidRPr="000A17D7" w:rsidTr="00E6565B">
        <w:tc>
          <w:tcPr>
            <w:tcW w:w="1134" w:type="dxa"/>
          </w:tcPr>
          <w:p w:rsidR="00656ACA" w:rsidRPr="004827A9" w:rsidRDefault="00656ACA" w:rsidP="00E6565B">
            <w:pPr>
              <w:jc w:val="center"/>
              <w:rPr>
                <w:rFonts w:ascii="Arial" w:hAnsi="Arial" w:cs="Arial"/>
                <w:sz w:val="32"/>
                <w:szCs w:val="32"/>
              </w:rPr>
            </w:pPr>
            <w:r w:rsidRPr="004827A9">
              <w:rPr>
                <w:rFonts w:ascii="Arial" w:hAnsi="Arial" w:cs="Arial"/>
                <w:sz w:val="32"/>
                <w:szCs w:val="32"/>
              </w:rPr>
              <w:t>+</w:t>
            </w:r>
          </w:p>
        </w:tc>
        <w:tc>
          <w:tcPr>
            <w:tcW w:w="1418" w:type="dxa"/>
          </w:tcPr>
          <w:p w:rsidR="00656ACA" w:rsidRPr="000A17D7" w:rsidRDefault="00656ACA" w:rsidP="00E6565B">
            <w:pPr>
              <w:jc w:val="center"/>
              <w:rPr>
                <w:rFonts w:ascii="Arial" w:hAnsi="Arial" w:cs="Arial"/>
                <w:sz w:val="18"/>
                <w:szCs w:val="18"/>
              </w:rPr>
            </w:pPr>
            <w:r w:rsidRPr="000A17D7">
              <w:rPr>
                <w:rFonts w:ascii="Arial" w:hAnsi="Arial" w:cs="Arial"/>
                <w:sz w:val="18"/>
                <w:szCs w:val="18"/>
              </w:rPr>
              <w:t>Colchón de Conservación</w:t>
            </w:r>
            <w:r w:rsidR="00F31C64">
              <w:rPr>
                <w:rFonts w:ascii="Arial" w:hAnsi="Arial" w:cs="Arial"/>
                <w:sz w:val="18"/>
                <w:szCs w:val="18"/>
              </w:rPr>
              <w:t xml:space="preserve"> de Capital</w:t>
            </w:r>
          </w:p>
        </w:tc>
        <w:tc>
          <w:tcPr>
            <w:tcW w:w="1276" w:type="dxa"/>
          </w:tcPr>
          <w:p w:rsidR="00656ACA" w:rsidRPr="000A17D7" w:rsidRDefault="00656ACA" w:rsidP="00E6565B">
            <w:pPr>
              <w:jc w:val="center"/>
              <w:rPr>
                <w:rFonts w:ascii="Arial" w:hAnsi="Arial" w:cs="Arial"/>
                <w:sz w:val="18"/>
                <w:szCs w:val="18"/>
              </w:rPr>
            </w:pPr>
            <w:r w:rsidRPr="000A17D7">
              <w:rPr>
                <w:rFonts w:ascii="Arial" w:hAnsi="Arial" w:cs="Arial"/>
                <w:sz w:val="18"/>
                <w:szCs w:val="18"/>
              </w:rPr>
              <w:t>1.5%</w:t>
            </w:r>
          </w:p>
        </w:tc>
      </w:tr>
    </w:tbl>
    <w:p w:rsidR="00656ACA" w:rsidRPr="00656ACA" w:rsidRDefault="00656ACA" w:rsidP="00656ACA">
      <w:pPr>
        <w:jc w:val="center"/>
        <w:rPr>
          <w:rFonts w:ascii="Arial" w:hAnsi="Arial" w:cs="Arial"/>
          <w:noProof/>
          <w:sz w:val="10"/>
          <w:szCs w:val="18"/>
          <w:lang w:val="es-CO" w:eastAsia="es-CO"/>
        </w:rPr>
      </w:pPr>
    </w:p>
    <w:tbl>
      <w:tblPr>
        <w:tblStyle w:val="Tablaconcuadrcula"/>
        <w:tblW w:w="0" w:type="auto"/>
        <w:tblInd w:w="1696" w:type="dxa"/>
        <w:tblLook w:val="04A0" w:firstRow="1" w:lastRow="0" w:firstColumn="1" w:lastColumn="0" w:noHBand="0" w:noVBand="1"/>
      </w:tblPr>
      <w:tblGrid>
        <w:gridCol w:w="1134"/>
        <w:gridCol w:w="1418"/>
        <w:gridCol w:w="1276"/>
        <w:gridCol w:w="1701"/>
        <w:gridCol w:w="1275"/>
      </w:tblGrid>
      <w:tr w:rsidR="00656ACA" w:rsidRPr="000A17D7" w:rsidTr="00C65A36">
        <w:tc>
          <w:tcPr>
            <w:tcW w:w="1134" w:type="dxa"/>
          </w:tcPr>
          <w:p w:rsidR="00656ACA" w:rsidRDefault="00656ACA" w:rsidP="00E6565B">
            <w:pPr>
              <w:jc w:val="center"/>
              <w:rPr>
                <w:rFonts w:ascii="Arial" w:hAnsi="Arial" w:cs="Arial"/>
                <w:sz w:val="18"/>
                <w:szCs w:val="18"/>
              </w:rPr>
            </w:pPr>
          </w:p>
          <w:p w:rsidR="00656ACA" w:rsidRPr="004827A9" w:rsidRDefault="00656ACA" w:rsidP="00E6565B">
            <w:pPr>
              <w:jc w:val="center"/>
              <w:rPr>
                <w:rFonts w:ascii="Arial" w:hAnsi="Arial" w:cs="Arial"/>
                <w:sz w:val="32"/>
                <w:szCs w:val="32"/>
              </w:rPr>
            </w:pPr>
            <w:r w:rsidRPr="004827A9">
              <w:rPr>
                <w:rFonts w:ascii="Arial" w:hAnsi="Arial" w:cs="Arial"/>
                <w:sz w:val="32"/>
                <w:szCs w:val="32"/>
              </w:rPr>
              <w:t>=</w:t>
            </w:r>
          </w:p>
        </w:tc>
        <w:tc>
          <w:tcPr>
            <w:tcW w:w="1418" w:type="dxa"/>
          </w:tcPr>
          <w:p w:rsidR="00656ACA" w:rsidRPr="000A17D7" w:rsidRDefault="00656ACA" w:rsidP="00E6565B">
            <w:pPr>
              <w:jc w:val="center"/>
              <w:rPr>
                <w:rFonts w:ascii="Arial" w:hAnsi="Arial" w:cs="Arial"/>
                <w:sz w:val="18"/>
                <w:szCs w:val="18"/>
              </w:rPr>
            </w:pPr>
            <w:r w:rsidRPr="000A17D7">
              <w:rPr>
                <w:rFonts w:ascii="Arial" w:hAnsi="Arial" w:cs="Arial"/>
                <w:sz w:val="18"/>
                <w:szCs w:val="18"/>
              </w:rPr>
              <w:t xml:space="preserve">Mínimo más </w:t>
            </w:r>
            <w:r w:rsidR="007E7C0B">
              <w:rPr>
                <w:rFonts w:ascii="Arial" w:hAnsi="Arial" w:cs="Arial"/>
                <w:sz w:val="18"/>
                <w:szCs w:val="18"/>
              </w:rPr>
              <w:t>C</w:t>
            </w:r>
            <w:r w:rsidRPr="000A17D7">
              <w:rPr>
                <w:rFonts w:ascii="Arial" w:hAnsi="Arial" w:cs="Arial"/>
                <w:sz w:val="18"/>
                <w:szCs w:val="18"/>
              </w:rPr>
              <w:t xml:space="preserve">olchón de </w:t>
            </w:r>
            <w:r w:rsidR="007E7C0B">
              <w:rPr>
                <w:rFonts w:ascii="Arial" w:hAnsi="Arial" w:cs="Arial"/>
                <w:sz w:val="18"/>
                <w:szCs w:val="18"/>
              </w:rPr>
              <w:t>C</w:t>
            </w:r>
            <w:r w:rsidRPr="000A17D7">
              <w:rPr>
                <w:rFonts w:ascii="Arial" w:hAnsi="Arial" w:cs="Arial"/>
                <w:sz w:val="18"/>
                <w:szCs w:val="18"/>
              </w:rPr>
              <w:t>onservación</w:t>
            </w:r>
          </w:p>
        </w:tc>
        <w:tc>
          <w:tcPr>
            <w:tcW w:w="1276" w:type="dxa"/>
          </w:tcPr>
          <w:p w:rsidR="00656ACA" w:rsidRDefault="00656ACA" w:rsidP="00E6565B">
            <w:pPr>
              <w:jc w:val="center"/>
              <w:rPr>
                <w:rFonts w:ascii="Arial" w:hAnsi="Arial" w:cs="Arial"/>
                <w:sz w:val="18"/>
                <w:szCs w:val="18"/>
              </w:rPr>
            </w:pPr>
          </w:p>
          <w:p w:rsidR="00656ACA" w:rsidRPr="000A17D7" w:rsidRDefault="00656ACA" w:rsidP="00E6565B">
            <w:pPr>
              <w:jc w:val="center"/>
              <w:rPr>
                <w:rFonts w:ascii="Arial" w:hAnsi="Arial" w:cs="Arial"/>
                <w:sz w:val="18"/>
                <w:szCs w:val="18"/>
              </w:rPr>
            </w:pPr>
            <w:r w:rsidRPr="000A17D7">
              <w:rPr>
                <w:rFonts w:ascii="Arial" w:hAnsi="Arial" w:cs="Arial"/>
                <w:sz w:val="18"/>
                <w:szCs w:val="18"/>
              </w:rPr>
              <w:t>6%</w:t>
            </w:r>
          </w:p>
        </w:tc>
        <w:tc>
          <w:tcPr>
            <w:tcW w:w="1701" w:type="dxa"/>
          </w:tcPr>
          <w:p w:rsidR="00656ACA" w:rsidRDefault="00656ACA" w:rsidP="00E6565B">
            <w:pPr>
              <w:jc w:val="center"/>
              <w:rPr>
                <w:rFonts w:ascii="Arial" w:hAnsi="Arial" w:cs="Arial"/>
                <w:sz w:val="18"/>
                <w:szCs w:val="18"/>
              </w:rPr>
            </w:pPr>
          </w:p>
          <w:p w:rsidR="00656ACA" w:rsidRPr="000A17D7" w:rsidRDefault="00656ACA" w:rsidP="00E6565B">
            <w:pPr>
              <w:jc w:val="center"/>
              <w:rPr>
                <w:rFonts w:ascii="Arial" w:hAnsi="Arial" w:cs="Arial"/>
                <w:sz w:val="18"/>
                <w:szCs w:val="18"/>
              </w:rPr>
            </w:pPr>
            <w:r w:rsidRPr="000A17D7">
              <w:rPr>
                <w:rFonts w:ascii="Arial" w:hAnsi="Arial" w:cs="Arial"/>
                <w:sz w:val="18"/>
                <w:szCs w:val="18"/>
              </w:rPr>
              <w:t>7.5%</w:t>
            </w:r>
          </w:p>
        </w:tc>
        <w:tc>
          <w:tcPr>
            <w:tcW w:w="1275" w:type="dxa"/>
          </w:tcPr>
          <w:p w:rsidR="00656ACA" w:rsidRDefault="00656ACA" w:rsidP="00E6565B">
            <w:pPr>
              <w:jc w:val="center"/>
              <w:rPr>
                <w:rFonts w:ascii="Arial" w:hAnsi="Arial" w:cs="Arial"/>
                <w:sz w:val="18"/>
                <w:szCs w:val="18"/>
              </w:rPr>
            </w:pPr>
          </w:p>
          <w:p w:rsidR="00656ACA" w:rsidRPr="000A17D7" w:rsidRDefault="00C65A36" w:rsidP="00E6565B">
            <w:pPr>
              <w:jc w:val="center"/>
              <w:rPr>
                <w:rFonts w:ascii="Arial" w:hAnsi="Arial" w:cs="Arial"/>
                <w:sz w:val="18"/>
                <w:szCs w:val="18"/>
              </w:rPr>
            </w:pPr>
            <w:r w:rsidRPr="00C65A36">
              <w:rPr>
                <w:rFonts w:ascii="Arial" w:hAnsi="Arial" w:cs="Arial"/>
                <w:b/>
                <w:sz w:val="18"/>
                <w:szCs w:val="18"/>
              </w:rPr>
              <w:t>=</w:t>
            </w:r>
            <w:r>
              <w:rPr>
                <w:rFonts w:ascii="Arial" w:hAnsi="Arial" w:cs="Arial"/>
                <w:b/>
                <w:sz w:val="18"/>
                <w:szCs w:val="18"/>
              </w:rPr>
              <w:t xml:space="preserve"> </w:t>
            </w:r>
            <w:r w:rsidR="00656ACA" w:rsidRPr="000A17D7">
              <w:rPr>
                <w:rFonts w:ascii="Arial" w:hAnsi="Arial" w:cs="Arial"/>
                <w:sz w:val="18"/>
                <w:szCs w:val="18"/>
              </w:rPr>
              <w:t>10.5%</w:t>
            </w:r>
          </w:p>
        </w:tc>
      </w:tr>
    </w:tbl>
    <w:p w:rsidR="00656ACA" w:rsidRPr="00656ACA" w:rsidRDefault="00656ACA" w:rsidP="00656ACA">
      <w:pPr>
        <w:jc w:val="center"/>
        <w:rPr>
          <w:rFonts w:ascii="Arial" w:hAnsi="Arial" w:cs="Arial"/>
          <w:noProof/>
          <w:sz w:val="10"/>
          <w:szCs w:val="18"/>
          <w:lang w:val="es-CO" w:eastAsia="es-CO"/>
        </w:rPr>
      </w:pPr>
    </w:p>
    <w:tbl>
      <w:tblPr>
        <w:tblStyle w:val="Tablaconcuadrcula"/>
        <w:tblW w:w="0" w:type="auto"/>
        <w:tblInd w:w="1696" w:type="dxa"/>
        <w:tblLook w:val="04A0" w:firstRow="1" w:lastRow="0" w:firstColumn="1" w:lastColumn="0" w:noHBand="0" w:noVBand="1"/>
      </w:tblPr>
      <w:tblGrid>
        <w:gridCol w:w="1134"/>
        <w:gridCol w:w="1418"/>
        <w:gridCol w:w="1276"/>
      </w:tblGrid>
      <w:tr w:rsidR="00656ACA" w:rsidRPr="000A17D7" w:rsidTr="00E6565B">
        <w:tc>
          <w:tcPr>
            <w:tcW w:w="1134" w:type="dxa"/>
          </w:tcPr>
          <w:p w:rsidR="00656ACA" w:rsidRPr="00FB415C" w:rsidRDefault="00656ACA" w:rsidP="00E6565B">
            <w:pPr>
              <w:jc w:val="center"/>
              <w:rPr>
                <w:rFonts w:ascii="Arial" w:hAnsi="Arial" w:cs="Arial"/>
                <w:sz w:val="8"/>
                <w:szCs w:val="8"/>
              </w:rPr>
            </w:pPr>
          </w:p>
          <w:p w:rsidR="00656ACA" w:rsidRPr="004827A9" w:rsidRDefault="00656ACA" w:rsidP="00E6565B">
            <w:pPr>
              <w:jc w:val="center"/>
              <w:rPr>
                <w:rFonts w:ascii="Arial" w:hAnsi="Arial" w:cs="Arial"/>
                <w:sz w:val="32"/>
                <w:szCs w:val="32"/>
              </w:rPr>
            </w:pPr>
            <w:r w:rsidRPr="004827A9">
              <w:rPr>
                <w:rFonts w:ascii="Arial" w:hAnsi="Arial" w:cs="Arial"/>
                <w:sz w:val="32"/>
                <w:szCs w:val="32"/>
              </w:rPr>
              <w:t>+</w:t>
            </w:r>
          </w:p>
        </w:tc>
        <w:tc>
          <w:tcPr>
            <w:tcW w:w="1418" w:type="dxa"/>
          </w:tcPr>
          <w:p w:rsidR="00656ACA" w:rsidRPr="000A17D7" w:rsidRDefault="00656ACA" w:rsidP="00E6565B">
            <w:pPr>
              <w:jc w:val="center"/>
              <w:rPr>
                <w:rFonts w:ascii="Arial" w:hAnsi="Arial" w:cs="Arial"/>
                <w:sz w:val="18"/>
                <w:szCs w:val="18"/>
              </w:rPr>
            </w:pPr>
            <w:r w:rsidRPr="000A17D7">
              <w:rPr>
                <w:rFonts w:ascii="Arial" w:hAnsi="Arial" w:cs="Arial"/>
                <w:sz w:val="18"/>
                <w:szCs w:val="18"/>
              </w:rPr>
              <w:t xml:space="preserve">Colchón de </w:t>
            </w:r>
            <w:r w:rsidR="00F31C64">
              <w:rPr>
                <w:rFonts w:ascii="Arial" w:hAnsi="Arial" w:cs="Arial"/>
                <w:sz w:val="18"/>
                <w:szCs w:val="18"/>
              </w:rPr>
              <w:t xml:space="preserve">Capital para </w:t>
            </w:r>
            <w:r w:rsidR="007E7C0B">
              <w:rPr>
                <w:rFonts w:ascii="Arial" w:hAnsi="Arial" w:cs="Arial"/>
                <w:sz w:val="18"/>
                <w:szCs w:val="18"/>
              </w:rPr>
              <w:t>E</w:t>
            </w:r>
            <w:r w:rsidR="00F31C64">
              <w:rPr>
                <w:rFonts w:ascii="Arial" w:hAnsi="Arial" w:cs="Arial"/>
                <w:sz w:val="18"/>
                <w:szCs w:val="18"/>
              </w:rPr>
              <w:t xml:space="preserve">ntidades de </w:t>
            </w:r>
            <w:r w:rsidR="007E7C0B">
              <w:rPr>
                <w:rFonts w:ascii="Arial" w:hAnsi="Arial" w:cs="Arial"/>
                <w:sz w:val="18"/>
                <w:szCs w:val="18"/>
              </w:rPr>
              <w:t>I</w:t>
            </w:r>
            <w:r w:rsidRPr="000A17D7">
              <w:rPr>
                <w:rFonts w:ascii="Arial" w:hAnsi="Arial" w:cs="Arial"/>
                <w:sz w:val="18"/>
                <w:szCs w:val="18"/>
              </w:rPr>
              <w:t xml:space="preserve">mportancia </w:t>
            </w:r>
            <w:r w:rsidR="007E7C0B">
              <w:rPr>
                <w:rFonts w:ascii="Arial" w:hAnsi="Arial" w:cs="Arial"/>
                <w:sz w:val="18"/>
                <w:szCs w:val="18"/>
              </w:rPr>
              <w:t>S</w:t>
            </w:r>
            <w:r w:rsidRPr="000A17D7">
              <w:rPr>
                <w:rFonts w:ascii="Arial" w:hAnsi="Arial" w:cs="Arial"/>
                <w:sz w:val="18"/>
                <w:szCs w:val="18"/>
              </w:rPr>
              <w:t>istémica</w:t>
            </w:r>
            <w:r w:rsidRPr="008E721B">
              <w:rPr>
                <w:rFonts w:ascii="Arial" w:hAnsi="Arial" w:cs="Arial"/>
                <w:b/>
                <w:sz w:val="18"/>
                <w:szCs w:val="18"/>
              </w:rPr>
              <w:t>*</w:t>
            </w:r>
          </w:p>
        </w:tc>
        <w:tc>
          <w:tcPr>
            <w:tcW w:w="1276" w:type="dxa"/>
          </w:tcPr>
          <w:p w:rsidR="00656ACA" w:rsidRDefault="00656ACA" w:rsidP="00E6565B">
            <w:pPr>
              <w:jc w:val="center"/>
              <w:rPr>
                <w:rFonts w:ascii="Arial" w:hAnsi="Arial" w:cs="Arial"/>
                <w:sz w:val="18"/>
                <w:szCs w:val="18"/>
              </w:rPr>
            </w:pPr>
          </w:p>
          <w:p w:rsidR="00656ACA" w:rsidRPr="000A17D7" w:rsidRDefault="00656ACA" w:rsidP="00E6565B">
            <w:pPr>
              <w:jc w:val="center"/>
              <w:rPr>
                <w:rFonts w:ascii="Arial" w:hAnsi="Arial" w:cs="Arial"/>
                <w:sz w:val="18"/>
                <w:szCs w:val="18"/>
              </w:rPr>
            </w:pPr>
            <w:r w:rsidRPr="000A17D7">
              <w:rPr>
                <w:rFonts w:ascii="Arial" w:hAnsi="Arial" w:cs="Arial"/>
                <w:sz w:val="18"/>
                <w:szCs w:val="18"/>
              </w:rPr>
              <w:t>1%</w:t>
            </w:r>
          </w:p>
        </w:tc>
      </w:tr>
    </w:tbl>
    <w:p w:rsidR="00656ACA" w:rsidRPr="00656ACA" w:rsidRDefault="00656ACA" w:rsidP="00656ACA">
      <w:pPr>
        <w:jc w:val="center"/>
        <w:rPr>
          <w:rFonts w:ascii="Arial" w:hAnsi="Arial" w:cs="Arial"/>
          <w:noProof/>
          <w:sz w:val="10"/>
          <w:szCs w:val="18"/>
          <w:lang w:val="es-CO" w:eastAsia="es-CO"/>
        </w:rPr>
      </w:pPr>
    </w:p>
    <w:tbl>
      <w:tblPr>
        <w:tblStyle w:val="Tablaconcuadrcula"/>
        <w:tblW w:w="0" w:type="auto"/>
        <w:tblInd w:w="1696" w:type="dxa"/>
        <w:tblLook w:val="04A0" w:firstRow="1" w:lastRow="0" w:firstColumn="1" w:lastColumn="0" w:noHBand="0" w:noVBand="1"/>
      </w:tblPr>
      <w:tblGrid>
        <w:gridCol w:w="1134"/>
        <w:gridCol w:w="1418"/>
        <w:gridCol w:w="1276"/>
        <w:gridCol w:w="1701"/>
        <w:gridCol w:w="1275"/>
      </w:tblGrid>
      <w:tr w:rsidR="00656ACA" w:rsidRPr="000A17D7" w:rsidTr="00C65A36">
        <w:tc>
          <w:tcPr>
            <w:tcW w:w="1134" w:type="dxa"/>
          </w:tcPr>
          <w:p w:rsidR="00656ACA" w:rsidRPr="00FB415C" w:rsidRDefault="00656ACA" w:rsidP="00E6565B">
            <w:pPr>
              <w:jc w:val="center"/>
              <w:rPr>
                <w:rFonts w:ascii="Arial" w:hAnsi="Arial" w:cs="Arial"/>
                <w:sz w:val="8"/>
                <w:szCs w:val="8"/>
              </w:rPr>
            </w:pPr>
          </w:p>
          <w:p w:rsidR="00656ACA" w:rsidRPr="000A17D7" w:rsidRDefault="00656ACA" w:rsidP="00E6565B">
            <w:pPr>
              <w:jc w:val="center"/>
              <w:rPr>
                <w:rFonts w:ascii="Arial" w:hAnsi="Arial" w:cs="Arial"/>
                <w:sz w:val="18"/>
                <w:szCs w:val="18"/>
              </w:rPr>
            </w:pPr>
            <w:r w:rsidRPr="004827A9">
              <w:rPr>
                <w:rFonts w:ascii="Arial" w:hAnsi="Arial" w:cs="Arial"/>
                <w:sz w:val="32"/>
                <w:szCs w:val="32"/>
              </w:rPr>
              <w:t>=</w:t>
            </w:r>
          </w:p>
        </w:tc>
        <w:tc>
          <w:tcPr>
            <w:tcW w:w="1418" w:type="dxa"/>
          </w:tcPr>
          <w:p w:rsidR="00656ACA" w:rsidRPr="000A17D7" w:rsidRDefault="00656ACA" w:rsidP="00E6565B">
            <w:pPr>
              <w:jc w:val="center"/>
              <w:rPr>
                <w:rFonts w:ascii="Arial" w:hAnsi="Arial" w:cs="Arial"/>
                <w:sz w:val="18"/>
                <w:szCs w:val="18"/>
              </w:rPr>
            </w:pPr>
            <w:r w:rsidRPr="000A17D7">
              <w:rPr>
                <w:rFonts w:ascii="Arial" w:hAnsi="Arial" w:cs="Arial"/>
                <w:sz w:val="18"/>
                <w:szCs w:val="18"/>
              </w:rPr>
              <w:t xml:space="preserve">Mínimo más </w:t>
            </w:r>
            <w:r w:rsidR="007E7C0B">
              <w:rPr>
                <w:rFonts w:ascii="Arial" w:hAnsi="Arial" w:cs="Arial"/>
                <w:sz w:val="18"/>
                <w:szCs w:val="18"/>
              </w:rPr>
              <w:t>C</w:t>
            </w:r>
            <w:r w:rsidRPr="000A17D7">
              <w:rPr>
                <w:rFonts w:ascii="Arial" w:hAnsi="Arial" w:cs="Arial"/>
                <w:sz w:val="18"/>
                <w:szCs w:val="18"/>
              </w:rPr>
              <w:t xml:space="preserve">olchón </w:t>
            </w:r>
            <w:r w:rsidR="007E7C0B">
              <w:rPr>
                <w:rFonts w:ascii="Arial" w:hAnsi="Arial" w:cs="Arial"/>
                <w:sz w:val="18"/>
                <w:szCs w:val="18"/>
              </w:rPr>
              <w:t>C</w:t>
            </w:r>
            <w:r w:rsidRPr="000A17D7">
              <w:rPr>
                <w:rFonts w:ascii="Arial" w:hAnsi="Arial" w:cs="Arial"/>
                <w:sz w:val="18"/>
                <w:szCs w:val="18"/>
              </w:rPr>
              <w:t>ombinado</w:t>
            </w:r>
          </w:p>
        </w:tc>
        <w:tc>
          <w:tcPr>
            <w:tcW w:w="1276" w:type="dxa"/>
          </w:tcPr>
          <w:p w:rsidR="00656ACA" w:rsidRDefault="00656ACA" w:rsidP="00E6565B">
            <w:pPr>
              <w:jc w:val="center"/>
              <w:rPr>
                <w:rFonts w:ascii="Arial" w:hAnsi="Arial" w:cs="Arial"/>
                <w:sz w:val="18"/>
                <w:szCs w:val="18"/>
              </w:rPr>
            </w:pPr>
          </w:p>
          <w:p w:rsidR="00656ACA" w:rsidRPr="000A17D7" w:rsidRDefault="00656ACA" w:rsidP="00E6565B">
            <w:pPr>
              <w:jc w:val="center"/>
              <w:rPr>
                <w:rFonts w:ascii="Arial" w:hAnsi="Arial" w:cs="Arial"/>
                <w:sz w:val="18"/>
                <w:szCs w:val="18"/>
              </w:rPr>
            </w:pPr>
            <w:r w:rsidRPr="000A17D7">
              <w:rPr>
                <w:rFonts w:ascii="Arial" w:hAnsi="Arial" w:cs="Arial"/>
                <w:sz w:val="18"/>
                <w:szCs w:val="18"/>
              </w:rPr>
              <w:t>7%</w:t>
            </w:r>
          </w:p>
        </w:tc>
        <w:tc>
          <w:tcPr>
            <w:tcW w:w="1701" w:type="dxa"/>
          </w:tcPr>
          <w:p w:rsidR="00656ACA" w:rsidRDefault="00656ACA" w:rsidP="00E6565B">
            <w:pPr>
              <w:jc w:val="center"/>
              <w:rPr>
                <w:rFonts w:ascii="Arial" w:hAnsi="Arial" w:cs="Arial"/>
                <w:sz w:val="18"/>
                <w:szCs w:val="18"/>
              </w:rPr>
            </w:pPr>
          </w:p>
          <w:p w:rsidR="00656ACA" w:rsidRPr="000A17D7" w:rsidRDefault="00656ACA" w:rsidP="00E6565B">
            <w:pPr>
              <w:jc w:val="center"/>
              <w:rPr>
                <w:rFonts w:ascii="Arial" w:hAnsi="Arial" w:cs="Arial"/>
                <w:sz w:val="18"/>
                <w:szCs w:val="18"/>
              </w:rPr>
            </w:pPr>
            <w:r w:rsidRPr="000A17D7">
              <w:rPr>
                <w:rFonts w:ascii="Arial" w:hAnsi="Arial" w:cs="Arial"/>
                <w:sz w:val="18"/>
                <w:szCs w:val="18"/>
              </w:rPr>
              <w:t>8.5%</w:t>
            </w:r>
          </w:p>
        </w:tc>
        <w:tc>
          <w:tcPr>
            <w:tcW w:w="1275" w:type="dxa"/>
          </w:tcPr>
          <w:p w:rsidR="00656ACA" w:rsidRDefault="00656ACA" w:rsidP="00E6565B">
            <w:pPr>
              <w:jc w:val="center"/>
              <w:rPr>
                <w:rFonts w:ascii="Arial" w:hAnsi="Arial" w:cs="Arial"/>
                <w:sz w:val="18"/>
                <w:szCs w:val="18"/>
              </w:rPr>
            </w:pPr>
          </w:p>
          <w:p w:rsidR="00656ACA" w:rsidRPr="000A17D7" w:rsidRDefault="00C65A36" w:rsidP="00E6565B">
            <w:pPr>
              <w:jc w:val="center"/>
              <w:rPr>
                <w:rFonts w:ascii="Arial" w:hAnsi="Arial" w:cs="Arial"/>
                <w:sz w:val="18"/>
                <w:szCs w:val="18"/>
              </w:rPr>
            </w:pPr>
            <w:r w:rsidRPr="00C65A36">
              <w:rPr>
                <w:rFonts w:ascii="Arial" w:hAnsi="Arial" w:cs="Arial"/>
                <w:b/>
                <w:sz w:val="18"/>
                <w:szCs w:val="18"/>
              </w:rPr>
              <w:t>=</w:t>
            </w:r>
            <w:r>
              <w:rPr>
                <w:rFonts w:ascii="Arial" w:hAnsi="Arial" w:cs="Arial"/>
                <w:b/>
                <w:sz w:val="18"/>
                <w:szCs w:val="18"/>
              </w:rPr>
              <w:t xml:space="preserve"> </w:t>
            </w:r>
            <w:r w:rsidR="00656ACA" w:rsidRPr="000A17D7">
              <w:rPr>
                <w:rFonts w:ascii="Arial" w:hAnsi="Arial" w:cs="Arial"/>
                <w:sz w:val="18"/>
                <w:szCs w:val="18"/>
              </w:rPr>
              <w:t>11.5%</w:t>
            </w:r>
          </w:p>
        </w:tc>
      </w:tr>
    </w:tbl>
    <w:p w:rsidR="00656ACA" w:rsidRPr="00C501B4" w:rsidRDefault="00656ACA" w:rsidP="00656ACA">
      <w:pPr>
        <w:pStyle w:val="Prrafodelista"/>
        <w:ind w:left="360"/>
        <w:rPr>
          <w:rFonts w:ascii="Arial" w:hAnsi="Arial" w:cs="Arial"/>
          <w:b/>
          <w:noProof/>
          <w:sz w:val="6"/>
          <w:szCs w:val="18"/>
          <w:lang w:val="es-CO" w:eastAsia="es-CO"/>
        </w:rPr>
      </w:pPr>
      <w:r>
        <w:rPr>
          <w:rFonts w:ascii="Arial" w:hAnsi="Arial" w:cs="Arial"/>
          <w:b/>
          <w:noProof/>
          <w:sz w:val="18"/>
          <w:szCs w:val="18"/>
          <w:lang w:val="es-CO" w:eastAsia="es-CO"/>
        </w:rPr>
        <w:t xml:space="preserve">                           </w:t>
      </w:r>
    </w:p>
    <w:p w:rsidR="00656ACA" w:rsidRPr="009D298D" w:rsidRDefault="00656ACA" w:rsidP="009D298D">
      <w:pPr>
        <w:ind w:left="708" w:firstLine="708"/>
        <w:rPr>
          <w:rFonts w:ascii="Arial" w:hAnsi="Arial" w:cs="Arial"/>
          <w:noProof/>
          <w:sz w:val="14"/>
          <w:szCs w:val="16"/>
          <w:lang w:val="es-CO" w:eastAsia="es-CO"/>
        </w:rPr>
      </w:pPr>
      <w:r w:rsidRPr="009D298D">
        <w:rPr>
          <w:rFonts w:ascii="Arial" w:hAnsi="Arial" w:cs="Arial"/>
          <w:b/>
          <w:noProof/>
          <w:sz w:val="16"/>
          <w:szCs w:val="18"/>
          <w:lang w:val="es-CO" w:eastAsia="es-CO"/>
        </w:rPr>
        <w:t xml:space="preserve">* </w:t>
      </w:r>
      <w:r w:rsidR="00783437" w:rsidRPr="009D298D">
        <w:rPr>
          <w:rFonts w:ascii="Arial" w:hAnsi="Arial" w:cs="Arial"/>
          <w:noProof/>
          <w:sz w:val="14"/>
          <w:szCs w:val="16"/>
          <w:lang w:val="es-CO" w:eastAsia="es-CO"/>
        </w:rPr>
        <w:t>P</w:t>
      </w:r>
      <w:r w:rsidRPr="009D298D">
        <w:rPr>
          <w:rFonts w:ascii="Arial" w:hAnsi="Arial" w:cs="Arial"/>
          <w:noProof/>
          <w:sz w:val="14"/>
          <w:szCs w:val="16"/>
          <w:lang w:val="es-CO" w:eastAsia="es-CO"/>
        </w:rPr>
        <w:t>ara las entidades definidas como de importancia sistémica.</w:t>
      </w:r>
    </w:p>
    <w:p w:rsidR="008E721B" w:rsidRPr="000A17D7" w:rsidRDefault="008E721B" w:rsidP="000E2F70">
      <w:pPr>
        <w:rPr>
          <w:rFonts w:ascii="Arial" w:hAnsi="Arial" w:cs="Arial"/>
          <w:noProof/>
          <w:sz w:val="18"/>
          <w:szCs w:val="18"/>
          <w:lang w:val="es-CO" w:eastAsia="es-CO"/>
        </w:rPr>
      </w:pPr>
    </w:p>
    <w:p w:rsidR="009459EA" w:rsidRPr="000A17D7" w:rsidRDefault="009459EA" w:rsidP="00E3570C">
      <w:pPr>
        <w:pStyle w:val="Prrafodelista"/>
        <w:numPr>
          <w:ilvl w:val="0"/>
          <w:numId w:val="1"/>
        </w:numPr>
        <w:jc w:val="both"/>
        <w:rPr>
          <w:rFonts w:ascii="Arial" w:hAnsi="Arial" w:cs="Arial"/>
          <w:sz w:val="18"/>
          <w:szCs w:val="18"/>
        </w:rPr>
      </w:pPr>
      <w:r w:rsidRPr="000A17D7">
        <w:rPr>
          <w:rFonts w:ascii="Arial" w:hAnsi="Arial" w:cs="Arial"/>
          <w:sz w:val="18"/>
          <w:szCs w:val="18"/>
        </w:rPr>
        <w:t xml:space="preserve">Colchón de Conservación de Capital: </w:t>
      </w:r>
      <w:r w:rsidR="00640572" w:rsidRPr="000A17D7">
        <w:rPr>
          <w:rFonts w:ascii="Arial" w:hAnsi="Arial" w:cs="Arial"/>
          <w:sz w:val="18"/>
          <w:szCs w:val="18"/>
        </w:rPr>
        <w:t xml:space="preserve">Corresponde al 1.5% del valor de los </w:t>
      </w:r>
      <w:r w:rsidR="00136C4B">
        <w:rPr>
          <w:rFonts w:ascii="Arial" w:hAnsi="Arial" w:cs="Arial"/>
          <w:sz w:val="18"/>
          <w:szCs w:val="18"/>
        </w:rPr>
        <w:t>APNR</w:t>
      </w:r>
      <w:r w:rsidRPr="000A17D7">
        <w:rPr>
          <w:rFonts w:ascii="Arial" w:hAnsi="Arial" w:cs="Arial"/>
          <w:sz w:val="18"/>
          <w:szCs w:val="18"/>
        </w:rPr>
        <w:t xml:space="preserve"> y de</w:t>
      </w:r>
      <w:r w:rsidR="00A56163">
        <w:rPr>
          <w:rFonts w:ascii="Arial" w:hAnsi="Arial" w:cs="Arial"/>
          <w:sz w:val="18"/>
          <w:szCs w:val="18"/>
        </w:rPr>
        <w:t>l riesgo de</w:t>
      </w:r>
      <w:r w:rsidRPr="000A17D7">
        <w:rPr>
          <w:rFonts w:ascii="Arial" w:hAnsi="Arial" w:cs="Arial"/>
          <w:sz w:val="18"/>
          <w:szCs w:val="18"/>
        </w:rPr>
        <w:t xml:space="preserve"> mercado</w:t>
      </w:r>
      <w:r w:rsidR="00640572" w:rsidRPr="000A17D7">
        <w:rPr>
          <w:rFonts w:ascii="Arial" w:hAnsi="Arial" w:cs="Arial"/>
          <w:sz w:val="18"/>
          <w:szCs w:val="18"/>
        </w:rPr>
        <w:t xml:space="preserve"> que debe mantenerse en el </w:t>
      </w:r>
      <w:r w:rsidR="00690377" w:rsidRPr="000A17D7">
        <w:rPr>
          <w:rFonts w:ascii="Arial" w:hAnsi="Arial" w:cs="Arial"/>
          <w:sz w:val="18"/>
          <w:szCs w:val="18"/>
        </w:rPr>
        <w:t>PBO</w:t>
      </w:r>
      <w:r w:rsidR="00640572" w:rsidRPr="000A17D7">
        <w:rPr>
          <w:rFonts w:ascii="Arial" w:hAnsi="Arial" w:cs="Arial"/>
          <w:sz w:val="18"/>
          <w:szCs w:val="18"/>
        </w:rPr>
        <w:t xml:space="preserve"> en todo momento</w:t>
      </w:r>
      <w:r w:rsidRPr="000A17D7">
        <w:rPr>
          <w:rFonts w:ascii="Arial" w:hAnsi="Arial" w:cs="Arial"/>
          <w:sz w:val="18"/>
          <w:szCs w:val="18"/>
        </w:rPr>
        <w:t>.</w:t>
      </w:r>
    </w:p>
    <w:p w:rsidR="000814A8" w:rsidRPr="000A17D7" w:rsidRDefault="000814A8" w:rsidP="000814A8">
      <w:pPr>
        <w:jc w:val="both"/>
        <w:rPr>
          <w:rFonts w:ascii="Arial" w:hAnsi="Arial" w:cs="Arial"/>
          <w:sz w:val="18"/>
          <w:szCs w:val="18"/>
        </w:rPr>
      </w:pPr>
    </w:p>
    <w:p w:rsidR="007B56D4" w:rsidRDefault="000814A8" w:rsidP="00E3570C">
      <w:pPr>
        <w:pStyle w:val="Prrafodelista"/>
        <w:numPr>
          <w:ilvl w:val="0"/>
          <w:numId w:val="1"/>
        </w:numPr>
        <w:jc w:val="both"/>
        <w:rPr>
          <w:rFonts w:ascii="Arial" w:hAnsi="Arial" w:cs="Arial"/>
          <w:sz w:val="18"/>
          <w:szCs w:val="18"/>
        </w:rPr>
      </w:pPr>
      <w:r w:rsidRPr="000A17D7">
        <w:rPr>
          <w:rFonts w:ascii="Arial" w:hAnsi="Arial" w:cs="Arial"/>
          <w:sz w:val="18"/>
          <w:szCs w:val="18"/>
        </w:rPr>
        <w:t xml:space="preserve">Colchón de Capital para </w:t>
      </w:r>
      <w:r w:rsidR="007E7C0B">
        <w:rPr>
          <w:rFonts w:ascii="Arial" w:hAnsi="Arial" w:cs="Arial"/>
          <w:sz w:val="18"/>
          <w:szCs w:val="18"/>
        </w:rPr>
        <w:t>E</w:t>
      </w:r>
      <w:r w:rsidRPr="000A17D7">
        <w:rPr>
          <w:rFonts w:ascii="Arial" w:hAnsi="Arial" w:cs="Arial"/>
          <w:sz w:val="18"/>
          <w:szCs w:val="18"/>
        </w:rPr>
        <w:t xml:space="preserve">ntidades de </w:t>
      </w:r>
      <w:r w:rsidR="007E7C0B">
        <w:rPr>
          <w:rFonts w:ascii="Arial" w:hAnsi="Arial" w:cs="Arial"/>
          <w:sz w:val="18"/>
          <w:szCs w:val="18"/>
        </w:rPr>
        <w:t>I</w:t>
      </w:r>
      <w:r w:rsidRPr="000A17D7">
        <w:rPr>
          <w:rFonts w:ascii="Arial" w:hAnsi="Arial" w:cs="Arial"/>
          <w:sz w:val="18"/>
          <w:szCs w:val="18"/>
        </w:rPr>
        <w:t xml:space="preserve">mportancia </w:t>
      </w:r>
      <w:r w:rsidR="007E7C0B">
        <w:rPr>
          <w:rFonts w:ascii="Arial" w:hAnsi="Arial" w:cs="Arial"/>
          <w:sz w:val="18"/>
          <w:szCs w:val="18"/>
        </w:rPr>
        <w:t>S</w:t>
      </w:r>
      <w:r w:rsidRPr="000A17D7">
        <w:rPr>
          <w:rFonts w:ascii="Arial" w:hAnsi="Arial" w:cs="Arial"/>
          <w:sz w:val="18"/>
          <w:szCs w:val="18"/>
        </w:rPr>
        <w:t xml:space="preserve">istémica: </w:t>
      </w:r>
      <w:r w:rsidR="007B56D4" w:rsidRPr="000A17D7">
        <w:rPr>
          <w:rFonts w:ascii="Arial" w:hAnsi="Arial" w:cs="Arial"/>
          <w:sz w:val="18"/>
          <w:szCs w:val="18"/>
        </w:rPr>
        <w:t xml:space="preserve">Corresponde al 1% del valor de los </w:t>
      </w:r>
      <w:r w:rsidR="00136C4B">
        <w:rPr>
          <w:rFonts w:ascii="Arial" w:hAnsi="Arial" w:cs="Arial"/>
          <w:sz w:val="18"/>
          <w:szCs w:val="18"/>
        </w:rPr>
        <w:t>APNR</w:t>
      </w:r>
      <w:r w:rsidR="007B56D4" w:rsidRPr="000A17D7">
        <w:rPr>
          <w:rFonts w:ascii="Arial" w:hAnsi="Arial" w:cs="Arial"/>
          <w:sz w:val="18"/>
          <w:szCs w:val="18"/>
        </w:rPr>
        <w:t xml:space="preserve"> y </w:t>
      </w:r>
      <w:r w:rsidR="00A56163" w:rsidRPr="000A17D7">
        <w:rPr>
          <w:rFonts w:ascii="Arial" w:hAnsi="Arial" w:cs="Arial"/>
          <w:sz w:val="18"/>
          <w:szCs w:val="18"/>
        </w:rPr>
        <w:t>de</w:t>
      </w:r>
      <w:r w:rsidR="00A56163">
        <w:rPr>
          <w:rFonts w:ascii="Arial" w:hAnsi="Arial" w:cs="Arial"/>
          <w:sz w:val="18"/>
          <w:szCs w:val="18"/>
        </w:rPr>
        <w:t>l riesgo de</w:t>
      </w:r>
      <w:r w:rsidR="00A56163" w:rsidRPr="000A17D7">
        <w:rPr>
          <w:rFonts w:ascii="Arial" w:hAnsi="Arial" w:cs="Arial"/>
          <w:sz w:val="18"/>
          <w:szCs w:val="18"/>
        </w:rPr>
        <w:t xml:space="preserve"> </w:t>
      </w:r>
      <w:r w:rsidR="007B56D4" w:rsidRPr="000A17D7">
        <w:rPr>
          <w:rFonts w:ascii="Arial" w:hAnsi="Arial" w:cs="Arial"/>
          <w:sz w:val="18"/>
          <w:szCs w:val="18"/>
        </w:rPr>
        <w:t xml:space="preserve">mercado que debe mantenerse en el </w:t>
      </w:r>
      <w:r w:rsidR="00690377" w:rsidRPr="000A17D7">
        <w:rPr>
          <w:rFonts w:ascii="Arial" w:hAnsi="Arial" w:cs="Arial"/>
          <w:sz w:val="18"/>
          <w:szCs w:val="18"/>
        </w:rPr>
        <w:t>PBO</w:t>
      </w:r>
      <w:r w:rsidR="007B56D4" w:rsidRPr="000A17D7">
        <w:rPr>
          <w:rFonts w:ascii="Arial" w:hAnsi="Arial" w:cs="Arial"/>
          <w:sz w:val="18"/>
          <w:szCs w:val="18"/>
        </w:rPr>
        <w:t xml:space="preserve"> </w:t>
      </w:r>
      <w:r w:rsidR="00C65A36">
        <w:rPr>
          <w:rFonts w:ascii="Arial" w:hAnsi="Arial" w:cs="Arial"/>
          <w:sz w:val="18"/>
          <w:szCs w:val="18"/>
        </w:rPr>
        <w:t>en todo momento</w:t>
      </w:r>
      <w:r w:rsidR="003B2D16">
        <w:rPr>
          <w:rFonts w:ascii="Arial" w:hAnsi="Arial" w:cs="Arial"/>
          <w:sz w:val="18"/>
          <w:szCs w:val="18"/>
        </w:rPr>
        <w:t xml:space="preserve">. Este colchón de capital </w:t>
      </w:r>
      <w:r w:rsidR="0050363C">
        <w:rPr>
          <w:rFonts w:ascii="Arial" w:hAnsi="Arial" w:cs="Arial"/>
          <w:sz w:val="18"/>
          <w:szCs w:val="18"/>
        </w:rPr>
        <w:t>les</w:t>
      </w:r>
      <w:r w:rsidR="003B2D16">
        <w:rPr>
          <w:rFonts w:ascii="Arial" w:hAnsi="Arial" w:cs="Arial"/>
          <w:sz w:val="18"/>
          <w:szCs w:val="18"/>
        </w:rPr>
        <w:t xml:space="preserve"> </w:t>
      </w:r>
      <w:r w:rsidR="00C65A36">
        <w:rPr>
          <w:rFonts w:ascii="Arial" w:hAnsi="Arial" w:cs="Arial"/>
          <w:sz w:val="18"/>
          <w:szCs w:val="18"/>
        </w:rPr>
        <w:t xml:space="preserve">aplica a </w:t>
      </w:r>
      <w:r w:rsidR="007B56D4" w:rsidRPr="000A17D7">
        <w:rPr>
          <w:rFonts w:ascii="Arial" w:hAnsi="Arial" w:cs="Arial"/>
          <w:sz w:val="18"/>
          <w:szCs w:val="18"/>
        </w:rPr>
        <w:t xml:space="preserve">las entidades con importancia sistémica, conforme al listado que publique </w:t>
      </w:r>
      <w:r w:rsidR="003B2D16">
        <w:rPr>
          <w:rFonts w:ascii="Arial" w:hAnsi="Arial" w:cs="Arial"/>
          <w:sz w:val="18"/>
          <w:szCs w:val="18"/>
        </w:rPr>
        <w:t>l</w:t>
      </w:r>
      <w:r w:rsidR="007B56D4" w:rsidRPr="000A17D7">
        <w:rPr>
          <w:rFonts w:ascii="Arial" w:hAnsi="Arial" w:cs="Arial"/>
          <w:sz w:val="18"/>
          <w:szCs w:val="18"/>
        </w:rPr>
        <w:t xml:space="preserve">a </w:t>
      </w:r>
      <w:r w:rsidR="003B2D16">
        <w:rPr>
          <w:rFonts w:ascii="Arial" w:hAnsi="Arial" w:cs="Arial"/>
          <w:sz w:val="18"/>
          <w:szCs w:val="18"/>
        </w:rPr>
        <w:t>SFC</w:t>
      </w:r>
      <w:r w:rsidR="007B56D4" w:rsidRPr="000A17D7">
        <w:rPr>
          <w:rFonts w:ascii="Arial" w:hAnsi="Arial" w:cs="Arial"/>
          <w:sz w:val="18"/>
          <w:szCs w:val="18"/>
        </w:rPr>
        <w:t>.</w:t>
      </w:r>
    </w:p>
    <w:p w:rsidR="0058004F" w:rsidRPr="0058004F" w:rsidRDefault="0058004F" w:rsidP="0058004F">
      <w:pPr>
        <w:pStyle w:val="Prrafodelista"/>
        <w:rPr>
          <w:rFonts w:ascii="Arial" w:hAnsi="Arial" w:cs="Arial"/>
          <w:sz w:val="18"/>
          <w:szCs w:val="18"/>
        </w:rPr>
      </w:pPr>
    </w:p>
    <w:p w:rsidR="00D823AD" w:rsidRPr="0058004F" w:rsidRDefault="0058004F" w:rsidP="0058004F">
      <w:pPr>
        <w:tabs>
          <w:tab w:val="num" w:pos="720"/>
        </w:tabs>
        <w:ind w:left="360"/>
        <w:jc w:val="both"/>
        <w:rPr>
          <w:rFonts w:ascii="Arial" w:hAnsi="Arial" w:cs="Arial"/>
          <w:sz w:val="18"/>
          <w:szCs w:val="18"/>
        </w:rPr>
      </w:pPr>
      <w:r>
        <w:rPr>
          <w:rFonts w:ascii="Arial" w:hAnsi="Arial" w:cs="Arial"/>
          <w:sz w:val="18"/>
          <w:szCs w:val="18"/>
        </w:rPr>
        <w:t>Para el efecto, l</w:t>
      </w:r>
      <w:r w:rsidRPr="0058004F">
        <w:rPr>
          <w:rFonts w:ascii="Arial" w:hAnsi="Arial" w:cs="Arial"/>
          <w:sz w:val="18"/>
          <w:szCs w:val="18"/>
        </w:rPr>
        <w:t xml:space="preserve">a SFC </w:t>
      </w:r>
      <w:r>
        <w:rPr>
          <w:rFonts w:ascii="Arial" w:hAnsi="Arial" w:cs="Arial"/>
          <w:sz w:val="18"/>
          <w:szCs w:val="18"/>
        </w:rPr>
        <w:t xml:space="preserve">comunicará </w:t>
      </w:r>
      <w:r w:rsidRPr="0058004F">
        <w:rPr>
          <w:rFonts w:ascii="Arial" w:hAnsi="Arial" w:cs="Arial"/>
          <w:sz w:val="18"/>
          <w:szCs w:val="18"/>
        </w:rPr>
        <w:t>anualmente</w:t>
      </w:r>
      <w:r>
        <w:rPr>
          <w:rFonts w:ascii="Arial" w:hAnsi="Arial" w:cs="Arial"/>
          <w:sz w:val="18"/>
          <w:szCs w:val="18"/>
        </w:rPr>
        <w:t>,</w:t>
      </w:r>
      <w:r w:rsidRPr="0058004F">
        <w:rPr>
          <w:rFonts w:ascii="Arial" w:hAnsi="Arial" w:cs="Arial"/>
          <w:sz w:val="18"/>
          <w:szCs w:val="18"/>
        </w:rPr>
        <w:t xml:space="preserve"> </w:t>
      </w:r>
      <w:r>
        <w:rPr>
          <w:rFonts w:ascii="Arial" w:hAnsi="Arial" w:cs="Arial"/>
          <w:sz w:val="18"/>
          <w:szCs w:val="18"/>
        </w:rPr>
        <w:t xml:space="preserve">a más tardar en el mes de noviembre del año anterior, </w:t>
      </w:r>
      <w:r w:rsidRPr="0058004F">
        <w:rPr>
          <w:rFonts w:ascii="Arial" w:hAnsi="Arial" w:cs="Arial"/>
          <w:sz w:val="18"/>
          <w:szCs w:val="18"/>
        </w:rPr>
        <w:t xml:space="preserve">el listado </w:t>
      </w:r>
      <w:r w:rsidR="003B2D16">
        <w:rPr>
          <w:rFonts w:ascii="Arial" w:hAnsi="Arial" w:cs="Arial"/>
          <w:sz w:val="18"/>
          <w:szCs w:val="18"/>
        </w:rPr>
        <w:t>a nivel individual y consolidado</w:t>
      </w:r>
      <w:r w:rsidR="003B2D16" w:rsidRPr="0058004F">
        <w:rPr>
          <w:rFonts w:ascii="Arial" w:hAnsi="Arial" w:cs="Arial"/>
          <w:sz w:val="18"/>
          <w:szCs w:val="18"/>
        </w:rPr>
        <w:t xml:space="preserve"> </w:t>
      </w:r>
      <w:r w:rsidRPr="0058004F">
        <w:rPr>
          <w:rFonts w:ascii="Arial" w:hAnsi="Arial" w:cs="Arial"/>
          <w:sz w:val="18"/>
          <w:szCs w:val="18"/>
        </w:rPr>
        <w:t xml:space="preserve">de las entidades </w:t>
      </w:r>
      <w:r>
        <w:rPr>
          <w:rFonts w:ascii="Arial" w:hAnsi="Arial" w:cs="Arial"/>
          <w:sz w:val="18"/>
          <w:szCs w:val="18"/>
        </w:rPr>
        <w:t xml:space="preserve">de </w:t>
      </w:r>
      <w:r w:rsidRPr="0058004F">
        <w:rPr>
          <w:rFonts w:ascii="Arial" w:hAnsi="Arial" w:cs="Arial"/>
          <w:sz w:val="18"/>
          <w:szCs w:val="18"/>
        </w:rPr>
        <w:t>importancia sistémica</w:t>
      </w:r>
      <w:r>
        <w:rPr>
          <w:rFonts w:ascii="Arial" w:hAnsi="Arial" w:cs="Arial"/>
          <w:sz w:val="18"/>
          <w:szCs w:val="18"/>
        </w:rPr>
        <w:t xml:space="preserve"> que deben cumplir el </w:t>
      </w:r>
      <w:r w:rsidR="00F31C64">
        <w:rPr>
          <w:rFonts w:ascii="Arial" w:hAnsi="Arial" w:cs="Arial"/>
          <w:sz w:val="18"/>
          <w:szCs w:val="18"/>
        </w:rPr>
        <w:t xml:space="preserve">siguiente </w:t>
      </w:r>
      <w:r>
        <w:rPr>
          <w:rFonts w:ascii="Arial" w:hAnsi="Arial" w:cs="Arial"/>
          <w:sz w:val="18"/>
          <w:szCs w:val="18"/>
        </w:rPr>
        <w:t xml:space="preserve">año con el </w:t>
      </w:r>
      <w:r w:rsidR="003B2D16" w:rsidRPr="000A17D7">
        <w:rPr>
          <w:rFonts w:ascii="Arial" w:hAnsi="Arial" w:cs="Arial"/>
          <w:sz w:val="18"/>
          <w:szCs w:val="18"/>
        </w:rPr>
        <w:t xml:space="preserve">Colchón de Capital para </w:t>
      </w:r>
      <w:r w:rsidR="003B2D16">
        <w:rPr>
          <w:rFonts w:ascii="Arial" w:hAnsi="Arial" w:cs="Arial"/>
          <w:sz w:val="18"/>
          <w:szCs w:val="18"/>
        </w:rPr>
        <w:t>E</w:t>
      </w:r>
      <w:r w:rsidR="003B2D16" w:rsidRPr="000A17D7">
        <w:rPr>
          <w:rFonts w:ascii="Arial" w:hAnsi="Arial" w:cs="Arial"/>
          <w:sz w:val="18"/>
          <w:szCs w:val="18"/>
        </w:rPr>
        <w:t xml:space="preserve">ntidades de </w:t>
      </w:r>
      <w:r w:rsidR="003B2D16">
        <w:rPr>
          <w:rFonts w:ascii="Arial" w:hAnsi="Arial" w:cs="Arial"/>
          <w:sz w:val="18"/>
          <w:szCs w:val="18"/>
        </w:rPr>
        <w:t>I</w:t>
      </w:r>
      <w:r w:rsidR="003B2D16" w:rsidRPr="000A17D7">
        <w:rPr>
          <w:rFonts w:ascii="Arial" w:hAnsi="Arial" w:cs="Arial"/>
          <w:sz w:val="18"/>
          <w:szCs w:val="18"/>
        </w:rPr>
        <w:t xml:space="preserve">mportancia </w:t>
      </w:r>
      <w:r w:rsidR="003B2D16">
        <w:rPr>
          <w:rFonts w:ascii="Arial" w:hAnsi="Arial" w:cs="Arial"/>
          <w:sz w:val="18"/>
          <w:szCs w:val="18"/>
        </w:rPr>
        <w:t>S</w:t>
      </w:r>
      <w:r w:rsidR="003B2D16" w:rsidRPr="000A17D7">
        <w:rPr>
          <w:rFonts w:ascii="Arial" w:hAnsi="Arial" w:cs="Arial"/>
          <w:sz w:val="18"/>
          <w:szCs w:val="18"/>
        </w:rPr>
        <w:t>istémica</w:t>
      </w:r>
      <w:r>
        <w:rPr>
          <w:rFonts w:ascii="Arial" w:hAnsi="Arial" w:cs="Arial"/>
          <w:sz w:val="18"/>
          <w:szCs w:val="18"/>
        </w:rPr>
        <w:t>. E</w:t>
      </w:r>
      <w:r w:rsidR="003B2D16">
        <w:rPr>
          <w:rFonts w:ascii="Arial" w:hAnsi="Arial" w:cs="Arial"/>
          <w:sz w:val="18"/>
          <w:szCs w:val="18"/>
        </w:rPr>
        <w:t xml:space="preserve">ste </w:t>
      </w:r>
      <w:r>
        <w:rPr>
          <w:rFonts w:ascii="Arial" w:hAnsi="Arial" w:cs="Arial"/>
          <w:sz w:val="18"/>
          <w:szCs w:val="18"/>
        </w:rPr>
        <w:t xml:space="preserve">listado </w:t>
      </w:r>
      <w:r w:rsidRPr="0058004F">
        <w:rPr>
          <w:rFonts w:ascii="Arial" w:hAnsi="Arial" w:cs="Arial"/>
          <w:sz w:val="18"/>
          <w:szCs w:val="18"/>
        </w:rPr>
        <w:t xml:space="preserve">se determinará con </w:t>
      </w:r>
      <w:r w:rsidR="005B764F" w:rsidRPr="0058004F">
        <w:rPr>
          <w:rFonts w:ascii="Arial" w:hAnsi="Arial" w:cs="Arial"/>
          <w:sz w:val="18"/>
          <w:szCs w:val="18"/>
        </w:rPr>
        <w:t xml:space="preserve">base en </w:t>
      </w:r>
      <w:r w:rsidR="003B2D16">
        <w:rPr>
          <w:rFonts w:ascii="Arial" w:hAnsi="Arial" w:cs="Arial"/>
          <w:sz w:val="18"/>
          <w:szCs w:val="18"/>
        </w:rPr>
        <w:t>una</w:t>
      </w:r>
      <w:r w:rsidRPr="0058004F">
        <w:rPr>
          <w:rFonts w:ascii="Arial" w:hAnsi="Arial" w:cs="Arial"/>
          <w:sz w:val="18"/>
          <w:szCs w:val="18"/>
        </w:rPr>
        <w:t xml:space="preserve"> metodología </w:t>
      </w:r>
      <w:r w:rsidR="00062BA2">
        <w:rPr>
          <w:rFonts w:ascii="Arial" w:hAnsi="Arial" w:cs="Arial"/>
          <w:sz w:val="18"/>
          <w:szCs w:val="18"/>
        </w:rPr>
        <w:t>que se fundamenta</w:t>
      </w:r>
      <w:r w:rsidR="00F35EE4">
        <w:rPr>
          <w:rFonts w:ascii="Arial" w:hAnsi="Arial" w:cs="Arial"/>
          <w:sz w:val="18"/>
          <w:szCs w:val="18"/>
        </w:rPr>
        <w:t xml:space="preserve"> en los criterios de </w:t>
      </w:r>
      <w:r w:rsidR="005B764F" w:rsidRPr="0058004F">
        <w:rPr>
          <w:rFonts w:ascii="Arial" w:hAnsi="Arial" w:cs="Arial"/>
          <w:sz w:val="18"/>
          <w:szCs w:val="18"/>
        </w:rPr>
        <w:t>tamaño, interconexión, sustituibilidad y complejidad</w:t>
      </w:r>
      <w:r w:rsidR="00062BA2">
        <w:rPr>
          <w:rFonts w:ascii="Arial" w:hAnsi="Arial" w:cs="Arial"/>
          <w:sz w:val="18"/>
          <w:szCs w:val="18"/>
        </w:rPr>
        <w:t>,</w:t>
      </w:r>
      <w:r w:rsidR="00062BA2" w:rsidRPr="00062BA2">
        <w:rPr>
          <w:rFonts w:ascii="Arial" w:hAnsi="Arial" w:cs="Arial"/>
          <w:sz w:val="18"/>
          <w:szCs w:val="18"/>
        </w:rPr>
        <w:t xml:space="preserve"> </w:t>
      </w:r>
      <w:r w:rsidR="00062BA2">
        <w:rPr>
          <w:rFonts w:ascii="Arial" w:hAnsi="Arial" w:cs="Arial"/>
          <w:sz w:val="18"/>
          <w:szCs w:val="18"/>
        </w:rPr>
        <w:t>como mínimo</w:t>
      </w:r>
      <w:r w:rsidR="005B764F" w:rsidRPr="0058004F">
        <w:rPr>
          <w:rFonts w:ascii="Arial" w:hAnsi="Arial" w:cs="Arial"/>
          <w:sz w:val="18"/>
          <w:szCs w:val="18"/>
        </w:rPr>
        <w:t xml:space="preserve">. </w:t>
      </w:r>
    </w:p>
    <w:p w:rsidR="000814A8" w:rsidRPr="000A17D7" w:rsidRDefault="000814A8" w:rsidP="000814A8">
      <w:pPr>
        <w:jc w:val="both"/>
        <w:rPr>
          <w:rFonts w:ascii="Arial" w:hAnsi="Arial" w:cs="Arial"/>
          <w:sz w:val="18"/>
          <w:szCs w:val="18"/>
        </w:rPr>
      </w:pPr>
    </w:p>
    <w:p w:rsidR="000814A8" w:rsidRDefault="000814A8" w:rsidP="00E3570C">
      <w:pPr>
        <w:pStyle w:val="Prrafodelista"/>
        <w:numPr>
          <w:ilvl w:val="0"/>
          <w:numId w:val="1"/>
        </w:numPr>
        <w:jc w:val="both"/>
        <w:rPr>
          <w:rFonts w:ascii="Arial" w:hAnsi="Arial" w:cs="Arial"/>
          <w:sz w:val="18"/>
          <w:szCs w:val="18"/>
        </w:rPr>
      </w:pPr>
      <w:r w:rsidRPr="000A17D7">
        <w:rPr>
          <w:rFonts w:ascii="Arial" w:hAnsi="Arial" w:cs="Arial"/>
          <w:sz w:val="18"/>
          <w:szCs w:val="18"/>
        </w:rPr>
        <w:t xml:space="preserve">Colchón Combinado de Capital: </w:t>
      </w:r>
      <w:r w:rsidR="00FC73BC" w:rsidRPr="000A17D7">
        <w:rPr>
          <w:rFonts w:ascii="Arial" w:hAnsi="Arial" w:cs="Arial"/>
          <w:sz w:val="18"/>
          <w:szCs w:val="18"/>
        </w:rPr>
        <w:t xml:space="preserve">Corresponde a la suma del </w:t>
      </w:r>
      <w:r w:rsidR="00771753">
        <w:rPr>
          <w:rFonts w:ascii="Arial" w:hAnsi="Arial" w:cs="Arial"/>
          <w:sz w:val="18"/>
          <w:szCs w:val="18"/>
        </w:rPr>
        <w:t>C</w:t>
      </w:r>
      <w:r w:rsidR="008358CA" w:rsidRPr="000A17D7">
        <w:rPr>
          <w:rFonts w:ascii="Arial" w:hAnsi="Arial" w:cs="Arial"/>
          <w:sz w:val="18"/>
          <w:szCs w:val="18"/>
        </w:rPr>
        <w:t>olchón de</w:t>
      </w:r>
      <w:r w:rsidR="00771753">
        <w:rPr>
          <w:rFonts w:ascii="Arial" w:hAnsi="Arial" w:cs="Arial"/>
          <w:sz w:val="18"/>
          <w:szCs w:val="18"/>
        </w:rPr>
        <w:t xml:space="preserve"> Conservación de C</w:t>
      </w:r>
      <w:r w:rsidR="008358CA" w:rsidRPr="000A17D7">
        <w:rPr>
          <w:rFonts w:ascii="Arial" w:hAnsi="Arial" w:cs="Arial"/>
          <w:sz w:val="18"/>
          <w:szCs w:val="18"/>
        </w:rPr>
        <w:t xml:space="preserve">apital y </w:t>
      </w:r>
      <w:r w:rsidR="00C65A36">
        <w:rPr>
          <w:rFonts w:ascii="Arial" w:hAnsi="Arial" w:cs="Arial"/>
          <w:sz w:val="18"/>
          <w:szCs w:val="18"/>
        </w:rPr>
        <w:t>d</w:t>
      </w:r>
      <w:r w:rsidR="00771753">
        <w:rPr>
          <w:rFonts w:ascii="Arial" w:hAnsi="Arial" w:cs="Arial"/>
          <w:sz w:val="18"/>
          <w:szCs w:val="18"/>
        </w:rPr>
        <w:t>el C</w:t>
      </w:r>
      <w:r w:rsidR="008358CA" w:rsidRPr="000A17D7">
        <w:rPr>
          <w:rFonts w:ascii="Arial" w:hAnsi="Arial" w:cs="Arial"/>
          <w:sz w:val="18"/>
          <w:szCs w:val="18"/>
        </w:rPr>
        <w:t xml:space="preserve">olchón </w:t>
      </w:r>
      <w:r w:rsidR="00771753">
        <w:rPr>
          <w:rFonts w:ascii="Arial" w:hAnsi="Arial" w:cs="Arial"/>
          <w:sz w:val="18"/>
          <w:szCs w:val="18"/>
        </w:rPr>
        <w:t>de C</w:t>
      </w:r>
      <w:r w:rsidR="00C65A36">
        <w:rPr>
          <w:rFonts w:ascii="Arial" w:hAnsi="Arial" w:cs="Arial"/>
          <w:sz w:val="18"/>
          <w:szCs w:val="18"/>
        </w:rPr>
        <w:t xml:space="preserve">apital </w:t>
      </w:r>
      <w:r w:rsidR="00771753">
        <w:rPr>
          <w:rFonts w:ascii="Arial" w:hAnsi="Arial" w:cs="Arial"/>
          <w:sz w:val="18"/>
          <w:szCs w:val="18"/>
        </w:rPr>
        <w:t>para Entidades de Importancia S</w:t>
      </w:r>
      <w:r w:rsidR="008358CA" w:rsidRPr="000A17D7">
        <w:rPr>
          <w:rFonts w:ascii="Arial" w:hAnsi="Arial" w:cs="Arial"/>
          <w:sz w:val="18"/>
          <w:szCs w:val="18"/>
        </w:rPr>
        <w:t>istémica.</w:t>
      </w:r>
    </w:p>
    <w:p w:rsidR="0096018E" w:rsidRDefault="0096018E" w:rsidP="0096018E">
      <w:pPr>
        <w:jc w:val="both"/>
        <w:rPr>
          <w:rFonts w:ascii="Arial" w:hAnsi="Arial" w:cs="Arial"/>
          <w:sz w:val="18"/>
          <w:szCs w:val="18"/>
        </w:rPr>
      </w:pPr>
    </w:p>
    <w:p w:rsidR="0013684A" w:rsidRPr="003B3702" w:rsidRDefault="004710D1" w:rsidP="00513595">
      <w:pPr>
        <w:pStyle w:val="Prrafodelista"/>
        <w:numPr>
          <w:ilvl w:val="1"/>
          <w:numId w:val="11"/>
        </w:numPr>
        <w:jc w:val="both"/>
        <w:outlineLvl w:val="2"/>
        <w:rPr>
          <w:rFonts w:ascii="Arial" w:hAnsi="Arial" w:cs="Arial"/>
          <w:b/>
          <w:sz w:val="18"/>
          <w:szCs w:val="18"/>
        </w:rPr>
      </w:pPr>
      <w:r>
        <w:rPr>
          <w:rFonts w:ascii="Arial" w:hAnsi="Arial" w:cs="Arial"/>
          <w:b/>
          <w:sz w:val="18"/>
          <w:szCs w:val="18"/>
        </w:rPr>
        <w:t>Patrimonio Técnico (</w:t>
      </w:r>
      <w:r w:rsidR="0013684A" w:rsidRPr="003B3702">
        <w:rPr>
          <w:rFonts w:ascii="Arial" w:hAnsi="Arial" w:cs="Arial"/>
          <w:b/>
          <w:sz w:val="18"/>
          <w:szCs w:val="18"/>
        </w:rPr>
        <w:t>PT</w:t>
      </w:r>
      <w:bookmarkEnd w:id="4"/>
      <w:r>
        <w:rPr>
          <w:rFonts w:ascii="Arial" w:hAnsi="Arial" w:cs="Arial"/>
          <w:b/>
          <w:sz w:val="18"/>
          <w:szCs w:val="18"/>
        </w:rPr>
        <w:t>)</w:t>
      </w:r>
    </w:p>
    <w:p w:rsidR="0013684A" w:rsidRPr="000A17D7" w:rsidRDefault="0013684A" w:rsidP="0013684A">
      <w:pPr>
        <w:jc w:val="both"/>
        <w:rPr>
          <w:rFonts w:ascii="Arial" w:hAnsi="Arial" w:cs="Arial"/>
          <w:sz w:val="18"/>
          <w:szCs w:val="18"/>
        </w:rPr>
      </w:pPr>
    </w:p>
    <w:p w:rsidR="0013684A" w:rsidRPr="000A17D7" w:rsidRDefault="0013684A" w:rsidP="0013684A">
      <w:pPr>
        <w:jc w:val="both"/>
        <w:rPr>
          <w:rFonts w:ascii="Arial" w:hAnsi="Arial" w:cs="Arial"/>
          <w:sz w:val="18"/>
          <w:szCs w:val="18"/>
        </w:rPr>
      </w:pPr>
      <w:r w:rsidRPr="000A17D7">
        <w:rPr>
          <w:rFonts w:ascii="Arial" w:hAnsi="Arial" w:cs="Arial"/>
          <w:sz w:val="18"/>
          <w:szCs w:val="18"/>
        </w:rPr>
        <w:t xml:space="preserve">El </w:t>
      </w:r>
      <w:r w:rsidR="00DC33A4" w:rsidRPr="000A17D7">
        <w:rPr>
          <w:rFonts w:ascii="Arial" w:hAnsi="Arial" w:cs="Arial"/>
          <w:sz w:val="18"/>
          <w:szCs w:val="18"/>
        </w:rPr>
        <w:t>PT</w:t>
      </w:r>
      <w:r w:rsidRPr="000A17D7">
        <w:rPr>
          <w:rFonts w:ascii="Arial" w:hAnsi="Arial" w:cs="Arial"/>
          <w:sz w:val="18"/>
          <w:szCs w:val="18"/>
        </w:rPr>
        <w:t xml:space="preserve"> se define como la suma del PBO, el PBA y el Patrimonio Adicional (PA), menos las deducciones de las que trata el </w:t>
      </w:r>
      <w:r w:rsidR="005B6F6A" w:rsidRPr="000A17D7">
        <w:rPr>
          <w:rFonts w:ascii="Arial" w:hAnsi="Arial" w:cs="Arial"/>
          <w:sz w:val="18"/>
          <w:szCs w:val="18"/>
        </w:rPr>
        <w:t>numeral 10</w:t>
      </w:r>
      <w:r w:rsidR="00F33295">
        <w:rPr>
          <w:rFonts w:ascii="Arial" w:hAnsi="Arial" w:cs="Arial"/>
          <w:sz w:val="18"/>
          <w:szCs w:val="18"/>
        </w:rPr>
        <w:t>)</w:t>
      </w:r>
      <w:r w:rsidR="005B6F6A" w:rsidRPr="000A17D7">
        <w:rPr>
          <w:rFonts w:ascii="Arial" w:hAnsi="Arial" w:cs="Arial"/>
          <w:sz w:val="18"/>
          <w:szCs w:val="18"/>
        </w:rPr>
        <w:t xml:space="preserve"> del </w:t>
      </w:r>
      <w:r w:rsidRPr="000A17D7">
        <w:rPr>
          <w:rFonts w:ascii="Arial" w:hAnsi="Arial" w:cs="Arial"/>
          <w:sz w:val="18"/>
          <w:szCs w:val="18"/>
        </w:rPr>
        <w:t>artículo 2.1.1.</w:t>
      </w:r>
      <w:r w:rsidR="005B6F6A" w:rsidRPr="000A17D7">
        <w:rPr>
          <w:rFonts w:ascii="Arial" w:hAnsi="Arial" w:cs="Arial"/>
          <w:sz w:val="18"/>
          <w:szCs w:val="18"/>
        </w:rPr>
        <w:t>3.2</w:t>
      </w:r>
      <w:r w:rsidRPr="000A17D7">
        <w:rPr>
          <w:rFonts w:ascii="Arial" w:hAnsi="Arial" w:cs="Arial"/>
          <w:sz w:val="18"/>
          <w:szCs w:val="18"/>
        </w:rPr>
        <w:t xml:space="preserve"> del Decreto 2555 de 2010. El cálculo de cada componente </w:t>
      </w:r>
      <w:r w:rsidR="00A56163">
        <w:rPr>
          <w:rFonts w:ascii="Arial" w:hAnsi="Arial" w:cs="Arial"/>
          <w:sz w:val="18"/>
          <w:szCs w:val="18"/>
        </w:rPr>
        <w:t xml:space="preserve">debe realizarse conforme a las instrucciones </w:t>
      </w:r>
      <w:r w:rsidRPr="000A17D7">
        <w:rPr>
          <w:rFonts w:ascii="Arial" w:hAnsi="Arial" w:cs="Arial"/>
          <w:sz w:val="18"/>
          <w:szCs w:val="18"/>
        </w:rPr>
        <w:t xml:space="preserve">referidas en </w:t>
      </w:r>
      <w:r w:rsidR="006841EE">
        <w:rPr>
          <w:rFonts w:ascii="Arial" w:hAnsi="Arial" w:cs="Arial"/>
          <w:sz w:val="18"/>
          <w:szCs w:val="18"/>
        </w:rPr>
        <w:t xml:space="preserve">el presente </w:t>
      </w:r>
      <w:r w:rsidR="00CA5302">
        <w:rPr>
          <w:rFonts w:ascii="Arial" w:hAnsi="Arial" w:cs="Arial"/>
          <w:sz w:val="18"/>
          <w:szCs w:val="18"/>
        </w:rPr>
        <w:t>sub</w:t>
      </w:r>
      <w:r w:rsidR="006841EE">
        <w:rPr>
          <w:rFonts w:ascii="Arial" w:hAnsi="Arial" w:cs="Arial"/>
          <w:sz w:val="18"/>
          <w:szCs w:val="18"/>
        </w:rPr>
        <w:t xml:space="preserve">numeral. </w:t>
      </w:r>
    </w:p>
    <w:p w:rsidR="00CE2BB0" w:rsidRPr="000A17D7" w:rsidRDefault="00CE2BB0" w:rsidP="00CE2BB0">
      <w:pPr>
        <w:jc w:val="both"/>
        <w:rPr>
          <w:rFonts w:ascii="Arial" w:hAnsi="Arial" w:cs="Arial"/>
          <w:sz w:val="18"/>
          <w:szCs w:val="18"/>
        </w:rPr>
      </w:pPr>
    </w:p>
    <w:p w:rsidR="00CE2BB0" w:rsidRDefault="00CE2BB0" w:rsidP="00CE2BB0">
      <w:pPr>
        <w:jc w:val="both"/>
        <w:rPr>
          <w:rFonts w:ascii="Arial" w:hAnsi="Arial" w:cs="Arial"/>
          <w:sz w:val="18"/>
          <w:szCs w:val="18"/>
        </w:rPr>
      </w:pPr>
      <w:r w:rsidRPr="000A17D7">
        <w:rPr>
          <w:rFonts w:ascii="Arial" w:hAnsi="Arial" w:cs="Arial"/>
          <w:sz w:val="18"/>
          <w:szCs w:val="18"/>
        </w:rPr>
        <w:t>Los rubros que suman están precedidos de un signo más (+), mientras que los que restan se anteceden de un signo menos (-).</w:t>
      </w:r>
    </w:p>
    <w:p w:rsidR="00CE2BB0" w:rsidRDefault="00CE2BB0" w:rsidP="00CE2BB0">
      <w:pPr>
        <w:jc w:val="both"/>
        <w:rPr>
          <w:rFonts w:ascii="Arial" w:hAnsi="Arial" w:cs="Arial"/>
          <w:sz w:val="18"/>
          <w:szCs w:val="18"/>
        </w:rPr>
      </w:pPr>
    </w:p>
    <w:p w:rsidR="0013684A" w:rsidRPr="00566D6D" w:rsidRDefault="00566D6D" w:rsidP="00566D6D">
      <w:pPr>
        <w:jc w:val="both"/>
        <w:rPr>
          <w:rFonts w:ascii="Arial" w:hAnsi="Arial" w:cs="Arial"/>
          <w:sz w:val="18"/>
          <w:szCs w:val="18"/>
        </w:rPr>
      </w:pPr>
      <w:r>
        <w:rPr>
          <w:rFonts w:ascii="Arial" w:hAnsi="Arial" w:cs="Arial"/>
          <w:sz w:val="18"/>
          <w:szCs w:val="18"/>
        </w:rPr>
        <w:lastRenderedPageBreak/>
        <w:t xml:space="preserve">2.3.1. </w:t>
      </w:r>
      <w:r w:rsidR="0013684A" w:rsidRPr="00566D6D">
        <w:rPr>
          <w:rFonts w:ascii="Arial" w:hAnsi="Arial" w:cs="Arial"/>
          <w:sz w:val="18"/>
          <w:szCs w:val="18"/>
        </w:rPr>
        <w:t xml:space="preserve">Clasificación de las acciones e instrumentos </w:t>
      </w:r>
      <w:r w:rsidR="003D510B" w:rsidRPr="00566D6D">
        <w:rPr>
          <w:rFonts w:ascii="Arial" w:hAnsi="Arial" w:cs="Arial"/>
          <w:sz w:val="18"/>
          <w:szCs w:val="18"/>
        </w:rPr>
        <w:t xml:space="preserve">de </w:t>
      </w:r>
      <w:r w:rsidR="0013684A" w:rsidRPr="00566D6D">
        <w:rPr>
          <w:rFonts w:ascii="Arial" w:hAnsi="Arial" w:cs="Arial"/>
          <w:sz w:val="18"/>
          <w:szCs w:val="18"/>
        </w:rPr>
        <w:t xml:space="preserve">deuda subordinada </w:t>
      </w:r>
    </w:p>
    <w:p w:rsidR="0013684A" w:rsidRPr="000A17D7" w:rsidRDefault="0013684A" w:rsidP="005B380E">
      <w:pPr>
        <w:jc w:val="both"/>
        <w:rPr>
          <w:rFonts w:ascii="Arial" w:hAnsi="Arial" w:cs="Arial"/>
          <w:sz w:val="18"/>
          <w:szCs w:val="18"/>
        </w:rPr>
      </w:pPr>
    </w:p>
    <w:p w:rsidR="0013684A" w:rsidRPr="000A17D7" w:rsidRDefault="0013684A" w:rsidP="005B380E">
      <w:pPr>
        <w:jc w:val="both"/>
        <w:rPr>
          <w:rFonts w:ascii="Arial" w:hAnsi="Arial" w:cs="Arial"/>
          <w:sz w:val="18"/>
          <w:szCs w:val="18"/>
        </w:rPr>
      </w:pPr>
      <w:r w:rsidRPr="000A17D7">
        <w:rPr>
          <w:rFonts w:ascii="Arial" w:hAnsi="Arial" w:cs="Arial"/>
          <w:sz w:val="18"/>
          <w:szCs w:val="18"/>
        </w:rPr>
        <w:t xml:space="preserve">En virtud del artículo 2.1.1.1.6 del Decreto 2555 de 2010, la SFC definirá la pertenencia </w:t>
      </w:r>
      <w:r w:rsidR="00503345" w:rsidRPr="000A17D7">
        <w:rPr>
          <w:rFonts w:ascii="Arial" w:hAnsi="Arial" w:cs="Arial"/>
          <w:sz w:val="18"/>
          <w:szCs w:val="18"/>
        </w:rPr>
        <w:t>al PBO, PBA y PA</w:t>
      </w:r>
      <w:r w:rsidR="00503345">
        <w:rPr>
          <w:rFonts w:ascii="Arial" w:hAnsi="Arial" w:cs="Arial"/>
          <w:sz w:val="18"/>
          <w:szCs w:val="18"/>
        </w:rPr>
        <w:t xml:space="preserve">, </w:t>
      </w:r>
      <w:r w:rsidRPr="000A17D7">
        <w:rPr>
          <w:rFonts w:ascii="Arial" w:hAnsi="Arial" w:cs="Arial"/>
          <w:sz w:val="18"/>
          <w:szCs w:val="18"/>
        </w:rPr>
        <w:t>de las acciones</w:t>
      </w:r>
      <w:r w:rsidR="00D80FE3">
        <w:rPr>
          <w:rFonts w:ascii="Arial" w:hAnsi="Arial" w:cs="Arial"/>
          <w:b/>
          <w:sz w:val="18"/>
          <w:szCs w:val="18"/>
        </w:rPr>
        <w:t xml:space="preserve"> </w:t>
      </w:r>
      <w:r w:rsidR="00D80FE3" w:rsidRPr="00E15717">
        <w:rPr>
          <w:rFonts w:ascii="Arial" w:hAnsi="Arial" w:cs="Arial"/>
          <w:sz w:val="18"/>
          <w:szCs w:val="18"/>
        </w:rPr>
        <w:t>y</w:t>
      </w:r>
      <w:r w:rsidR="004F5198" w:rsidRPr="00E15717">
        <w:rPr>
          <w:rFonts w:ascii="Arial" w:hAnsi="Arial" w:cs="Arial"/>
          <w:sz w:val="18"/>
          <w:szCs w:val="18"/>
        </w:rPr>
        <w:t xml:space="preserve"> </w:t>
      </w:r>
      <w:r w:rsidRPr="000A17D7">
        <w:rPr>
          <w:rFonts w:ascii="Arial" w:hAnsi="Arial" w:cs="Arial"/>
          <w:sz w:val="18"/>
          <w:szCs w:val="18"/>
        </w:rPr>
        <w:t>los instrumentos de deuda subordinad</w:t>
      </w:r>
      <w:r w:rsidR="00503345">
        <w:rPr>
          <w:rFonts w:ascii="Arial" w:hAnsi="Arial" w:cs="Arial"/>
          <w:sz w:val="18"/>
          <w:szCs w:val="18"/>
        </w:rPr>
        <w:t>os</w:t>
      </w:r>
      <w:r w:rsidRPr="000A17D7">
        <w:rPr>
          <w:rFonts w:ascii="Arial" w:hAnsi="Arial" w:cs="Arial"/>
          <w:sz w:val="18"/>
          <w:szCs w:val="18"/>
        </w:rPr>
        <w:t xml:space="preserve">, según corresponda. Para el efecto, el emisor debe solicitar la clasificación de los instrumentos de capital de acuerdo con las instrucciones señaladas </w:t>
      </w:r>
      <w:r w:rsidRPr="00503104">
        <w:rPr>
          <w:rFonts w:ascii="Arial" w:hAnsi="Arial" w:cs="Arial"/>
          <w:sz w:val="18"/>
          <w:szCs w:val="18"/>
        </w:rPr>
        <w:t xml:space="preserve">en el Anexo </w:t>
      </w:r>
      <w:r w:rsidR="00096FAB">
        <w:rPr>
          <w:rFonts w:ascii="Arial" w:hAnsi="Arial" w:cs="Arial"/>
          <w:sz w:val="18"/>
          <w:szCs w:val="18"/>
        </w:rPr>
        <w:t>1</w:t>
      </w:r>
      <w:r w:rsidRPr="00503104">
        <w:rPr>
          <w:rFonts w:ascii="Arial" w:hAnsi="Arial" w:cs="Arial"/>
          <w:sz w:val="18"/>
          <w:szCs w:val="18"/>
        </w:rPr>
        <w:t xml:space="preserve"> del presente Capítulo.</w:t>
      </w:r>
      <w:r w:rsidRPr="000A17D7">
        <w:rPr>
          <w:rFonts w:ascii="Arial" w:hAnsi="Arial" w:cs="Arial"/>
          <w:sz w:val="18"/>
          <w:szCs w:val="18"/>
        </w:rPr>
        <w:t xml:space="preserve"> </w:t>
      </w:r>
      <w:r w:rsidR="008819ED">
        <w:rPr>
          <w:rFonts w:ascii="Arial" w:hAnsi="Arial" w:cs="Arial"/>
          <w:sz w:val="18"/>
          <w:szCs w:val="18"/>
        </w:rPr>
        <w:t xml:space="preserve">Aquellos instrumentos que ya fueron </w:t>
      </w:r>
      <w:r w:rsidR="001E02BA">
        <w:rPr>
          <w:rFonts w:ascii="Arial" w:hAnsi="Arial" w:cs="Arial"/>
          <w:sz w:val="18"/>
          <w:szCs w:val="18"/>
        </w:rPr>
        <w:t xml:space="preserve">clasificados en alguna categoría no deben ser presentados de nuevo a esta Superintendencia. </w:t>
      </w:r>
    </w:p>
    <w:p w:rsidR="0013684A" w:rsidRPr="000A17D7" w:rsidRDefault="0013684A" w:rsidP="005B380E">
      <w:pPr>
        <w:jc w:val="both"/>
        <w:rPr>
          <w:rFonts w:ascii="Arial" w:hAnsi="Arial" w:cs="Arial"/>
          <w:sz w:val="18"/>
          <w:szCs w:val="18"/>
        </w:rPr>
      </w:pPr>
    </w:p>
    <w:p w:rsidR="0013684A" w:rsidRPr="000A17D7" w:rsidRDefault="0013684A" w:rsidP="0013684A">
      <w:pPr>
        <w:jc w:val="both"/>
        <w:rPr>
          <w:rFonts w:ascii="Arial" w:hAnsi="Arial" w:cs="Arial"/>
          <w:sz w:val="18"/>
          <w:szCs w:val="18"/>
        </w:rPr>
      </w:pPr>
      <w:r w:rsidRPr="000A17D7">
        <w:rPr>
          <w:rFonts w:ascii="Arial" w:hAnsi="Arial" w:cs="Arial"/>
          <w:sz w:val="18"/>
          <w:szCs w:val="18"/>
        </w:rPr>
        <w:t xml:space="preserve">Los instrumentos que </w:t>
      </w:r>
      <w:r w:rsidR="00143CF7">
        <w:rPr>
          <w:rFonts w:ascii="Arial" w:hAnsi="Arial" w:cs="Arial"/>
          <w:sz w:val="18"/>
          <w:szCs w:val="18"/>
        </w:rPr>
        <w:t>la SFC</w:t>
      </w:r>
      <w:r w:rsidRPr="000A17D7">
        <w:rPr>
          <w:rFonts w:ascii="Arial" w:hAnsi="Arial" w:cs="Arial"/>
          <w:sz w:val="18"/>
          <w:szCs w:val="18"/>
        </w:rPr>
        <w:t xml:space="preserve"> no clasifique en el capital regulatorio no podrán hacer parte del PT de la entidad.</w:t>
      </w:r>
    </w:p>
    <w:p w:rsidR="0013684A" w:rsidRPr="000A17D7" w:rsidRDefault="0013684A" w:rsidP="0013684A">
      <w:pPr>
        <w:jc w:val="both"/>
        <w:rPr>
          <w:rFonts w:ascii="Arial" w:hAnsi="Arial" w:cs="Arial"/>
          <w:sz w:val="18"/>
          <w:szCs w:val="18"/>
        </w:rPr>
      </w:pPr>
    </w:p>
    <w:p w:rsidR="0013684A" w:rsidRPr="000A17D7" w:rsidRDefault="0013684A" w:rsidP="005B380E">
      <w:pPr>
        <w:jc w:val="both"/>
        <w:rPr>
          <w:rFonts w:ascii="Arial" w:hAnsi="Arial" w:cs="Arial"/>
          <w:sz w:val="18"/>
          <w:szCs w:val="18"/>
        </w:rPr>
      </w:pPr>
      <w:r w:rsidRPr="000A17D7">
        <w:rPr>
          <w:rFonts w:ascii="Arial" w:hAnsi="Arial" w:cs="Arial"/>
          <w:sz w:val="18"/>
          <w:szCs w:val="18"/>
        </w:rPr>
        <w:t>A</w:t>
      </w:r>
      <w:r w:rsidR="00045A0B">
        <w:rPr>
          <w:rFonts w:ascii="Arial" w:hAnsi="Arial" w:cs="Arial"/>
          <w:sz w:val="18"/>
          <w:szCs w:val="18"/>
        </w:rPr>
        <w:t xml:space="preserve"> </w:t>
      </w:r>
      <w:r w:rsidR="005B380E" w:rsidRPr="000A17D7">
        <w:rPr>
          <w:rFonts w:ascii="Arial" w:hAnsi="Arial" w:cs="Arial"/>
          <w:sz w:val="18"/>
          <w:szCs w:val="18"/>
        </w:rPr>
        <w:t>continuación</w:t>
      </w:r>
      <w:r w:rsidR="00045A0B">
        <w:rPr>
          <w:rFonts w:ascii="Arial" w:hAnsi="Arial" w:cs="Arial"/>
          <w:sz w:val="18"/>
          <w:szCs w:val="18"/>
        </w:rPr>
        <w:t xml:space="preserve"> </w:t>
      </w:r>
      <w:r w:rsidRPr="000A17D7">
        <w:rPr>
          <w:rFonts w:ascii="Arial" w:hAnsi="Arial" w:cs="Arial"/>
          <w:sz w:val="18"/>
          <w:szCs w:val="18"/>
        </w:rPr>
        <w:t>se relacionan algunas instrucciones a tener en cuenta para el cumplimiento de los criterios y características que deben tener los instrumentos señalados en los artículos 2.1.1.1.6 y siguientes para ser aprobado</w:t>
      </w:r>
      <w:r w:rsidR="007F3EA0">
        <w:rPr>
          <w:rFonts w:ascii="Arial" w:hAnsi="Arial" w:cs="Arial"/>
          <w:sz w:val="18"/>
          <w:szCs w:val="18"/>
        </w:rPr>
        <w:t>s</w:t>
      </w:r>
      <w:r w:rsidRPr="000A17D7">
        <w:rPr>
          <w:rFonts w:ascii="Arial" w:hAnsi="Arial" w:cs="Arial"/>
          <w:sz w:val="18"/>
          <w:szCs w:val="18"/>
        </w:rPr>
        <w:t xml:space="preserve"> como capital regulatorio por parte de </w:t>
      </w:r>
      <w:r w:rsidR="00143CF7">
        <w:rPr>
          <w:rFonts w:ascii="Arial" w:hAnsi="Arial" w:cs="Arial"/>
          <w:sz w:val="18"/>
          <w:szCs w:val="18"/>
        </w:rPr>
        <w:t>la SFC</w:t>
      </w:r>
      <w:r w:rsidRPr="000A17D7">
        <w:rPr>
          <w:rFonts w:ascii="Arial" w:hAnsi="Arial" w:cs="Arial"/>
          <w:sz w:val="18"/>
          <w:szCs w:val="18"/>
        </w:rPr>
        <w:t>:</w:t>
      </w:r>
    </w:p>
    <w:p w:rsidR="0013684A" w:rsidRPr="000A17D7" w:rsidRDefault="0013684A" w:rsidP="0013684A">
      <w:pPr>
        <w:jc w:val="both"/>
        <w:rPr>
          <w:rFonts w:ascii="Arial" w:hAnsi="Arial" w:cs="Arial"/>
          <w:sz w:val="18"/>
          <w:szCs w:val="18"/>
        </w:rPr>
      </w:pPr>
    </w:p>
    <w:p w:rsidR="0013684A" w:rsidRPr="000A17D7" w:rsidRDefault="0013684A" w:rsidP="000B2366">
      <w:pPr>
        <w:pStyle w:val="Prrafodelista"/>
        <w:numPr>
          <w:ilvl w:val="3"/>
          <w:numId w:val="11"/>
        </w:numPr>
        <w:ind w:left="0" w:firstLine="0"/>
        <w:jc w:val="both"/>
        <w:rPr>
          <w:rFonts w:ascii="Arial" w:hAnsi="Arial" w:cs="Arial"/>
          <w:sz w:val="18"/>
          <w:szCs w:val="18"/>
        </w:rPr>
      </w:pPr>
      <w:r w:rsidRPr="000A17D7">
        <w:rPr>
          <w:rFonts w:ascii="Arial" w:hAnsi="Arial" w:cs="Arial"/>
          <w:sz w:val="18"/>
          <w:szCs w:val="18"/>
        </w:rPr>
        <w:t>En relación con el criterio de pertenencia a las diferentes categorías del PT “No financiado por la entidad” establecido en los artículos 2.1.1.1.7, 2.1.1.1.8 y 2.1.1.1.9 del Decreto</w:t>
      </w:r>
      <w:r w:rsidR="00143CF7">
        <w:rPr>
          <w:rFonts w:ascii="Arial" w:hAnsi="Arial" w:cs="Arial"/>
          <w:sz w:val="18"/>
          <w:szCs w:val="18"/>
        </w:rPr>
        <w:t xml:space="preserve"> 2555 de 2010</w:t>
      </w:r>
      <w:r w:rsidRPr="000A17D7">
        <w:rPr>
          <w:rFonts w:ascii="Arial" w:hAnsi="Arial" w:cs="Arial"/>
          <w:sz w:val="18"/>
          <w:szCs w:val="18"/>
        </w:rPr>
        <w:t xml:space="preserve">, es necesario precisar </w:t>
      </w:r>
      <w:r w:rsidR="00EA2A29" w:rsidRPr="000A17D7">
        <w:rPr>
          <w:rFonts w:ascii="Arial" w:hAnsi="Arial" w:cs="Arial"/>
          <w:sz w:val="18"/>
          <w:szCs w:val="18"/>
        </w:rPr>
        <w:t>que,</w:t>
      </w:r>
      <w:r w:rsidRPr="000A17D7">
        <w:rPr>
          <w:rFonts w:ascii="Arial" w:hAnsi="Arial" w:cs="Arial"/>
          <w:sz w:val="18"/>
          <w:szCs w:val="18"/>
        </w:rPr>
        <w:t xml:space="preserve"> para efectos del presente Capítulo, se entiende por “vinculado” cualquier participante que sea:</w:t>
      </w:r>
    </w:p>
    <w:p w:rsidR="0013684A" w:rsidRPr="000A17D7" w:rsidRDefault="0013684A" w:rsidP="0013684A">
      <w:pPr>
        <w:jc w:val="both"/>
        <w:rPr>
          <w:rFonts w:ascii="Arial" w:hAnsi="Arial" w:cs="Arial"/>
          <w:sz w:val="18"/>
          <w:szCs w:val="18"/>
        </w:rPr>
      </w:pPr>
    </w:p>
    <w:p w:rsidR="0013684A" w:rsidRPr="000A17D7" w:rsidRDefault="0013684A" w:rsidP="00513595">
      <w:pPr>
        <w:pStyle w:val="Prrafodelista"/>
        <w:numPr>
          <w:ilvl w:val="0"/>
          <w:numId w:val="17"/>
        </w:numPr>
        <w:jc w:val="both"/>
        <w:rPr>
          <w:rFonts w:ascii="Arial" w:hAnsi="Arial" w:cs="Arial"/>
          <w:sz w:val="18"/>
          <w:szCs w:val="18"/>
        </w:rPr>
      </w:pPr>
      <w:r w:rsidRPr="000A17D7">
        <w:rPr>
          <w:rFonts w:ascii="Arial" w:hAnsi="Arial" w:cs="Arial"/>
          <w:sz w:val="18"/>
          <w:szCs w:val="18"/>
        </w:rPr>
        <w:t>El o los accionistas o beneficiarios reales</w:t>
      </w:r>
      <w:r w:rsidRPr="000A17D7">
        <w:rPr>
          <w:rStyle w:val="Refdenotaalpie"/>
          <w:rFonts w:ascii="Arial" w:hAnsi="Arial" w:cs="Arial"/>
          <w:sz w:val="18"/>
          <w:szCs w:val="18"/>
        </w:rPr>
        <w:footnoteReference w:id="1"/>
      </w:r>
      <w:r w:rsidRPr="000A17D7">
        <w:rPr>
          <w:rFonts w:ascii="Arial" w:hAnsi="Arial" w:cs="Arial"/>
          <w:sz w:val="18"/>
          <w:szCs w:val="18"/>
        </w:rPr>
        <w:t xml:space="preserve"> del 5% o más de la participación accionaria en la entidad.</w:t>
      </w:r>
    </w:p>
    <w:p w:rsidR="0013684A" w:rsidRPr="000A17D7" w:rsidRDefault="0013684A" w:rsidP="00513595">
      <w:pPr>
        <w:pStyle w:val="Prrafodelista"/>
        <w:numPr>
          <w:ilvl w:val="0"/>
          <w:numId w:val="17"/>
        </w:numPr>
        <w:jc w:val="both"/>
        <w:rPr>
          <w:rFonts w:ascii="Arial" w:hAnsi="Arial" w:cs="Arial"/>
          <w:sz w:val="18"/>
          <w:szCs w:val="18"/>
        </w:rPr>
      </w:pPr>
      <w:r w:rsidRPr="000A17D7">
        <w:rPr>
          <w:rFonts w:ascii="Arial" w:hAnsi="Arial" w:cs="Arial"/>
          <w:sz w:val="18"/>
          <w:szCs w:val="18"/>
        </w:rPr>
        <w:t>Las p</w:t>
      </w:r>
      <w:r w:rsidR="009630BD">
        <w:rPr>
          <w:rFonts w:ascii="Arial" w:hAnsi="Arial" w:cs="Arial"/>
          <w:sz w:val="18"/>
          <w:szCs w:val="18"/>
        </w:rPr>
        <w:t>ersonas jurídicas en las cuales</w:t>
      </w:r>
      <w:r w:rsidRPr="000A17D7">
        <w:rPr>
          <w:rFonts w:ascii="Arial" w:hAnsi="Arial" w:cs="Arial"/>
          <w:sz w:val="18"/>
          <w:szCs w:val="18"/>
        </w:rPr>
        <w:t xml:space="preserve"> la entidad sea beneficiario real del 5% o más </w:t>
      </w:r>
      <w:r w:rsidR="00C86413" w:rsidRPr="000A17D7">
        <w:rPr>
          <w:rFonts w:ascii="Arial" w:hAnsi="Arial" w:cs="Arial"/>
          <w:sz w:val="18"/>
          <w:szCs w:val="18"/>
        </w:rPr>
        <w:t>de la participación accionaria.</w:t>
      </w:r>
    </w:p>
    <w:p w:rsidR="0013684A" w:rsidRPr="000A17D7" w:rsidRDefault="0013684A" w:rsidP="00513595">
      <w:pPr>
        <w:pStyle w:val="Prrafodelista"/>
        <w:numPr>
          <w:ilvl w:val="0"/>
          <w:numId w:val="17"/>
        </w:numPr>
        <w:jc w:val="both"/>
        <w:rPr>
          <w:rFonts w:ascii="Arial" w:hAnsi="Arial" w:cs="Arial"/>
          <w:sz w:val="18"/>
          <w:szCs w:val="18"/>
        </w:rPr>
      </w:pPr>
      <w:r w:rsidRPr="000A17D7">
        <w:rPr>
          <w:rFonts w:ascii="Arial" w:hAnsi="Arial" w:cs="Arial"/>
          <w:sz w:val="18"/>
          <w:szCs w:val="18"/>
        </w:rPr>
        <w:t>La matriz de la entidad y sus subordinadas.</w:t>
      </w:r>
    </w:p>
    <w:p w:rsidR="00A61FAB" w:rsidRDefault="00A61FAB" w:rsidP="00C945B7">
      <w:pPr>
        <w:rPr>
          <w:rFonts w:ascii="Arial" w:hAnsi="Arial" w:cs="Arial"/>
          <w:sz w:val="18"/>
          <w:szCs w:val="18"/>
        </w:rPr>
      </w:pPr>
    </w:p>
    <w:p w:rsidR="00786681" w:rsidRPr="000A17D7" w:rsidRDefault="00786681" w:rsidP="00C945B7">
      <w:pPr>
        <w:rPr>
          <w:rFonts w:ascii="Arial" w:hAnsi="Arial" w:cs="Arial"/>
          <w:sz w:val="18"/>
          <w:szCs w:val="18"/>
        </w:rPr>
      </w:pPr>
    </w:p>
    <w:p w:rsidR="0013684A" w:rsidRPr="003B3702" w:rsidRDefault="00143CF7" w:rsidP="00513595">
      <w:pPr>
        <w:pStyle w:val="Prrafodelista"/>
        <w:numPr>
          <w:ilvl w:val="2"/>
          <w:numId w:val="11"/>
        </w:numPr>
        <w:ind w:left="851" w:hanging="851"/>
        <w:jc w:val="both"/>
        <w:rPr>
          <w:rFonts w:ascii="Arial" w:hAnsi="Arial" w:cs="Arial"/>
          <w:sz w:val="18"/>
          <w:szCs w:val="18"/>
        </w:rPr>
      </w:pPr>
      <w:r>
        <w:rPr>
          <w:rFonts w:ascii="Arial" w:hAnsi="Arial" w:cs="Arial"/>
          <w:sz w:val="18"/>
          <w:szCs w:val="18"/>
        </w:rPr>
        <w:t xml:space="preserve">Patrimonio Básico </w:t>
      </w:r>
      <w:r w:rsidR="000B416C">
        <w:rPr>
          <w:rFonts w:ascii="Arial" w:hAnsi="Arial" w:cs="Arial"/>
          <w:sz w:val="18"/>
          <w:szCs w:val="18"/>
        </w:rPr>
        <w:t>O</w:t>
      </w:r>
      <w:r>
        <w:rPr>
          <w:rFonts w:ascii="Arial" w:hAnsi="Arial" w:cs="Arial"/>
          <w:sz w:val="18"/>
          <w:szCs w:val="18"/>
        </w:rPr>
        <w:t xml:space="preserve">rdinario </w:t>
      </w:r>
      <w:r w:rsidR="008A5A37">
        <w:rPr>
          <w:rFonts w:ascii="Arial" w:hAnsi="Arial" w:cs="Arial"/>
          <w:sz w:val="18"/>
          <w:szCs w:val="18"/>
        </w:rPr>
        <w:t>N</w:t>
      </w:r>
      <w:r w:rsidR="005E66CD">
        <w:rPr>
          <w:rFonts w:ascii="Arial" w:hAnsi="Arial" w:cs="Arial"/>
          <w:sz w:val="18"/>
          <w:szCs w:val="18"/>
        </w:rPr>
        <w:t xml:space="preserve">eto de </w:t>
      </w:r>
      <w:r w:rsidR="008A5A37">
        <w:rPr>
          <w:rFonts w:ascii="Arial" w:hAnsi="Arial" w:cs="Arial"/>
          <w:sz w:val="18"/>
          <w:szCs w:val="18"/>
        </w:rPr>
        <w:t>D</w:t>
      </w:r>
      <w:r w:rsidR="005E66CD">
        <w:rPr>
          <w:rFonts w:ascii="Arial" w:hAnsi="Arial" w:cs="Arial"/>
          <w:sz w:val="18"/>
          <w:szCs w:val="18"/>
        </w:rPr>
        <w:t>educcione</w:t>
      </w:r>
      <w:r w:rsidR="008A5A37">
        <w:rPr>
          <w:rFonts w:ascii="Arial" w:hAnsi="Arial" w:cs="Arial"/>
          <w:sz w:val="18"/>
          <w:szCs w:val="18"/>
        </w:rPr>
        <w:t>s</w:t>
      </w:r>
      <w:r w:rsidR="00187EB1">
        <w:rPr>
          <w:rFonts w:ascii="Arial" w:hAnsi="Arial" w:cs="Arial"/>
          <w:sz w:val="18"/>
          <w:szCs w:val="18"/>
        </w:rPr>
        <w:t xml:space="preserve"> </w:t>
      </w:r>
      <w:r w:rsidR="008A5A37">
        <w:rPr>
          <w:rFonts w:ascii="Arial" w:hAnsi="Arial" w:cs="Arial"/>
          <w:sz w:val="18"/>
          <w:szCs w:val="18"/>
        </w:rPr>
        <w:t>(</w:t>
      </w:r>
      <w:r w:rsidR="00B53F93" w:rsidRPr="003B3702">
        <w:rPr>
          <w:rFonts w:ascii="Arial" w:hAnsi="Arial" w:cs="Arial"/>
          <w:sz w:val="18"/>
          <w:szCs w:val="18"/>
        </w:rPr>
        <w:t>PBO</w:t>
      </w:r>
      <w:r w:rsidR="008A5A37">
        <w:rPr>
          <w:rFonts w:ascii="Arial" w:hAnsi="Arial" w:cs="Arial"/>
          <w:sz w:val="18"/>
          <w:szCs w:val="18"/>
        </w:rPr>
        <w:t>)</w:t>
      </w:r>
    </w:p>
    <w:p w:rsidR="00DB4312" w:rsidRPr="000A17D7" w:rsidRDefault="00DB4312" w:rsidP="00DB4312">
      <w:pPr>
        <w:pStyle w:val="Prrafodelista"/>
        <w:ind w:left="0"/>
        <w:jc w:val="both"/>
        <w:rPr>
          <w:rFonts w:ascii="Arial" w:hAnsi="Arial" w:cs="Arial"/>
          <w:b/>
          <w:sz w:val="18"/>
          <w:szCs w:val="18"/>
        </w:rPr>
      </w:pPr>
    </w:p>
    <w:p w:rsidR="00DB4312" w:rsidRPr="000A17D7" w:rsidRDefault="00DB4312" w:rsidP="00DB4312">
      <w:pPr>
        <w:jc w:val="both"/>
        <w:rPr>
          <w:rFonts w:ascii="Arial" w:hAnsi="Arial" w:cs="Arial"/>
          <w:sz w:val="18"/>
          <w:szCs w:val="18"/>
        </w:rPr>
      </w:pPr>
      <w:r w:rsidRPr="000A17D7">
        <w:rPr>
          <w:rFonts w:ascii="Arial" w:hAnsi="Arial" w:cs="Arial"/>
          <w:sz w:val="18"/>
          <w:szCs w:val="18"/>
        </w:rPr>
        <w:t xml:space="preserve">El PBO comprende los siguientes rubros y deducciones: </w:t>
      </w:r>
    </w:p>
    <w:p w:rsidR="002A4070" w:rsidRPr="000A17D7" w:rsidRDefault="002A4070" w:rsidP="002A4070">
      <w:pPr>
        <w:jc w:val="both"/>
        <w:rPr>
          <w:rFonts w:ascii="Arial" w:hAnsi="Arial" w:cs="Arial"/>
          <w:sz w:val="18"/>
          <w:szCs w:val="18"/>
          <w:highlight w:val="green"/>
        </w:rPr>
      </w:pPr>
    </w:p>
    <w:tbl>
      <w:tblPr>
        <w:tblW w:w="9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4"/>
        <w:gridCol w:w="1483"/>
        <w:gridCol w:w="5245"/>
        <w:gridCol w:w="2056"/>
        <w:gridCol w:w="13"/>
      </w:tblGrid>
      <w:tr w:rsidR="0013684A" w:rsidRPr="000A17D7" w:rsidTr="00C347A7">
        <w:trPr>
          <w:gridAfter w:val="1"/>
          <w:wAfter w:w="13" w:type="dxa"/>
          <w:trHeight w:val="331"/>
          <w:tblHeader/>
          <w:jc w:val="center"/>
        </w:trPr>
        <w:tc>
          <w:tcPr>
            <w:tcW w:w="106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3684A" w:rsidRPr="00A61FAB" w:rsidRDefault="0013684A" w:rsidP="005426D8">
            <w:pPr>
              <w:jc w:val="center"/>
              <w:rPr>
                <w:rFonts w:ascii="Arial" w:hAnsi="Arial" w:cs="Arial"/>
                <w:bCs/>
                <w:snapToGrid/>
                <w:color w:val="000000"/>
                <w:sz w:val="18"/>
                <w:szCs w:val="18"/>
                <w:lang w:val="es-CO" w:eastAsia="es-CO"/>
              </w:rPr>
            </w:pPr>
            <w:r w:rsidRPr="00A61FAB">
              <w:rPr>
                <w:rFonts w:ascii="Arial" w:hAnsi="Arial" w:cs="Arial"/>
                <w:bCs/>
                <w:snapToGrid/>
                <w:color w:val="000000"/>
                <w:sz w:val="18"/>
                <w:szCs w:val="18"/>
                <w:lang w:val="es-CO" w:eastAsia="es-CO"/>
              </w:rPr>
              <w:t>Fuente</w:t>
            </w:r>
          </w:p>
        </w:tc>
        <w:tc>
          <w:tcPr>
            <w:tcW w:w="1483"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380E" w:rsidRPr="00A61FAB" w:rsidRDefault="0013684A" w:rsidP="005B380E">
            <w:pPr>
              <w:jc w:val="center"/>
              <w:rPr>
                <w:rFonts w:ascii="Arial" w:hAnsi="Arial" w:cs="Arial"/>
                <w:bCs/>
                <w:snapToGrid/>
                <w:color w:val="000000"/>
                <w:sz w:val="18"/>
                <w:szCs w:val="18"/>
                <w:lang w:val="es-CO" w:eastAsia="es-CO"/>
              </w:rPr>
            </w:pPr>
            <w:r w:rsidRPr="00A61FAB">
              <w:rPr>
                <w:rFonts w:ascii="Arial" w:hAnsi="Arial" w:cs="Arial"/>
                <w:bCs/>
                <w:snapToGrid/>
                <w:color w:val="000000"/>
                <w:sz w:val="18"/>
                <w:szCs w:val="18"/>
                <w:lang w:val="es-CO" w:eastAsia="es-CO"/>
              </w:rPr>
              <w:t>Cuenta</w:t>
            </w:r>
            <w:r w:rsidR="00E531C5" w:rsidRPr="00A61FAB">
              <w:rPr>
                <w:rFonts w:ascii="Arial" w:hAnsi="Arial" w:cs="Arial"/>
                <w:bCs/>
                <w:snapToGrid/>
                <w:color w:val="000000"/>
                <w:sz w:val="18"/>
                <w:szCs w:val="18"/>
                <w:lang w:val="es-CO" w:eastAsia="es-CO"/>
              </w:rPr>
              <w:t xml:space="preserve"> </w:t>
            </w:r>
            <w:r w:rsidRPr="00A61FAB">
              <w:rPr>
                <w:rFonts w:ascii="Arial" w:hAnsi="Arial" w:cs="Arial"/>
                <w:bCs/>
                <w:snapToGrid/>
                <w:color w:val="000000"/>
                <w:sz w:val="18"/>
                <w:szCs w:val="18"/>
                <w:lang w:val="es-CO" w:eastAsia="es-CO"/>
              </w:rPr>
              <w:t>/</w:t>
            </w:r>
            <w:r w:rsidR="00E531C5" w:rsidRPr="00A61FAB">
              <w:rPr>
                <w:rFonts w:ascii="Arial" w:hAnsi="Arial" w:cs="Arial"/>
                <w:bCs/>
                <w:snapToGrid/>
                <w:color w:val="000000"/>
                <w:sz w:val="18"/>
                <w:szCs w:val="18"/>
                <w:lang w:val="es-CO" w:eastAsia="es-CO"/>
              </w:rPr>
              <w:t xml:space="preserve"> </w:t>
            </w:r>
          </w:p>
          <w:p w:rsidR="0013684A" w:rsidRPr="00A61FAB" w:rsidRDefault="0013684A" w:rsidP="005B380E">
            <w:pPr>
              <w:jc w:val="center"/>
              <w:rPr>
                <w:rFonts w:ascii="Arial" w:hAnsi="Arial" w:cs="Arial"/>
                <w:bCs/>
                <w:snapToGrid/>
                <w:color w:val="000000"/>
                <w:sz w:val="18"/>
                <w:szCs w:val="18"/>
                <w:lang w:val="es-CO" w:eastAsia="es-CO"/>
              </w:rPr>
            </w:pPr>
            <w:r w:rsidRPr="00A61FAB">
              <w:rPr>
                <w:rFonts w:ascii="Arial" w:hAnsi="Arial" w:cs="Arial"/>
                <w:bCs/>
                <w:snapToGrid/>
                <w:color w:val="000000"/>
                <w:sz w:val="18"/>
                <w:szCs w:val="18"/>
                <w:lang w:val="es-CO" w:eastAsia="es-CO"/>
              </w:rPr>
              <w:t>Subcuenta</w:t>
            </w:r>
          </w:p>
        </w:tc>
        <w:tc>
          <w:tcPr>
            <w:tcW w:w="524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3684A" w:rsidRPr="00A43741" w:rsidRDefault="0013684A" w:rsidP="005426D8">
            <w:pPr>
              <w:jc w:val="center"/>
              <w:rPr>
                <w:rFonts w:ascii="Arial" w:hAnsi="Arial" w:cs="Arial"/>
                <w:bCs/>
                <w:snapToGrid/>
                <w:color w:val="000000"/>
                <w:sz w:val="18"/>
                <w:szCs w:val="18"/>
                <w:highlight w:val="yellow"/>
                <w:lang w:val="es-CO" w:eastAsia="es-CO"/>
              </w:rPr>
            </w:pPr>
            <w:r w:rsidRPr="00E15717">
              <w:rPr>
                <w:rFonts w:ascii="Arial" w:hAnsi="Arial" w:cs="Arial"/>
                <w:bCs/>
                <w:snapToGrid/>
                <w:color w:val="000000"/>
                <w:sz w:val="18"/>
                <w:szCs w:val="18"/>
                <w:lang w:val="es-CO" w:eastAsia="es-CO"/>
              </w:rPr>
              <w:t>Denominación</w:t>
            </w:r>
          </w:p>
        </w:tc>
        <w:tc>
          <w:tcPr>
            <w:tcW w:w="205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13684A" w:rsidRPr="00A61FAB" w:rsidRDefault="0013684A" w:rsidP="005426D8">
            <w:pPr>
              <w:jc w:val="center"/>
              <w:rPr>
                <w:rFonts w:ascii="Arial" w:hAnsi="Arial" w:cs="Arial"/>
                <w:bCs/>
                <w:snapToGrid/>
                <w:color w:val="000000"/>
                <w:sz w:val="18"/>
                <w:szCs w:val="18"/>
                <w:lang w:val="es-CO" w:eastAsia="es-CO"/>
              </w:rPr>
            </w:pPr>
            <w:r w:rsidRPr="00A61FAB">
              <w:rPr>
                <w:rFonts w:ascii="Arial" w:hAnsi="Arial" w:cs="Arial"/>
                <w:bCs/>
                <w:snapToGrid/>
                <w:color w:val="000000"/>
                <w:sz w:val="18"/>
                <w:szCs w:val="18"/>
                <w:lang w:val="es-CO" w:eastAsia="es-CO"/>
              </w:rPr>
              <w:t>Ponderación</w:t>
            </w:r>
          </w:p>
        </w:tc>
      </w:tr>
      <w:tr w:rsidR="003D510B" w:rsidRPr="000A17D7" w:rsidTr="00C347A7">
        <w:trPr>
          <w:gridAfter w:val="1"/>
          <w:wAfter w:w="13" w:type="dxa"/>
          <w:trHeight w:val="596"/>
          <w:jc w:val="center"/>
        </w:trPr>
        <w:tc>
          <w:tcPr>
            <w:tcW w:w="1064" w:type="dxa"/>
            <w:vMerge w:val="restart"/>
            <w:tcBorders>
              <w:top w:val="single" w:sz="4" w:space="0" w:color="auto"/>
            </w:tcBorders>
            <w:shd w:val="clear" w:color="000000" w:fill="FFFFFF"/>
            <w:noWrap/>
            <w:vAlign w:val="center"/>
            <w:hideMark/>
          </w:tcPr>
          <w:p w:rsidR="003D510B" w:rsidRDefault="003D510B" w:rsidP="00A41D41">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F.</w:t>
            </w:r>
            <w:r w:rsidR="00262657">
              <w:rPr>
                <w:rFonts w:ascii="Arial" w:hAnsi="Arial" w:cs="Arial"/>
                <w:snapToGrid/>
                <w:color w:val="000000"/>
                <w:sz w:val="18"/>
                <w:szCs w:val="18"/>
                <w:lang w:val="es-CO" w:eastAsia="es-CO"/>
              </w:rPr>
              <w:t xml:space="preserve"> 239</w:t>
            </w:r>
          </w:p>
          <w:p w:rsidR="003D510B" w:rsidRPr="000A17D7" w:rsidRDefault="003D510B" w:rsidP="003D510B">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Unidad de captura 01</w:t>
            </w:r>
          </w:p>
        </w:tc>
        <w:tc>
          <w:tcPr>
            <w:tcW w:w="1483" w:type="dxa"/>
            <w:tcBorders>
              <w:top w:val="single" w:sz="4" w:space="0" w:color="auto"/>
            </w:tcBorders>
            <w:shd w:val="clear" w:color="000000" w:fill="FFFFFF"/>
            <w:noWrap/>
            <w:vAlign w:val="center"/>
            <w:hideMark/>
          </w:tcPr>
          <w:p w:rsidR="003D510B" w:rsidRPr="000A17D7" w:rsidRDefault="003D510B" w:rsidP="005426D8">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w:t>
            </w:r>
            <w:r>
              <w:rPr>
                <w:rFonts w:ascii="Arial" w:hAnsi="Arial" w:cs="Arial"/>
                <w:snapToGrid/>
                <w:color w:val="000000"/>
                <w:sz w:val="18"/>
                <w:szCs w:val="18"/>
                <w:lang w:val="es-CO" w:eastAsia="es-CO"/>
              </w:rPr>
              <w:t>005</w:t>
            </w:r>
          </w:p>
        </w:tc>
        <w:tc>
          <w:tcPr>
            <w:tcW w:w="5245" w:type="dxa"/>
            <w:tcBorders>
              <w:top w:val="single" w:sz="4" w:space="0" w:color="auto"/>
            </w:tcBorders>
            <w:shd w:val="clear" w:color="000000" w:fill="FFFFFF"/>
            <w:vAlign w:val="bottom"/>
            <w:hideMark/>
          </w:tcPr>
          <w:p w:rsidR="003D510B" w:rsidRPr="00E6565B" w:rsidRDefault="003D510B" w:rsidP="00DC2ADE">
            <w:pPr>
              <w:jc w:val="both"/>
              <w:rPr>
                <w:rFonts w:ascii="Arial" w:hAnsi="Arial" w:cs="Arial"/>
                <w:snapToGrid/>
                <w:color w:val="000000"/>
                <w:sz w:val="18"/>
                <w:szCs w:val="18"/>
                <w:lang w:val="es-CO" w:eastAsia="es-CO"/>
              </w:rPr>
            </w:pPr>
            <w:r w:rsidRPr="00E6565B">
              <w:rPr>
                <w:rFonts w:ascii="Arial" w:hAnsi="Arial" w:cs="Arial"/>
                <w:snapToGrid/>
                <w:color w:val="000000"/>
                <w:sz w:val="18"/>
                <w:szCs w:val="18"/>
                <w:lang w:val="es-CO" w:eastAsia="es-CO"/>
              </w:rPr>
              <w:t xml:space="preserve">Valor de las </w:t>
            </w:r>
            <w:r w:rsidRPr="0002140A">
              <w:rPr>
                <w:rFonts w:ascii="Arial" w:hAnsi="Arial" w:cs="Arial"/>
                <w:snapToGrid/>
                <w:color w:val="000000"/>
                <w:sz w:val="18"/>
                <w:szCs w:val="18"/>
                <w:lang w:val="es-CO" w:eastAsia="es-CO"/>
              </w:rPr>
              <w:t>acciones ordinarias suscritas</w:t>
            </w:r>
            <w:r w:rsidRPr="00E6565B">
              <w:rPr>
                <w:rFonts w:ascii="Arial" w:hAnsi="Arial" w:cs="Arial"/>
                <w:snapToGrid/>
                <w:color w:val="000000"/>
                <w:sz w:val="18"/>
                <w:szCs w:val="18"/>
                <w:lang w:val="es-CO" w:eastAsia="es-CO"/>
              </w:rPr>
              <w:t xml:space="preserve"> y pagadas, reconocidas por la SFC como PBO de conformidad con los artículos 2.1.1.1.6 y 2.1.1.1.7 del Decreto 2555 de 2010.</w:t>
            </w:r>
          </w:p>
        </w:tc>
        <w:tc>
          <w:tcPr>
            <w:tcW w:w="2056" w:type="dxa"/>
            <w:tcBorders>
              <w:top w:val="single" w:sz="4" w:space="0" w:color="auto"/>
            </w:tcBorders>
            <w:shd w:val="clear" w:color="000000" w:fill="FFFFFF"/>
            <w:noWrap/>
            <w:vAlign w:val="center"/>
            <w:hideMark/>
          </w:tcPr>
          <w:p w:rsidR="003D510B" w:rsidRPr="000A17D7" w:rsidRDefault="003D510B" w:rsidP="005426D8">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3D510B" w:rsidRPr="000A17D7" w:rsidTr="00C347A7">
        <w:trPr>
          <w:gridAfter w:val="1"/>
          <w:wAfter w:w="13" w:type="dxa"/>
          <w:trHeight w:val="490"/>
          <w:jc w:val="center"/>
        </w:trPr>
        <w:tc>
          <w:tcPr>
            <w:tcW w:w="1064" w:type="dxa"/>
            <w:vMerge/>
            <w:shd w:val="clear" w:color="000000" w:fill="FFFFFF"/>
            <w:noWrap/>
            <w:vAlign w:val="center"/>
            <w:hideMark/>
          </w:tcPr>
          <w:p w:rsidR="003D510B" w:rsidRPr="000A17D7" w:rsidRDefault="003D510B" w:rsidP="00A62A0A">
            <w:pPr>
              <w:jc w:val="center"/>
              <w:rPr>
                <w:rFonts w:ascii="Arial" w:hAnsi="Arial" w:cs="Arial"/>
                <w:snapToGrid/>
                <w:color w:val="000000"/>
                <w:sz w:val="18"/>
                <w:szCs w:val="18"/>
                <w:lang w:val="es-CO" w:eastAsia="es-CO"/>
              </w:rPr>
            </w:pPr>
          </w:p>
        </w:tc>
        <w:tc>
          <w:tcPr>
            <w:tcW w:w="1483" w:type="dxa"/>
            <w:shd w:val="clear" w:color="000000" w:fill="FFFFFF"/>
            <w:noWrap/>
            <w:vAlign w:val="center"/>
            <w:hideMark/>
          </w:tcPr>
          <w:p w:rsidR="003D510B" w:rsidRPr="000A17D7" w:rsidRDefault="003D510B" w:rsidP="005426D8">
            <w:pPr>
              <w:jc w:val="center"/>
              <w:rPr>
                <w:rFonts w:ascii="Arial" w:hAnsi="Arial" w:cs="Arial"/>
                <w:snapToGrid/>
                <w:color w:val="000000"/>
                <w:sz w:val="18"/>
                <w:szCs w:val="18"/>
                <w:lang w:val="es-CO" w:eastAsia="es-CO"/>
              </w:rPr>
            </w:pPr>
          </w:p>
          <w:p w:rsidR="003D510B" w:rsidRPr="008068F0" w:rsidRDefault="003D510B" w:rsidP="008068F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w:t>
            </w:r>
            <w:r w:rsidRPr="008068F0">
              <w:rPr>
                <w:rFonts w:ascii="Arial" w:hAnsi="Arial" w:cs="Arial"/>
                <w:snapToGrid/>
                <w:color w:val="000000"/>
                <w:sz w:val="18"/>
                <w:szCs w:val="18"/>
                <w:lang w:val="es-CO" w:eastAsia="es-CO"/>
              </w:rPr>
              <w:t>010</w:t>
            </w:r>
          </w:p>
          <w:p w:rsidR="003D510B" w:rsidRPr="000A17D7" w:rsidRDefault="003D510B" w:rsidP="005426D8">
            <w:pPr>
              <w:jc w:val="center"/>
              <w:rPr>
                <w:rFonts w:ascii="Arial" w:hAnsi="Arial" w:cs="Arial"/>
                <w:snapToGrid/>
                <w:color w:val="000000"/>
                <w:sz w:val="18"/>
                <w:szCs w:val="18"/>
                <w:lang w:val="es-CO" w:eastAsia="es-CO"/>
              </w:rPr>
            </w:pPr>
          </w:p>
        </w:tc>
        <w:tc>
          <w:tcPr>
            <w:tcW w:w="5245" w:type="dxa"/>
            <w:shd w:val="clear" w:color="000000" w:fill="FFFFFF"/>
            <w:hideMark/>
          </w:tcPr>
          <w:p w:rsidR="003D510B" w:rsidRPr="00E6565B" w:rsidRDefault="003D510B" w:rsidP="005426D8">
            <w:pPr>
              <w:jc w:val="both"/>
              <w:rPr>
                <w:rFonts w:ascii="Arial" w:hAnsi="Arial" w:cs="Arial"/>
                <w:snapToGrid/>
                <w:color w:val="000000"/>
                <w:sz w:val="18"/>
                <w:szCs w:val="18"/>
                <w:lang w:val="es-CO" w:eastAsia="es-CO"/>
              </w:rPr>
            </w:pPr>
            <w:r w:rsidRPr="00E6565B">
              <w:rPr>
                <w:rFonts w:ascii="Arial" w:hAnsi="Arial" w:cs="Arial"/>
                <w:snapToGrid/>
                <w:color w:val="000000"/>
                <w:sz w:val="18"/>
                <w:szCs w:val="18"/>
                <w:lang w:val="es-CO" w:eastAsia="es-CO"/>
              </w:rPr>
              <w:t xml:space="preserve">Valor de las </w:t>
            </w:r>
            <w:r w:rsidRPr="0002140A">
              <w:rPr>
                <w:rFonts w:ascii="Arial" w:hAnsi="Arial" w:cs="Arial"/>
                <w:snapToGrid/>
                <w:color w:val="000000"/>
                <w:sz w:val="18"/>
                <w:szCs w:val="18"/>
                <w:lang w:val="es-CO" w:eastAsia="es-CO"/>
              </w:rPr>
              <w:t>acciones privilegiadas suscritas</w:t>
            </w:r>
            <w:r w:rsidRPr="00E6565B">
              <w:rPr>
                <w:rFonts w:ascii="Arial" w:hAnsi="Arial" w:cs="Arial"/>
                <w:snapToGrid/>
                <w:color w:val="000000"/>
                <w:sz w:val="18"/>
                <w:szCs w:val="18"/>
                <w:lang w:val="es-CO" w:eastAsia="es-CO"/>
              </w:rPr>
              <w:t xml:space="preserve"> y pagadas, reconocidas por la SFC como PBO de conformidad con los artículos 2.1.1.1.6 y 2.1.1.1.7 del Decreto 2555 de 2010.</w:t>
            </w:r>
          </w:p>
        </w:tc>
        <w:tc>
          <w:tcPr>
            <w:tcW w:w="2056" w:type="dxa"/>
            <w:shd w:val="clear" w:color="000000" w:fill="FFFFFF"/>
            <w:noWrap/>
            <w:vAlign w:val="center"/>
            <w:hideMark/>
          </w:tcPr>
          <w:p w:rsidR="003D510B" w:rsidRPr="000A17D7" w:rsidRDefault="003D510B" w:rsidP="005426D8">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3D510B" w:rsidRPr="000A17D7" w:rsidTr="00C347A7">
        <w:trPr>
          <w:gridAfter w:val="1"/>
          <w:wAfter w:w="13" w:type="dxa"/>
          <w:trHeight w:val="712"/>
          <w:jc w:val="center"/>
        </w:trPr>
        <w:tc>
          <w:tcPr>
            <w:tcW w:w="1064" w:type="dxa"/>
            <w:vMerge/>
            <w:shd w:val="clear" w:color="000000" w:fill="FFFFFF"/>
            <w:noWrap/>
            <w:vAlign w:val="center"/>
            <w:hideMark/>
          </w:tcPr>
          <w:p w:rsidR="003D510B" w:rsidRPr="000A17D7" w:rsidRDefault="003D510B" w:rsidP="00A62A0A">
            <w:pPr>
              <w:jc w:val="center"/>
              <w:rPr>
                <w:rFonts w:ascii="Arial" w:hAnsi="Arial" w:cs="Arial"/>
                <w:snapToGrid/>
                <w:color w:val="000000"/>
                <w:sz w:val="18"/>
                <w:szCs w:val="18"/>
                <w:lang w:val="es-CO" w:eastAsia="es-CO"/>
              </w:rPr>
            </w:pPr>
          </w:p>
        </w:tc>
        <w:tc>
          <w:tcPr>
            <w:tcW w:w="1483" w:type="dxa"/>
            <w:shd w:val="clear" w:color="000000" w:fill="FFFFFF"/>
            <w:noWrap/>
            <w:vAlign w:val="center"/>
            <w:hideMark/>
          </w:tcPr>
          <w:p w:rsidR="003D510B" w:rsidRPr="000A17D7" w:rsidRDefault="003D510B" w:rsidP="00A743D9">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w:t>
            </w:r>
            <w:r>
              <w:rPr>
                <w:rFonts w:ascii="Arial" w:hAnsi="Arial" w:cs="Arial"/>
                <w:snapToGrid/>
                <w:color w:val="000000"/>
                <w:sz w:val="18"/>
                <w:szCs w:val="18"/>
                <w:lang w:val="es-CO" w:eastAsia="es-CO"/>
              </w:rPr>
              <w:t>01</w:t>
            </w:r>
            <w:r w:rsidRPr="000A17D7">
              <w:rPr>
                <w:rFonts w:ascii="Arial" w:hAnsi="Arial" w:cs="Arial"/>
                <w:snapToGrid/>
                <w:color w:val="000000"/>
                <w:sz w:val="18"/>
                <w:szCs w:val="18"/>
                <w:lang w:val="es-CO" w:eastAsia="es-CO"/>
              </w:rPr>
              <w:t>5</w:t>
            </w:r>
          </w:p>
        </w:tc>
        <w:tc>
          <w:tcPr>
            <w:tcW w:w="5245" w:type="dxa"/>
            <w:shd w:val="clear" w:color="000000" w:fill="FFFFFF"/>
            <w:hideMark/>
          </w:tcPr>
          <w:p w:rsidR="003D510B" w:rsidRPr="000A17D7" w:rsidRDefault="003D510B" w:rsidP="005426D8">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 xml:space="preserve">Valor de las </w:t>
            </w:r>
            <w:r w:rsidRPr="0002140A">
              <w:rPr>
                <w:rFonts w:ascii="Arial" w:hAnsi="Arial" w:cs="Arial"/>
                <w:snapToGrid/>
                <w:color w:val="000000"/>
                <w:sz w:val="18"/>
                <w:szCs w:val="18"/>
                <w:lang w:val="es-CO" w:eastAsia="es-CO"/>
              </w:rPr>
              <w:t>acciones con dividendo preferencial</w:t>
            </w:r>
            <w:r w:rsidRPr="000A17D7">
              <w:rPr>
                <w:rFonts w:ascii="Arial" w:hAnsi="Arial" w:cs="Arial"/>
                <w:snapToGrid/>
                <w:color w:val="000000"/>
                <w:sz w:val="18"/>
                <w:szCs w:val="18"/>
                <w:lang w:val="es-CO" w:eastAsia="es-CO"/>
              </w:rPr>
              <w:t xml:space="preserve"> y sin derecho a voto suscritas y pagadas, reconocidas por la SFC como PBO de conformidad con los artículos 2.1.1.1.6 y 2.1.1.1.7 del Decreto 2555 de 2010.</w:t>
            </w:r>
          </w:p>
        </w:tc>
        <w:tc>
          <w:tcPr>
            <w:tcW w:w="2056" w:type="dxa"/>
            <w:shd w:val="clear" w:color="000000" w:fill="FFFFFF"/>
            <w:noWrap/>
            <w:vAlign w:val="center"/>
            <w:hideMark/>
          </w:tcPr>
          <w:p w:rsidR="003D510B" w:rsidRPr="000A17D7" w:rsidRDefault="003D510B" w:rsidP="005426D8">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3D510B" w:rsidRPr="000A17D7" w:rsidTr="00C347A7">
        <w:trPr>
          <w:gridAfter w:val="1"/>
          <w:wAfter w:w="13" w:type="dxa"/>
          <w:trHeight w:val="70"/>
          <w:jc w:val="center"/>
        </w:trPr>
        <w:tc>
          <w:tcPr>
            <w:tcW w:w="1064" w:type="dxa"/>
            <w:vMerge/>
            <w:shd w:val="clear" w:color="000000" w:fill="FFFFFF"/>
            <w:noWrap/>
            <w:vAlign w:val="center"/>
            <w:hideMark/>
          </w:tcPr>
          <w:p w:rsidR="003D510B" w:rsidRPr="000A17D7" w:rsidRDefault="003D510B" w:rsidP="00A62A0A">
            <w:pPr>
              <w:jc w:val="center"/>
              <w:rPr>
                <w:rFonts w:ascii="Arial" w:hAnsi="Arial" w:cs="Arial"/>
                <w:snapToGrid/>
                <w:color w:val="000000"/>
                <w:sz w:val="18"/>
                <w:szCs w:val="18"/>
                <w:lang w:val="es-CO" w:eastAsia="es-CO"/>
              </w:rPr>
            </w:pPr>
          </w:p>
        </w:tc>
        <w:tc>
          <w:tcPr>
            <w:tcW w:w="1483" w:type="dxa"/>
            <w:shd w:val="clear" w:color="000000" w:fill="FFFFFF"/>
            <w:noWrap/>
            <w:hideMark/>
          </w:tcPr>
          <w:p w:rsidR="003D510B" w:rsidRPr="000A17D7" w:rsidRDefault="003D510B" w:rsidP="00A62A0A">
            <w:pPr>
              <w:jc w:val="center"/>
              <w:rPr>
                <w:rFonts w:ascii="Arial" w:hAnsi="Arial" w:cs="Arial"/>
                <w:sz w:val="18"/>
                <w:szCs w:val="18"/>
              </w:rPr>
            </w:pPr>
            <w:r w:rsidRPr="000A17D7">
              <w:rPr>
                <w:rFonts w:ascii="Arial" w:hAnsi="Arial" w:cs="Arial"/>
                <w:snapToGrid/>
                <w:color w:val="000000"/>
                <w:sz w:val="18"/>
                <w:szCs w:val="18"/>
                <w:lang w:val="es-CO" w:eastAsia="es-CO"/>
              </w:rPr>
              <w:t>+</w:t>
            </w:r>
            <w:r>
              <w:rPr>
                <w:rFonts w:ascii="Arial" w:hAnsi="Arial" w:cs="Arial"/>
                <w:snapToGrid/>
                <w:color w:val="000000"/>
                <w:sz w:val="18"/>
                <w:szCs w:val="18"/>
                <w:lang w:val="es-CO" w:eastAsia="es-CO"/>
              </w:rPr>
              <w:t>020</w:t>
            </w:r>
          </w:p>
        </w:tc>
        <w:tc>
          <w:tcPr>
            <w:tcW w:w="5245" w:type="dxa"/>
            <w:shd w:val="clear" w:color="000000" w:fill="FFFFFF"/>
            <w:hideMark/>
          </w:tcPr>
          <w:p w:rsidR="003D510B" w:rsidRPr="000A17D7" w:rsidRDefault="003D510B" w:rsidP="00A62A0A">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 xml:space="preserve">Valor de los dividendos decretados pagaderos en acciones a las que se refiere </w:t>
            </w:r>
            <w:r w:rsidRPr="000B416C">
              <w:rPr>
                <w:rFonts w:ascii="Arial" w:hAnsi="Arial" w:cs="Arial"/>
                <w:snapToGrid/>
                <w:color w:val="000000"/>
                <w:sz w:val="18"/>
                <w:szCs w:val="18"/>
                <w:lang w:val="es-CO" w:eastAsia="es-CO"/>
              </w:rPr>
              <w:t xml:space="preserve">la </w:t>
            </w:r>
            <w:r w:rsidRPr="00736753">
              <w:rPr>
                <w:rFonts w:ascii="Arial" w:hAnsi="Arial" w:cs="Arial"/>
                <w:snapToGrid/>
                <w:color w:val="000000"/>
                <w:sz w:val="18"/>
                <w:szCs w:val="18"/>
                <w:lang w:val="es-CO" w:eastAsia="es-CO"/>
              </w:rPr>
              <w:t>subcuenta 005</w:t>
            </w:r>
            <w:r w:rsidR="00EB40B2">
              <w:rPr>
                <w:rFonts w:ascii="Arial" w:hAnsi="Arial" w:cs="Arial"/>
                <w:snapToGrid/>
                <w:color w:val="000000"/>
                <w:sz w:val="18"/>
                <w:szCs w:val="18"/>
                <w:lang w:val="es-CO" w:eastAsia="es-CO"/>
              </w:rPr>
              <w:t xml:space="preserve"> de la unidad de captura 01</w:t>
            </w:r>
            <w:r w:rsidRPr="00736753">
              <w:rPr>
                <w:rFonts w:ascii="Arial" w:hAnsi="Arial" w:cs="Arial"/>
                <w:snapToGrid/>
                <w:color w:val="000000"/>
                <w:sz w:val="18"/>
                <w:szCs w:val="18"/>
                <w:lang w:val="es-CO" w:eastAsia="es-CO"/>
              </w:rPr>
              <w:t>.</w:t>
            </w:r>
          </w:p>
        </w:tc>
        <w:tc>
          <w:tcPr>
            <w:tcW w:w="2056" w:type="dxa"/>
            <w:shd w:val="clear" w:color="000000" w:fill="FFFFFF"/>
            <w:noWrap/>
            <w:vAlign w:val="center"/>
            <w:hideMark/>
          </w:tcPr>
          <w:p w:rsidR="003D510B" w:rsidRPr="000A17D7" w:rsidRDefault="003D510B" w:rsidP="00A62A0A">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3D510B" w:rsidRPr="000A17D7" w:rsidTr="00C347A7">
        <w:trPr>
          <w:gridAfter w:val="1"/>
          <w:wAfter w:w="13" w:type="dxa"/>
          <w:trHeight w:val="362"/>
          <w:jc w:val="center"/>
        </w:trPr>
        <w:tc>
          <w:tcPr>
            <w:tcW w:w="1064" w:type="dxa"/>
            <w:vMerge/>
            <w:shd w:val="clear" w:color="000000" w:fill="FFFFFF"/>
            <w:noWrap/>
            <w:vAlign w:val="center"/>
            <w:hideMark/>
          </w:tcPr>
          <w:p w:rsidR="003D510B" w:rsidRPr="000A17D7" w:rsidRDefault="003D510B" w:rsidP="00A62A0A">
            <w:pPr>
              <w:jc w:val="center"/>
              <w:rPr>
                <w:rFonts w:ascii="Arial" w:hAnsi="Arial" w:cs="Arial"/>
                <w:snapToGrid/>
                <w:color w:val="000000"/>
                <w:sz w:val="18"/>
                <w:szCs w:val="18"/>
                <w:lang w:val="es-CO" w:eastAsia="es-CO"/>
              </w:rPr>
            </w:pPr>
          </w:p>
        </w:tc>
        <w:tc>
          <w:tcPr>
            <w:tcW w:w="1483" w:type="dxa"/>
            <w:shd w:val="clear" w:color="000000" w:fill="FFFFFF"/>
            <w:noWrap/>
            <w:hideMark/>
          </w:tcPr>
          <w:p w:rsidR="003D510B" w:rsidRPr="000A17D7" w:rsidRDefault="003D510B" w:rsidP="00A62A0A">
            <w:pPr>
              <w:jc w:val="center"/>
              <w:rPr>
                <w:rFonts w:ascii="Arial" w:hAnsi="Arial" w:cs="Arial"/>
                <w:sz w:val="18"/>
                <w:szCs w:val="18"/>
              </w:rPr>
            </w:pPr>
            <w:r w:rsidRPr="000A17D7">
              <w:rPr>
                <w:rFonts w:ascii="Arial" w:hAnsi="Arial" w:cs="Arial"/>
                <w:snapToGrid/>
                <w:color w:val="000000"/>
                <w:sz w:val="18"/>
                <w:szCs w:val="18"/>
                <w:lang w:val="es-CO" w:eastAsia="es-CO"/>
              </w:rPr>
              <w:t>+</w:t>
            </w:r>
            <w:r>
              <w:rPr>
                <w:rFonts w:ascii="Arial" w:hAnsi="Arial" w:cs="Arial"/>
                <w:snapToGrid/>
                <w:color w:val="000000"/>
                <w:sz w:val="18"/>
                <w:szCs w:val="18"/>
                <w:lang w:val="es-CO" w:eastAsia="es-CO"/>
              </w:rPr>
              <w:t>025</w:t>
            </w:r>
          </w:p>
        </w:tc>
        <w:tc>
          <w:tcPr>
            <w:tcW w:w="5245" w:type="dxa"/>
            <w:shd w:val="clear" w:color="000000" w:fill="FFFFFF"/>
            <w:hideMark/>
          </w:tcPr>
          <w:p w:rsidR="003D510B" w:rsidRPr="000A17D7" w:rsidRDefault="003D510B" w:rsidP="00A62A0A">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 xml:space="preserve">Valor de los dividendos decretados pagaderos en acciones a las que se refiere la </w:t>
            </w:r>
            <w:r w:rsidRPr="00736753">
              <w:rPr>
                <w:rFonts w:ascii="Arial" w:hAnsi="Arial" w:cs="Arial"/>
                <w:snapToGrid/>
                <w:color w:val="000000"/>
                <w:sz w:val="18"/>
                <w:szCs w:val="18"/>
                <w:lang w:val="es-CO" w:eastAsia="es-CO"/>
              </w:rPr>
              <w:t>subcuenta 010</w:t>
            </w:r>
            <w:r w:rsidR="00EB40B2">
              <w:rPr>
                <w:rFonts w:ascii="Arial" w:hAnsi="Arial" w:cs="Arial"/>
                <w:snapToGrid/>
                <w:color w:val="000000"/>
                <w:sz w:val="18"/>
                <w:szCs w:val="18"/>
                <w:lang w:val="es-CO" w:eastAsia="es-CO"/>
              </w:rPr>
              <w:t xml:space="preserve"> de la unidad de captura 01</w:t>
            </w:r>
            <w:r w:rsidRPr="00736753">
              <w:rPr>
                <w:rFonts w:ascii="Arial" w:hAnsi="Arial" w:cs="Arial"/>
                <w:snapToGrid/>
                <w:color w:val="000000"/>
                <w:sz w:val="18"/>
                <w:szCs w:val="18"/>
                <w:lang w:val="es-CO" w:eastAsia="es-CO"/>
              </w:rPr>
              <w:t>.</w:t>
            </w:r>
          </w:p>
        </w:tc>
        <w:tc>
          <w:tcPr>
            <w:tcW w:w="2056" w:type="dxa"/>
            <w:shd w:val="clear" w:color="000000" w:fill="FFFFFF"/>
            <w:noWrap/>
            <w:vAlign w:val="center"/>
            <w:hideMark/>
          </w:tcPr>
          <w:p w:rsidR="003D510B" w:rsidRPr="000A17D7" w:rsidRDefault="003D510B" w:rsidP="00A62A0A">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3D510B" w:rsidRPr="000A17D7" w:rsidTr="00C347A7">
        <w:trPr>
          <w:gridAfter w:val="1"/>
          <w:wAfter w:w="13" w:type="dxa"/>
          <w:trHeight w:val="390"/>
          <w:jc w:val="center"/>
        </w:trPr>
        <w:tc>
          <w:tcPr>
            <w:tcW w:w="1064" w:type="dxa"/>
            <w:vMerge/>
            <w:shd w:val="clear" w:color="000000" w:fill="FFFFFF"/>
            <w:noWrap/>
            <w:vAlign w:val="center"/>
            <w:hideMark/>
          </w:tcPr>
          <w:p w:rsidR="003D510B" w:rsidRPr="000A17D7" w:rsidRDefault="003D510B" w:rsidP="00A62A0A">
            <w:pPr>
              <w:jc w:val="center"/>
              <w:rPr>
                <w:rFonts w:ascii="Arial" w:hAnsi="Arial" w:cs="Arial"/>
                <w:snapToGrid/>
                <w:color w:val="000000"/>
                <w:sz w:val="18"/>
                <w:szCs w:val="18"/>
                <w:lang w:val="es-CO" w:eastAsia="es-CO"/>
              </w:rPr>
            </w:pPr>
          </w:p>
        </w:tc>
        <w:tc>
          <w:tcPr>
            <w:tcW w:w="1483" w:type="dxa"/>
            <w:shd w:val="clear" w:color="000000" w:fill="FFFFFF"/>
            <w:noWrap/>
            <w:hideMark/>
          </w:tcPr>
          <w:p w:rsidR="003D510B" w:rsidRPr="000A17D7" w:rsidRDefault="003D510B" w:rsidP="00A62A0A">
            <w:pPr>
              <w:jc w:val="center"/>
              <w:rPr>
                <w:rFonts w:ascii="Arial" w:hAnsi="Arial" w:cs="Arial"/>
                <w:sz w:val="18"/>
                <w:szCs w:val="18"/>
              </w:rPr>
            </w:pPr>
            <w:r w:rsidRPr="000A17D7">
              <w:rPr>
                <w:rFonts w:ascii="Arial" w:hAnsi="Arial" w:cs="Arial"/>
                <w:snapToGrid/>
                <w:color w:val="000000"/>
                <w:sz w:val="18"/>
                <w:szCs w:val="18"/>
                <w:lang w:val="es-CO" w:eastAsia="es-CO"/>
              </w:rPr>
              <w:t>+</w:t>
            </w:r>
            <w:r>
              <w:rPr>
                <w:rFonts w:ascii="Arial" w:hAnsi="Arial" w:cs="Arial"/>
                <w:snapToGrid/>
                <w:color w:val="000000"/>
                <w:sz w:val="18"/>
                <w:szCs w:val="18"/>
                <w:lang w:val="es-CO" w:eastAsia="es-CO"/>
              </w:rPr>
              <w:t>030</w:t>
            </w:r>
            <w:r w:rsidR="000A6B05">
              <w:rPr>
                <w:rFonts w:ascii="Arial" w:hAnsi="Arial" w:cs="Arial"/>
                <w:snapToGrid/>
                <w:color w:val="000000"/>
                <w:sz w:val="18"/>
                <w:szCs w:val="18"/>
                <w:lang w:val="es-CO" w:eastAsia="es-CO"/>
              </w:rPr>
              <w:t xml:space="preserve"> </w:t>
            </w:r>
          </w:p>
        </w:tc>
        <w:tc>
          <w:tcPr>
            <w:tcW w:w="5245" w:type="dxa"/>
            <w:shd w:val="clear" w:color="000000" w:fill="FFFFFF"/>
            <w:hideMark/>
          </w:tcPr>
          <w:p w:rsidR="003D510B" w:rsidRPr="000A17D7" w:rsidRDefault="003D510B" w:rsidP="00A62A0A">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 xml:space="preserve">Valor de los dividendos decretados pagaderos en acciones a las que se refiere la </w:t>
            </w:r>
            <w:r w:rsidRPr="00316FE8">
              <w:rPr>
                <w:rFonts w:ascii="Arial" w:hAnsi="Arial" w:cs="Arial"/>
                <w:snapToGrid/>
                <w:color w:val="000000"/>
                <w:sz w:val="18"/>
                <w:szCs w:val="18"/>
                <w:lang w:val="es-CO" w:eastAsia="es-CO"/>
              </w:rPr>
              <w:t>subcuenta 015</w:t>
            </w:r>
            <w:r w:rsidR="00EB40B2">
              <w:rPr>
                <w:rFonts w:ascii="Arial" w:hAnsi="Arial" w:cs="Arial"/>
                <w:snapToGrid/>
                <w:color w:val="000000"/>
                <w:sz w:val="18"/>
                <w:szCs w:val="18"/>
                <w:lang w:val="es-CO" w:eastAsia="es-CO"/>
              </w:rPr>
              <w:t xml:space="preserve"> de la unidad de captura 01</w:t>
            </w:r>
            <w:r w:rsidRPr="00316FE8">
              <w:rPr>
                <w:rFonts w:ascii="Arial" w:hAnsi="Arial" w:cs="Arial"/>
                <w:snapToGrid/>
                <w:color w:val="000000"/>
                <w:sz w:val="18"/>
                <w:szCs w:val="18"/>
                <w:lang w:val="es-CO" w:eastAsia="es-CO"/>
              </w:rPr>
              <w:t>.</w:t>
            </w:r>
          </w:p>
        </w:tc>
        <w:tc>
          <w:tcPr>
            <w:tcW w:w="2056" w:type="dxa"/>
            <w:shd w:val="clear" w:color="000000" w:fill="FFFFFF"/>
            <w:noWrap/>
            <w:vAlign w:val="center"/>
            <w:hideMark/>
          </w:tcPr>
          <w:p w:rsidR="003D510B" w:rsidRPr="000A17D7" w:rsidRDefault="003D510B" w:rsidP="00A62A0A">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240"/>
          <w:jc w:val="center"/>
        </w:trPr>
        <w:tc>
          <w:tcPr>
            <w:tcW w:w="1064" w:type="dxa"/>
            <w:vMerge w:val="restart"/>
            <w:shd w:val="clear" w:color="000000" w:fill="FFFFFF"/>
            <w:noWrap/>
            <w:vAlign w:val="center"/>
          </w:tcPr>
          <w:p w:rsidR="00C7739E" w:rsidRPr="000A17D7" w:rsidRDefault="00C7739E" w:rsidP="007E770F">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Catálogo</w:t>
            </w:r>
          </w:p>
        </w:tc>
        <w:tc>
          <w:tcPr>
            <w:tcW w:w="1483" w:type="dxa"/>
            <w:shd w:val="clear" w:color="000000" w:fill="FFFFFF"/>
            <w:noWrap/>
            <w:vAlign w:val="center"/>
          </w:tcPr>
          <w:p w:rsidR="00C7739E" w:rsidRPr="000A17D7" w:rsidRDefault="00C7739E" w:rsidP="00F27068">
            <w:pPr>
              <w:jc w:val="center"/>
              <w:rPr>
                <w:rFonts w:ascii="Arial" w:hAnsi="Arial" w:cs="Arial"/>
                <w:color w:val="000000"/>
                <w:sz w:val="18"/>
                <w:szCs w:val="18"/>
              </w:rPr>
            </w:pPr>
            <w:r w:rsidRPr="000A17D7">
              <w:rPr>
                <w:rFonts w:ascii="Arial" w:hAnsi="Arial" w:cs="Arial"/>
                <w:color w:val="000000"/>
                <w:sz w:val="18"/>
                <w:szCs w:val="18"/>
              </w:rPr>
              <w:t>+380505</w:t>
            </w:r>
            <w:r w:rsidR="000A6B05">
              <w:rPr>
                <w:rFonts w:ascii="Arial" w:hAnsi="Arial" w:cs="Arial"/>
                <w:color w:val="000000"/>
                <w:sz w:val="18"/>
                <w:szCs w:val="18"/>
              </w:rPr>
              <w:t xml:space="preserve"> </w:t>
            </w:r>
          </w:p>
        </w:tc>
        <w:tc>
          <w:tcPr>
            <w:tcW w:w="5245" w:type="dxa"/>
            <w:shd w:val="clear" w:color="000000" w:fill="FFFFFF"/>
          </w:tcPr>
          <w:p w:rsidR="00C7739E" w:rsidRPr="000A17D7" w:rsidRDefault="00C7739E" w:rsidP="005426D8">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Prima en colocación de acciones</w:t>
            </w:r>
            <w:r w:rsidR="00C00BE5">
              <w:rPr>
                <w:rFonts w:ascii="Arial" w:hAnsi="Arial" w:cs="Arial"/>
                <w:snapToGrid/>
                <w:color w:val="000000"/>
                <w:sz w:val="18"/>
                <w:szCs w:val="18"/>
                <w:lang w:val="es-CO" w:eastAsia="es-CO"/>
              </w:rPr>
              <w:t>.</w:t>
            </w:r>
          </w:p>
        </w:tc>
        <w:tc>
          <w:tcPr>
            <w:tcW w:w="2056" w:type="dxa"/>
            <w:shd w:val="clear" w:color="000000" w:fill="FFFFFF"/>
            <w:noWrap/>
            <w:vAlign w:val="center"/>
          </w:tcPr>
          <w:p w:rsidR="00C7739E" w:rsidRPr="000A17D7" w:rsidRDefault="00C7739E" w:rsidP="005426D8">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240"/>
          <w:jc w:val="center"/>
        </w:trPr>
        <w:tc>
          <w:tcPr>
            <w:tcW w:w="1064" w:type="dxa"/>
            <w:vMerge/>
            <w:shd w:val="clear" w:color="000000" w:fill="FFFFFF"/>
            <w:noWrap/>
            <w:vAlign w:val="center"/>
          </w:tcPr>
          <w:p w:rsidR="00C7739E" w:rsidRPr="000A17D7" w:rsidRDefault="00C7739E" w:rsidP="0086452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0A17D7" w:rsidRDefault="00C7739E" w:rsidP="005426D8">
            <w:pPr>
              <w:jc w:val="center"/>
              <w:rPr>
                <w:rFonts w:ascii="Arial" w:hAnsi="Arial" w:cs="Arial"/>
                <w:color w:val="000000"/>
                <w:sz w:val="18"/>
                <w:szCs w:val="18"/>
              </w:rPr>
            </w:pPr>
            <w:r w:rsidRPr="000A17D7">
              <w:rPr>
                <w:rFonts w:ascii="Arial" w:hAnsi="Arial" w:cs="Arial"/>
                <w:color w:val="000000"/>
                <w:sz w:val="18"/>
                <w:szCs w:val="18"/>
              </w:rPr>
              <w:t>-380510</w:t>
            </w:r>
          </w:p>
        </w:tc>
        <w:tc>
          <w:tcPr>
            <w:tcW w:w="5245" w:type="dxa"/>
            <w:shd w:val="clear" w:color="000000" w:fill="FFFFFF"/>
          </w:tcPr>
          <w:p w:rsidR="00C7739E" w:rsidRPr="000A17D7" w:rsidRDefault="00C7739E" w:rsidP="005426D8">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Prima en colocación de acciones por cobrar</w:t>
            </w:r>
            <w:r w:rsidR="00C00BE5">
              <w:rPr>
                <w:rFonts w:ascii="Arial" w:hAnsi="Arial" w:cs="Arial"/>
                <w:snapToGrid/>
                <w:color w:val="000000"/>
                <w:sz w:val="18"/>
                <w:szCs w:val="18"/>
                <w:lang w:val="es-CO" w:eastAsia="es-CO"/>
              </w:rPr>
              <w:t>.</w:t>
            </w:r>
          </w:p>
        </w:tc>
        <w:tc>
          <w:tcPr>
            <w:tcW w:w="2056" w:type="dxa"/>
            <w:shd w:val="clear" w:color="000000" w:fill="FFFFFF"/>
            <w:noWrap/>
            <w:vAlign w:val="center"/>
          </w:tcPr>
          <w:p w:rsidR="00C7739E" w:rsidRPr="000A17D7" w:rsidRDefault="00C7739E" w:rsidP="005426D8">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240"/>
          <w:jc w:val="center"/>
        </w:trPr>
        <w:tc>
          <w:tcPr>
            <w:tcW w:w="1064" w:type="dxa"/>
            <w:vMerge w:val="restart"/>
            <w:shd w:val="clear" w:color="000000" w:fill="FFFFFF"/>
            <w:noWrap/>
            <w:vAlign w:val="center"/>
          </w:tcPr>
          <w:p w:rsidR="00C7739E"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F.</w:t>
            </w:r>
            <w:r>
              <w:rPr>
                <w:rFonts w:ascii="Arial" w:hAnsi="Arial" w:cs="Arial"/>
                <w:snapToGrid/>
                <w:color w:val="000000"/>
                <w:sz w:val="18"/>
                <w:szCs w:val="18"/>
                <w:lang w:val="es-CO" w:eastAsia="es-CO"/>
              </w:rPr>
              <w:t xml:space="preserve"> </w:t>
            </w:r>
            <w:r w:rsidR="00262657">
              <w:rPr>
                <w:rFonts w:ascii="Arial" w:hAnsi="Arial" w:cs="Arial"/>
                <w:snapToGrid/>
                <w:color w:val="000000"/>
                <w:sz w:val="18"/>
                <w:szCs w:val="18"/>
                <w:lang w:val="es-CO" w:eastAsia="es-CO"/>
              </w:rPr>
              <w:t>239</w:t>
            </w:r>
          </w:p>
          <w:p w:rsidR="00C7739E" w:rsidRPr="000A17D7" w:rsidRDefault="00C7739E"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Unidad de captura 01</w:t>
            </w:r>
          </w:p>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0A17D7" w:rsidRDefault="00C7739E" w:rsidP="008F0D30">
            <w:pPr>
              <w:jc w:val="center"/>
              <w:rPr>
                <w:rFonts w:ascii="Arial" w:hAnsi="Arial" w:cs="Arial"/>
                <w:color w:val="000000"/>
                <w:sz w:val="18"/>
                <w:szCs w:val="18"/>
              </w:rPr>
            </w:pPr>
            <w:r>
              <w:rPr>
                <w:rFonts w:ascii="Arial" w:hAnsi="Arial" w:cs="Arial"/>
                <w:color w:val="000000"/>
                <w:sz w:val="18"/>
                <w:szCs w:val="18"/>
              </w:rPr>
              <w:t>+040</w:t>
            </w:r>
          </w:p>
        </w:tc>
        <w:tc>
          <w:tcPr>
            <w:tcW w:w="5245" w:type="dxa"/>
            <w:shd w:val="clear" w:color="000000" w:fill="FFFFFF"/>
          </w:tcPr>
          <w:p w:rsidR="00C7739E" w:rsidRPr="00372949" w:rsidRDefault="00C7739E" w:rsidP="0014579B">
            <w:pPr>
              <w:jc w:val="both"/>
              <w:rPr>
                <w:rFonts w:ascii="Arial" w:hAnsi="Arial" w:cs="Arial"/>
                <w:snapToGrid/>
                <w:color w:val="000000"/>
                <w:sz w:val="18"/>
                <w:szCs w:val="18"/>
                <w:lang w:val="es-CO" w:eastAsia="es-CO"/>
              </w:rPr>
            </w:pPr>
            <w:r w:rsidRPr="00372949">
              <w:rPr>
                <w:rFonts w:ascii="Arial" w:hAnsi="Arial" w:cs="Arial"/>
                <w:snapToGrid/>
                <w:color w:val="000000"/>
                <w:sz w:val="18"/>
                <w:szCs w:val="18"/>
                <w:lang w:val="es-CO" w:eastAsia="es-CO"/>
              </w:rPr>
              <w:t xml:space="preserve">Prima en colocación de las acciones </w:t>
            </w:r>
            <w:r w:rsidR="0014579B">
              <w:rPr>
                <w:rFonts w:ascii="Arial" w:hAnsi="Arial" w:cs="Arial"/>
                <w:snapToGrid/>
                <w:color w:val="000000"/>
                <w:sz w:val="18"/>
                <w:szCs w:val="18"/>
                <w:lang w:val="es-CO" w:eastAsia="es-CO"/>
              </w:rPr>
              <w:t xml:space="preserve">privilegiadas y </w:t>
            </w:r>
            <w:r w:rsidR="00C347A7">
              <w:rPr>
                <w:rFonts w:ascii="Arial" w:hAnsi="Arial" w:cs="Arial"/>
                <w:snapToGrid/>
                <w:color w:val="000000"/>
                <w:sz w:val="18"/>
                <w:szCs w:val="18"/>
                <w:lang w:val="es-CO" w:eastAsia="es-CO"/>
              </w:rPr>
              <w:t xml:space="preserve">acciones </w:t>
            </w:r>
            <w:r w:rsidR="00F27068" w:rsidRPr="0002140A">
              <w:rPr>
                <w:rFonts w:ascii="Arial" w:hAnsi="Arial" w:cs="Arial"/>
                <w:snapToGrid/>
                <w:color w:val="000000"/>
                <w:sz w:val="18"/>
                <w:szCs w:val="18"/>
                <w:lang w:val="es-CO" w:eastAsia="es-CO"/>
              </w:rPr>
              <w:t>con dividendo preferencial</w:t>
            </w:r>
            <w:r w:rsidR="00F27068" w:rsidRPr="000A17D7">
              <w:rPr>
                <w:rFonts w:ascii="Arial" w:hAnsi="Arial" w:cs="Arial"/>
                <w:snapToGrid/>
                <w:color w:val="000000"/>
                <w:sz w:val="18"/>
                <w:szCs w:val="18"/>
                <w:lang w:val="es-CO" w:eastAsia="es-CO"/>
              </w:rPr>
              <w:t xml:space="preserve"> </w:t>
            </w:r>
            <w:r w:rsidRPr="00372949">
              <w:rPr>
                <w:rFonts w:ascii="Arial" w:hAnsi="Arial" w:cs="Arial"/>
                <w:snapToGrid/>
                <w:color w:val="000000"/>
                <w:sz w:val="18"/>
                <w:szCs w:val="18"/>
                <w:lang w:val="es-CO" w:eastAsia="es-CO"/>
              </w:rPr>
              <w:t>y sin derecho a voto.</w:t>
            </w:r>
          </w:p>
        </w:tc>
        <w:tc>
          <w:tcPr>
            <w:tcW w:w="2056"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100%</w:t>
            </w:r>
          </w:p>
        </w:tc>
      </w:tr>
      <w:tr w:rsidR="00C7739E" w:rsidRPr="000A17D7" w:rsidTr="00C347A7">
        <w:trPr>
          <w:gridAfter w:val="1"/>
          <w:wAfter w:w="13" w:type="dxa"/>
          <w:trHeight w:val="240"/>
          <w:jc w:val="center"/>
        </w:trPr>
        <w:tc>
          <w:tcPr>
            <w:tcW w:w="1064" w:type="dxa"/>
            <w:vMerge/>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0A17D7" w:rsidRDefault="00C7739E" w:rsidP="008F0D30">
            <w:pPr>
              <w:jc w:val="center"/>
              <w:rPr>
                <w:rFonts w:ascii="Arial" w:hAnsi="Arial" w:cs="Arial"/>
                <w:color w:val="000000"/>
                <w:sz w:val="18"/>
                <w:szCs w:val="18"/>
              </w:rPr>
            </w:pPr>
            <w:r w:rsidRPr="000A17D7">
              <w:rPr>
                <w:rFonts w:ascii="Arial" w:hAnsi="Arial" w:cs="Arial"/>
                <w:color w:val="000000"/>
                <w:sz w:val="18"/>
                <w:szCs w:val="18"/>
              </w:rPr>
              <w:t>-</w:t>
            </w:r>
            <w:r>
              <w:rPr>
                <w:rFonts w:ascii="Arial" w:hAnsi="Arial" w:cs="Arial"/>
                <w:color w:val="000000"/>
                <w:sz w:val="18"/>
                <w:szCs w:val="18"/>
              </w:rPr>
              <w:t>045</w:t>
            </w:r>
          </w:p>
        </w:tc>
        <w:tc>
          <w:tcPr>
            <w:tcW w:w="5245" w:type="dxa"/>
            <w:shd w:val="clear" w:color="000000" w:fill="FFFFFF"/>
          </w:tcPr>
          <w:p w:rsidR="00C7739E" w:rsidRPr="000A17D7" w:rsidRDefault="00C7739E" w:rsidP="0014579B">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Valor de la prima en colocación de acciones que no haya</w:t>
            </w:r>
            <w:r w:rsidR="00532A60">
              <w:rPr>
                <w:rFonts w:ascii="Arial" w:hAnsi="Arial" w:cs="Arial"/>
                <w:snapToGrid/>
                <w:color w:val="000000"/>
                <w:sz w:val="18"/>
                <w:szCs w:val="18"/>
                <w:lang w:val="es-CO" w:eastAsia="es-CO"/>
              </w:rPr>
              <w:t>n</w:t>
            </w:r>
            <w:r w:rsidRPr="000A17D7">
              <w:rPr>
                <w:rFonts w:ascii="Arial" w:hAnsi="Arial" w:cs="Arial"/>
                <w:snapToGrid/>
                <w:color w:val="000000"/>
                <w:sz w:val="18"/>
                <w:szCs w:val="18"/>
                <w:lang w:val="es-CO" w:eastAsia="es-CO"/>
              </w:rPr>
              <w:t xml:space="preserve"> sido reconocida</w:t>
            </w:r>
            <w:r w:rsidR="00532A60">
              <w:rPr>
                <w:rFonts w:ascii="Arial" w:hAnsi="Arial" w:cs="Arial"/>
                <w:snapToGrid/>
                <w:color w:val="000000"/>
                <w:sz w:val="18"/>
                <w:szCs w:val="18"/>
                <w:lang w:val="es-CO" w:eastAsia="es-CO"/>
              </w:rPr>
              <w:t>s</w:t>
            </w:r>
            <w:r w:rsidRPr="000A17D7">
              <w:rPr>
                <w:rFonts w:ascii="Arial" w:hAnsi="Arial" w:cs="Arial"/>
                <w:snapToGrid/>
                <w:color w:val="000000"/>
                <w:sz w:val="18"/>
                <w:szCs w:val="18"/>
                <w:lang w:val="es-CO" w:eastAsia="es-CO"/>
              </w:rPr>
              <w:t xml:space="preserve"> por la SFC en el Patrimonio Técnico en virtud de los artículos 2.1.1.1.6, 2.1.1.1.7 y 2.1.1.1.8 del Decreto 2555 de 2010</w:t>
            </w:r>
            <w:r w:rsidR="00C00BE5">
              <w:rPr>
                <w:rFonts w:ascii="Arial" w:hAnsi="Arial" w:cs="Arial"/>
                <w:snapToGrid/>
                <w:color w:val="000000"/>
                <w:sz w:val="18"/>
                <w:szCs w:val="18"/>
                <w:lang w:val="es-CO" w:eastAsia="es-CO"/>
              </w:rPr>
              <w:t>.</w:t>
            </w:r>
          </w:p>
        </w:tc>
        <w:tc>
          <w:tcPr>
            <w:tcW w:w="2056"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159"/>
          <w:jc w:val="center"/>
        </w:trPr>
        <w:tc>
          <w:tcPr>
            <w:tcW w:w="1064" w:type="dxa"/>
            <w:vMerge w:val="restart"/>
            <w:shd w:val="clear" w:color="000000" w:fill="FFFFFF"/>
            <w:noWrap/>
          </w:tcPr>
          <w:p w:rsidR="00C7739E" w:rsidRDefault="00C7739E" w:rsidP="008F0D30">
            <w:pPr>
              <w:jc w:val="center"/>
              <w:rPr>
                <w:rFonts w:ascii="Arial" w:hAnsi="Arial" w:cs="Arial"/>
                <w:snapToGrid/>
                <w:color w:val="000000"/>
                <w:sz w:val="18"/>
                <w:szCs w:val="18"/>
                <w:lang w:val="es-CO" w:eastAsia="es-CO"/>
              </w:rPr>
            </w:pPr>
          </w:p>
          <w:p w:rsidR="00C7739E" w:rsidRPr="000A17D7" w:rsidRDefault="00C7739E" w:rsidP="00E15717">
            <w:pPr>
              <w:rPr>
                <w:rFonts w:ascii="Arial" w:hAnsi="Arial" w:cs="Arial"/>
                <w:sz w:val="18"/>
                <w:szCs w:val="18"/>
              </w:rPr>
            </w:pPr>
            <w:r w:rsidRPr="000A17D7">
              <w:rPr>
                <w:rFonts w:ascii="Arial" w:hAnsi="Arial" w:cs="Arial"/>
                <w:snapToGrid/>
                <w:color w:val="000000"/>
                <w:sz w:val="18"/>
                <w:szCs w:val="18"/>
                <w:lang w:val="es-CO" w:eastAsia="es-CO"/>
              </w:rPr>
              <w:t>Catálogo</w:t>
            </w:r>
          </w:p>
          <w:p w:rsidR="00C7739E" w:rsidRPr="000A17D7" w:rsidRDefault="00C7739E" w:rsidP="008F0D30">
            <w:pPr>
              <w:jc w:val="center"/>
              <w:rPr>
                <w:rFonts w:ascii="Arial" w:hAnsi="Arial" w:cs="Arial"/>
                <w:sz w:val="18"/>
                <w:szCs w:val="18"/>
              </w:rPr>
            </w:pPr>
          </w:p>
        </w:tc>
        <w:tc>
          <w:tcPr>
            <w:tcW w:w="1483" w:type="dxa"/>
            <w:shd w:val="clear" w:color="000000" w:fill="FFFFFF"/>
            <w:noWrap/>
            <w:vAlign w:val="bottom"/>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color w:val="000000"/>
                <w:sz w:val="18"/>
                <w:szCs w:val="18"/>
              </w:rPr>
              <w:t>+320500</w:t>
            </w:r>
          </w:p>
        </w:tc>
        <w:tc>
          <w:tcPr>
            <w:tcW w:w="5245" w:type="dxa"/>
            <w:shd w:val="clear" w:color="000000" w:fill="FFFFFF"/>
            <w:vAlign w:val="bottom"/>
          </w:tcPr>
          <w:p w:rsidR="00C7739E" w:rsidRPr="000A17D7" w:rsidRDefault="00C7739E" w:rsidP="008F0D30">
            <w:pPr>
              <w:jc w:val="both"/>
              <w:rPr>
                <w:rFonts w:ascii="Arial" w:hAnsi="Arial" w:cs="Arial"/>
                <w:color w:val="000000"/>
                <w:sz w:val="18"/>
                <w:szCs w:val="18"/>
              </w:rPr>
            </w:pPr>
            <w:r w:rsidRPr="000A17D7">
              <w:rPr>
                <w:rFonts w:ascii="Arial" w:hAnsi="Arial" w:cs="Arial"/>
                <w:snapToGrid/>
                <w:color w:val="000000"/>
                <w:sz w:val="18"/>
                <w:szCs w:val="18"/>
                <w:lang w:val="es-CO" w:eastAsia="es-CO"/>
              </w:rPr>
              <w:t>Reserva legal (</w:t>
            </w:r>
            <w:r>
              <w:rPr>
                <w:rFonts w:ascii="Arial" w:hAnsi="Arial" w:cs="Arial"/>
                <w:snapToGrid/>
                <w:color w:val="000000"/>
                <w:sz w:val="18"/>
                <w:szCs w:val="18"/>
                <w:lang w:val="es-CO" w:eastAsia="es-CO"/>
              </w:rPr>
              <w:t>incluye l</w:t>
            </w:r>
            <w:r w:rsidRPr="000A17D7">
              <w:rPr>
                <w:rFonts w:ascii="Arial" w:hAnsi="Arial" w:cs="Arial"/>
                <w:snapToGrid/>
                <w:color w:val="000000"/>
                <w:sz w:val="18"/>
                <w:szCs w:val="18"/>
                <w:lang w:val="es-CO" w:eastAsia="es-CO"/>
              </w:rPr>
              <w:t>a reserva de protección de los aportes sociales descrita en el artículo 54 de la Ley 79 de 1988)</w:t>
            </w:r>
            <w:r w:rsidR="00C00BE5">
              <w:rPr>
                <w:rFonts w:ascii="Arial" w:hAnsi="Arial" w:cs="Arial"/>
                <w:snapToGrid/>
                <w:color w:val="000000"/>
                <w:sz w:val="18"/>
                <w:szCs w:val="18"/>
                <w:lang w:val="es-CO" w:eastAsia="es-CO"/>
              </w:rPr>
              <w:t>.</w:t>
            </w:r>
          </w:p>
        </w:tc>
        <w:tc>
          <w:tcPr>
            <w:tcW w:w="2056"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222"/>
          <w:jc w:val="center"/>
        </w:trPr>
        <w:tc>
          <w:tcPr>
            <w:tcW w:w="1064" w:type="dxa"/>
            <w:vMerge/>
            <w:shd w:val="clear" w:color="000000" w:fill="FFFFFF"/>
            <w:noWrap/>
          </w:tcPr>
          <w:p w:rsidR="00C7739E" w:rsidRPr="000A17D7" w:rsidRDefault="00C7739E" w:rsidP="008F0D30">
            <w:pPr>
              <w:jc w:val="center"/>
              <w:rPr>
                <w:rFonts w:ascii="Arial" w:hAnsi="Arial" w:cs="Arial"/>
                <w:sz w:val="18"/>
                <w:szCs w:val="18"/>
              </w:rPr>
            </w:pPr>
          </w:p>
        </w:tc>
        <w:tc>
          <w:tcPr>
            <w:tcW w:w="1483"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color w:val="000000"/>
                <w:sz w:val="18"/>
                <w:szCs w:val="18"/>
              </w:rPr>
              <w:t>+321500</w:t>
            </w:r>
          </w:p>
        </w:tc>
        <w:tc>
          <w:tcPr>
            <w:tcW w:w="5245" w:type="dxa"/>
            <w:shd w:val="clear" w:color="000000" w:fill="FFFFFF"/>
          </w:tcPr>
          <w:p w:rsidR="00C7739E" w:rsidRPr="000A17D7" w:rsidRDefault="00C7739E" w:rsidP="008F0D30">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Reservas ocasionales</w:t>
            </w:r>
            <w:r w:rsidR="00C00BE5">
              <w:rPr>
                <w:rFonts w:ascii="Arial" w:hAnsi="Arial" w:cs="Arial"/>
                <w:snapToGrid/>
                <w:color w:val="000000"/>
                <w:sz w:val="18"/>
                <w:szCs w:val="18"/>
                <w:lang w:val="es-CO" w:eastAsia="es-CO"/>
              </w:rPr>
              <w:t>.</w:t>
            </w:r>
          </w:p>
        </w:tc>
        <w:tc>
          <w:tcPr>
            <w:tcW w:w="2056" w:type="dxa"/>
            <w:shd w:val="clear" w:color="000000" w:fill="FFFFFF"/>
            <w:noWrap/>
          </w:tcPr>
          <w:p w:rsidR="00C7739E" w:rsidRPr="000A17D7" w:rsidRDefault="00C7739E" w:rsidP="008F0D30">
            <w:pPr>
              <w:jc w:val="center"/>
              <w:rPr>
                <w:rFonts w:ascii="Arial" w:hAnsi="Arial" w:cs="Arial"/>
                <w:sz w:val="18"/>
                <w:szCs w:val="18"/>
              </w:rPr>
            </w:pPr>
            <w:r w:rsidRPr="000A17D7">
              <w:rPr>
                <w:rFonts w:ascii="Arial" w:hAnsi="Arial" w:cs="Arial"/>
                <w:snapToGrid/>
                <w:color w:val="000000"/>
                <w:sz w:val="18"/>
                <w:szCs w:val="18"/>
                <w:lang w:val="es-CO" w:eastAsia="es-CO"/>
              </w:rPr>
              <w:t>100%</w:t>
            </w:r>
          </w:p>
        </w:tc>
      </w:tr>
      <w:tr w:rsidR="008F0D30" w:rsidRPr="000A17D7" w:rsidTr="00C347A7">
        <w:trPr>
          <w:gridAfter w:val="1"/>
          <w:wAfter w:w="13" w:type="dxa"/>
          <w:trHeight w:val="222"/>
          <w:jc w:val="center"/>
        </w:trPr>
        <w:tc>
          <w:tcPr>
            <w:tcW w:w="1064" w:type="dxa"/>
            <w:shd w:val="clear" w:color="000000" w:fill="FFFFFF"/>
            <w:noWrap/>
            <w:vAlign w:val="bottom"/>
            <w:hideMark/>
          </w:tcPr>
          <w:p w:rsidR="008F0D30" w:rsidRDefault="008F0D30"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F.</w:t>
            </w:r>
            <w:r>
              <w:rPr>
                <w:rFonts w:ascii="Arial" w:hAnsi="Arial" w:cs="Arial"/>
                <w:snapToGrid/>
                <w:color w:val="000000"/>
                <w:sz w:val="18"/>
                <w:szCs w:val="18"/>
                <w:lang w:val="es-CO" w:eastAsia="es-CO"/>
              </w:rPr>
              <w:t xml:space="preserve"> </w:t>
            </w:r>
            <w:r w:rsidR="00262657">
              <w:rPr>
                <w:rFonts w:ascii="Arial" w:hAnsi="Arial" w:cs="Arial"/>
                <w:snapToGrid/>
                <w:color w:val="000000"/>
                <w:sz w:val="18"/>
                <w:szCs w:val="18"/>
                <w:lang w:val="es-CO" w:eastAsia="es-CO"/>
              </w:rPr>
              <w:t>239</w:t>
            </w:r>
          </w:p>
          <w:p w:rsidR="00CE7C5C" w:rsidRDefault="008F0D30"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Unidad de captura 01</w:t>
            </w:r>
          </w:p>
          <w:p w:rsidR="00326617" w:rsidRDefault="00326617" w:rsidP="008F0D30">
            <w:pPr>
              <w:jc w:val="center"/>
              <w:rPr>
                <w:rFonts w:ascii="Arial" w:hAnsi="Arial" w:cs="Arial"/>
                <w:snapToGrid/>
                <w:color w:val="000000"/>
                <w:sz w:val="18"/>
                <w:szCs w:val="18"/>
                <w:lang w:val="es-CO" w:eastAsia="es-CO"/>
              </w:rPr>
            </w:pPr>
          </w:p>
          <w:p w:rsidR="00326617" w:rsidRDefault="00326617" w:rsidP="008F0D30">
            <w:pPr>
              <w:jc w:val="center"/>
              <w:rPr>
                <w:rFonts w:ascii="Arial" w:hAnsi="Arial" w:cs="Arial"/>
                <w:snapToGrid/>
                <w:color w:val="000000"/>
                <w:sz w:val="18"/>
                <w:szCs w:val="18"/>
                <w:lang w:val="es-CO" w:eastAsia="es-CO"/>
              </w:rPr>
            </w:pPr>
          </w:p>
          <w:p w:rsidR="00CE7C5C" w:rsidRPr="000A17D7" w:rsidRDefault="00CE7C5C" w:rsidP="008F0D30">
            <w:pPr>
              <w:jc w:val="center"/>
              <w:rPr>
                <w:rFonts w:ascii="Arial" w:hAnsi="Arial" w:cs="Arial"/>
                <w:snapToGrid/>
                <w:color w:val="000000"/>
                <w:sz w:val="18"/>
                <w:szCs w:val="18"/>
                <w:lang w:val="es-CO" w:eastAsia="es-CO"/>
              </w:rPr>
            </w:pPr>
          </w:p>
        </w:tc>
        <w:tc>
          <w:tcPr>
            <w:tcW w:w="1483" w:type="dxa"/>
            <w:shd w:val="clear" w:color="000000" w:fill="FFFFFF"/>
            <w:noWrap/>
            <w:vAlign w:val="bottom"/>
            <w:hideMark/>
          </w:tcPr>
          <w:p w:rsidR="008F0D30" w:rsidRDefault="008F0D30" w:rsidP="008F0D30">
            <w:pPr>
              <w:jc w:val="center"/>
              <w:rPr>
                <w:rFonts w:ascii="Arial" w:hAnsi="Arial" w:cs="Arial"/>
                <w:color w:val="000000"/>
                <w:sz w:val="18"/>
                <w:szCs w:val="18"/>
              </w:rPr>
            </w:pPr>
            <w:r w:rsidRPr="000A17D7">
              <w:rPr>
                <w:rFonts w:ascii="Arial" w:hAnsi="Arial" w:cs="Arial"/>
                <w:color w:val="000000"/>
                <w:sz w:val="18"/>
                <w:szCs w:val="18"/>
              </w:rPr>
              <w:t>+</w:t>
            </w:r>
            <w:r>
              <w:rPr>
                <w:rFonts w:ascii="Arial" w:hAnsi="Arial" w:cs="Arial"/>
                <w:color w:val="000000"/>
                <w:sz w:val="18"/>
                <w:szCs w:val="18"/>
              </w:rPr>
              <w:t>06</w:t>
            </w:r>
            <w:r w:rsidR="00264222">
              <w:rPr>
                <w:rFonts w:ascii="Arial" w:hAnsi="Arial" w:cs="Arial"/>
                <w:color w:val="000000"/>
                <w:sz w:val="18"/>
                <w:szCs w:val="18"/>
              </w:rPr>
              <w:t>0</w:t>
            </w:r>
          </w:p>
          <w:p w:rsidR="00326617" w:rsidRDefault="00326617" w:rsidP="008F0D30">
            <w:pPr>
              <w:jc w:val="center"/>
              <w:rPr>
                <w:rFonts w:ascii="Arial" w:hAnsi="Arial" w:cs="Arial"/>
                <w:color w:val="000000"/>
                <w:sz w:val="18"/>
                <w:szCs w:val="18"/>
              </w:rPr>
            </w:pPr>
          </w:p>
          <w:p w:rsidR="00326617" w:rsidRDefault="00326617" w:rsidP="008F0D30">
            <w:pPr>
              <w:jc w:val="center"/>
              <w:rPr>
                <w:rFonts w:ascii="Arial" w:hAnsi="Arial" w:cs="Arial"/>
                <w:color w:val="000000"/>
                <w:sz w:val="18"/>
                <w:szCs w:val="18"/>
              </w:rPr>
            </w:pPr>
          </w:p>
          <w:p w:rsidR="00326617" w:rsidRPr="000A17D7" w:rsidRDefault="00326617" w:rsidP="008F0D30">
            <w:pPr>
              <w:jc w:val="center"/>
              <w:rPr>
                <w:rFonts w:ascii="Arial" w:hAnsi="Arial" w:cs="Arial"/>
                <w:color w:val="000000"/>
                <w:sz w:val="18"/>
                <w:szCs w:val="18"/>
              </w:rPr>
            </w:pPr>
          </w:p>
        </w:tc>
        <w:tc>
          <w:tcPr>
            <w:tcW w:w="5245" w:type="dxa"/>
            <w:shd w:val="clear" w:color="000000" w:fill="FFFFFF"/>
            <w:hideMark/>
          </w:tcPr>
          <w:p w:rsidR="008F0D30" w:rsidRPr="000A17D7" w:rsidRDefault="008F0D30" w:rsidP="008F0D30">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 xml:space="preserve">Valor de los anticipos de capital destinados al pago de una futura emisión de acciones. Los dineros así recibidos deben permanecer en esta subcuenta hasta </w:t>
            </w:r>
            <w:r>
              <w:rPr>
                <w:rFonts w:ascii="Arial" w:hAnsi="Arial" w:cs="Arial"/>
                <w:snapToGrid/>
                <w:color w:val="000000"/>
                <w:sz w:val="18"/>
                <w:szCs w:val="18"/>
                <w:lang w:val="es-CO" w:eastAsia="es-CO"/>
              </w:rPr>
              <w:t xml:space="preserve">por un término máximo de 4 </w:t>
            </w:r>
            <w:r w:rsidRPr="005C6E1A">
              <w:rPr>
                <w:rFonts w:ascii="Arial" w:hAnsi="Arial" w:cs="Arial"/>
                <w:snapToGrid/>
                <w:color w:val="000000"/>
                <w:sz w:val="18"/>
                <w:szCs w:val="18"/>
                <w:lang w:val="es-CO" w:eastAsia="es-CO"/>
              </w:rPr>
              <w:t>m</w:t>
            </w:r>
            <w:r w:rsidRPr="000A17D7">
              <w:rPr>
                <w:rFonts w:ascii="Arial" w:hAnsi="Arial" w:cs="Arial"/>
                <w:snapToGrid/>
                <w:color w:val="000000"/>
                <w:sz w:val="18"/>
                <w:szCs w:val="18"/>
                <w:lang w:val="es-CO" w:eastAsia="es-CO"/>
              </w:rPr>
              <w:t>eses contados a partir de la fecha de ingreso de los recursos al balance. Transcurrido este término, el anticipo debe dejar de computar en el PBO.</w:t>
            </w:r>
          </w:p>
        </w:tc>
        <w:tc>
          <w:tcPr>
            <w:tcW w:w="2056" w:type="dxa"/>
            <w:shd w:val="clear" w:color="000000" w:fill="FFFFFF"/>
            <w:noWrap/>
            <w:vAlign w:val="center"/>
            <w:hideMark/>
          </w:tcPr>
          <w:p w:rsidR="008F0D30" w:rsidRPr="000A17D7" w:rsidRDefault="008F0D30"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8F0D30" w:rsidRPr="000A17D7" w:rsidTr="00C347A7">
        <w:trPr>
          <w:gridAfter w:val="1"/>
          <w:wAfter w:w="13" w:type="dxa"/>
          <w:trHeight w:val="159"/>
          <w:jc w:val="center"/>
        </w:trPr>
        <w:tc>
          <w:tcPr>
            <w:tcW w:w="1064" w:type="dxa"/>
            <w:shd w:val="clear" w:color="000000" w:fill="FFFFFF"/>
            <w:noWrap/>
            <w:vAlign w:val="center"/>
          </w:tcPr>
          <w:p w:rsidR="008F0D30" w:rsidRPr="000A17D7" w:rsidRDefault="008F0D30"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lastRenderedPageBreak/>
              <w:t>Catálogo</w:t>
            </w:r>
          </w:p>
        </w:tc>
        <w:tc>
          <w:tcPr>
            <w:tcW w:w="1483" w:type="dxa"/>
            <w:shd w:val="clear" w:color="000000" w:fill="FFFFFF"/>
            <w:noWrap/>
            <w:vAlign w:val="center"/>
          </w:tcPr>
          <w:p w:rsidR="008F0D30" w:rsidRPr="000A17D7" w:rsidRDefault="008F0D30"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+810100</w:t>
            </w:r>
          </w:p>
        </w:tc>
        <w:tc>
          <w:tcPr>
            <w:tcW w:w="5245" w:type="dxa"/>
            <w:shd w:val="clear" w:color="000000" w:fill="FFFFFF"/>
          </w:tcPr>
          <w:p w:rsidR="00234CFA" w:rsidRPr="000A17D7" w:rsidRDefault="008F0D30" w:rsidP="008F0D30">
            <w:pPr>
              <w:pStyle w:val="Default"/>
              <w:jc w:val="both"/>
              <w:rPr>
                <w:sz w:val="18"/>
                <w:szCs w:val="18"/>
                <w:lang w:eastAsia="es-CO"/>
              </w:rPr>
            </w:pPr>
            <w:r w:rsidRPr="00847DA2">
              <w:rPr>
                <w:sz w:val="18"/>
                <w:szCs w:val="18"/>
                <w:lang w:eastAsia="es-CO"/>
              </w:rPr>
              <w:t>Capital garantía</w:t>
            </w:r>
          </w:p>
        </w:tc>
        <w:tc>
          <w:tcPr>
            <w:tcW w:w="2056" w:type="dxa"/>
            <w:shd w:val="clear" w:color="000000" w:fill="FFFFFF"/>
            <w:noWrap/>
            <w:vAlign w:val="center"/>
          </w:tcPr>
          <w:p w:rsidR="0000582B" w:rsidRPr="000A17D7" w:rsidRDefault="008F0D30" w:rsidP="009630BD">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8F0D30" w:rsidRPr="000A17D7" w:rsidTr="00C347A7">
        <w:trPr>
          <w:gridAfter w:val="1"/>
          <w:wAfter w:w="13" w:type="dxa"/>
          <w:trHeight w:val="1440"/>
          <w:jc w:val="center"/>
        </w:trPr>
        <w:tc>
          <w:tcPr>
            <w:tcW w:w="1064" w:type="dxa"/>
            <w:vMerge w:val="restart"/>
            <w:shd w:val="clear" w:color="000000" w:fill="FFFFFF"/>
            <w:noWrap/>
            <w:vAlign w:val="center"/>
            <w:hideMark/>
          </w:tcPr>
          <w:p w:rsidR="008F0D30" w:rsidRDefault="008F0D30"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F.</w:t>
            </w:r>
            <w:r>
              <w:rPr>
                <w:rFonts w:ascii="Arial" w:hAnsi="Arial" w:cs="Arial"/>
                <w:snapToGrid/>
                <w:color w:val="000000"/>
                <w:sz w:val="18"/>
                <w:szCs w:val="18"/>
                <w:lang w:val="es-CO" w:eastAsia="es-CO"/>
              </w:rPr>
              <w:t xml:space="preserve"> </w:t>
            </w:r>
            <w:r w:rsidR="00262657">
              <w:rPr>
                <w:rFonts w:ascii="Arial" w:hAnsi="Arial" w:cs="Arial"/>
                <w:snapToGrid/>
                <w:color w:val="000000"/>
                <w:sz w:val="18"/>
                <w:szCs w:val="18"/>
                <w:lang w:val="es-CO" w:eastAsia="es-CO"/>
              </w:rPr>
              <w:t>239</w:t>
            </w:r>
          </w:p>
          <w:p w:rsidR="008F0D30" w:rsidRPr="000A17D7" w:rsidRDefault="008F0D30"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Unidad de captura 01</w:t>
            </w:r>
          </w:p>
        </w:tc>
        <w:tc>
          <w:tcPr>
            <w:tcW w:w="1483" w:type="dxa"/>
            <w:shd w:val="clear" w:color="000000" w:fill="FFFFFF"/>
            <w:noWrap/>
            <w:vAlign w:val="center"/>
            <w:hideMark/>
          </w:tcPr>
          <w:p w:rsidR="008F0D30" w:rsidRPr="000A17D7" w:rsidRDefault="008F0D30"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+07</w:t>
            </w:r>
            <w:r w:rsidR="00264222">
              <w:rPr>
                <w:rFonts w:ascii="Arial" w:hAnsi="Arial" w:cs="Arial"/>
                <w:snapToGrid/>
                <w:color w:val="000000"/>
                <w:sz w:val="18"/>
                <w:szCs w:val="18"/>
                <w:lang w:val="es-CO" w:eastAsia="es-CO"/>
              </w:rPr>
              <w:t>0</w:t>
            </w:r>
          </w:p>
        </w:tc>
        <w:tc>
          <w:tcPr>
            <w:tcW w:w="5245" w:type="dxa"/>
            <w:shd w:val="clear" w:color="000000" w:fill="FFFFFF"/>
            <w:hideMark/>
          </w:tcPr>
          <w:p w:rsidR="00C06228" w:rsidRPr="005C6E1A" w:rsidRDefault="008F0D30" w:rsidP="008F0D30">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 xml:space="preserve">Bonos subordinados efectivamente suscritos por Fogafín con el propósito de fortalecer patrimonialmente </w:t>
            </w:r>
            <w:r w:rsidRPr="005C6E1A">
              <w:rPr>
                <w:rFonts w:ascii="Arial" w:hAnsi="Arial" w:cs="Arial"/>
                <w:snapToGrid/>
                <w:color w:val="000000"/>
                <w:sz w:val="18"/>
                <w:szCs w:val="18"/>
                <w:lang w:val="es-CO" w:eastAsia="es-CO"/>
              </w:rPr>
              <w:t>a las</w:t>
            </w:r>
            <w:r>
              <w:rPr>
                <w:rFonts w:ascii="Arial" w:hAnsi="Arial" w:cs="Arial"/>
                <w:snapToGrid/>
                <w:color w:val="000000"/>
                <w:sz w:val="18"/>
                <w:szCs w:val="18"/>
                <w:lang w:val="es-CO" w:eastAsia="es-CO"/>
              </w:rPr>
              <w:t xml:space="preserve"> </w:t>
            </w:r>
            <w:r w:rsidRPr="000A17D7">
              <w:rPr>
                <w:rFonts w:ascii="Arial" w:hAnsi="Arial" w:cs="Arial"/>
                <w:snapToGrid/>
                <w:color w:val="000000"/>
                <w:sz w:val="18"/>
                <w:szCs w:val="18"/>
                <w:lang w:val="es-CO" w:eastAsia="es-CO"/>
              </w:rPr>
              <w:t>entidades financieras emisoras de tales instrumentos de deuda, siempre que en el respectivo prospecto de emisión se establezca con carácter irrevocable que: i) en los eventos de liquidación el importe de su valor quedará subordinado al pago del pasivo externo; ii) los títulos se emitan a plazos no inferiores a 5 años.</w:t>
            </w:r>
          </w:p>
        </w:tc>
        <w:tc>
          <w:tcPr>
            <w:tcW w:w="2056" w:type="dxa"/>
            <w:shd w:val="clear" w:color="000000" w:fill="FFFFFF"/>
            <w:noWrap/>
            <w:vAlign w:val="center"/>
            <w:hideMark/>
          </w:tcPr>
          <w:p w:rsidR="008F0D30" w:rsidRPr="000A17D7" w:rsidRDefault="008F0D30"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8F0D30" w:rsidRPr="000A17D7" w:rsidTr="00C347A7">
        <w:trPr>
          <w:gridAfter w:val="1"/>
          <w:wAfter w:w="13" w:type="dxa"/>
          <w:trHeight w:val="838"/>
          <w:jc w:val="center"/>
        </w:trPr>
        <w:tc>
          <w:tcPr>
            <w:tcW w:w="1064" w:type="dxa"/>
            <w:vMerge/>
            <w:shd w:val="clear" w:color="000000" w:fill="FFFFFF"/>
            <w:noWrap/>
            <w:vAlign w:val="center"/>
            <w:hideMark/>
          </w:tcPr>
          <w:p w:rsidR="008F0D30" w:rsidRPr="000A17D7" w:rsidRDefault="008F0D30"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hideMark/>
          </w:tcPr>
          <w:p w:rsidR="008F0D30" w:rsidRPr="000A17D7" w:rsidRDefault="008F0D30"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w:t>
            </w:r>
            <w:r w:rsidR="00264222">
              <w:rPr>
                <w:rFonts w:ascii="Arial" w:hAnsi="Arial" w:cs="Arial"/>
                <w:snapToGrid/>
                <w:color w:val="000000"/>
                <w:sz w:val="18"/>
                <w:szCs w:val="18"/>
                <w:lang w:val="es-CO" w:eastAsia="es-CO"/>
              </w:rPr>
              <w:t>75</w:t>
            </w:r>
          </w:p>
        </w:tc>
        <w:tc>
          <w:tcPr>
            <w:tcW w:w="5245" w:type="dxa"/>
            <w:shd w:val="clear" w:color="000000" w:fill="FFFFFF"/>
            <w:hideMark/>
          </w:tcPr>
          <w:p w:rsidR="008F0D30" w:rsidRPr="000A17D7" w:rsidRDefault="00FD3A33" w:rsidP="003252B5">
            <w:pPr>
              <w:jc w:val="both"/>
              <w:rPr>
                <w:rFonts w:ascii="Arial" w:hAnsi="Arial" w:cs="Arial"/>
                <w:snapToGrid/>
                <w:color w:val="000000"/>
                <w:sz w:val="18"/>
                <w:szCs w:val="18"/>
                <w:lang w:val="es-CO" w:eastAsia="es-CO"/>
              </w:rPr>
            </w:pPr>
            <w:r>
              <w:rPr>
                <w:rFonts w:ascii="Arial" w:hAnsi="Arial" w:cs="Arial"/>
                <w:snapToGrid/>
                <w:color w:val="000000"/>
                <w:sz w:val="18"/>
                <w:szCs w:val="18"/>
                <w:lang w:val="es-CO" w:eastAsia="es-CO"/>
              </w:rPr>
              <w:t>V</w:t>
            </w:r>
            <w:r w:rsidR="008F0D30" w:rsidRPr="000A17D7">
              <w:rPr>
                <w:rFonts w:ascii="Arial" w:hAnsi="Arial" w:cs="Arial"/>
                <w:snapToGrid/>
                <w:color w:val="000000"/>
                <w:sz w:val="18"/>
                <w:szCs w:val="18"/>
                <w:lang w:val="es-CO" w:eastAsia="es-CO"/>
              </w:rPr>
              <w:t xml:space="preserve">alor de los instrumentos emitidos, avalados o garantizados por Fogafín utilizado para el fortalecimiento patrimonial de las entidades financieras, diferentes de los instrumentos a los que se refiere la subcuenta </w:t>
            </w:r>
            <w:r w:rsidR="008F0D30" w:rsidRPr="008C2D8B">
              <w:rPr>
                <w:rFonts w:ascii="Arial" w:hAnsi="Arial" w:cs="Arial"/>
                <w:snapToGrid/>
                <w:color w:val="000000"/>
                <w:sz w:val="18"/>
                <w:szCs w:val="18"/>
                <w:lang w:val="es-CO" w:eastAsia="es-CO"/>
              </w:rPr>
              <w:t>070</w:t>
            </w:r>
            <w:r w:rsidR="009048A4">
              <w:rPr>
                <w:rFonts w:ascii="Arial" w:hAnsi="Arial" w:cs="Arial"/>
                <w:snapToGrid/>
                <w:color w:val="000000"/>
                <w:sz w:val="18"/>
                <w:szCs w:val="18"/>
                <w:lang w:val="es-CO" w:eastAsia="es-CO"/>
              </w:rPr>
              <w:t xml:space="preserve"> de la unidad de captura 01</w:t>
            </w:r>
            <w:r w:rsidR="008F0D30" w:rsidRPr="000A17D7">
              <w:rPr>
                <w:rFonts w:ascii="Arial" w:hAnsi="Arial" w:cs="Arial"/>
                <w:snapToGrid/>
                <w:color w:val="000000"/>
                <w:sz w:val="18"/>
                <w:szCs w:val="18"/>
                <w:lang w:val="es-CO" w:eastAsia="es-CO"/>
              </w:rPr>
              <w:t>.</w:t>
            </w:r>
          </w:p>
        </w:tc>
        <w:tc>
          <w:tcPr>
            <w:tcW w:w="2056" w:type="dxa"/>
            <w:shd w:val="clear" w:color="000000" w:fill="FFFFFF"/>
            <w:noWrap/>
            <w:vAlign w:val="center"/>
            <w:hideMark/>
          </w:tcPr>
          <w:p w:rsidR="008F0D30" w:rsidRPr="000A17D7" w:rsidRDefault="008F0D30"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8F0D30" w:rsidRPr="000A17D7" w:rsidTr="00C347A7">
        <w:trPr>
          <w:gridAfter w:val="1"/>
          <w:wAfter w:w="13" w:type="dxa"/>
          <w:trHeight w:val="240"/>
          <w:jc w:val="center"/>
        </w:trPr>
        <w:tc>
          <w:tcPr>
            <w:tcW w:w="1064" w:type="dxa"/>
            <w:vMerge/>
            <w:shd w:val="clear" w:color="000000" w:fill="FFFFFF"/>
            <w:noWrap/>
            <w:vAlign w:val="center"/>
          </w:tcPr>
          <w:p w:rsidR="008F0D30" w:rsidRPr="000A17D7" w:rsidRDefault="008F0D30"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8F0D30" w:rsidRPr="000A17D7" w:rsidRDefault="008F0D30"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+08</w:t>
            </w:r>
            <w:r w:rsidR="00264222">
              <w:rPr>
                <w:rFonts w:ascii="Arial" w:hAnsi="Arial" w:cs="Arial"/>
                <w:snapToGrid/>
                <w:color w:val="000000"/>
                <w:sz w:val="18"/>
                <w:szCs w:val="18"/>
                <w:lang w:val="es-CO" w:eastAsia="es-CO"/>
              </w:rPr>
              <w:t>0</w:t>
            </w:r>
          </w:p>
        </w:tc>
        <w:tc>
          <w:tcPr>
            <w:tcW w:w="5245" w:type="dxa"/>
            <w:shd w:val="clear" w:color="000000" w:fill="FFFFFF"/>
          </w:tcPr>
          <w:p w:rsidR="008F0D30" w:rsidRPr="000A17D7" w:rsidRDefault="008F0D30" w:rsidP="005F49D3">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Valor del interés minoritario (participaciones no controladoras) reconocido en el PBO de la entidad consolidante</w:t>
            </w:r>
            <w:r w:rsidR="007D6607">
              <w:rPr>
                <w:rFonts w:ascii="Arial" w:hAnsi="Arial" w:cs="Arial"/>
                <w:snapToGrid/>
                <w:color w:val="000000"/>
                <w:sz w:val="18"/>
                <w:szCs w:val="18"/>
                <w:lang w:val="es-CO" w:eastAsia="es-CO"/>
              </w:rPr>
              <w:t xml:space="preserve">, siempre que tales recursos cumplan con los </w:t>
            </w:r>
            <w:r w:rsidR="005F49D3">
              <w:rPr>
                <w:rFonts w:ascii="Arial" w:hAnsi="Arial" w:cs="Arial"/>
                <w:snapToGrid/>
                <w:color w:val="000000"/>
                <w:sz w:val="18"/>
                <w:szCs w:val="18"/>
                <w:lang w:val="es-CO" w:eastAsia="es-CO"/>
              </w:rPr>
              <w:t>criterios</w:t>
            </w:r>
            <w:r w:rsidR="0032343E">
              <w:rPr>
                <w:rFonts w:ascii="Arial" w:hAnsi="Arial" w:cs="Arial"/>
                <w:snapToGrid/>
                <w:color w:val="000000"/>
                <w:sz w:val="18"/>
                <w:szCs w:val="18"/>
                <w:lang w:val="es-CO" w:eastAsia="es-CO"/>
              </w:rPr>
              <w:t xml:space="preserve"> </w:t>
            </w:r>
            <w:r w:rsidRPr="000A17D7">
              <w:rPr>
                <w:rFonts w:ascii="Arial" w:hAnsi="Arial" w:cs="Arial"/>
                <w:snapToGrid/>
                <w:color w:val="000000"/>
                <w:sz w:val="18"/>
                <w:szCs w:val="18"/>
                <w:lang w:val="es-CO" w:eastAsia="es-CO"/>
              </w:rPr>
              <w:t>de</w:t>
            </w:r>
            <w:r w:rsidR="007D6607">
              <w:rPr>
                <w:rFonts w:ascii="Arial" w:hAnsi="Arial" w:cs="Arial"/>
                <w:snapToGrid/>
                <w:color w:val="000000"/>
                <w:sz w:val="18"/>
                <w:szCs w:val="18"/>
                <w:lang w:val="es-CO" w:eastAsia="es-CO"/>
              </w:rPr>
              <w:t xml:space="preserve"> </w:t>
            </w:r>
            <w:r w:rsidRPr="000A17D7">
              <w:rPr>
                <w:rFonts w:ascii="Arial" w:hAnsi="Arial" w:cs="Arial"/>
                <w:snapToGrid/>
                <w:color w:val="000000"/>
                <w:sz w:val="18"/>
                <w:szCs w:val="18"/>
                <w:lang w:val="es-CO" w:eastAsia="es-CO"/>
              </w:rPr>
              <w:t>l</w:t>
            </w:r>
            <w:r w:rsidR="007D6607">
              <w:rPr>
                <w:rFonts w:ascii="Arial" w:hAnsi="Arial" w:cs="Arial"/>
                <w:snapToGrid/>
                <w:color w:val="000000"/>
                <w:sz w:val="18"/>
                <w:szCs w:val="18"/>
                <w:lang w:val="es-CO" w:eastAsia="es-CO"/>
              </w:rPr>
              <w:t>os</w:t>
            </w:r>
            <w:r w:rsidR="00BE2219">
              <w:rPr>
                <w:rFonts w:ascii="Arial" w:hAnsi="Arial" w:cs="Arial"/>
                <w:snapToGrid/>
                <w:color w:val="000000"/>
                <w:sz w:val="18"/>
                <w:szCs w:val="18"/>
                <w:lang w:val="es-CO" w:eastAsia="es-CO"/>
              </w:rPr>
              <w:t xml:space="preserve"> a</w:t>
            </w:r>
            <w:r w:rsidRPr="000A17D7">
              <w:rPr>
                <w:rFonts w:ascii="Arial" w:hAnsi="Arial" w:cs="Arial"/>
                <w:snapToGrid/>
                <w:color w:val="000000"/>
                <w:sz w:val="18"/>
                <w:szCs w:val="18"/>
                <w:lang w:val="es-CO" w:eastAsia="es-CO"/>
              </w:rPr>
              <w:t>rtículo</w:t>
            </w:r>
            <w:r w:rsidR="007D6607">
              <w:rPr>
                <w:rFonts w:ascii="Arial" w:hAnsi="Arial" w:cs="Arial"/>
                <w:snapToGrid/>
                <w:color w:val="000000"/>
                <w:sz w:val="18"/>
                <w:szCs w:val="18"/>
                <w:lang w:val="es-CO" w:eastAsia="es-CO"/>
              </w:rPr>
              <w:t>s</w:t>
            </w:r>
            <w:r w:rsidRPr="000A17D7">
              <w:rPr>
                <w:rFonts w:ascii="Arial" w:hAnsi="Arial" w:cs="Arial"/>
                <w:snapToGrid/>
                <w:color w:val="000000"/>
                <w:sz w:val="18"/>
                <w:szCs w:val="18"/>
                <w:lang w:val="es-CO" w:eastAsia="es-CO"/>
              </w:rPr>
              <w:t xml:space="preserve"> 2.1.1.1.14 </w:t>
            </w:r>
            <w:r w:rsidR="007D6607">
              <w:rPr>
                <w:rFonts w:ascii="Arial" w:hAnsi="Arial" w:cs="Arial"/>
                <w:snapToGrid/>
                <w:color w:val="000000"/>
                <w:sz w:val="18"/>
                <w:szCs w:val="18"/>
                <w:lang w:val="es-CO" w:eastAsia="es-CO"/>
              </w:rPr>
              <w:t xml:space="preserve">y 2.1.1.1.7 </w:t>
            </w:r>
            <w:r w:rsidRPr="000A17D7">
              <w:rPr>
                <w:rFonts w:ascii="Arial" w:hAnsi="Arial" w:cs="Arial"/>
                <w:snapToGrid/>
                <w:color w:val="000000"/>
                <w:sz w:val="18"/>
                <w:szCs w:val="18"/>
                <w:lang w:val="es-CO" w:eastAsia="es-CO"/>
              </w:rPr>
              <w:t xml:space="preserve">del Decreto 2555 de 2010 (definidos </w:t>
            </w:r>
            <w:r w:rsidRPr="000B416C">
              <w:rPr>
                <w:rFonts w:ascii="Arial" w:hAnsi="Arial" w:cs="Arial"/>
                <w:snapToGrid/>
                <w:color w:val="000000"/>
                <w:sz w:val="18"/>
                <w:szCs w:val="18"/>
                <w:lang w:val="es-CO" w:eastAsia="es-CO"/>
              </w:rPr>
              <w:t>en el subnumeral 2.3.</w:t>
            </w:r>
            <w:r w:rsidR="007D6607">
              <w:rPr>
                <w:rFonts w:ascii="Arial" w:hAnsi="Arial" w:cs="Arial"/>
                <w:snapToGrid/>
                <w:color w:val="000000"/>
                <w:sz w:val="18"/>
                <w:szCs w:val="18"/>
                <w:lang w:val="es-CO" w:eastAsia="es-CO"/>
              </w:rPr>
              <w:t>6</w:t>
            </w:r>
            <w:r w:rsidRPr="000B416C">
              <w:rPr>
                <w:rFonts w:ascii="Arial" w:hAnsi="Arial" w:cs="Arial"/>
                <w:snapToGrid/>
                <w:color w:val="000000"/>
                <w:sz w:val="18"/>
                <w:szCs w:val="18"/>
                <w:lang w:val="es-CO" w:eastAsia="es-CO"/>
              </w:rPr>
              <w:t xml:space="preserve"> del presente Capítulo)</w:t>
            </w:r>
            <w:r w:rsidR="00CC1CA7">
              <w:rPr>
                <w:rFonts w:ascii="Arial" w:hAnsi="Arial" w:cs="Arial"/>
                <w:snapToGrid/>
                <w:color w:val="000000"/>
                <w:sz w:val="18"/>
                <w:szCs w:val="18"/>
                <w:lang w:val="es-CO" w:eastAsia="es-CO"/>
              </w:rPr>
              <w:t>.</w:t>
            </w:r>
          </w:p>
        </w:tc>
        <w:tc>
          <w:tcPr>
            <w:tcW w:w="2056" w:type="dxa"/>
            <w:shd w:val="clear" w:color="000000" w:fill="FFFFFF"/>
            <w:noWrap/>
            <w:vAlign w:val="center"/>
          </w:tcPr>
          <w:p w:rsidR="008F0D30" w:rsidRPr="000A17D7" w:rsidRDefault="008F0D30"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9630BD">
        <w:trPr>
          <w:gridAfter w:val="1"/>
          <w:wAfter w:w="13" w:type="dxa"/>
          <w:trHeight w:val="245"/>
          <w:jc w:val="center"/>
        </w:trPr>
        <w:tc>
          <w:tcPr>
            <w:tcW w:w="1064" w:type="dxa"/>
            <w:vMerge w:val="restart"/>
            <w:shd w:val="clear" w:color="000000" w:fill="FFFFFF"/>
            <w:noWrap/>
            <w:vAlign w:val="center"/>
          </w:tcPr>
          <w:p w:rsidR="00C7739E" w:rsidRPr="000A17D7" w:rsidRDefault="00C7739E" w:rsidP="007E770F">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Catálogo</w:t>
            </w:r>
          </w:p>
        </w:tc>
        <w:tc>
          <w:tcPr>
            <w:tcW w:w="1483" w:type="dxa"/>
            <w:shd w:val="clear" w:color="000000" w:fill="FFFFFF"/>
            <w:noWrap/>
            <w:vAlign w:val="center"/>
          </w:tcPr>
          <w:p w:rsidR="00C7739E" w:rsidRPr="000A17D7" w:rsidRDefault="00C7739E" w:rsidP="008F0D30">
            <w:pPr>
              <w:jc w:val="center"/>
              <w:rPr>
                <w:rFonts w:ascii="Arial" w:hAnsi="Arial" w:cs="Arial"/>
                <w:snapToGrid/>
                <w:color w:val="000000"/>
                <w:sz w:val="18"/>
                <w:szCs w:val="18"/>
                <w:highlight w:val="yellow"/>
                <w:lang w:val="es-CO" w:eastAsia="es-CO"/>
              </w:rPr>
            </w:pPr>
            <w:r w:rsidRPr="000A17D7">
              <w:rPr>
                <w:rFonts w:ascii="Arial" w:hAnsi="Arial" w:cs="Arial"/>
                <w:snapToGrid/>
                <w:color w:val="000000"/>
                <w:sz w:val="18"/>
                <w:szCs w:val="18"/>
                <w:lang w:val="es-CO" w:eastAsia="es-CO"/>
              </w:rPr>
              <w:t>+312000</w:t>
            </w:r>
          </w:p>
        </w:tc>
        <w:tc>
          <w:tcPr>
            <w:tcW w:w="5245" w:type="dxa"/>
            <w:shd w:val="clear" w:color="000000" w:fill="FFFFFF"/>
          </w:tcPr>
          <w:p w:rsidR="00C7739E" w:rsidRPr="000A17D7" w:rsidRDefault="00C7739E" w:rsidP="008F0D30">
            <w:pPr>
              <w:autoSpaceDE w:val="0"/>
              <w:autoSpaceDN w:val="0"/>
              <w:adjustRightInd w:val="0"/>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Capital mínimo e irreductible</w:t>
            </w:r>
            <w:r>
              <w:rPr>
                <w:rFonts w:ascii="Arial" w:hAnsi="Arial" w:cs="Arial"/>
                <w:snapToGrid/>
                <w:color w:val="000000"/>
                <w:sz w:val="18"/>
                <w:szCs w:val="18"/>
                <w:lang w:val="es-CO" w:eastAsia="es-CO"/>
              </w:rPr>
              <w:t>.</w:t>
            </w:r>
          </w:p>
        </w:tc>
        <w:tc>
          <w:tcPr>
            <w:tcW w:w="2056"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112"/>
          <w:jc w:val="center"/>
        </w:trPr>
        <w:tc>
          <w:tcPr>
            <w:tcW w:w="1064" w:type="dxa"/>
            <w:vMerge/>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+373000</w:t>
            </w:r>
          </w:p>
        </w:tc>
        <w:tc>
          <w:tcPr>
            <w:tcW w:w="5245" w:type="dxa"/>
            <w:shd w:val="clear" w:color="000000" w:fill="FFFFFF"/>
          </w:tcPr>
          <w:p w:rsidR="00C7739E" w:rsidRPr="000A17D7" w:rsidRDefault="00C7739E" w:rsidP="008F0D30">
            <w:pPr>
              <w:autoSpaceDE w:val="0"/>
              <w:autoSpaceDN w:val="0"/>
              <w:adjustRightInd w:val="0"/>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Fondo especial</w:t>
            </w:r>
            <w:r w:rsidR="00CC1CA7">
              <w:rPr>
                <w:rFonts w:ascii="Arial" w:hAnsi="Arial" w:cs="Arial"/>
                <w:snapToGrid/>
                <w:color w:val="000000"/>
                <w:sz w:val="18"/>
                <w:szCs w:val="18"/>
                <w:lang w:val="es-CO" w:eastAsia="es-CO"/>
              </w:rPr>
              <w:t>.</w:t>
            </w:r>
          </w:p>
        </w:tc>
        <w:tc>
          <w:tcPr>
            <w:tcW w:w="2056"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8F0D30" w:rsidRPr="000A17D7" w:rsidTr="00C347A7">
        <w:trPr>
          <w:gridAfter w:val="1"/>
          <w:wAfter w:w="13" w:type="dxa"/>
          <w:trHeight w:val="539"/>
          <w:jc w:val="center"/>
        </w:trPr>
        <w:tc>
          <w:tcPr>
            <w:tcW w:w="1064" w:type="dxa"/>
            <w:shd w:val="clear" w:color="000000" w:fill="FFFFFF"/>
            <w:noWrap/>
            <w:vAlign w:val="center"/>
          </w:tcPr>
          <w:p w:rsidR="008F0D30" w:rsidRDefault="008F0D30"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 xml:space="preserve">F. </w:t>
            </w:r>
            <w:r w:rsidR="00262657">
              <w:rPr>
                <w:rFonts w:ascii="Arial" w:hAnsi="Arial" w:cs="Arial"/>
                <w:snapToGrid/>
                <w:color w:val="000000"/>
                <w:sz w:val="18"/>
                <w:szCs w:val="18"/>
                <w:lang w:val="es-CO" w:eastAsia="es-CO"/>
              </w:rPr>
              <w:t>239</w:t>
            </w:r>
          </w:p>
          <w:p w:rsidR="008F0D30" w:rsidRPr="000A17D7" w:rsidRDefault="008F0D30"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Unidad de captura 01</w:t>
            </w:r>
          </w:p>
        </w:tc>
        <w:tc>
          <w:tcPr>
            <w:tcW w:w="1483" w:type="dxa"/>
            <w:shd w:val="clear" w:color="000000" w:fill="FFFFFF"/>
            <w:noWrap/>
            <w:vAlign w:val="center"/>
          </w:tcPr>
          <w:p w:rsidR="008F0D30" w:rsidRPr="000A17D7" w:rsidRDefault="008F0D30"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w:t>
            </w:r>
            <w:r w:rsidR="003052BD">
              <w:rPr>
                <w:rFonts w:ascii="Arial" w:hAnsi="Arial" w:cs="Arial"/>
                <w:snapToGrid/>
                <w:color w:val="000000"/>
                <w:sz w:val="18"/>
                <w:szCs w:val="18"/>
                <w:lang w:val="es-CO" w:eastAsia="es-CO"/>
              </w:rPr>
              <w:t>095</w:t>
            </w:r>
          </w:p>
        </w:tc>
        <w:tc>
          <w:tcPr>
            <w:tcW w:w="5245" w:type="dxa"/>
            <w:shd w:val="clear" w:color="000000" w:fill="FFFFFF"/>
          </w:tcPr>
          <w:p w:rsidR="008F0D30" w:rsidRPr="000A17D7" w:rsidRDefault="008F0D30" w:rsidP="008F0D30">
            <w:pPr>
              <w:autoSpaceDE w:val="0"/>
              <w:autoSpaceDN w:val="0"/>
              <w:adjustRightInd w:val="0"/>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Los aportes sociales amortizados o readquiridos por la entidad cooperativa en exceso del que esté determinado en los estatutos como monto mínimo de aportes sociales no reducibles.</w:t>
            </w:r>
          </w:p>
        </w:tc>
        <w:tc>
          <w:tcPr>
            <w:tcW w:w="2056" w:type="dxa"/>
            <w:shd w:val="clear" w:color="000000" w:fill="FFFFFF"/>
            <w:noWrap/>
            <w:vAlign w:val="center"/>
          </w:tcPr>
          <w:p w:rsidR="008F0D30" w:rsidRPr="000A17D7" w:rsidRDefault="008F0D30"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197"/>
          <w:jc w:val="center"/>
        </w:trPr>
        <w:tc>
          <w:tcPr>
            <w:tcW w:w="1064" w:type="dxa"/>
            <w:vMerge w:val="restart"/>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Catálogo</w:t>
            </w:r>
          </w:p>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+370500</w:t>
            </w:r>
          </w:p>
        </w:tc>
        <w:tc>
          <w:tcPr>
            <w:tcW w:w="5245" w:type="dxa"/>
            <w:shd w:val="clear" w:color="000000" w:fill="FFFFFF"/>
          </w:tcPr>
          <w:p w:rsidR="00C7739E" w:rsidRPr="000A17D7" w:rsidRDefault="00C7739E" w:rsidP="008F0D30">
            <w:pPr>
              <w:autoSpaceDE w:val="0"/>
              <w:autoSpaceDN w:val="0"/>
              <w:adjustRightInd w:val="0"/>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Amortización de aportes sociales</w:t>
            </w:r>
            <w:r w:rsidR="00CC1CA7">
              <w:rPr>
                <w:rFonts w:ascii="Arial" w:hAnsi="Arial" w:cs="Arial"/>
                <w:snapToGrid/>
                <w:color w:val="000000"/>
                <w:sz w:val="18"/>
                <w:szCs w:val="18"/>
                <w:lang w:val="es-CO" w:eastAsia="es-CO"/>
              </w:rPr>
              <w:t>.</w:t>
            </w:r>
          </w:p>
        </w:tc>
        <w:tc>
          <w:tcPr>
            <w:tcW w:w="2056"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258"/>
          <w:jc w:val="center"/>
        </w:trPr>
        <w:tc>
          <w:tcPr>
            <w:tcW w:w="1064" w:type="dxa"/>
            <w:vMerge/>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0A17D7" w:rsidRDefault="00C7739E" w:rsidP="008F0D30">
            <w:pPr>
              <w:jc w:val="center"/>
              <w:rPr>
                <w:rFonts w:ascii="Arial" w:hAnsi="Arial" w:cs="Arial"/>
                <w:snapToGrid/>
                <w:color w:val="000000"/>
                <w:sz w:val="18"/>
                <w:szCs w:val="18"/>
                <w:highlight w:val="yellow"/>
                <w:lang w:val="es-CO" w:eastAsia="es-CO"/>
              </w:rPr>
            </w:pPr>
            <w:r w:rsidRPr="000A17D7">
              <w:rPr>
                <w:rFonts w:ascii="Arial" w:hAnsi="Arial" w:cs="Arial"/>
                <w:snapToGrid/>
                <w:color w:val="000000"/>
                <w:sz w:val="18"/>
                <w:szCs w:val="18"/>
                <w:lang w:val="es-CO" w:eastAsia="es-CO"/>
              </w:rPr>
              <w:t>+ 381500</w:t>
            </w:r>
          </w:p>
        </w:tc>
        <w:tc>
          <w:tcPr>
            <w:tcW w:w="5245" w:type="dxa"/>
            <w:shd w:val="clear" w:color="000000" w:fill="FFFFFF"/>
          </w:tcPr>
          <w:p w:rsidR="00C7739E" w:rsidRPr="000A17D7" w:rsidRDefault="00C7739E" w:rsidP="008F0D30">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Ganancias o Pérdidas No Realizadas (ORI)</w:t>
            </w:r>
            <w:r w:rsidR="00CC1CA7">
              <w:rPr>
                <w:rFonts w:ascii="Arial" w:hAnsi="Arial" w:cs="Arial"/>
                <w:snapToGrid/>
                <w:color w:val="000000"/>
                <w:sz w:val="18"/>
                <w:szCs w:val="18"/>
                <w:lang w:val="es-CO" w:eastAsia="es-CO"/>
              </w:rPr>
              <w:t>.</w:t>
            </w:r>
          </w:p>
        </w:tc>
        <w:tc>
          <w:tcPr>
            <w:tcW w:w="2056"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275"/>
          <w:jc w:val="center"/>
        </w:trPr>
        <w:tc>
          <w:tcPr>
            <w:tcW w:w="1064" w:type="dxa"/>
            <w:vMerge/>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AF33CE" w:rsidRDefault="00C7739E" w:rsidP="008F0D30">
            <w:pPr>
              <w:jc w:val="center"/>
              <w:rPr>
                <w:rFonts w:ascii="Arial" w:hAnsi="Arial" w:cs="Arial"/>
                <w:color w:val="000000"/>
                <w:sz w:val="18"/>
                <w:szCs w:val="18"/>
              </w:rPr>
            </w:pPr>
            <w:r w:rsidRPr="00AF33CE">
              <w:rPr>
                <w:rFonts w:ascii="Arial" w:hAnsi="Arial" w:cs="Arial"/>
                <w:color w:val="000000"/>
                <w:sz w:val="18"/>
                <w:szCs w:val="18"/>
              </w:rPr>
              <w:t>+391500</w:t>
            </w:r>
          </w:p>
        </w:tc>
        <w:tc>
          <w:tcPr>
            <w:tcW w:w="5245" w:type="dxa"/>
            <w:shd w:val="clear" w:color="000000" w:fill="FFFFFF"/>
          </w:tcPr>
          <w:p w:rsidR="00C7739E" w:rsidRPr="00B85D3B" w:rsidRDefault="00C7739E" w:rsidP="008F0D30">
            <w:pPr>
              <w:jc w:val="both"/>
              <w:rPr>
                <w:rFonts w:ascii="Arial" w:hAnsi="Arial" w:cs="Arial"/>
                <w:color w:val="000000"/>
                <w:sz w:val="18"/>
                <w:szCs w:val="18"/>
              </w:rPr>
            </w:pPr>
            <w:r w:rsidRPr="00B85D3B">
              <w:rPr>
                <w:rFonts w:ascii="Arial" w:hAnsi="Arial" w:cs="Arial"/>
                <w:color w:val="000000"/>
                <w:sz w:val="18"/>
                <w:szCs w:val="18"/>
              </w:rPr>
              <w:t>Ganancias del ejercicio</w:t>
            </w:r>
            <w:r w:rsidRPr="00B85D3B">
              <w:rPr>
                <w:rFonts w:ascii="Arial" w:hAnsi="Arial" w:cs="Arial"/>
                <w:color w:val="000000"/>
              </w:rPr>
              <w:t>, incluidos “L</w:t>
            </w:r>
            <w:r w:rsidRPr="00B85D3B">
              <w:rPr>
                <w:rFonts w:ascii="Arial" w:hAnsi="Arial" w:cs="Arial"/>
                <w:lang w:val="es-ES"/>
              </w:rPr>
              <w:t>os excedentes del ejercicio en curso en el caso de los establecimientos de crédito de naturaleza cooperativa”</w:t>
            </w:r>
            <w:r w:rsidR="00CC1CA7">
              <w:rPr>
                <w:rFonts w:ascii="Arial" w:hAnsi="Arial" w:cs="Arial"/>
                <w:lang w:val="es-ES"/>
              </w:rPr>
              <w:t>.</w:t>
            </w:r>
          </w:p>
        </w:tc>
        <w:tc>
          <w:tcPr>
            <w:tcW w:w="2056"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44"/>
          <w:jc w:val="center"/>
        </w:trPr>
        <w:tc>
          <w:tcPr>
            <w:tcW w:w="1064" w:type="dxa"/>
            <w:vMerge/>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AF33CE" w:rsidRDefault="00C7739E" w:rsidP="008F0D30">
            <w:pPr>
              <w:jc w:val="center"/>
              <w:rPr>
                <w:rFonts w:ascii="Arial" w:hAnsi="Arial" w:cs="Arial"/>
                <w:snapToGrid/>
                <w:color w:val="000000"/>
                <w:sz w:val="18"/>
                <w:szCs w:val="18"/>
                <w:lang w:val="es-CO" w:eastAsia="es-CO"/>
              </w:rPr>
            </w:pPr>
            <w:r w:rsidRPr="00AF33CE">
              <w:rPr>
                <w:rFonts w:ascii="Arial" w:hAnsi="Arial" w:cs="Arial"/>
                <w:snapToGrid/>
                <w:color w:val="000000"/>
                <w:sz w:val="18"/>
                <w:szCs w:val="18"/>
                <w:lang w:val="es-CO" w:eastAsia="es-CO"/>
              </w:rPr>
              <w:t>+ 390500</w:t>
            </w:r>
          </w:p>
        </w:tc>
        <w:tc>
          <w:tcPr>
            <w:tcW w:w="5245" w:type="dxa"/>
            <w:shd w:val="clear" w:color="000000" w:fill="FFFFFF"/>
          </w:tcPr>
          <w:p w:rsidR="00C7739E" w:rsidRPr="00B85D3B" w:rsidRDefault="00C7739E" w:rsidP="008F0D30">
            <w:pPr>
              <w:jc w:val="both"/>
              <w:rPr>
                <w:rFonts w:ascii="Arial" w:hAnsi="Arial" w:cs="Arial"/>
                <w:snapToGrid/>
                <w:color w:val="000000"/>
                <w:sz w:val="18"/>
                <w:szCs w:val="18"/>
                <w:lang w:val="es-CO" w:eastAsia="es-CO"/>
              </w:rPr>
            </w:pPr>
            <w:r w:rsidRPr="00B85D3B">
              <w:rPr>
                <w:rFonts w:ascii="Arial" w:hAnsi="Arial" w:cs="Arial"/>
                <w:snapToGrid/>
                <w:color w:val="000000"/>
                <w:sz w:val="18"/>
                <w:szCs w:val="18"/>
                <w:lang w:val="es-CO" w:eastAsia="es-CO"/>
              </w:rPr>
              <w:t>Ganancias Acumuladas de Ejercicios Anteriores</w:t>
            </w:r>
            <w:r w:rsidR="00CC1CA7">
              <w:rPr>
                <w:rFonts w:ascii="Arial" w:hAnsi="Arial" w:cs="Arial"/>
                <w:snapToGrid/>
                <w:color w:val="000000"/>
                <w:sz w:val="18"/>
                <w:szCs w:val="18"/>
                <w:lang w:val="es-CO" w:eastAsia="es-CO"/>
              </w:rPr>
              <w:t>.</w:t>
            </w:r>
          </w:p>
        </w:tc>
        <w:tc>
          <w:tcPr>
            <w:tcW w:w="2056"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199"/>
          <w:jc w:val="center"/>
        </w:trPr>
        <w:tc>
          <w:tcPr>
            <w:tcW w:w="1064" w:type="dxa"/>
            <w:vMerge/>
            <w:shd w:val="clear" w:color="000000" w:fill="FFFFFF"/>
            <w:noWrap/>
            <w:vAlign w:val="center"/>
          </w:tcPr>
          <w:p w:rsidR="00C7739E" w:rsidRPr="000A17D7" w:rsidRDefault="00C7739E" w:rsidP="008F0D30">
            <w:pPr>
              <w:jc w:val="center"/>
              <w:rPr>
                <w:rFonts w:ascii="Arial" w:hAnsi="Arial" w:cs="Arial"/>
                <w:noProof/>
                <w:snapToGrid/>
                <w:color w:val="000000"/>
                <w:sz w:val="18"/>
                <w:szCs w:val="18"/>
                <w:lang w:val="es-CO" w:eastAsia="es-CO"/>
              </w:rPr>
            </w:pPr>
          </w:p>
        </w:tc>
        <w:tc>
          <w:tcPr>
            <w:tcW w:w="1483" w:type="dxa"/>
            <w:shd w:val="clear" w:color="000000" w:fill="FFFFFF"/>
            <w:noWrap/>
            <w:vAlign w:val="center"/>
          </w:tcPr>
          <w:p w:rsidR="00C7739E" w:rsidRPr="00AF33CE" w:rsidRDefault="00C7739E" w:rsidP="008F0D30">
            <w:pPr>
              <w:jc w:val="center"/>
              <w:rPr>
                <w:rFonts w:ascii="Arial" w:hAnsi="Arial" w:cs="Arial"/>
                <w:snapToGrid/>
                <w:color w:val="000000"/>
                <w:sz w:val="18"/>
                <w:szCs w:val="18"/>
                <w:lang w:val="es-CO" w:eastAsia="es-CO"/>
              </w:rPr>
            </w:pPr>
            <w:r w:rsidRPr="00AF33CE">
              <w:rPr>
                <w:rFonts w:ascii="Arial" w:hAnsi="Arial" w:cs="Arial"/>
                <w:snapToGrid/>
                <w:color w:val="000000"/>
                <w:sz w:val="18"/>
                <w:szCs w:val="18"/>
                <w:lang w:val="es-CO" w:eastAsia="es-CO"/>
              </w:rPr>
              <w:t>+392500</w:t>
            </w:r>
          </w:p>
        </w:tc>
        <w:tc>
          <w:tcPr>
            <w:tcW w:w="5245" w:type="dxa"/>
            <w:shd w:val="clear" w:color="000000" w:fill="FFFFFF"/>
            <w:vAlign w:val="center"/>
          </w:tcPr>
          <w:p w:rsidR="00C7739E" w:rsidRPr="00B85D3B" w:rsidRDefault="00C7739E" w:rsidP="008F0D30">
            <w:pPr>
              <w:jc w:val="both"/>
              <w:rPr>
                <w:rFonts w:ascii="Arial" w:hAnsi="Arial" w:cs="Arial"/>
                <w:snapToGrid/>
                <w:color w:val="FF0000"/>
                <w:sz w:val="18"/>
                <w:szCs w:val="18"/>
                <w:lang w:val="es-CO" w:eastAsia="es-CO"/>
              </w:rPr>
            </w:pPr>
            <w:r w:rsidRPr="00B85D3B">
              <w:rPr>
                <w:rFonts w:ascii="Arial" w:hAnsi="Arial" w:cs="Arial"/>
                <w:snapToGrid/>
                <w:color w:val="000000"/>
                <w:sz w:val="18"/>
                <w:szCs w:val="18"/>
                <w:lang w:val="es-CO" w:eastAsia="es-CO"/>
              </w:rPr>
              <w:t>Ganancia o pérdida participaciones no controladoras</w:t>
            </w:r>
            <w:r w:rsidR="00CC1CA7">
              <w:rPr>
                <w:rFonts w:ascii="Arial" w:hAnsi="Arial" w:cs="Arial"/>
                <w:snapToGrid/>
                <w:color w:val="000000"/>
                <w:sz w:val="18"/>
                <w:szCs w:val="18"/>
                <w:lang w:val="es-CO" w:eastAsia="es-CO"/>
              </w:rPr>
              <w:t>.</w:t>
            </w:r>
          </w:p>
        </w:tc>
        <w:tc>
          <w:tcPr>
            <w:tcW w:w="2056" w:type="dxa"/>
            <w:shd w:val="clear" w:color="000000" w:fill="FFFFFF"/>
            <w:noWrap/>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p w:rsidR="00C7739E" w:rsidRPr="000A17D7" w:rsidRDefault="00C7739E" w:rsidP="008F0D30">
            <w:pPr>
              <w:jc w:val="center"/>
              <w:rPr>
                <w:rFonts w:ascii="Arial" w:hAnsi="Arial" w:cs="Arial"/>
                <w:snapToGrid/>
                <w:color w:val="000000"/>
                <w:sz w:val="18"/>
                <w:szCs w:val="18"/>
                <w:lang w:val="es-CO" w:eastAsia="es-CO"/>
              </w:rPr>
            </w:pPr>
          </w:p>
        </w:tc>
      </w:tr>
      <w:tr w:rsidR="00C7739E" w:rsidRPr="000A17D7" w:rsidTr="00C347A7">
        <w:trPr>
          <w:gridAfter w:val="1"/>
          <w:wAfter w:w="13" w:type="dxa"/>
          <w:trHeight w:val="539"/>
          <w:jc w:val="center"/>
        </w:trPr>
        <w:tc>
          <w:tcPr>
            <w:tcW w:w="1064" w:type="dxa"/>
            <w:vMerge/>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-391000</w:t>
            </w:r>
          </w:p>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(deducci</w:t>
            </w:r>
            <w:r w:rsidR="00136C4B">
              <w:rPr>
                <w:rFonts w:ascii="Arial" w:hAnsi="Arial" w:cs="Arial"/>
                <w:snapToGrid/>
                <w:color w:val="000000"/>
                <w:sz w:val="18"/>
                <w:szCs w:val="18"/>
                <w:lang w:val="es-CO" w:eastAsia="es-CO"/>
              </w:rPr>
              <w:t>ó</w:t>
            </w:r>
            <w:r w:rsidRPr="000A17D7">
              <w:rPr>
                <w:rFonts w:ascii="Arial" w:hAnsi="Arial" w:cs="Arial"/>
                <w:snapToGrid/>
                <w:color w:val="000000"/>
                <w:sz w:val="18"/>
                <w:szCs w:val="18"/>
                <w:lang w:val="es-CO" w:eastAsia="es-CO"/>
              </w:rPr>
              <w:t>n)</w:t>
            </w:r>
          </w:p>
        </w:tc>
        <w:tc>
          <w:tcPr>
            <w:tcW w:w="5245" w:type="dxa"/>
            <w:shd w:val="clear" w:color="000000" w:fill="FFFFFF"/>
            <w:vAlign w:val="center"/>
          </w:tcPr>
          <w:p w:rsidR="00C7739E" w:rsidRPr="000A17D7" w:rsidRDefault="00C7739E" w:rsidP="008F0D30">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Pérdidas acumuladas ejercicios anteriores</w:t>
            </w:r>
            <w:r w:rsidR="00CC1CA7">
              <w:rPr>
                <w:rFonts w:ascii="Arial" w:hAnsi="Arial" w:cs="Arial"/>
                <w:snapToGrid/>
                <w:color w:val="000000"/>
                <w:sz w:val="18"/>
                <w:szCs w:val="18"/>
                <w:lang w:val="es-CO" w:eastAsia="es-CO"/>
              </w:rPr>
              <w:t>.</w:t>
            </w:r>
          </w:p>
        </w:tc>
        <w:tc>
          <w:tcPr>
            <w:tcW w:w="2056" w:type="dxa"/>
            <w:shd w:val="clear" w:color="000000" w:fill="FFFFFF"/>
            <w:noWrap/>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C347A7">
        <w:trPr>
          <w:gridAfter w:val="1"/>
          <w:wAfter w:w="13" w:type="dxa"/>
          <w:trHeight w:val="539"/>
          <w:jc w:val="center"/>
        </w:trPr>
        <w:tc>
          <w:tcPr>
            <w:tcW w:w="1064" w:type="dxa"/>
            <w:vMerge/>
            <w:shd w:val="clear" w:color="000000" w:fill="FFFFFF"/>
            <w:noWrap/>
            <w:vAlign w:val="center"/>
          </w:tcPr>
          <w:p w:rsidR="00C7739E" w:rsidRPr="000A17D7" w:rsidRDefault="00C7739E" w:rsidP="008F0D30">
            <w:pPr>
              <w:jc w:val="center"/>
              <w:rPr>
                <w:rFonts w:ascii="Arial" w:hAnsi="Arial" w:cs="Arial"/>
                <w:noProof/>
                <w:snapToGrid/>
                <w:color w:val="000000"/>
                <w:sz w:val="18"/>
                <w:szCs w:val="18"/>
                <w:lang w:val="es-CO" w:eastAsia="es-CO"/>
              </w:rPr>
            </w:pPr>
          </w:p>
        </w:tc>
        <w:tc>
          <w:tcPr>
            <w:tcW w:w="1483"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-392000</w:t>
            </w:r>
          </w:p>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(deducci</w:t>
            </w:r>
            <w:r w:rsidR="00136C4B">
              <w:rPr>
                <w:rFonts w:ascii="Arial" w:hAnsi="Arial" w:cs="Arial"/>
                <w:snapToGrid/>
                <w:color w:val="000000"/>
                <w:sz w:val="18"/>
                <w:szCs w:val="18"/>
                <w:lang w:val="es-CO" w:eastAsia="es-CO"/>
              </w:rPr>
              <w:t>ó</w:t>
            </w:r>
            <w:r w:rsidRPr="000A17D7">
              <w:rPr>
                <w:rFonts w:ascii="Arial" w:hAnsi="Arial" w:cs="Arial"/>
                <w:snapToGrid/>
                <w:color w:val="000000"/>
                <w:sz w:val="18"/>
                <w:szCs w:val="18"/>
                <w:lang w:val="es-CO" w:eastAsia="es-CO"/>
              </w:rPr>
              <w:t>n)</w:t>
            </w:r>
          </w:p>
        </w:tc>
        <w:tc>
          <w:tcPr>
            <w:tcW w:w="5245" w:type="dxa"/>
            <w:shd w:val="clear" w:color="000000" w:fill="FFFFFF"/>
            <w:vAlign w:val="center"/>
          </w:tcPr>
          <w:p w:rsidR="00C7739E" w:rsidRPr="000A17D7" w:rsidRDefault="00C7739E" w:rsidP="008F0D30">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Pérdidas del ejercicio</w:t>
            </w:r>
            <w:r w:rsidR="0018321D">
              <w:rPr>
                <w:rFonts w:ascii="Arial" w:hAnsi="Arial" w:cs="Arial"/>
                <w:snapToGrid/>
                <w:color w:val="000000"/>
                <w:sz w:val="18"/>
                <w:szCs w:val="18"/>
                <w:lang w:val="es-CO" w:eastAsia="es-CO"/>
              </w:rPr>
              <w:t>.</w:t>
            </w:r>
          </w:p>
        </w:tc>
        <w:tc>
          <w:tcPr>
            <w:tcW w:w="2056" w:type="dxa"/>
            <w:shd w:val="clear" w:color="000000" w:fill="FFFFFF"/>
            <w:noWrap/>
          </w:tcPr>
          <w:p w:rsidR="00C7739E" w:rsidRPr="000A17D7" w:rsidRDefault="00C7739E" w:rsidP="008F0D30">
            <w:pPr>
              <w:jc w:val="center"/>
              <w:rPr>
                <w:rFonts w:ascii="Arial" w:hAnsi="Arial" w:cs="Arial"/>
                <w:snapToGrid/>
                <w:color w:val="000000"/>
                <w:sz w:val="18"/>
                <w:szCs w:val="18"/>
                <w:lang w:val="es-CO" w:eastAsia="es-CO"/>
              </w:rPr>
            </w:pPr>
          </w:p>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045A0B">
        <w:trPr>
          <w:gridAfter w:val="1"/>
          <w:wAfter w:w="13" w:type="dxa"/>
          <w:trHeight w:val="539"/>
          <w:jc w:val="center"/>
        </w:trPr>
        <w:tc>
          <w:tcPr>
            <w:tcW w:w="1064" w:type="dxa"/>
            <w:vMerge/>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-393010</w:t>
            </w:r>
          </w:p>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(deducci</w:t>
            </w:r>
            <w:r w:rsidR="00136C4B">
              <w:rPr>
                <w:rFonts w:ascii="Arial" w:hAnsi="Arial" w:cs="Arial"/>
                <w:snapToGrid/>
                <w:color w:val="000000"/>
                <w:sz w:val="18"/>
                <w:szCs w:val="18"/>
                <w:lang w:val="es-CO" w:eastAsia="es-CO"/>
              </w:rPr>
              <w:t>ó</w:t>
            </w:r>
            <w:r w:rsidRPr="000A17D7">
              <w:rPr>
                <w:rFonts w:ascii="Arial" w:hAnsi="Arial" w:cs="Arial"/>
                <w:snapToGrid/>
                <w:color w:val="000000"/>
                <w:sz w:val="18"/>
                <w:szCs w:val="18"/>
                <w:lang w:val="es-CO" w:eastAsia="es-CO"/>
              </w:rPr>
              <w:t>n)</w:t>
            </w:r>
          </w:p>
        </w:tc>
        <w:tc>
          <w:tcPr>
            <w:tcW w:w="5245" w:type="dxa"/>
            <w:shd w:val="clear" w:color="000000" w:fill="FFFFFF"/>
            <w:vAlign w:val="center"/>
          </w:tcPr>
          <w:p w:rsidR="00C7739E" w:rsidRPr="000A17D7" w:rsidRDefault="00C7739E" w:rsidP="008F0D30">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Pérdida (Resultados acumulados proceso de convergencia a NIIF).</w:t>
            </w:r>
          </w:p>
        </w:tc>
        <w:tc>
          <w:tcPr>
            <w:tcW w:w="2056" w:type="dxa"/>
            <w:tcBorders>
              <w:bottom w:val="single" w:sz="4" w:space="0" w:color="auto"/>
            </w:tcBorders>
            <w:shd w:val="clear" w:color="000000" w:fill="FFFFFF"/>
            <w:noWrap/>
          </w:tcPr>
          <w:p w:rsidR="00347378" w:rsidRDefault="00347378" w:rsidP="008F0D30">
            <w:pPr>
              <w:jc w:val="center"/>
              <w:rPr>
                <w:rFonts w:ascii="Arial" w:hAnsi="Arial" w:cs="Arial"/>
                <w:snapToGrid/>
                <w:color w:val="000000"/>
                <w:sz w:val="18"/>
                <w:szCs w:val="18"/>
                <w:lang w:val="es-CO" w:eastAsia="es-CO"/>
              </w:rPr>
            </w:pPr>
          </w:p>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32343E" w:rsidRPr="000A17D7" w:rsidTr="009630BD">
        <w:trPr>
          <w:gridAfter w:val="1"/>
          <w:wAfter w:w="13" w:type="dxa"/>
          <w:trHeight w:val="1980"/>
          <w:jc w:val="center"/>
        </w:trPr>
        <w:tc>
          <w:tcPr>
            <w:tcW w:w="1064" w:type="dxa"/>
            <w:vMerge w:val="restart"/>
            <w:shd w:val="clear" w:color="000000" w:fill="FFFFFF"/>
            <w:noWrap/>
            <w:vAlign w:val="center"/>
            <w:hideMark/>
          </w:tcPr>
          <w:p w:rsidR="0032343E" w:rsidRDefault="0032343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F.</w:t>
            </w:r>
            <w:r>
              <w:rPr>
                <w:rFonts w:ascii="Arial" w:hAnsi="Arial" w:cs="Arial"/>
                <w:snapToGrid/>
                <w:color w:val="000000"/>
                <w:sz w:val="18"/>
                <w:szCs w:val="18"/>
                <w:lang w:val="es-CO" w:eastAsia="es-CO"/>
              </w:rPr>
              <w:t xml:space="preserve"> </w:t>
            </w:r>
            <w:r w:rsidR="00262657">
              <w:rPr>
                <w:rFonts w:ascii="Arial" w:hAnsi="Arial" w:cs="Arial"/>
                <w:snapToGrid/>
                <w:color w:val="000000"/>
                <w:sz w:val="18"/>
                <w:szCs w:val="18"/>
                <w:lang w:val="es-CO" w:eastAsia="es-CO"/>
              </w:rPr>
              <w:t>239</w:t>
            </w:r>
          </w:p>
          <w:p w:rsidR="0032343E" w:rsidRPr="000A17D7" w:rsidRDefault="0032343E"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Unidad de captura 01</w:t>
            </w:r>
          </w:p>
          <w:p w:rsidR="0032343E" w:rsidRPr="000A17D7" w:rsidRDefault="0032343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hideMark/>
          </w:tcPr>
          <w:p w:rsidR="0032343E" w:rsidRPr="000A17D7" w:rsidRDefault="0032343E"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-140</w:t>
            </w:r>
          </w:p>
          <w:p w:rsidR="0032343E" w:rsidRPr="000A17D7" w:rsidRDefault="0032343E" w:rsidP="00136C4B">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(deducci</w:t>
            </w:r>
            <w:r>
              <w:rPr>
                <w:rFonts w:ascii="Arial" w:hAnsi="Arial" w:cs="Arial"/>
                <w:snapToGrid/>
                <w:color w:val="000000"/>
                <w:sz w:val="18"/>
                <w:szCs w:val="18"/>
                <w:lang w:val="es-CO" w:eastAsia="es-CO"/>
              </w:rPr>
              <w:t>ó</w:t>
            </w:r>
            <w:r w:rsidRPr="000A17D7">
              <w:rPr>
                <w:rFonts w:ascii="Arial" w:hAnsi="Arial" w:cs="Arial"/>
                <w:snapToGrid/>
                <w:color w:val="000000"/>
                <w:sz w:val="18"/>
                <w:szCs w:val="18"/>
                <w:lang w:val="es-CO" w:eastAsia="es-CO"/>
              </w:rPr>
              <w:t>n)</w:t>
            </w:r>
          </w:p>
        </w:tc>
        <w:tc>
          <w:tcPr>
            <w:tcW w:w="5245" w:type="dxa"/>
            <w:tcBorders>
              <w:right w:val="single" w:sz="4" w:space="0" w:color="auto"/>
            </w:tcBorders>
            <w:shd w:val="clear" w:color="000000" w:fill="FFFFFF"/>
            <w:hideMark/>
          </w:tcPr>
          <w:p w:rsidR="00347378" w:rsidRDefault="0032343E" w:rsidP="008F0D30">
            <w:pPr>
              <w:jc w:val="both"/>
              <w:rPr>
                <w:rFonts w:ascii="Arial" w:hAnsi="Arial" w:cs="Arial"/>
                <w:snapToGrid/>
                <w:color w:val="000000"/>
                <w:sz w:val="18"/>
                <w:szCs w:val="18"/>
                <w:lang w:val="es-CO" w:eastAsia="es-CO"/>
              </w:rPr>
            </w:pPr>
            <w:r>
              <w:rPr>
                <w:rFonts w:ascii="Arial" w:hAnsi="Arial" w:cs="Arial"/>
                <w:snapToGrid/>
                <w:color w:val="000000"/>
                <w:sz w:val="18"/>
                <w:szCs w:val="18"/>
                <w:lang w:val="es-CO" w:eastAsia="es-CO"/>
              </w:rPr>
              <w:t>El valor de: i) l</w:t>
            </w:r>
            <w:r w:rsidRPr="00FC38B0">
              <w:rPr>
                <w:rFonts w:ascii="Arial" w:hAnsi="Arial" w:cs="Arial"/>
                <w:snapToGrid/>
                <w:color w:val="000000"/>
                <w:sz w:val="18"/>
                <w:szCs w:val="18"/>
                <w:lang w:val="es-CO" w:eastAsia="es-CO"/>
              </w:rPr>
              <w:t>as inversiones de capital</w:t>
            </w:r>
            <w:r>
              <w:rPr>
                <w:rFonts w:ascii="Arial" w:hAnsi="Arial" w:cs="Arial"/>
                <w:snapToGrid/>
                <w:color w:val="000000"/>
                <w:sz w:val="18"/>
                <w:szCs w:val="18"/>
                <w:lang w:val="es-CO" w:eastAsia="es-CO"/>
              </w:rPr>
              <w:t>, ii)</w:t>
            </w:r>
            <w:r w:rsidRPr="00FC38B0">
              <w:rPr>
                <w:rFonts w:ascii="Arial" w:hAnsi="Arial" w:cs="Arial"/>
                <w:snapToGrid/>
                <w:color w:val="000000"/>
                <w:sz w:val="18"/>
                <w:szCs w:val="18"/>
                <w:lang w:val="es-CO" w:eastAsia="es-CO"/>
              </w:rPr>
              <w:t xml:space="preserve"> las inversiones en bonos obligatoriamente convertibles en acciones, </w:t>
            </w:r>
            <w:r>
              <w:rPr>
                <w:rFonts w:ascii="Arial" w:hAnsi="Arial" w:cs="Arial"/>
                <w:snapToGrid/>
                <w:color w:val="000000"/>
                <w:sz w:val="18"/>
                <w:szCs w:val="18"/>
                <w:lang w:val="es-CO" w:eastAsia="es-CO"/>
              </w:rPr>
              <w:t xml:space="preserve">iii) las inversiones </w:t>
            </w:r>
            <w:r w:rsidRPr="00FC38B0">
              <w:rPr>
                <w:rFonts w:ascii="Arial" w:hAnsi="Arial" w:cs="Arial"/>
                <w:snapToGrid/>
                <w:color w:val="000000"/>
                <w:sz w:val="18"/>
                <w:szCs w:val="18"/>
                <w:lang w:val="es-CO" w:eastAsia="es-CO"/>
              </w:rPr>
              <w:t xml:space="preserve">en bonos subordinados opcionalmente convertibles en acciones </w:t>
            </w:r>
            <w:r w:rsidR="00347378">
              <w:rPr>
                <w:rFonts w:ascii="Arial" w:hAnsi="Arial" w:cs="Arial"/>
                <w:snapToGrid/>
                <w:color w:val="000000"/>
                <w:sz w:val="18"/>
                <w:szCs w:val="18"/>
                <w:lang w:val="es-CO" w:eastAsia="es-CO"/>
              </w:rPr>
              <w:t>y/</w:t>
            </w:r>
            <w:r w:rsidRPr="00FC38B0">
              <w:rPr>
                <w:rFonts w:ascii="Arial" w:hAnsi="Arial" w:cs="Arial"/>
                <w:snapToGrid/>
                <w:color w:val="000000"/>
                <w:sz w:val="18"/>
                <w:szCs w:val="18"/>
                <w:lang w:val="es-CO" w:eastAsia="es-CO"/>
              </w:rPr>
              <w:t xml:space="preserve">o, </w:t>
            </w:r>
            <w:r>
              <w:rPr>
                <w:rFonts w:ascii="Arial" w:hAnsi="Arial" w:cs="Arial"/>
                <w:snapToGrid/>
                <w:color w:val="000000"/>
                <w:sz w:val="18"/>
                <w:szCs w:val="18"/>
                <w:lang w:val="es-CO" w:eastAsia="es-CO"/>
              </w:rPr>
              <w:t xml:space="preserve">iv) </w:t>
            </w:r>
            <w:r w:rsidRPr="00FC38B0">
              <w:rPr>
                <w:rFonts w:ascii="Arial" w:hAnsi="Arial" w:cs="Arial"/>
                <w:snapToGrid/>
                <w:color w:val="000000"/>
                <w:sz w:val="18"/>
                <w:szCs w:val="18"/>
                <w:lang w:val="es-CO" w:eastAsia="es-CO"/>
              </w:rPr>
              <w:t>en general en instrumentos de deuda subordinada, efectuadas en forma directa o indirecta en entidades sometidas al control y vigilancia de la SFC</w:t>
            </w:r>
            <w:r>
              <w:rPr>
                <w:rFonts w:ascii="Arial" w:hAnsi="Arial" w:cs="Arial"/>
                <w:snapToGrid/>
                <w:color w:val="000000"/>
                <w:sz w:val="18"/>
                <w:szCs w:val="18"/>
                <w:lang w:val="es-CO" w:eastAsia="es-CO"/>
              </w:rPr>
              <w:t xml:space="preserve"> o en entidades financieras del exterior,</w:t>
            </w:r>
            <w:r w:rsidRPr="00FC38B0">
              <w:rPr>
                <w:rFonts w:ascii="Arial" w:hAnsi="Arial" w:cs="Arial"/>
                <w:snapToGrid/>
                <w:color w:val="000000"/>
                <w:sz w:val="18"/>
                <w:szCs w:val="18"/>
                <w:lang w:val="es-CO" w:eastAsia="es-CO"/>
              </w:rPr>
              <w:t xml:space="preserve"> cuando se trate de entidades respecto a las cuales no haya lugar a consolidación.</w:t>
            </w:r>
          </w:p>
          <w:p w:rsidR="00347378" w:rsidRDefault="00347378" w:rsidP="008F0D30">
            <w:pPr>
              <w:jc w:val="both"/>
              <w:rPr>
                <w:rFonts w:ascii="Arial" w:hAnsi="Arial" w:cs="Arial"/>
                <w:snapToGrid/>
                <w:color w:val="000000"/>
                <w:sz w:val="18"/>
                <w:szCs w:val="18"/>
                <w:lang w:val="es-CO" w:eastAsia="es-CO"/>
              </w:rPr>
            </w:pPr>
          </w:p>
          <w:p w:rsidR="0032343E" w:rsidRDefault="0032343E" w:rsidP="008F0D30">
            <w:pPr>
              <w:jc w:val="both"/>
              <w:rPr>
                <w:rFonts w:ascii="Arial" w:hAnsi="Arial" w:cs="Arial"/>
                <w:snapToGrid/>
                <w:color w:val="000000"/>
                <w:sz w:val="18"/>
                <w:szCs w:val="18"/>
                <w:lang w:val="es-CO" w:eastAsia="es-CO"/>
              </w:rPr>
            </w:pPr>
            <w:r w:rsidRPr="00FC38B0">
              <w:rPr>
                <w:rFonts w:ascii="Arial" w:hAnsi="Arial" w:cs="Arial"/>
                <w:snapToGrid/>
                <w:color w:val="000000"/>
                <w:sz w:val="18"/>
                <w:szCs w:val="18"/>
                <w:lang w:val="es-CO" w:eastAsia="es-CO"/>
              </w:rPr>
              <w:t xml:space="preserve">Se exceptúan de esta deducción: </w:t>
            </w:r>
            <w:r w:rsidR="00347378">
              <w:rPr>
                <w:rFonts w:ascii="Arial" w:hAnsi="Arial" w:cs="Arial"/>
                <w:snapToGrid/>
                <w:color w:val="000000"/>
                <w:sz w:val="18"/>
                <w:szCs w:val="18"/>
                <w:lang w:val="es-CO" w:eastAsia="es-CO"/>
              </w:rPr>
              <w:t xml:space="preserve">i) </w:t>
            </w:r>
            <w:r w:rsidRPr="00FC38B0">
              <w:rPr>
                <w:rFonts w:ascii="Arial" w:hAnsi="Arial" w:cs="Arial"/>
                <w:snapToGrid/>
                <w:color w:val="000000"/>
                <w:sz w:val="18"/>
                <w:szCs w:val="18"/>
                <w:lang w:val="es-CO" w:eastAsia="es-CO"/>
              </w:rPr>
              <w:t>las inversiones de capital en Finagro</w:t>
            </w:r>
            <w:r w:rsidR="00347378">
              <w:rPr>
                <w:rFonts w:ascii="Arial" w:hAnsi="Arial" w:cs="Arial"/>
                <w:snapToGrid/>
                <w:color w:val="000000"/>
                <w:sz w:val="18"/>
                <w:szCs w:val="18"/>
                <w:lang w:val="es-CO" w:eastAsia="es-CO"/>
              </w:rPr>
              <w:t xml:space="preserve">, ii) </w:t>
            </w:r>
            <w:r w:rsidRPr="00FC38B0">
              <w:rPr>
                <w:rFonts w:ascii="Arial" w:hAnsi="Arial" w:cs="Arial"/>
                <w:snapToGrid/>
                <w:color w:val="000000"/>
                <w:sz w:val="18"/>
                <w:szCs w:val="18"/>
                <w:lang w:val="es-CO" w:eastAsia="es-CO"/>
              </w:rPr>
              <w:t>las inversiones efectuadas en otra institución financiera vigilada por la SFC para adelantar un proceso de adquisición de los que trata el artículo 63 del Estatuto Orgánico del Sistema Financiero (EOSF), durante los plazos establecidos en el inciso 2, numeral 2 o en el parágrafo 2 del mismo artículo</w:t>
            </w:r>
            <w:r w:rsidR="00347378">
              <w:rPr>
                <w:rFonts w:ascii="Arial" w:hAnsi="Arial" w:cs="Arial"/>
                <w:snapToGrid/>
                <w:color w:val="000000"/>
                <w:sz w:val="18"/>
                <w:szCs w:val="18"/>
                <w:lang w:val="es-CO" w:eastAsia="es-CO"/>
              </w:rPr>
              <w:t>, y iii) l</w:t>
            </w:r>
            <w:r w:rsidR="00347378" w:rsidRPr="0032343E">
              <w:rPr>
                <w:rFonts w:ascii="Arial" w:hAnsi="Arial" w:cs="Arial"/>
                <w:snapToGrid/>
                <w:color w:val="000000"/>
                <w:sz w:val="18"/>
                <w:szCs w:val="18"/>
                <w:lang w:val="es-CO" w:eastAsia="es-CO"/>
              </w:rPr>
              <w:t>as inversiones realizadas por establecimientos de crédito en entidades vigiladas por la SFC que sean consolidadas por otra entidad vigilada, cuando dichas participaciones no sean consideradas como interés minoritario por la consolidante, de acuerdo con lo establecido en el literal b) del artículo 2.1.1.1.11 del Decreto 2555 de 2010.</w:t>
            </w:r>
          </w:p>
          <w:p w:rsidR="0032343E" w:rsidRDefault="0032343E" w:rsidP="008F0D30">
            <w:pPr>
              <w:jc w:val="both"/>
              <w:rPr>
                <w:rFonts w:ascii="Arial" w:hAnsi="Arial" w:cs="Arial"/>
                <w:snapToGrid/>
                <w:color w:val="000000"/>
                <w:sz w:val="18"/>
                <w:szCs w:val="18"/>
                <w:lang w:val="es-CO" w:eastAsia="es-CO"/>
              </w:rPr>
            </w:pPr>
          </w:p>
          <w:p w:rsidR="0032343E" w:rsidRPr="00FC38B0" w:rsidRDefault="0032343E" w:rsidP="008F0D30">
            <w:pPr>
              <w:jc w:val="both"/>
              <w:rPr>
                <w:rFonts w:ascii="Arial" w:hAnsi="Arial" w:cs="Arial"/>
                <w:snapToGrid/>
                <w:color w:val="000000"/>
                <w:sz w:val="18"/>
                <w:szCs w:val="18"/>
                <w:lang w:val="es-CO" w:eastAsia="es-CO"/>
              </w:rPr>
            </w:pPr>
            <w:r w:rsidRPr="00FC38B0">
              <w:rPr>
                <w:rFonts w:ascii="Arial" w:hAnsi="Arial" w:cs="Arial"/>
                <w:snapToGrid/>
                <w:color w:val="000000"/>
                <w:sz w:val="18"/>
                <w:szCs w:val="18"/>
                <w:lang w:val="es-CO" w:eastAsia="es-CO"/>
              </w:rPr>
              <w:t xml:space="preserve">Los aportes que los establecimientos de crédito de naturaleza cooperativa posean en otras entidades de naturaleza solidaria se consideran inversiones de capital de acuerdo con lo previsto en el parágrafo del artículo 2.1.1.1.11 del Decreto 2555 de 2010. </w:t>
            </w:r>
          </w:p>
          <w:p w:rsidR="0032343E" w:rsidRDefault="0032343E" w:rsidP="008F0D30">
            <w:pPr>
              <w:jc w:val="both"/>
              <w:rPr>
                <w:rFonts w:ascii="Arial" w:hAnsi="Arial" w:cs="Arial"/>
                <w:snapToGrid/>
                <w:color w:val="000000"/>
                <w:sz w:val="18"/>
                <w:szCs w:val="18"/>
                <w:lang w:val="es-CO" w:eastAsia="es-CO"/>
              </w:rPr>
            </w:pPr>
          </w:p>
          <w:p w:rsidR="0032343E" w:rsidRPr="00FC38B0" w:rsidRDefault="0032343E" w:rsidP="008F0D30">
            <w:pPr>
              <w:jc w:val="both"/>
              <w:rPr>
                <w:rFonts w:ascii="Arial" w:hAnsi="Arial" w:cs="Arial"/>
                <w:snapToGrid/>
                <w:color w:val="000000"/>
                <w:sz w:val="18"/>
                <w:szCs w:val="18"/>
                <w:lang w:val="es-CO" w:eastAsia="es-CO"/>
              </w:rPr>
            </w:pPr>
            <w:r w:rsidRPr="00FC38B0">
              <w:rPr>
                <w:rFonts w:ascii="Arial" w:hAnsi="Arial" w:cs="Arial"/>
                <w:snapToGrid/>
                <w:color w:val="000000"/>
                <w:sz w:val="18"/>
                <w:szCs w:val="18"/>
                <w:lang w:val="es-CO" w:eastAsia="es-CO"/>
              </w:rPr>
              <w:t>El monto a deducir corresponde al total del valor anteriormente señalado que supere el 10% del PBO una vez realizadas las demás deducciones a las que hace referencia el artículo 2.1.1.1.11 del Decreto 2555 de 2010.</w:t>
            </w:r>
          </w:p>
          <w:p w:rsidR="0032343E" w:rsidRPr="00FC38B0" w:rsidRDefault="0032343E" w:rsidP="008F0D30">
            <w:pPr>
              <w:jc w:val="both"/>
              <w:rPr>
                <w:rFonts w:ascii="Arial" w:hAnsi="Arial" w:cs="Arial"/>
                <w:snapToGrid/>
                <w:color w:val="000000"/>
                <w:sz w:val="18"/>
                <w:szCs w:val="18"/>
                <w:lang w:val="es-CO" w:eastAsia="es-CO"/>
              </w:rPr>
            </w:pPr>
          </w:p>
          <w:p w:rsidR="0032343E" w:rsidRPr="00FC38B0" w:rsidRDefault="0032343E" w:rsidP="00045A0B">
            <w:pPr>
              <w:jc w:val="both"/>
              <w:rPr>
                <w:rFonts w:ascii="Arial" w:hAnsi="Arial" w:cs="Arial"/>
                <w:snapToGrid/>
                <w:color w:val="000000"/>
                <w:sz w:val="18"/>
                <w:szCs w:val="18"/>
                <w:lang w:val="es-CO" w:eastAsia="es-CO"/>
              </w:rPr>
            </w:pPr>
            <w:r w:rsidRPr="00FC38B0">
              <w:rPr>
                <w:rFonts w:ascii="Arial" w:hAnsi="Arial" w:cs="Arial"/>
                <w:snapToGrid/>
                <w:color w:val="000000"/>
                <w:sz w:val="18"/>
                <w:szCs w:val="18"/>
                <w:lang w:val="es-CO" w:eastAsia="es-CO"/>
              </w:rPr>
              <w:lastRenderedPageBreak/>
              <w:t>Para el cálculo del</w:t>
            </w:r>
            <w:r>
              <w:rPr>
                <w:rFonts w:ascii="Arial" w:hAnsi="Arial" w:cs="Arial"/>
                <w:snapToGrid/>
                <w:color w:val="000000"/>
                <w:sz w:val="18"/>
                <w:szCs w:val="18"/>
                <w:lang w:val="es-CO" w:eastAsia="es-CO"/>
              </w:rPr>
              <w:t xml:space="preserve"> literal i) del primer párrafo,</w:t>
            </w:r>
            <w:r w:rsidRPr="00FC38B0">
              <w:rPr>
                <w:rFonts w:ascii="Arial" w:hAnsi="Arial" w:cs="Arial"/>
                <w:snapToGrid/>
                <w:color w:val="000000"/>
                <w:sz w:val="18"/>
                <w:szCs w:val="18"/>
                <w:lang w:val="es-CO" w:eastAsia="es-CO"/>
              </w:rPr>
              <w:t xml:space="preserve"> se debe </w:t>
            </w:r>
            <w:r>
              <w:rPr>
                <w:rFonts w:ascii="Arial" w:hAnsi="Arial" w:cs="Arial"/>
                <w:snapToGrid/>
                <w:color w:val="000000"/>
                <w:sz w:val="18"/>
                <w:szCs w:val="18"/>
                <w:lang w:val="es-CO" w:eastAsia="es-CO"/>
              </w:rPr>
              <w:t xml:space="preserve">sumar: i) el valor que resulte de </w:t>
            </w:r>
            <w:r w:rsidRPr="00FC38B0">
              <w:rPr>
                <w:rFonts w:ascii="Arial" w:hAnsi="Arial" w:cs="Arial"/>
                <w:snapToGrid/>
                <w:color w:val="000000"/>
                <w:sz w:val="18"/>
                <w:szCs w:val="18"/>
                <w:lang w:val="es-CO" w:eastAsia="es-CO"/>
              </w:rPr>
              <w:t xml:space="preserve">multiplicar la participación accionaria de la entidad sobre </w:t>
            </w:r>
            <w:r>
              <w:rPr>
                <w:rFonts w:ascii="Arial" w:hAnsi="Arial" w:cs="Arial"/>
                <w:snapToGrid/>
                <w:color w:val="000000"/>
                <w:sz w:val="18"/>
                <w:szCs w:val="18"/>
                <w:lang w:val="es-CO" w:eastAsia="es-CO"/>
              </w:rPr>
              <w:t>todos los</w:t>
            </w:r>
            <w:r w:rsidRPr="00FC38B0">
              <w:rPr>
                <w:rFonts w:ascii="Arial" w:hAnsi="Arial" w:cs="Arial"/>
                <w:snapToGrid/>
                <w:color w:val="000000"/>
                <w:sz w:val="18"/>
                <w:szCs w:val="18"/>
                <w:lang w:val="es-CO" w:eastAsia="es-CO"/>
              </w:rPr>
              <w:t xml:space="preserve"> rubros constitutivos del PBO de la entidad no consolida</w:t>
            </w:r>
            <w:r>
              <w:rPr>
                <w:rFonts w:ascii="Arial" w:hAnsi="Arial" w:cs="Arial"/>
                <w:snapToGrid/>
                <w:color w:val="000000"/>
                <w:sz w:val="18"/>
                <w:szCs w:val="18"/>
                <w:lang w:val="es-CO" w:eastAsia="es-CO"/>
              </w:rPr>
              <w:t xml:space="preserve">da y ii) </w:t>
            </w:r>
            <w:r w:rsidR="00B01F14">
              <w:rPr>
                <w:rFonts w:ascii="Arial" w:hAnsi="Arial" w:cs="Arial"/>
                <w:snapToGrid/>
                <w:color w:val="000000"/>
                <w:sz w:val="18"/>
                <w:szCs w:val="18"/>
                <w:lang w:val="es-CO" w:eastAsia="es-CO"/>
              </w:rPr>
              <w:t xml:space="preserve">el valor que resulte de </w:t>
            </w:r>
            <w:r w:rsidR="00B01F14" w:rsidRPr="00FC38B0">
              <w:rPr>
                <w:rFonts w:ascii="Arial" w:hAnsi="Arial" w:cs="Arial"/>
                <w:snapToGrid/>
                <w:color w:val="000000"/>
                <w:sz w:val="18"/>
                <w:szCs w:val="18"/>
                <w:lang w:val="es-CO" w:eastAsia="es-CO"/>
              </w:rPr>
              <w:t>multiplicar la participación accionaria de la entidad sobre</w:t>
            </w:r>
            <w:r w:rsidR="00B01F14">
              <w:rPr>
                <w:rFonts w:ascii="Arial" w:hAnsi="Arial" w:cs="Arial"/>
                <w:snapToGrid/>
                <w:color w:val="000000"/>
                <w:sz w:val="18"/>
                <w:szCs w:val="18"/>
                <w:lang w:val="es-CO" w:eastAsia="es-CO"/>
              </w:rPr>
              <w:t xml:space="preserve"> </w:t>
            </w:r>
            <w:r>
              <w:rPr>
                <w:rFonts w:ascii="Arial" w:hAnsi="Arial" w:cs="Arial"/>
                <w:snapToGrid/>
                <w:color w:val="000000"/>
                <w:sz w:val="18"/>
                <w:szCs w:val="18"/>
                <w:lang w:val="es-CO" w:eastAsia="es-CO"/>
              </w:rPr>
              <w:t>el capital suscrito y pagado en las acciones que computen en el PBA de la entidad no consolidada</w:t>
            </w:r>
            <w:r w:rsidRPr="00FC38B0">
              <w:rPr>
                <w:rFonts w:ascii="Arial" w:hAnsi="Arial" w:cs="Arial"/>
                <w:snapToGrid/>
                <w:color w:val="000000"/>
                <w:sz w:val="18"/>
                <w:szCs w:val="18"/>
                <w:lang w:val="es-CO" w:eastAsia="es-CO"/>
              </w:rPr>
              <w:t>.</w:t>
            </w:r>
            <w:r>
              <w:rPr>
                <w:rFonts w:ascii="Arial" w:hAnsi="Arial" w:cs="Arial"/>
                <w:snapToGrid/>
                <w:color w:val="000000"/>
                <w:sz w:val="18"/>
                <w:szCs w:val="18"/>
                <w:lang w:val="es-CO" w:eastAsia="es-CO"/>
              </w:rPr>
              <w:t xml:space="preserve"> Para aquellas entidades no consolidadas que no tengan PBO y PBA se debe multiplicar la participación accionaria por el patrimonio contable de la entidad.</w:t>
            </w:r>
            <w:r w:rsidR="00045A0B" w:rsidRPr="00FC38B0">
              <w:rPr>
                <w:rFonts w:ascii="Arial" w:hAnsi="Arial" w:cs="Arial"/>
                <w:snapToGrid/>
                <w:color w:val="000000"/>
                <w:sz w:val="18"/>
                <w:szCs w:val="18"/>
                <w:lang w:val="es-CO" w:eastAsia="es-CO"/>
              </w:rPr>
              <w:t xml:space="preserve"> </w:t>
            </w:r>
          </w:p>
        </w:tc>
        <w:tc>
          <w:tcPr>
            <w:tcW w:w="2056" w:type="dxa"/>
            <w:tcBorders>
              <w:top w:val="single" w:sz="4" w:space="0" w:color="auto"/>
              <w:left w:val="single" w:sz="4" w:space="0" w:color="auto"/>
              <w:right w:val="single" w:sz="4" w:space="0" w:color="auto"/>
            </w:tcBorders>
            <w:shd w:val="clear" w:color="000000" w:fill="FFFFFF"/>
            <w:noWrap/>
            <w:vAlign w:val="center"/>
            <w:hideMark/>
          </w:tcPr>
          <w:p w:rsidR="0032343E" w:rsidRPr="00503104" w:rsidRDefault="0032343E" w:rsidP="008F0D30">
            <w:pPr>
              <w:jc w:val="center"/>
              <w:rPr>
                <w:rFonts w:ascii="Arial" w:hAnsi="Arial" w:cs="Arial"/>
                <w:snapToGrid/>
                <w:color w:val="000000"/>
                <w:sz w:val="18"/>
                <w:szCs w:val="18"/>
                <w:lang w:val="es-CO" w:eastAsia="es-CO"/>
              </w:rPr>
            </w:pPr>
          </w:p>
          <w:p w:rsidR="0032343E" w:rsidRPr="00503104" w:rsidRDefault="0032343E" w:rsidP="008F0D30">
            <w:pPr>
              <w:jc w:val="center"/>
              <w:rPr>
                <w:rFonts w:ascii="Arial" w:hAnsi="Arial" w:cs="Arial"/>
                <w:snapToGrid/>
                <w:color w:val="000000"/>
                <w:sz w:val="18"/>
                <w:szCs w:val="18"/>
                <w:lang w:val="es-CO" w:eastAsia="es-CO"/>
              </w:rPr>
            </w:pPr>
          </w:p>
          <w:p w:rsidR="0032343E" w:rsidRPr="00503104" w:rsidRDefault="0032343E" w:rsidP="008F0D30">
            <w:pPr>
              <w:jc w:val="center"/>
              <w:rPr>
                <w:rFonts w:ascii="Arial" w:hAnsi="Arial" w:cs="Arial"/>
                <w:snapToGrid/>
                <w:color w:val="000000"/>
                <w:sz w:val="18"/>
                <w:szCs w:val="18"/>
                <w:lang w:val="es-CO" w:eastAsia="es-CO"/>
              </w:rPr>
            </w:pPr>
          </w:p>
          <w:p w:rsidR="0032343E" w:rsidRPr="00503104" w:rsidRDefault="0032343E" w:rsidP="008F0D30">
            <w:pPr>
              <w:jc w:val="center"/>
              <w:rPr>
                <w:rFonts w:ascii="Arial" w:hAnsi="Arial" w:cs="Arial"/>
                <w:snapToGrid/>
                <w:color w:val="000000"/>
                <w:sz w:val="18"/>
                <w:szCs w:val="18"/>
                <w:lang w:val="es-CO" w:eastAsia="es-CO"/>
              </w:rPr>
            </w:pPr>
          </w:p>
          <w:p w:rsidR="0032343E" w:rsidRPr="00503104" w:rsidRDefault="0032343E" w:rsidP="008F0D30">
            <w:pPr>
              <w:jc w:val="center"/>
              <w:rPr>
                <w:rFonts w:ascii="Arial" w:hAnsi="Arial" w:cs="Arial"/>
                <w:snapToGrid/>
                <w:color w:val="000000"/>
                <w:sz w:val="18"/>
                <w:szCs w:val="18"/>
                <w:lang w:val="es-CO" w:eastAsia="es-CO"/>
              </w:rPr>
            </w:pPr>
          </w:p>
          <w:p w:rsidR="0032343E" w:rsidRPr="00503104" w:rsidRDefault="0032343E" w:rsidP="008F0D30">
            <w:pPr>
              <w:jc w:val="center"/>
              <w:rPr>
                <w:rFonts w:ascii="Arial" w:hAnsi="Arial" w:cs="Arial"/>
                <w:snapToGrid/>
                <w:color w:val="000000"/>
                <w:sz w:val="18"/>
                <w:szCs w:val="18"/>
                <w:lang w:val="es-CO" w:eastAsia="es-CO"/>
              </w:rPr>
            </w:pPr>
          </w:p>
          <w:p w:rsidR="0032343E" w:rsidRPr="00503104" w:rsidRDefault="0032343E" w:rsidP="008F0D30">
            <w:pPr>
              <w:jc w:val="center"/>
              <w:rPr>
                <w:rFonts w:ascii="Arial" w:hAnsi="Arial" w:cs="Arial"/>
                <w:snapToGrid/>
                <w:color w:val="000000"/>
                <w:sz w:val="18"/>
                <w:szCs w:val="18"/>
                <w:lang w:val="es-CO" w:eastAsia="es-CO"/>
              </w:rPr>
            </w:pPr>
          </w:p>
          <w:p w:rsidR="0032343E" w:rsidRPr="00503104" w:rsidRDefault="0032343E" w:rsidP="008F0D30">
            <w:pPr>
              <w:jc w:val="center"/>
              <w:rPr>
                <w:rFonts w:ascii="Arial" w:hAnsi="Arial" w:cs="Arial"/>
                <w:snapToGrid/>
                <w:color w:val="000000"/>
                <w:sz w:val="18"/>
                <w:szCs w:val="18"/>
                <w:lang w:val="es-CO" w:eastAsia="es-CO"/>
              </w:rPr>
            </w:pPr>
          </w:p>
          <w:p w:rsidR="0032343E" w:rsidRPr="00503104" w:rsidRDefault="0032343E" w:rsidP="008F0D30">
            <w:pPr>
              <w:jc w:val="center"/>
              <w:rPr>
                <w:rFonts w:ascii="Arial" w:hAnsi="Arial" w:cs="Arial"/>
                <w:snapToGrid/>
                <w:color w:val="000000"/>
                <w:sz w:val="18"/>
                <w:szCs w:val="18"/>
                <w:lang w:val="es-CO" w:eastAsia="es-CO"/>
              </w:rPr>
            </w:pPr>
          </w:p>
          <w:p w:rsidR="0032343E" w:rsidRDefault="0032343E" w:rsidP="008F0D30">
            <w:pPr>
              <w:jc w:val="center"/>
              <w:rPr>
                <w:rFonts w:ascii="Arial" w:hAnsi="Arial" w:cs="Arial"/>
                <w:snapToGrid/>
                <w:color w:val="000000"/>
                <w:sz w:val="18"/>
                <w:szCs w:val="18"/>
                <w:lang w:val="es-CO" w:eastAsia="es-CO"/>
              </w:rPr>
            </w:pPr>
          </w:p>
          <w:p w:rsidR="0032343E" w:rsidRDefault="0032343E" w:rsidP="008F0D30">
            <w:pPr>
              <w:jc w:val="center"/>
              <w:rPr>
                <w:rFonts w:ascii="Arial" w:hAnsi="Arial" w:cs="Arial"/>
                <w:snapToGrid/>
                <w:color w:val="000000"/>
                <w:sz w:val="18"/>
                <w:szCs w:val="18"/>
                <w:lang w:val="es-CO" w:eastAsia="es-CO"/>
              </w:rPr>
            </w:pPr>
          </w:p>
          <w:p w:rsidR="0032343E" w:rsidRDefault="0032343E" w:rsidP="008F0D30">
            <w:pPr>
              <w:jc w:val="center"/>
              <w:rPr>
                <w:rFonts w:ascii="Arial" w:hAnsi="Arial" w:cs="Arial"/>
                <w:snapToGrid/>
                <w:color w:val="000000"/>
                <w:sz w:val="18"/>
                <w:szCs w:val="18"/>
                <w:lang w:val="es-CO" w:eastAsia="es-CO"/>
              </w:rPr>
            </w:pPr>
          </w:p>
          <w:p w:rsidR="0032343E" w:rsidRDefault="0032343E" w:rsidP="008F0D30">
            <w:pPr>
              <w:jc w:val="center"/>
              <w:rPr>
                <w:rFonts w:ascii="Arial" w:hAnsi="Arial" w:cs="Arial"/>
                <w:snapToGrid/>
                <w:color w:val="000000"/>
                <w:sz w:val="18"/>
                <w:szCs w:val="18"/>
                <w:lang w:val="es-CO" w:eastAsia="es-CO"/>
              </w:rPr>
            </w:pPr>
          </w:p>
          <w:p w:rsidR="0032343E" w:rsidRDefault="0032343E" w:rsidP="008F0D30">
            <w:pPr>
              <w:jc w:val="center"/>
              <w:rPr>
                <w:rFonts w:ascii="Arial" w:hAnsi="Arial" w:cs="Arial"/>
                <w:snapToGrid/>
                <w:color w:val="000000"/>
                <w:sz w:val="18"/>
                <w:szCs w:val="18"/>
                <w:lang w:val="es-CO" w:eastAsia="es-CO"/>
              </w:rPr>
            </w:pPr>
          </w:p>
          <w:p w:rsidR="0032343E" w:rsidRPr="00503104" w:rsidRDefault="0032343E" w:rsidP="008F0D30">
            <w:pPr>
              <w:jc w:val="center"/>
              <w:rPr>
                <w:rFonts w:ascii="Arial" w:hAnsi="Arial" w:cs="Arial"/>
                <w:snapToGrid/>
                <w:color w:val="000000"/>
                <w:sz w:val="18"/>
                <w:szCs w:val="18"/>
                <w:lang w:val="es-CO" w:eastAsia="es-CO"/>
              </w:rPr>
            </w:pPr>
            <w:r w:rsidRPr="00503104">
              <w:rPr>
                <w:rFonts w:ascii="Arial" w:hAnsi="Arial" w:cs="Arial"/>
                <w:snapToGrid/>
                <w:color w:val="000000"/>
                <w:sz w:val="18"/>
                <w:szCs w:val="18"/>
                <w:lang w:val="es-CO" w:eastAsia="es-CO"/>
              </w:rPr>
              <w:t>100%</w:t>
            </w:r>
          </w:p>
          <w:p w:rsidR="0032343E" w:rsidRPr="00503104" w:rsidRDefault="0032343E" w:rsidP="008F0D30">
            <w:pPr>
              <w:jc w:val="both"/>
              <w:rPr>
                <w:rFonts w:ascii="Arial" w:hAnsi="Arial" w:cs="Arial"/>
                <w:snapToGrid/>
                <w:color w:val="000000"/>
                <w:sz w:val="18"/>
                <w:szCs w:val="18"/>
                <w:lang w:val="es-CO" w:eastAsia="es-CO"/>
              </w:rPr>
            </w:pPr>
          </w:p>
          <w:p w:rsidR="0032343E" w:rsidRPr="00503104" w:rsidRDefault="0032343E" w:rsidP="002D5B8C">
            <w:pPr>
              <w:jc w:val="center"/>
              <w:rPr>
                <w:rFonts w:ascii="Arial" w:hAnsi="Arial" w:cs="Arial"/>
                <w:snapToGrid/>
                <w:color w:val="000000"/>
                <w:sz w:val="18"/>
                <w:szCs w:val="18"/>
                <w:lang w:val="es-CO" w:eastAsia="es-CO"/>
              </w:rPr>
            </w:pPr>
          </w:p>
        </w:tc>
      </w:tr>
      <w:tr w:rsidR="00C7739E" w:rsidRPr="000A17D7" w:rsidTr="00045A0B">
        <w:trPr>
          <w:gridAfter w:val="1"/>
          <w:wAfter w:w="13" w:type="dxa"/>
          <w:trHeight w:val="1310"/>
          <w:jc w:val="center"/>
        </w:trPr>
        <w:tc>
          <w:tcPr>
            <w:tcW w:w="1064" w:type="dxa"/>
            <w:vMerge/>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w:t>
            </w:r>
            <w:r>
              <w:rPr>
                <w:rFonts w:ascii="Arial" w:hAnsi="Arial" w:cs="Arial"/>
                <w:snapToGrid/>
                <w:color w:val="000000"/>
                <w:sz w:val="18"/>
                <w:szCs w:val="18"/>
                <w:lang w:val="es-CO" w:eastAsia="es-CO"/>
              </w:rPr>
              <w:t>150</w:t>
            </w:r>
          </w:p>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(deducci</w:t>
            </w:r>
            <w:r w:rsidR="00136C4B">
              <w:rPr>
                <w:rFonts w:ascii="Arial" w:hAnsi="Arial" w:cs="Arial"/>
                <w:snapToGrid/>
                <w:color w:val="000000"/>
                <w:sz w:val="18"/>
                <w:szCs w:val="18"/>
                <w:lang w:val="es-CO" w:eastAsia="es-CO"/>
              </w:rPr>
              <w:t>ó</w:t>
            </w:r>
            <w:r w:rsidRPr="000A17D7">
              <w:rPr>
                <w:rFonts w:ascii="Arial" w:hAnsi="Arial" w:cs="Arial"/>
                <w:snapToGrid/>
                <w:color w:val="000000"/>
                <w:sz w:val="18"/>
                <w:szCs w:val="18"/>
                <w:lang w:val="es-CO" w:eastAsia="es-CO"/>
              </w:rPr>
              <w:t>n)</w:t>
            </w:r>
          </w:p>
        </w:tc>
        <w:tc>
          <w:tcPr>
            <w:tcW w:w="5245" w:type="dxa"/>
            <w:shd w:val="clear" w:color="000000" w:fill="FFFFFF"/>
            <w:vAlign w:val="center"/>
          </w:tcPr>
          <w:p w:rsidR="00C7739E" w:rsidRPr="000A17D7" w:rsidRDefault="00C7739E" w:rsidP="007D6607">
            <w:pPr>
              <w:jc w:val="both"/>
              <w:rPr>
                <w:rFonts w:ascii="Arial" w:hAnsi="Arial" w:cs="Arial"/>
                <w:snapToGrid/>
                <w:color w:val="000000"/>
                <w:sz w:val="18"/>
                <w:szCs w:val="18"/>
                <w:lang w:val="es-CO" w:eastAsia="es-CO"/>
              </w:rPr>
            </w:pPr>
            <w:r w:rsidRPr="005D0BD8">
              <w:rPr>
                <w:rFonts w:ascii="Arial" w:hAnsi="Arial" w:cs="Arial"/>
                <w:snapToGrid/>
                <w:color w:val="000000"/>
                <w:sz w:val="18"/>
                <w:szCs w:val="18"/>
                <w:lang w:val="es-CO" w:eastAsia="es-CO"/>
              </w:rPr>
              <w:t>Valor del impuesto de renta diferido neto</w:t>
            </w:r>
            <w:r>
              <w:rPr>
                <w:rFonts w:ascii="Arial" w:hAnsi="Arial" w:cs="Arial"/>
                <w:snapToGrid/>
                <w:color w:val="000000"/>
                <w:sz w:val="18"/>
                <w:szCs w:val="18"/>
                <w:lang w:val="es-CO" w:eastAsia="es-CO"/>
              </w:rPr>
              <w:t xml:space="preserve">, </w:t>
            </w:r>
            <w:r w:rsidRPr="005D0BD8">
              <w:rPr>
                <w:rFonts w:ascii="Arial" w:hAnsi="Arial" w:cs="Arial"/>
                <w:snapToGrid/>
                <w:color w:val="000000"/>
                <w:sz w:val="18"/>
                <w:szCs w:val="18"/>
                <w:lang w:val="es-CO" w:eastAsia="es-CO"/>
              </w:rPr>
              <w:t xml:space="preserve">siempre que sea positivo, es decir cuando la cuenta de catálogo 1910 sea mayor a la cuenta de catálogo 2558, se reconoce el 100% </w:t>
            </w:r>
            <w:r>
              <w:rPr>
                <w:rFonts w:ascii="Arial" w:hAnsi="Arial" w:cs="Arial"/>
                <w:snapToGrid/>
                <w:color w:val="000000"/>
                <w:sz w:val="18"/>
                <w:szCs w:val="18"/>
                <w:lang w:val="es-CO" w:eastAsia="es-CO"/>
              </w:rPr>
              <w:t xml:space="preserve">del valor absoluto </w:t>
            </w:r>
            <w:r w:rsidRPr="005D0BD8">
              <w:rPr>
                <w:rFonts w:ascii="Arial" w:hAnsi="Arial" w:cs="Arial"/>
                <w:snapToGrid/>
                <w:color w:val="000000"/>
                <w:sz w:val="18"/>
                <w:szCs w:val="18"/>
                <w:lang w:val="es-CO" w:eastAsia="es-CO"/>
              </w:rPr>
              <w:t>de la diferencia entre ambas cuentas, en caso contrario no se deduce del PBO</w:t>
            </w:r>
            <w:r w:rsidR="00A27FC8">
              <w:rPr>
                <w:rFonts w:ascii="Arial" w:hAnsi="Arial" w:cs="Arial"/>
                <w:snapToGrid/>
                <w:color w:val="000000"/>
                <w:sz w:val="18"/>
                <w:szCs w:val="18"/>
                <w:lang w:val="es-CO" w:eastAsia="es-CO"/>
              </w:rPr>
              <w:t xml:space="preserve">. </w:t>
            </w:r>
            <w:r w:rsidR="00A27FC8" w:rsidRPr="002A1090">
              <w:rPr>
                <w:rFonts w:ascii="Arial" w:hAnsi="Arial" w:cs="Arial"/>
                <w:snapToGrid/>
                <w:color w:val="000000"/>
                <w:sz w:val="18"/>
                <w:szCs w:val="18"/>
                <w:lang w:val="es-CO" w:eastAsia="es-CO"/>
              </w:rPr>
              <w:t xml:space="preserve">Para el efecto no se tendrá en cuenta el valor del impuesto diferido proveniente de los otros conceptos deducidos </w:t>
            </w:r>
            <w:r w:rsidR="00E2433C" w:rsidRPr="002A1090">
              <w:rPr>
                <w:rFonts w:ascii="Arial" w:hAnsi="Arial" w:cs="Arial"/>
                <w:snapToGrid/>
                <w:color w:val="000000"/>
                <w:sz w:val="18"/>
                <w:szCs w:val="18"/>
                <w:lang w:val="es-CO" w:eastAsia="es-CO"/>
              </w:rPr>
              <w:t xml:space="preserve">del PBO </w:t>
            </w:r>
            <w:r w:rsidR="00A27FC8" w:rsidRPr="002A1090">
              <w:rPr>
                <w:rFonts w:ascii="Arial" w:hAnsi="Arial" w:cs="Arial"/>
                <w:snapToGrid/>
                <w:color w:val="000000"/>
                <w:sz w:val="18"/>
                <w:szCs w:val="18"/>
                <w:lang w:val="es-CO" w:eastAsia="es-CO"/>
              </w:rPr>
              <w:t>en virtud de la presente instrucción.</w:t>
            </w:r>
          </w:p>
        </w:tc>
        <w:tc>
          <w:tcPr>
            <w:tcW w:w="2056" w:type="dxa"/>
            <w:tcBorders>
              <w:top w:val="single" w:sz="4" w:space="0" w:color="auto"/>
            </w:tcBorders>
            <w:shd w:val="clear" w:color="000000" w:fill="FFFFFF"/>
            <w:noWrap/>
          </w:tcPr>
          <w:p w:rsidR="0069155A" w:rsidRDefault="0069155A" w:rsidP="00E15717">
            <w:pPr>
              <w:jc w:val="center"/>
              <w:rPr>
                <w:rFonts w:ascii="Arial" w:hAnsi="Arial" w:cs="Arial"/>
                <w:snapToGrid/>
                <w:color w:val="000000"/>
                <w:sz w:val="18"/>
                <w:szCs w:val="18"/>
                <w:lang w:val="es-CO" w:eastAsia="es-CO"/>
              </w:rPr>
            </w:pPr>
          </w:p>
          <w:p w:rsidR="0069155A" w:rsidRDefault="0069155A" w:rsidP="00E15717">
            <w:pPr>
              <w:jc w:val="center"/>
              <w:rPr>
                <w:rFonts w:ascii="Arial" w:hAnsi="Arial" w:cs="Arial"/>
                <w:snapToGrid/>
                <w:color w:val="000000"/>
                <w:sz w:val="18"/>
                <w:szCs w:val="18"/>
                <w:lang w:val="es-CO" w:eastAsia="es-CO"/>
              </w:rPr>
            </w:pPr>
          </w:p>
          <w:p w:rsidR="00C7739E" w:rsidRPr="000A17D7" w:rsidRDefault="00C7739E" w:rsidP="00E15717">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100%</w:t>
            </w:r>
          </w:p>
        </w:tc>
      </w:tr>
      <w:tr w:rsidR="00C7739E" w:rsidRPr="000A17D7" w:rsidTr="00C347A7">
        <w:trPr>
          <w:gridAfter w:val="1"/>
          <w:wAfter w:w="13" w:type="dxa"/>
          <w:trHeight w:val="129"/>
          <w:jc w:val="center"/>
        </w:trPr>
        <w:tc>
          <w:tcPr>
            <w:tcW w:w="1064" w:type="dxa"/>
            <w:vMerge/>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 xml:space="preserve">-155 </w:t>
            </w:r>
          </w:p>
          <w:p w:rsidR="00C7739E" w:rsidRPr="000A17D7" w:rsidRDefault="00C7739E" w:rsidP="00136C4B">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(deducci</w:t>
            </w:r>
            <w:r w:rsidR="00136C4B">
              <w:rPr>
                <w:rFonts w:ascii="Arial" w:hAnsi="Arial" w:cs="Arial"/>
                <w:snapToGrid/>
                <w:color w:val="000000"/>
                <w:sz w:val="18"/>
                <w:szCs w:val="18"/>
                <w:lang w:val="es-CO" w:eastAsia="es-CO"/>
              </w:rPr>
              <w:t>ó</w:t>
            </w:r>
            <w:r w:rsidRPr="000A17D7">
              <w:rPr>
                <w:rFonts w:ascii="Arial" w:hAnsi="Arial" w:cs="Arial"/>
                <w:snapToGrid/>
                <w:color w:val="000000"/>
                <w:sz w:val="18"/>
                <w:szCs w:val="18"/>
                <w:lang w:val="es-CO" w:eastAsia="es-CO"/>
              </w:rPr>
              <w:t>n)</w:t>
            </w:r>
          </w:p>
        </w:tc>
        <w:tc>
          <w:tcPr>
            <w:tcW w:w="5245" w:type="dxa"/>
            <w:shd w:val="clear" w:color="000000" w:fill="FFFFFF"/>
            <w:vAlign w:val="center"/>
          </w:tcPr>
          <w:p w:rsidR="00C7739E" w:rsidRPr="000A17D7" w:rsidRDefault="00C7739E" w:rsidP="00826282">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Activos intangibles</w:t>
            </w:r>
            <w:r>
              <w:rPr>
                <w:rFonts w:ascii="Arial" w:hAnsi="Arial" w:cs="Arial"/>
                <w:snapToGrid/>
                <w:color w:val="000000"/>
                <w:sz w:val="18"/>
                <w:szCs w:val="18"/>
                <w:lang w:val="es-CO" w:eastAsia="es-CO"/>
              </w:rPr>
              <w:t xml:space="preserve"> diferentes a la plusvalía, es decir la cuenta de catálogo 191100 menos la cuenta 191105</w:t>
            </w:r>
            <w:r w:rsidR="002D5B8C">
              <w:rPr>
                <w:rFonts w:ascii="Arial" w:hAnsi="Arial" w:cs="Arial"/>
                <w:snapToGrid/>
                <w:color w:val="000000"/>
                <w:sz w:val="18"/>
                <w:szCs w:val="18"/>
                <w:lang w:val="es-CO" w:eastAsia="es-CO"/>
              </w:rPr>
              <w:t>.</w:t>
            </w:r>
          </w:p>
        </w:tc>
        <w:tc>
          <w:tcPr>
            <w:tcW w:w="2056"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C7739E" w:rsidRPr="000A17D7" w:rsidTr="003252B5">
        <w:trPr>
          <w:gridAfter w:val="1"/>
          <w:wAfter w:w="13" w:type="dxa"/>
          <w:trHeight w:val="1519"/>
          <w:jc w:val="center"/>
        </w:trPr>
        <w:tc>
          <w:tcPr>
            <w:tcW w:w="1064" w:type="dxa"/>
            <w:vMerge/>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p>
        </w:tc>
        <w:tc>
          <w:tcPr>
            <w:tcW w:w="1483"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-160</w:t>
            </w:r>
          </w:p>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(deducci</w:t>
            </w:r>
            <w:r w:rsidR="00136C4B">
              <w:rPr>
                <w:rFonts w:ascii="Arial" w:hAnsi="Arial" w:cs="Arial"/>
                <w:snapToGrid/>
                <w:color w:val="000000"/>
                <w:sz w:val="18"/>
                <w:szCs w:val="18"/>
                <w:lang w:val="es-CO" w:eastAsia="es-CO"/>
              </w:rPr>
              <w:t>ó</w:t>
            </w:r>
            <w:r w:rsidRPr="000A17D7">
              <w:rPr>
                <w:rFonts w:ascii="Arial" w:hAnsi="Arial" w:cs="Arial"/>
                <w:snapToGrid/>
                <w:color w:val="000000"/>
                <w:sz w:val="18"/>
                <w:szCs w:val="18"/>
                <w:lang w:val="es-CO" w:eastAsia="es-CO"/>
              </w:rPr>
              <w:t>n)</w:t>
            </w:r>
          </w:p>
        </w:tc>
        <w:tc>
          <w:tcPr>
            <w:tcW w:w="5245" w:type="dxa"/>
            <w:shd w:val="clear" w:color="000000" w:fill="FFFFFF"/>
            <w:vAlign w:val="center"/>
          </w:tcPr>
          <w:p w:rsidR="001C0195" w:rsidRPr="00045A0B" w:rsidRDefault="0032343E" w:rsidP="008F0D30">
            <w:pPr>
              <w:jc w:val="both"/>
              <w:rPr>
                <w:rFonts w:ascii="Arial" w:hAnsi="Arial" w:cs="Arial"/>
                <w:snapToGrid/>
                <w:color w:val="000000"/>
                <w:sz w:val="18"/>
                <w:szCs w:val="18"/>
                <w:lang w:val="es-CO" w:eastAsia="es-CO"/>
              </w:rPr>
            </w:pPr>
            <w:r w:rsidRPr="00045A0B">
              <w:rPr>
                <w:rFonts w:ascii="Arial" w:hAnsi="Arial" w:cs="Arial"/>
                <w:snapToGrid/>
                <w:color w:val="000000"/>
                <w:sz w:val="18"/>
                <w:szCs w:val="18"/>
                <w:lang w:val="es-CO" w:eastAsia="es-CO"/>
              </w:rPr>
              <w:t>Para el cálculo de la relación de solvencia consolidada se considerará la p</w:t>
            </w:r>
            <w:r w:rsidR="00C7739E" w:rsidRPr="00045A0B">
              <w:rPr>
                <w:rFonts w:ascii="Arial" w:hAnsi="Arial" w:cs="Arial"/>
                <w:snapToGrid/>
                <w:color w:val="000000"/>
                <w:sz w:val="18"/>
                <w:szCs w:val="18"/>
                <w:lang w:val="es-CO" w:eastAsia="es-CO"/>
              </w:rPr>
              <w:t>lusvalía</w:t>
            </w:r>
            <w:r w:rsidR="00A779EE" w:rsidRPr="00045A0B">
              <w:rPr>
                <w:rFonts w:ascii="Arial" w:hAnsi="Arial" w:cs="Arial"/>
                <w:snapToGrid/>
                <w:color w:val="000000"/>
                <w:sz w:val="18"/>
                <w:szCs w:val="18"/>
                <w:lang w:val="es-CO" w:eastAsia="es-CO"/>
              </w:rPr>
              <w:t xml:space="preserve"> reportada en la </w:t>
            </w:r>
            <w:r w:rsidR="00C7739E" w:rsidRPr="00045A0B">
              <w:rPr>
                <w:rFonts w:ascii="Arial" w:hAnsi="Arial" w:cs="Arial"/>
                <w:snapToGrid/>
                <w:color w:val="000000"/>
                <w:sz w:val="18"/>
                <w:szCs w:val="18"/>
                <w:lang w:val="es-CO" w:eastAsia="es-CO"/>
              </w:rPr>
              <w:t>cuenta de</w:t>
            </w:r>
            <w:r w:rsidR="00A04867" w:rsidRPr="00045A0B">
              <w:rPr>
                <w:rFonts w:ascii="Arial" w:hAnsi="Arial" w:cs="Arial"/>
                <w:snapToGrid/>
                <w:color w:val="000000"/>
                <w:sz w:val="18"/>
                <w:szCs w:val="18"/>
                <w:lang w:val="es-CO" w:eastAsia="es-CO"/>
              </w:rPr>
              <w:t>l</w:t>
            </w:r>
            <w:r w:rsidR="00C7739E" w:rsidRPr="00045A0B">
              <w:rPr>
                <w:rFonts w:ascii="Arial" w:hAnsi="Arial" w:cs="Arial"/>
                <w:snapToGrid/>
                <w:color w:val="000000"/>
                <w:sz w:val="18"/>
                <w:szCs w:val="18"/>
                <w:lang w:val="es-CO" w:eastAsia="es-CO"/>
              </w:rPr>
              <w:t xml:space="preserve"> catálogo 191105</w:t>
            </w:r>
            <w:r w:rsidR="001C0195" w:rsidRPr="00045A0B">
              <w:rPr>
                <w:rFonts w:ascii="Arial" w:hAnsi="Arial" w:cs="Arial"/>
                <w:snapToGrid/>
                <w:color w:val="000000"/>
                <w:sz w:val="18"/>
                <w:szCs w:val="18"/>
                <w:lang w:val="es-CO" w:eastAsia="es-CO"/>
              </w:rPr>
              <w:t>.</w:t>
            </w:r>
          </w:p>
          <w:p w:rsidR="00C7739E" w:rsidRPr="00045A0B" w:rsidRDefault="001C0195" w:rsidP="009630BD">
            <w:pPr>
              <w:jc w:val="both"/>
              <w:rPr>
                <w:rFonts w:ascii="Arial" w:hAnsi="Arial" w:cs="Arial"/>
                <w:snapToGrid/>
                <w:color w:val="000000"/>
                <w:sz w:val="18"/>
                <w:szCs w:val="18"/>
                <w:lang w:val="es-CO" w:eastAsia="es-CO"/>
              </w:rPr>
            </w:pPr>
            <w:r w:rsidRPr="00045A0B">
              <w:rPr>
                <w:rFonts w:ascii="Arial" w:hAnsi="Arial" w:cs="Arial"/>
                <w:snapToGrid/>
                <w:color w:val="000000"/>
                <w:sz w:val="18"/>
                <w:szCs w:val="18"/>
                <w:lang w:val="es-CO" w:eastAsia="es-CO"/>
              </w:rPr>
              <w:t>Para la relaci</w:t>
            </w:r>
            <w:r w:rsidR="0032343E" w:rsidRPr="00045A0B">
              <w:rPr>
                <w:rFonts w:ascii="Arial" w:hAnsi="Arial" w:cs="Arial"/>
                <w:snapToGrid/>
                <w:color w:val="000000"/>
                <w:sz w:val="18"/>
                <w:szCs w:val="18"/>
                <w:lang w:val="es-CO" w:eastAsia="es-CO"/>
              </w:rPr>
              <w:t xml:space="preserve">ón </w:t>
            </w:r>
            <w:r w:rsidRPr="00045A0B">
              <w:rPr>
                <w:rFonts w:ascii="Arial" w:hAnsi="Arial" w:cs="Arial"/>
                <w:snapToGrid/>
                <w:color w:val="000000"/>
                <w:sz w:val="18"/>
                <w:szCs w:val="18"/>
                <w:lang w:val="es-CO" w:eastAsia="es-CO"/>
              </w:rPr>
              <w:t>de solvencia individual</w:t>
            </w:r>
            <w:r w:rsidR="0032343E" w:rsidRPr="00045A0B">
              <w:rPr>
                <w:rFonts w:ascii="Arial" w:hAnsi="Arial" w:cs="Arial"/>
                <w:snapToGrid/>
                <w:color w:val="000000"/>
                <w:sz w:val="18"/>
                <w:szCs w:val="18"/>
                <w:lang w:val="es-CO" w:eastAsia="es-CO"/>
              </w:rPr>
              <w:t xml:space="preserve"> </w:t>
            </w:r>
            <w:r w:rsidRPr="00045A0B">
              <w:rPr>
                <w:rFonts w:ascii="Arial" w:hAnsi="Arial" w:cs="Arial"/>
                <w:snapToGrid/>
                <w:color w:val="000000"/>
                <w:sz w:val="18"/>
                <w:szCs w:val="18"/>
                <w:lang w:val="es-CO" w:eastAsia="es-CO"/>
              </w:rPr>
              <w:t xml:space="preserve">se debe </w:t>
            </w:r>
            <w:r w:rsidR="00DF1268">
              <w:rPr>
                <w:rFonts w:ascii="Arial" w:hAnsi="Arial" w:cs="Arial"/>
                <w:snapToGrid/>
                <w:color w:val="000000"/>
                <w:sz w:val="18"/>
                <w:szCs w:val="18"/>
                <w:lang w:val="es-CO" w:eastAsia="es-CO"/>
              </w:rPr>
              <w:t xml:space="preserve">considerar </w:t>
            </w:r>
            <w:r w:rsidRPr="00045A0B">
              <w:rPr>
                <w:rFonts w:ascii="Arial" w:hAnsi="Arial" w:cs="Arial"/>
                <w:snapToGrid/>
                <w:color w:val="000000"/>
                <w:sz w:val="18"/>
                <w:szCs w:val="18"/>
                <w:lang w:val="es-CO" w:eastAsia="es-CO"/>
              </w:rPr>
              <w:t xml:space="preserve">la cuenta </w:t>
            </w:r>
            <w:r w:rsidR="00DF1268">
              <w:rPr>
                <w:rFonts w:ascii="Arial" w:hAnsi="Arial" w:cs="Arial"/>
                <w:snapToGrid/>
                <w:color w:val="000000"/>
                <w:sz w:val="18"/>
                <w:szCs w:val="18"/>
                <w:lang w:val="es-CO" w:eastAsia="es-CO"/>
              </w:rPr>
              <w:t xml:space="preserve">191105 </w:t>
            </w:r>
            <w:r w:rsidR="001F7389" w:rsidRPr="00045A0B">
              <w:rPr>
                <w:rFonts w:ascii="Arial" w:hAnsi="Arial" w:cs="Arial"/>
                <w:snapToGrid/>
                <w:color w:val="000000"/>
                <w:sz w:val="18"/>
                <w:szCs w:val="18"/>
                <w:lang w:val="es-CO" w:eastAsia="es-CO"/>
              </w:rPr>
              <w:t xml:space="preserve">a nivel individual más </w:t>
            </w:r>
            <w:r w:rsidRPr="00045A0B">
              <w:rPr>
                <w:rFonts w:ascii="Arial" w:hAnsi="Arial" w:cs="Arial"/>
                <w:snapToGrid/>
                <w:color w:val="000000"/>
                <w:sz w:val="18"/>
                <w:szCs w:val="18"/>
                <w:lang w:val="es-CO" w:eastAsia="es-CO"/>
              </w:rPr>
              <w:t>el valor de la plusvalía incluida en el saldo de las inversiones</w:t>
            </w:r>
            <w:r w:rsidR="0032343E" w:rsidRPr="00045A0B">
              <w:rPr>
                <w:rFonts w:ascii="Arial" w:hAnsi="Arial" w:cs="Arial"/>
                <w:snapToGrid/>
                <w:color w:val="000000"/>
                <w:sz w:val="18"/>
                <w:szCs w:val="18"/>
                <w:lang w:val="es-CO" w:eastAsia="es-CO"/>
              </w:rPr>
              <w:t xml:space="preserve"> </w:t>
            </w:r>
            <w:r w:rsidR="00DF1268">
              <w:rPr>
                <w:rFonts w:ascii="Arial" w:hAnsi="Arial" w:cs="Arial"/>
                <w:snapToGrid/>
                <w:color w:val="000000"/>
                <w:sz w:val="18"/>
                <w:szCs w:val="18"/>
                <w:lang w:val="es-CO" w:eastAsia="es-CO"/>
              </w:rPr>
              <w:t xml:space="preserve">al aplicar el </w:t>
            </w:r>
            <w:r w:rsidRPr="00045A0B">
              <w:rPr>
                <w:rFonts w:ascii="Arial" w:hAnsi="Arial" w:cs="Arial"/>
                <w:snapToGrid/>
                <w:color w:val="000000"/>
                <w:sz w:val="18"/>
                <w:szCs w:val="18"/>
                <w:lang w:val="es-CO" w:eastAsia="es-CO"/>
              </w:rPr>
              <w:t>método de participación.</w:t>
            </w:r>
          </w:p>
        </w:tc>
        <w:tc>
          <w:tcPr>
            <w:tcW w:w="2056" w:type="dxa"/>
            <w:shd w:val="clear" w:color="000000" w:fill="FFFFFF"/>
            <w:noWrap/>
            <w:vAlign w:val="center"/>
          </w:tcPr>
          <w:p w:rsidR="00C7739E" w:rsidRPr="000A17D7" w:rsidRDefault="00C7739E" w:rsidP="008F0D3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820A9F" w:rsidRPr="000A17D7" w:rsidTr="00C347A7">
        <w:trPr>
          <w:gridAfter w:val="1"/>
          <w:wAfter w:w="13" w:type="dxa"/>
          <w:trHeight w:val="70"/>
          <w:jc w:val="center"/>
        </w:trPr>
        <w:tc>
          <w:tcPr>
            <w:tcW w:w="1064" w:type="dxa"/>
            <w:shd w:val="clear" w:color="000000" w:fill="FFFFFF"/>
            <w:noWrap/>
            <w:vAlign w:val="center"/>
          </w:tcPr>
          <w:p w:rsidR="00820A9F" w:rsidRDefault="00820A9F" w:rsidP="00820A9F">
            <w:pPr>
              <w:jc w:val="center"/>
              <w:rPr>
                <w:rFonts w:ascii="Arial" w:hAnsi="Arial" w:cs="Arial"/>
                <w:snapToGrid/>
                <w:color w:val="000000"/>
                <w:sz w:val="18"/>
                <w:szCs w:val="18"/>
                <w:lang w:val="es-CO" w:eastAsia="es-CO"/>
              </w:rPr>
            </w:pPr>
            <w:r w:rsidRPr="000A17D7">
              <w:rPr>
                <w:rFonts w:ascii="Arial" w:hAnsi="Arial" w:cs="Arial"/>
                <w:snapToGrid/>
                <w:color w:val="000000" w:themeColor="text1"/>
                <w:sz w:val="18"/>
                <w:szCs w:val="18"/>
                <w:lang w:val="es-CO" w:eastAsia="es-CO"/>
              </w:rPr>
              <w:t>F.</w:t>
            </w:r>
            <w:r>
              <w:rPr>
                <w:rFonts w:ascii="Arial" w:hAnsi="Arial" w:cs="Arial"/>
                <w:snapToGrid/>
                <w:color w:val="000000"/>
                <w:sz w:val="18"/>
                <w:szCs w:val="18"/>
                <w:lang w:val="es-CO" w:eastAsia="es-CO"/>
              </w:rPr>
              <w:t xml:space="preserve"> </w:t>
            </w:r>
            <w:r w:rsidR="00262657">
              <w:rPr>
                <w:rFonts w:ascii="Arial" w:hAnsi="Arial" w:cs="Arial"/>
                <w:snapToGrid/>
                <w:color w:val="000000"/>
                <w:sz w:val="18"/>
                <w:szCs w:val="18"/>
                <w:lang w:val="es-CO" w:eastAsia="es-CO"/>
              </w:rPr>
              <w:t>239</w:t>
            </w:r>
          </w:p>
          <w:p w:rsidR="00820A9F" w:rsidRPr="000A17D7" w:rsidRDefault="00820A9F" w:rsidP="00820A9F">
            <w:pPr>
              <w:jc w:val="center"/>
              <w:rPr>
                <w:rFonts w:ascii="Arial" w:hAnsi="Arial" w:cs="Arial"/>
                <w:snapToGrid/>
                <w:color w:val="000000" w:themeColor="text1"/>
                <w:sz w:val="18"/>
                <w:szCs w:val="18"/>
                <w:lang w:val="es-CO" w:eastAsia="es-CO"/>
              </w:rPr>
            </w:pPr>
            <w:r>
              <w:rPr>
                <w:rFonts w:ascii="Arial" w:hAnsi="Arial" w:cs="Arial"/>
                <w:snapToGrid/>
                <w:color w:val="000000"/>
                <w:sz w:val="18"/>
                <w:szCs w:val="18"/>
                <w:lang w:val="es-CO" w:eastAsia="es-CO"/>
              </w:rPr>
              <w:t>Unidad de captura 01</w:t>
            </w:r>
          </w:p>
        </w:tc>
        <w:tc>
          <w:tcPr>
            <w:tcW w:w="1483" w:type="dxa"/>
            <w:shd w:val="clear" w:color="000000" w:fill="FFFFFF"/>
            <w:noWrap/>
            <w:vAlign w:val="center"/>
          </w:tcPr>
          <w:p w:rsidR="00820A9F" w:rsidRDefault="00820A9F" w:rsidP="00820A9F">
            <w:pPr>
              <w:jc w:val="center"/>
              <w:rPr>
                <w:rFonts w:ascii="Arial" w:hAnsi="Arial" w:cs="Arial"/>
                <w:snapToGrid/>
                <w:color w:val="000000" w:themeColor="text1"/>
                <w:sz w:val="18"/>
                <w:szCs w:val="18"/>
                <w:lang w:val="es-CO" w:eastAsia="es-CO"/>
              </w:rPr>
            </w:pPr>
            <w:r>
              <w:rPr>
                <w:rFonts w:ascii="Arial" w:hAnsi="Arial" w:cs="Arial"/>
                <w:snapToGrid/>
                <w:color w:val="000000" w:themeColor="text1"/>
                <w:sz w:val="18"/>
                <w:szCs w:val="18"/>
                <w:lang w:val="es-CO" w:eastAsia="es-CO"/>
              </w:rPr>
              <w:t>-1</w:t>
            </w:r>
            <w:r w:rsidR="00582204">
              <w:rPr>
                <w:rFonts w:ascii="Arial" w:hAnsi="Arial" w:cs="Arial"/>
                <w:snapToGrid/>
                <w:color w:val="000000" w:themeColor="text1"/>
                <w:sz w:val="18"/>
                <w:szCs w:val="18"/>
                <w:lang w:val="es-CO" w:eastAsia="es-CO"/>
              </w:rPr>
              <w:t>65</w:t>
            </w:r>
          </w:p>
          <w:p w:rsidR="00820A9F" w:rsidRPr="000A17D7" w:rsidRDefault="00136C4B" w:rsidP="00820A9F">
            <w:pPr>
              <w:jc w:val="center"/>
              <w:rPr>
                <w:rFonts w:ascii="Arial" w:hAnsi="Arial" w:cs="Arial"/>
                <w:snapToGrid/>
                <w:color w:val="000000" w:themeColor="text1"/>
                <w:sz w:val="18"/>
                <w:szCs w:val="18"/>
                <w:lang w:val="es-CO" w:eastAsia="es-CO"/>
              </w:rPr>
            </w:pPr>
            <w:r>
              <w:rPr>
                <w:rFonts w:ascii="Arial" w:hAnsi="Arial" w:cs="Arial"/>
                <w:snapToGrid/>
                <w:color w:val="000000" w:themeColor="text1"/>
                <w:sz w:val="18"/>
                <w:szCs w:val="18"/>
                <w:lang w:val="es-CO" w:eastAsia="es-CO"/>
              </w:rPr>
              <w:t>(Deducción</w:t>
            </w:r>
            <w:r w:rsidR="00820A9F">
              <w:rPr>
                <w:rFonts w:ascii="Arial" w:hAnsi="Arial" w:cs="Arial"/>
                <w:snapToGrid/>
                <w:color w:val="000000" w:themeColor="text1"/>
                <w:sz w:val="18"/>
                <w:szCs w:val="18"/>
                <w:lang w:val="es-CO" w:eastAsia="es-CO"/>
              </w:rPr>
              <w:t>)</w:t>
            </w:r>
          </w:p>
        </w:tc>
        <w:tc>
          <w:tcPr>
            <w:tcW w:w="5245" w:type="dxa"/>
            <w:shd w:val="clear" w:color="000000" w:fill="FFFFFF"/>
            <w:vAlign w:val="center"/>
          </w:tcPr>
          <w:p w:rsidR="00820A9F" w:rsidRPr="000A17D7" w:rsidRDefault="000C53EB" w:rsidP="003252B5">
            <w:pPr>
              <w:jc w:val="both"/>
              <w:rPr>
                <w:rFonts w:ascii="Arial" w:hAnsi="Arial" w:cs="Arial"/>
                <w:snapToGrid/>
                <w:color w:val="000000" w:themeColor="text1"/>
                <w:sz w:val="18"/>
                <w:szCs w:val="18"/>
                <w:lang w:val="es-CO" w:eastAsia="es-CO"/>
              </w:rPr>
            </w:pPr>
            <w:r>
              <w:rPr>
                <w:rFonts w:ascii="Arial" w:hAnsi="Arial" w:cs="Arial"/>
                <w:snapToGrid/>
                <w:color w:val="000000" w:themeColor="text1"/>
                <w:sz w:val="18"/>
                <w:szCs w:val="18"/>
                <w:lang w:val="es-CO" w:eastAsia="es-CO"/>
              </w:rPr>
              <w:t>V</w:t>
            </w:r>
            <w:r w:rsidR="00820A9F" w:rsidRPr="000A17D7">
              <w:rPr>
                <w:rFonts w:ascii="Arial" w:hAnsi="Arial" w:cs="Arial"/>
                <w:snapToGrid/>
                <w:color w:val="000000" w:themeColor="text1"/>
                <w:sz w:val="18"/>
                <w:szCs w:val="18"/>
                <w:lang w:val="es-CO" w:eastAsia="es-CO"/>
              </w:rPr>
              <w:t>alor no amortizado del cálculo actuarial del pasivo pensional</w:t>
            </w:r>
          </w:p>
        </w:tc>
        <w:tc>
          <w:tcPr>
            <w:tcW w:w="2056" w:type="dxa"/>
            <w:shd w:val="clear" w:color="000000" w:fill="FFFFFF"/>
            <w:vAlign w:val="center"/>
          </w:tcPr>
          <w:p w:rsidR="00820A9F" w:rsidRPr="000A17D7" w:rsidRDefault="00820A9F" w:rsidP="00820A9F">
            <w:pPr>
              <w:jc w:val="center"/>
              <w:rPr>
                <w:rFonts w:ascii="Arial" w:hAnsi="Arial" w:cs="Arial"/>
                <w:snapToGrid/>
                <w:color w:val="000000" w:themeColor="text1"/>
                <w:sz w:val="18"/>
                <w:szCs w:val="18"/>
                <w:lang w:val="es-CO" w:eastAsia="es-CO"/>
              </w:rPr>
            </w:pPr>
            <w:r w:rsidRPr="000A17D7">
              <w:rPr>
                <w:rFonts w:ascii="Arial" w:hAnsi="Arial" w:cs="Arial"/>
                <w:snapToGrid/>
                <w:color w:val="000000" w:themeColor="text1"/>
                <w:sz w:val="18"/>
                <w:szCs w:val="18"/>
                <w:lang w:val="es-CO" w:eastAsia="es-CO"/>
              </w:rPr>
              <w:t>100%</w:t>
            </w:r>
          </w:p>
        </w:tc>
      </w:tr>
      <w:tr w:rsidR="00820A9F" w:rsidRPr="000A17D7" w:rsidTr="00C347A7">
        <w:trPr>
          <w:trHeight w:val="477"/>
          <w:jc w:val="center"/>
        </w:trPr>
        <w:tc>
          <w:tcPr>
            <w:tcW w:w="1064" w:type="dxa"/>
            <w:shd w:val="clear" w:color="auto" w:fill="auto"/>
            <w:noWrap/>
            <w:vAlign w:val="center"/>
          </w:tcPr>
          <w:p w:rsidR="00820A9F" w:rsidRPr="000A17D7" w:rsidRDefault="00820A9F" w:rsidP="00820A9F">
            <w:pPr>
              <w:jc w:val="center"/>
              <w:rPr>
                <w:rFonts w:ascii="Arial" w:hAnsi="Arial" w:cs="Arial"/>
                <w:snapToGrid/>
                <w:color w:val="000000"/>
                <w:sz w:val="18"/>
                <w:szCs w:val="18"/>
                <w:lang w:val="es-CO" w:eastAsia="es-CO"/>
              </w:rPr>
            </w:pPr>
            <w:r w:rsidRPr="000A17D7">
              <w:rPr>
                <w:rFonts w:ascii="Arial" w:hAnsi="Arial" w:cs="Arial"/>
                <w:snapToGrid/>
                <w:color w:val="000000" w:themeColor="text1"/>
                <w:sz w:val="18"/>
                <w:szCs w:val="18"/>
                <w:lang w:val="es-CO" w:eastAsia="es-CO"/>
              </w:rPr>
              <w:t>Catálogo</w:t>
            </w:r>
          </w:p>
        </w:tc>
        <w:tc>
          <w:tcPr>
            <w:tcW w:w="1483" w:type="dxa"/>
            <w:shd w:val="clear" w:color="auto" w:fill="auto"/>
            <w:noWrap/>
            <w:vAlign w:val="center"/>
          </w:tcPr>
          <w:p w:rsidR="00820A9F" w:rsidRPr="000A17D7" w:rsidRDefault="00820A9F" w:rsidP="00820A9F">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-381505</w:t>
            </w:r>
          </w:p>
          <w:p w:rsidR="00820A9F" w:rsidRPr="000A17D7" w:rsidRDefault="00820A9F" w:rsidP="00820A9F">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(deducci</w:t>
            </w:r>
            <w:r w:rsidR="00136C4B">
              <w:rPr>
                <w:rFonts w:ascii="Arial" w:hAnsi="Arial" w:cs="Arial"/>
                <w:snapToGrid/>
                <w:color w:val="000000"/>
                <w:sz w:val="18"/>
                <w:szCs w:val="18"/>
                <w:lang w:val="es-CO" w:eastAsia="es-CO"/>
              </w:rPr>
              <w:t>ó</w:t>
            </w:r>
            <w:r w:rsidRPr="000A17D7">
              <w:rPr>
                <w:rFonts w:ascii="Arial" w:hAnsi="Arial" w:cs="Arial"/>
                <w:snapToGrid/>
                <w:color w:val="000000"/>
                <w:sz w:val="18"/>
                <w:szCs w:val="18"/>
                <w:lang w:val="es-CO" w:eastAsia="es-CO"/>
              </w:rPr>
              <w:t>n)</w:t>
            </w:r>
          </w:p>
        </w:tc>
        <w:tc>
          <w:tcPr>
            <w:tcW w:w="5245" w:type="dxa"/>
            <w:shd w:val="clear" w:color="auto" w:fill="auto"/>
            <w:vAlign w:val="center"/>
          </w:tcPr>
          <w:p w:rsidR="00820A9F" w:rsidRPr="000A17D7" w:rsidRDefault="00820A9F" w:rsidP="00820A9F">
            <w:pPr>
              <w:jc w:val="both"/>
              <w:rPr>
                <w:rFonts w:ascii="Arial" w:hAnsi="Arial" w:cs="Arial"/>
                <w:snapToGrid/>
                <w:color w:val="000000"/>
                <w:sz w:val="18"/>
                <w:szCs w:val="18"/>
                <w:lang w:val="es-CO" w:eastAsia="es-CO"/>
              </w:rPr>
            </w:pPr>
            <w:r w:rsidRPr="000A17D7">
              <w:rPr>
                <w:rFonts w:ascii="Arial" w:hAnsi="Arial" w:cs="Arial"/>
                <w:sz w:val="18"/>
                <w:szCs w:val="18"/>
              </w:rPr>
              <w:t>Revalorización de activos.</w:t>
            </w:r>
          </w:p>
        </w:tc>
        <w:tc>
          <w:tcPr>
            <w:tcW w:w="2069" w:type="dxa"/>
            <w:gridSpan w:val="2"/>
            <w:shd w:val="clear" w:color="auto" w:fill="auto"/>
          </w:tcPr>
          <w:p w:rsidR="00A04867" w:rsidRDefault="00A04867" w:rsidP="00820A9F">
            <w:pPr>
              <w:jc w:val="center"/>
              <w:rPr>
                <w:rFonts w:ascii="Arial" w:hAnsi="Arial" w:cs="Arial"/>
                <w:snapToGrid/>
                <w:color w:val="000000"/>
                <w:sz w:val="18"/>
                <w:szCs w:val="18"/>
                <w:lang w:val="es-CO" w:eastAsia="es-CO"/>
              </w:rPr>
            </w:pPr>
          </w:p>
          <w:p w:rsidR="00820A9F" w:rsidRPr="000A17D7" w:rsidRDefault="00820A9F" w:rsidP="00820A9F">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820A9F" w:rsidRPr="000A17D7" w:rsidTr="00C347A7">
        <w:trPr>
          <w:trHeight w:val="558"/>
          <w:jc w:val="center"/>
        </w:trPr>
        <w:tc>
          <w:tcPr>
            <w:tcW w:w="1064" w:type="dxa"/>
            <w:shd w:val="clear" w:color="auto" w:fill="auto"/>
            <w:noWrap/>
            <w:vAlign w:val="center"/>
          </w:tcPr>
          <w:p w:rsidR="00820A9F" w:rsidRPr="000A17D7" w:rsidRDefault="00820A9F" w:rsidP="003252B5">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F.</w:t>
            </w:r>
            <w:r>
              <w:rPr>
                <w:rFonts w:ascii="Arial" w:hAnsi="Arial" w:cs="Arial"/>
                <w:snapToGrid/>
                <w:color w:val="000000"/>
                <w:sz w:val="18"/>
                <w:szCs w:val="18"/>
                <w:lang w:val="es-CO" w:eastAsia="es-CO"/>
              </w:rPr>
              <w:t xml:space="preserve"> </w:t>
            </w:r>
            <w:r w:rsidR="00262657">
              <w:rPr>
                <w:rFonts w:ascii="Arial" w:hAnsi="Arial" w:cs="Arial"/>
                <w:snapToGrid/>
                <w:color w:val="000000"/>
                <w:sz w:val="18"/>
                <w:szCs w:val="18"/>
                <w:lang w:val="es-CO" w:eastAsia="es-CO"/>
              </w:rPr>
              <w:t>239</w:t>
            </w:r>
            <w:r>
              <w:rPr>
                <w:rFonts w:ascii="Arial" w:hAnsi="Arial" w:cs="Arial"/>
                <w:snapToGrid/>
                <w:color w:val="000000"/>
                <w:sz w:val="18"/>
                <w:szCs w:val="18"/>
                <w:lang w:val="es-CO" w:eastAsia="es-CO"/>
              </w:rPr>
              <w:t xml:space="preserve"> Unidad de captura 01</w:t>
            </w:r>
          </w:p>
        </w:tc>
        <w:tc>
          <w:tcPr>
            <w:tcW w:w="1483" w:type="dxa"/>
            <w:shd w:val="clear" w:color="auto" w:fill="auto"/>
            <w:noWrap/>
            <w:vAlign w:val="center"/>
          </w:tcPr>
          <w:p w:rsidR="00820A9F" w:rsidRPr="000A17D7" w:rsidRDefault="00820A9F" w:rsidP="00820A9F">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w:t>
            </w:r>
            <w:r>
              <w:rPr>
                <w:rFonts w:ascii="Arial" w:hAnsi="Arial" w:cs="Arial"/>
                <w:snapToGrid/>
                <w:color w:val="000000"/>
                <w:sz w:val="18"/>
                <w:szCs w:val="18"/>
                <w:lang w:val="es-CO" w:eastAsia="es-CO"/>
              </w:rPr>
              <w:t>1</w:t>
            </w:r>
            <w:r w:rsidR="000C53EB">
              <w:rPr>
                <w:rFonts w:ascii="Arial" w:hAnsi="Arial" w:cs="Arial"/>
                <w:snapToGrid/>
                <w:color w:val="000000"/>
                <w:sz w:val="18"/>
                <w:szCs w:val="18"/>
                <w:lang w:val="es-CO" w:eastAsia="es-CO"/>
              </w:rPr>
              <w:t>75</w:t>
            </w:r>
          </w:p>
          <w:p w:rsidR="00820A9F" w:rsidRPr="000A17D7" w:rsidRDefault="00820A9F" w:rsidP="00820A9F">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(deducci</w:t>
            </w:r>
            <w:r w:rsidR="00136C4B">
              <w:rPr>
                <w:rFonts w:ascii="Arial" w:hAnsi="Arial" w:cs="Arial"/>
                <w:snapToGrid/>
                <w:color w:val="000000"/>
                <w:sz w:val="18"/>
                <w:szCs w:val="18"/>
                <w:lang w:val="es-CO" w:eastAsia="es-CO"/>
              </w:rPr>
              <w:t>ó</w:t>
            </w:r>
            <w:r w:rsidRPr="000A17D7">
              <w:rPr>
                <w:rFonts w:ascii="Arial" w:hAnsi="Arial" w:cs="Arial"/>
                <w:snapToGrid/>
                <w:color w:val="000000"/>
                <w:sz w:val="18"/>
                <w:szCs w:val="18"/>
                <w:lang w:val="es-CO" w:eastAsia="es-CO"/>
              </w:rPr>
              <w:t>n)</w:t>
            </w:r>
          </w:p>
        </w:tc>
        <w:tc>
          <w:tcPr>
            <w:tcW w:w="5245" w:type="dxa"/>
            <w:shd w:val="clear" w:color="auto" w:fill="auto"/>
            <w:vAlign w:val="center"/>
          </w:tcPr>
          <w:p w:rsidR="00820A9F" w:rsidRPr="00045A0B" w:rsidRDefault="00820A9F" w:rsidP="00820A9F">
            <w:pPr>
              <w:jc w:val="both"/>
              <w:rPr>
                <w:rFonts w:ascii="Arial" w:hAnsi="Arial" w:cs="Arial"/>
                <w:snapToGrid/>
                <w:color w:val="000000"/>
                <w:sz w:val="18"/>
                <w:szCs w:val="18"/>
                <w:lang w:val="es-CO" w:eastAsia="es-CO"/>
              </w:rPr>
            </w:pPr>
            <w:r w:rsidRPr="00045A0B">
              <w:rPr>
                <w:rFonts w:ascii="Arial" w:hAnsi="Arial" w:cs="Arial"/>
                <w:snapToGrid/>
                <w:color w:val="000000"/>
                <w:sz w:val="18"/>
                <w:szCs w:val="18"/>
                <w:lang w:val="es-CO" w:eastAsia="es-CO"/>
              </w:rPr>
              <w:t>Revalorización de Propiedad, Planta y Equipo (PPE) re</w:t>
            </w:r>
            <w:r w:rsidR="00364527" w:rsidRPr="00045A0B">
              <w:rPr>
                <w:rFonts w:ascii="Arial" w:hAnsi="Arial" w:cs="Arial"/>
                <w:snapToGrid/>
                <w:color w:val="000000"/>
                <w:sz w:val="18"/>
                <w:szCs w:val="18"/>
                <w:lang w:val="es-CO" w:eastAsia="es-CO"/>
              </w:rPr>
              <w:t>conocidos</w:t>
            </w:r>
            <w:r w:rsidRPr="00045A0B">
              <w:rPr>
                <w:rFonts w:ascii="Arial" w:hAnsi="Arial" w:cs="Arial"/>
                <w:snapToGrid/>
                <w:color w:val="000000"/>
                <w:sz w:val="18"/>
                <w:szCs w:val="18"/>
                <w:lang w:val="es-CO" w:eastAsia="es-CO"/>
              </w:rPr>
              <w:t xml:space="preserve"> en la cuenta 381555 “ajustes en la aplicación por primera vez de las NIIF</w:t>
            </w:r>
            <w:r w:rsidR="00364527" w:rsidRPr="00045A0B">
              <w:rPr>
                <w:rFonts w:ascii="Arial" w:hAnsi="Arial" w:cs="Arial"/>
                <w:snapToGrid/>
                <w:color w:val="000000"/>
                <w:sz w:val="18"/>
                <w:szCs w:val="18"/>
                <w:lang w:val="es-CO" w:eastAsia="es-CO"/>
              </w:rPr>
              <w:t>”</w:t>
            </w:r>
            <w:r w:rsidR="00B34142" w:rsidRPr="00045A0B">
              <w:rPr>
                <w:rFonts w:ascii="Arial" w:hAnsi="Arial" w:cs="Arial"/>
                <w:snapToGrid/>
                <w:color w:val="000000"/>
                <w:sz w:val="18"/>
                <w:szCs w:val="18"/>
                <w:lang w:val="es-CO" w:eastAsia="es-CO"/>
              </w:rPr>
              <w:t xml:space="preserve">, </w:t>
            </w:r>
            <w:r w:rsidRPr="00045A0B">
              <w:rPr>
                <w:rFonts w:ascii="Arial" w:hAnsi="Arial" w:cs="Arial"/>
                <w:snapToGrid/>
                <w:color w:val="000000"/>
                <w:sz w:val="18"/>
                <w:szCs w:val="18"/>
                <w:lang w:val="es-CO" w:eastAsia="es-CO"/>
              </w:rPr>
              <w:t xml:space="preserve">neto del </w:t>
            </w:r>
            <w:r w:rsidR="008468DA" w:rsidRPr="00045A0B">
              <w:rPr>
                <w:rFonts w:ascii="Arial" w:hAnsi="Arial" w:cs="Arial"/>
                <w:snapToGrid/>
                <w:color w:val="000000"/>
                <w:sz w:val="18"/>
                <w:szCs w:val="18"/>
                <w:lang w:val="es-CO" w:eastAsia="es-CO"/>
              </w:rPr>
              <w:t xml:space="preserve">valor de los </w:t>
            </w:r>
            <w:r w:rsidR="00DA435F" w:rsidRPr="00045A0B">
              <w:rPr>
                <w:rFonts w:ascii="Arial" w:hAnsi="Arial" w:cs="Arial"/>
                <w:snapToGrid/>
                <w:color w:val="000000"/>
                <w:sz w:val="18"/>
                <w:szCs w:val="18"/>
                <w:lang w:val="es-CO" w:eastAsia="es-CO"/>
              </w:rPr>
              <w:t>ajuste</w:t>
            </w:r>
            <w:r w:rsidR="008468DA" w:rsidRPr="00045A0B">
              <w:rPr>
                <w:rFonts w:ascii="Arial" w:hAnsi="Arial" w:cs="Arial"/>
                <w:snapToGrid/>
                <w:color w:val="000000"/>
                <w:sz w:val="18"/>
                <w:szCs w:val="18"/>
                <w:lang w:val="es-CO" w:eastAsia="es-CO"/>
              </w:rPr>
              <w:t>s</w:t>
            </w:r>
            <w:r w:rsidR="00DA435F" w:rsidRPr="00045A0B">
              <w:rPr>
                <w:rFonts w:ascii="Arial" w:hAnsi="Arial" w:cs="Arial"/>
                <w:snapToGrid/>
                <w:color w:val="000000"/>
                <w:sz w:val="18"/>
                <w:szCs w:val="18"/>
                <w:lang w:val="es-CO" w:eastAsia="es-CO"/>
              </w:rPr>
              <w:t xml:space="preserve"> </w:t>
            </w:r>
            <w:r w:rsidRPr="00045A0B">
              <w:rPr>
                <w:rFonts w:ascii="Arial" w:hAnsi="Arial" w:cs="Arial"/>
                <w:snapToGrid/>
                <w:color w:val="000000"/>
                <w:sz w:val="18"/>
                <w:szCs w:val="18"/>
                <w:lang w:val="es-CO" w:eastAsia="es-CO"/>
              </w:rPr>
              <w:t>realizad</w:t>
            </w:r>
            <w:r w:rsidR="008468DA" w:rsidRPr="00045A0B">
              <w:rPr>
                <w:rFonts w:ascii="Arial" w:hAnsi="Arial" w:cs="Arial"/>
                <w:snapToGrid/>
                <w:color w:val="000000"/>
                <w:sz w:val="18"/>
                <w:szCs w:val="18"/>
                <w:lang w:val="es-CO" w:eastAsia="es-CO"/>
              </w:rPr>
              <w:t>os</w:t>
            </w:r>
            <w:r w:rsidRPr="00045A0B">
              <w:rPr>
                <w:rFonts w:ascii="Arial" w:hAnsi="Arial" w:cs="Arial"/>
                <w:snapToGrid/>
                <w:color w:val="000000"/>
                <w:sz w:val="18"/>
                <w:szCs w:val="18"/>
                <w:lang w:val="es-CO" w:eastAsia="es-CO"/>
              </w:rPr>
              <w:t xml:space="preserve"> hasta la fecha.</w:t>
            </w:r>
          </w:p>
          <w:p w:rsidR="00820A9F" w:rsidRPr="000A17D7" w:rsidRDefault="00820A9F" w:rsidP="00820A9F">
            <w:pPr>
              <w:jc w:val="both"/>
              <w:rPr>
                <w:rFonts w:ascii="Arial" w:hAnsi="Arial" w:cs="Arial"/>
                <w:sz w:val="18"/>
                <w:szCs w:val="18"/>
              </w:rPr>
            </w:pPr>
          </w:p>
        </w:tc>
        <w:tc>
          <w:tcPr>
            <w:tcW w:w="2069" w:type="dxa"/>
            <w:gridSpan w:val="2"/>
            <w:shd w:val="clear" w:color="auto" w:fill="auto"/>
          </w:tcPr>
          <w:p w:rsidR="00DA435F" w:rsidRDefault="00DA435F" w:rsidP="00820A9F">
            <w:pPr>
              <w:jc w:val="center"/>
              <w:rPr>
                <w:rFonts w:ascii="Arial" w:hAnsi="Arial" w:cs="Arial"/>
                <w:snapToGrid/>
                <w:color w:val="000000"/>
                <w:sz w:val="18"/>
                <w:szCs w:val="18"/>
                <w:lang w:val="es-CO" w:eastAsia="es-CO"/>
              </w:rPr>
            </w:pPr>
          </w:p>
          <w:p w:rsidR="00DA435F" w:rsidRDefault="00DA435F" w:rsidP="00820A9F">
            <w:pPr>
              <w:jc w:val="center"/>
              <w:rPr>
                <w:rFonts w:ascii="Arial" w:hAnsi="Arial" w:cs="Arial"/>
                <w:snapToGrid/>
                <w:color w:val="000000"/>
                <w:sz w:val="18"/>
                <w:szCs w:val="18"/>
                <w:lang w:val="es-CO" w:eastAsia="es-CO"/>
              </w:rPr>
            </w:pPr>
          </w:p>
          <w:p w:rsidR="00820A9F" w:rsidRPr="000A17D7" w:rsidRDefault="00820A9F" w:rsidP="00820A9F">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bl>
    <w:p w:rsidR="00997E6B" w:rsidRDefault="00997E6B" w:rsidP="00997E6B">
      <w:pPr>
        <w:jc w:val="both"/>
        <w:rPr>
          <w:rFonts w:ascii="Arial" w:hAnsi="Arial" w:cs="Arial"/>
          <w:sz w:val="18"/>
          <w:szCs w:val="18"/>
        </w:rPr>
      </w:pPr>
    </w:p>
    <w:p w:rsidR="0013684A" w:rsidRPr="00DC5D25" w:rsidRDefault="00DC5D25" w:rsidP="00DC5D25">
      <w:pPr>
        <w:jc w:val="both"/>
        <w:rPr>
          <w:rFonts w:ascii="Arial" w:hAnsi="Arial" w:cs="Arial"/>
          <w:sz w:val="18"/>
          <w:szCs w:val="18"/>
        </w:rPr>
      </w:pPr>
      <w:r>
        <w:rPr>
          <w:rFonts w:ascii="Arial" w:hAnsi="Arial" w:cs="Arial"/>
          <w:sz w:val="18"/>
          <w:szCs w:val="18"/>
        </w:rPr>
        <w:t xml:space="preserve">2.3.2.1. </w:t>
      </w:r>
      <w:r w:rsidR="0013684A" w:rsidRPr="00DC5D25">
        <w:rPr>
          <w:rFonts w:ascii="Arial" w:hAnsi="Arial" w:cs="Arial"/>
          <w:sz w:val="18"/>
          <w:szCs w:val="18"/>
        </w:rPr>
        <w:t>Inversión indirecta</w:t>
      </w:r>
      <w:r w:rsidRPr="00DC5D25">
        <w:rPr>
          <w:rFonts w:ascii="Arial" w:hAnsi="Arial" w:cs="Arial"/>
          <w:sz w:val="18"/>
          <w:szCs w:val="18"/>
        </w:rPr>
        <w:t xml:space="preserve">: </w:t>
      </w:r>
      <w:r w:rsidR="0013684A" w:rsidRPr="00DC5D25">
        <w:rPr>
          <w:rFonts w:ascii="Arial" w:hAnsi="Arial" w:cs="Arial"/>
          <w:sz w:val="18"/>
          <w:szCs w:val="18"/>
        </w:rPr>
        <w:t xml:space="preserve">Para efectos del presente </w:t>
      </w:r>
      <w:r w:rsidR="001940CD">
        <w:rPr>
          <w:rFonts w:ascii="Arial" w:hAnsi="Arial" w:cs="Arial"/>
          <w:sz w:val="18"/>
          <w:szCs w:val="18"/>
        </w:rPr>
        <w:t>C</w:t>
      </w:r>
      <w:r w:rsidR="0013684A" w:rsidRPr="00DC5D25">
        <w:rPr>
          <w:rFonts w:ascii="Arial" w:hAnsi="Arial" w:cs="Arial"/>
          <w:sz w:val="18"/>
          <w:szCs w:val="18"/>
        </w:rPr>
        <w:t>apítulo, se entiende por inversión indirecta aquella inversión realizada por una entidad vigilada por la SFC (en adelante entidad principal) en una tercera entidad vigilada por la SFC o entidad financiera del exterior por medio de otra(s) entidad(es) o vehículo(s) (en adelante intermediario).</w:t>
      </w:r>
    </w:p>
    <w:p w:rsidR="0013684A" w:rsidRPr="000A17D7" w:rsidRDefault="0013684A" w:rsidP="0013684A">
      <w:pPr>
        <w:jc w:val="both"/>
        <w:rPr>
          <w:rFonts w:ascii="Arial" w:hAnsi="Arial" w:cs="Arial"/>
          <w:sz w:val="18"/>
          <w:szCs w:val="18"/>
        </w:rPr>
      </w:pPr>
    </w:p>
    <w:p w:rsidR="0013684A" w:rsidRPr="000A17D7" w:rsidRDefault="0013684A" w:rsidP="0013684A">
      <w:pPr>
        <w:jc w:val="both"/>
        <w:rPr>
          <w:rFonts w:ascii="Arial" w:hAnsi="Arial" w:cs="Arial"/>
          <w:sz w:val="18"/>
          <w:szCs w:val="18"/>
        </w:rPr>
      </w:pPr>
      <w:r w:rsidRPr="000A17D7">
        <w:rPr>
          <w:rFonts w:ascii="Arial" w:hAnsi="Arial" w:cs="Arial"/>
          <w:sz w:val="18"/>
          <w:szCs w:val="18"/>
        </w:rPr>
        <w:t xml:space="preserve">A </w:t>
      </w:r>
      <w:r w:rsidR="00E531C5" w:rsidRPr="000A17D7">
        <w:rPr>
          <w:rFonts w:ascii="Arial" w:hAnsi="Arial" w:cs="Arial"/>
          <w:sz w:val="18"/>
          <w:szCs w:val="18"/>
        </w:rPr>
        <w:t>continuación,</w:t>
      </w:r>
      <w:r w:rsidRPr="000A17D7">
        <w:rPr>
          <w:rFonts w:ascii="Arial" w:hAnsi="Arial" w:cs="Arial"/>
          <w:sz w:val="18"/>
          <w:szCs w:val="18"/>
        </w:rPr>
        <w:t xml:space="preserve"> se señala de manera ilustrativa y enunciativa, algunos ejemplos para determinar la inversión indirecta:</w:t>
      </w:r>
    </w:p>
    <w:p w:rsidR="0013684A" w:rsidRPr="000A17D7" w:rsidRDefault="0013684A" w:rsidP="0013684A">
      <w:pPr>
        <w:jc w:val="both"/>
        <w:rPr>
          <w:rFonts w:ascii="Arial" w:hAnsi="Arial" w:cs="Arial"/>
          <w:sz w:val="18"/>
          <w:szCs w:val="18"/>
        </w:rPr>
      </w:pPr>
    </w:p>
    <w:p w:rsidR="0013684A" w:rsidRPr="000A17D7" w:rsidRDefault="0013684A" w:rsidP="00DC5D25">
      <w:pPr>
        <w:pStyle w:val="Prrafodelista"/>
        <w:numPr>
          <w:ilvl w:val="0"/>
          <w:numId w:val="2"/>
        </w:numPr>
        <w:ind w:left="360"/>
        <w:jc w:val="both"/>
        <w:rPr>
          <w:rFonts w:ascii="Arial" w:hAnsi="Arial" w:cs="Arial"/>
          <w:sz w:val="18"/>
          <w:szCs w:val="18"/>
        </w:rPr>
      </w:pPr>
      <w:r w:rsidRPr="000A17D7">
        <w:rPr>
          <w:rFonts w:ascii="Arial" w:hAnsi="Arial" w:cs="Arial"/>
          <w:sz w:val="18"/>
          <w:szCs w:val="18"/>
        </w:rPr>
        <w:t>Cuando el(los) intermediario(s) es(son) subordinado(s), controlado(s) o está(n) bajo administración de la entidad principal, la participación de ésta última en la tercera entidad corresponde a la participación del(los) intermediario(s) en dicha entidad.</w:t>
      </w:r>
    </w:p>
    <w:p w:rsidR="0013684A" w:rsidRPr="000A17D7" w:rsidRDefault="0013684A" w:rsidP="00DC5D25">
      <w:pPr>
        <w:pStyle w:val="Prrafodelista"/>
        <w:ind w:left="578"/>
        <w:jc w:val="both"/>
        <w:rPr>
          <w:rFonts w:ascii="Arial" w:hAnsi="Arial" w:cs="Arial"/>
          <w:sz w:val="18"/>
          <w:szCs w:val="18"/>
        </w:rPr>
      </w:pPr>
    </w:p>
    <w:p w:rsidR="0013684A" w:rsidRPr="000A17D7" w:rsidRDefault="0013684A" w:rsidP="00DC5D25">
      <w:pPr>
        <w:pStyle w:val="Prrafodelista"/>
        <w:numPr>
          <w:ilvl w:val="0"/>
          <w:numId w:val="2"/>
        </w:numPr>
        <w:ind w:left="360"/>
        <w:jc w:val="both"/>
        <w:rPr>
          <w:rFonts w:ascii="Arial" w:hAnsi="Arial" w:cs="Arial"/>
          <w:sz w:val="18"/>
          <w:szCs w:val="18"/>
        </w:rPr>
      </w:pPr>
      <w:r w:rsidRPr="000A17D7">
        <w:rPr>
          <w:rFonts w:ascii="Arial" w:hAnsi="Arial" w:cs="Arial"/>
          <w:sz w:val="18"/>
          <w:szCs w:val="18"/>
        </w:rPr>
        <w:t xml:space="preserve">Cuando el(los) intermediario(s) no es(son) subordinado(s), controlado(s) o no está(n) bajo administración de la entidad principal, la participación de ésta última en la tercera entidad corresponde al producto de las participaciones, es decir, la que tiene la entidad principal en el intermediario multiplicado por la participación de ésta en la tercera entidad. </w:t>
      </w:r>
    </w:p>
    <w:p w:rsidR="0013684A" w:rsidRPr="000A17D7" w:rsidRDefault="0013684A" w:rsidP="00DC5D25">
      <w:pPr>
        <w:pStyle w:val="Prrafodelista"/>
        <w:ind w:left="578"/>
        <w:rPr>
          <w:rFonts w:ascii="Arial" w:hAnsi="Arial" w:cs="Arial"/>
          <w:sz w:val="18"/>
          <w:szCs w:val="18"/>
        </w:rPr>
      </w:pPr>
    </w:p>
    <w:p w:rsidR="0013684A" w:rsidRPr="000A17D7" w:rsidRDefault="0013684A" w:rsidP="00DC5D25">
      <w:pPr>
        <w:pStyle w:val="Prrafodelista"/>
        <w:numPr>
          <w:ilvl w:val="0"/>
          <w:numId w:val="2"/>
        </w:numPr>
        <w:ind w:left="360"/>
        <w:jc w:val="both"/>
        <w:rPr>
          <w:rFonts w:ascii="Arial" w:hAnsi="Arial" w:cs="Arial"/>
          <w:sz w:val="18"/>
          <w:szCs w:val="18"/>
        </w:rPr>
      </w:pPr>
      <w:r w:rsidRPr="000A17D7">
        <w:rPr>
          <w:rFonts w:ascii="Arial" w:hAnsi="Arial" w:cs="Arial"/>
          <w:sz w:val="18"/>
          <w:szCs w:val="18"/>
        </w:rPr>
        <w:t xml:space="preserve">Cuando se realiza mediante la participación de varios intermediarios que son subordinados, controlados o están bajo administración de la entidad principal y aquellos que no son subordinados o controlados, la participación resulta de aplicar de forma conjunta a) y b). </w:t>
      </w:r>
    </w:p>
    <w:p w:rsidR="003D510B" w:rsidRDefault="003D510B" w:rsidP="0013684A">
      <w:pPr>
        <w:jc w:val="both"/>
        <w:rPr>
          <w:rFonts w:ascii="Arial" w:hAnsi="Arial" w:cs="Arial"/>
          <w:sz w:val="18"/>
          <w:szCs w:val="18"/>
        </w:rPr>
      </w:pPr>
    </w:p>
    <w:p w:rsidR="0013684A" w:rsidRPr="00847DA2" w:rsidRDefault="0000491B" w:rsidP="009D298D">
      <w:pPr>
        <w:pStyle w:val="Prrafodelista"/>
        <w:numPr>
          <w:ilvl w:val="2"/>
          <w:numId w:val="11"/>
        </w:numPr>
        <w:ind w:left="851" w:hanging="851"/>
        <w:jc w:val="both"/>
        <w:rPr>
          <w:rFonts w:ascii="Arial" w:hAnsi="Arial" w:cs="Arial"/>
          <w:sz w:val="18"/>
          <w:szCs w:val="18"/>
        </w:rPr>
      </w:pPr>
      <w:r>
        <w:rPr>
          <w:rFonts w:ascii="Arial" w:hAnsi="Arial" w:cs="Arial"/>
          <w:sz w:val="18"/>
          <w:szCs w:val="18"/>
        </w:rPr>
        <w:t xml:space="preserve">Patrimonio Básico Adicional </w:t>
      </w:r>
      <w:r w:rsidR="00136C4B">
        <w:rPr>
          <w:rFonts w:ascii="Arial" w:hAnsi="Arial" w:cs="Arial"/>
          <w:sz w:val="18"/>
          <w:szCs w:val="18"/>
        </w:rPr>
        <w:t>(</w:t>
      </w:r>
      <w:r w:rsidR="0013684A" w:rsidRPr="00847DA2">
        <w:rPr>
          <w:rFonts w:ascii="Arial" w:hAnsi="Arial" w:cs="Arial"/>
          <w:sz w:val="18"/>
          <w:szCs w:val="18"/>
        </w:rPr>
        <w:t>PBA</w:t>
      </w:r>
      <w:r w:rsidR="00136C4B">
        <w:rPr>
          <w:rFonts w:ascii="Arial" w:hAnsi="Arial" w:cs="Arial"/>
          <w:sz w:val="18"/>
          <w:szCs w:val="18"/>
        </w:rPr>
        <w:t>)</w:t>
      </w:r>
    </w:p>
    <w:p w:rsidR="00744873" w:rsidRPr="000A17D7" w:rsidRDefault="00744873" w:rsidP="0013684A">
      <w:pPr>
        <w:pStyle w:val="Prrafodelista"/>
        <w:ind w:left="851" w:hanging="851"/>
        <w:jc w:val="both"/>
        <w:rPr>
          <w:rFonts w:ascii="Arial" w:hAnsi="Arial" w:cs="Arial"/>
          <w:sz w:val="18"/>
          <w:szCs w:val="18"/>
        </w:rPr>
      </w:pPr>
    </w:p>
    <w:p w:rsidR="0013684A" w:rsidRPr="000A17D7" w:rsidRDefault="00744873" w:rsidP="002E3E53">
      <w:pPr>
        <w:pStyle w:val="Prrafodelista"/>
        <w:ind w:left="0"/>
        <w:jc w:val="both"/>
        <w:rPr>
          <w:rFonts w:ascii="Arial" w:hAnsi="Arial" w:cs="Arial"/>
          <w:sz w:val="18"/>
          <w:szCs w:val="18"/>
        </w:rPr>
      </w:pPr>
      <w:r w:rsidRPr="000A17D7">
        <w:rPr>
          <w:rFonts w:ascii="Arial" w:hAnsi="Arial" w:cs="Arial"/>
          <w:sz w:val="18"/>
          <w:szCs w:val="18"/>
        </w:rPr>
        <w:t xml:space="preserve">El </w:t>
      </w:r>
      <w:r w:rsidR="009C6436" w:rsidRPr="000A17D7">
        <w:rPr>
          <w:rFonts w:ascii="Arial" w:hAnsi="Arial" w:cs="Arial"/>
          <w:sz w:val="18"/>
          <w:szCs w:val="18"/>
        </w:rPr>
        <w:t>PBA</w:t>
      </w:r>
      <w:r w:rsidRPr="000A17D7">
        <w:rPr>
          <w:rFonts w:ascii="Arial" w:hAnsi="Arial" w:cs="Arial"/>
          <w:sz w:val="18"/>
          <w:szCs w:val="18"/>
        </w:rPr>
        <w:t xml:space="preserve"> c</w:t>
      </w:r>
      <w:r w:rsidR="002E3E53" w:rsidRPr="000A17D7">
        <w:rPr>
          <w:rFonts w:ascii="Arial" w:hAnsi="Arial" w:cs="Arial"/>
          <w:sz w:val="18"/>
          <w:szCs w:val="18"/>
        </w:rPr>
        <w:t xml:space="preserve">omprende </w:t>
      </w:r>
      <w:r w:rsidR="0013684A" w:rsidRPr="000A17D7">
        <w:rPr>
          <w:rFonts w:ascii="Arial" w:hAnsi="Arial" w:cs="Arial"/>
          <w:sz w:val="18"/>
          <w:szCs w:val="18"/>
        </w:rPr>
        <w:t>los siguientes rubros:</w:t>
      </w:r>
    </w:p>
    <w:p w:rsidR="0013684A" w:rsidRPr="000A17D7" w:rsidRDefault="0013684A" w:rsidP="0013684A">
      <w:pPr>
        <w:jc w:val="both"/>
        <w:rPr>
          <w:rFonts w:ascii="Arial" w:hAnsi="Arial" w:cs="Arial"/>
          <w:sz w:val="18"/>
          <w:szCs w:val="18"/>
        </w:rPr>
      </w:pPr>
    </w:p>
    <w:tbl>
      <w:tblPr>
        <w:tblW w:w="9782"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1"/>
        <w:gridCol w:w="1061"/>
        <w:gridCol w:w="5520"/>
        <w:gridCol w:w="2160"/>
      </w:tblGrid>
      <w:tr w:rsidR="0013684A" w:rsidRPr="000A17D7" w:rsidTr="00F37270">
        <w:trPr>
          <w:trHeight w:val="391"/>
          <w:tblHeader/>
        </w:trPr>
        <w:tc>
          <w:tcPr>
            <w:tcW w:w="1041" w:type="dxa"/>
            <w:shd w:val="clear" w:color="000000" w:fill="D9D9D9"/>
            <w:noWrap/>
            <w:vAlign w:val="center"/>
            <w:hideMark/>
          </w:tcPr>
          <w:p w:rsidR="0013684A" w:rsidRPr="000A17D7" w:rsidRDefault="0013684A" w:rsidP="005426D8">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Fuente</w:t>
            </w:r>
          </w:p>
        </w:tc>
        <w:tc>
          <w:tcPr>
            <w:tcW w:w="1061" w:type="dxa"/>
            <w:shd w:val="clear" w:color="000000" w:fill="D9D9D9"/>
            <w:vAlign w:val="center"/>
            <w:hideMark/>
          </w:tcPr>
          <w:p w:rsidR="0013684A" w:rsidRPr="000A17D7" w:rsidRDefault="0013684A" w:rsidP="005426D8">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Cuenta/</w:t>
            </w:r>
            <w:r w:rsidRPr="000A17D7">
              <w:rPr>
                <w:rFonts w:ascii="Arial" w:hAnsi="Arial" w:cs="Arial"/>
                <w:bCs/>
                <w:snapToGrid/>
                <w:color w:val="000000"/>
                <w:sz w:val="18"/>
                <w:szCs w:val="18"/>
                <w:lang w:val="es-CO" w:eastAsia="es-CO"/>
              </w:rPr>
              <w:br/>
              <w:t>Subcuenta</w:t>
            </w:r>
          </w:p>
        </w:tc>
        <w:tc>
          <w:tcPr>
            <w:tcW w:w="5520" w:type="dxa"/>
            <w:shd w:val="clear" w:color="000000" w:fill="D9D9D9"/>
            <w:noWrap/>
            <w:vAlign w:val="center"/>
            <w:hideMark/>
          </w:tcPr>
          <w:p w:rsidR="0013684A" w:rsidRPr="000A17D7" w:rsidRDefault="0013684A" w:rsidP="005426D8">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Denominación</w:t>
            </w:r>
          </w:p>
        </w:tc>
        <w:tc>
          <w:tcPr>
            <w:tcW w:w="2160" w:type="dxa"/>
            <w:shd w:val="clear" w:color="000000" w:fill="D9D9D9"/>
            <w:noWrap/>
            <w:vAlign w:val="center"/>
            <w:hideMark/>
          </w:tcPr>
          <w:p w:rsidR="0013684A" w:rsidRPr="000A17D7" w:rsidRDefault="0013684A" w:rsidP="005426D8">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Ponderación</w:t>
            </w:r>
          </w:p>
        </w:tc>
      </w:tr>
      <w:tr w:rsidR="003D510B" w:rsidRPr="000A17D7" w:rsidTr="00F37270">
        <w:trPr>
          <w:trHeight w:val="115"/>
        </w:trPr>
        <w:tc>
          <w:tcPr>
            <w:tcW w:w="1041" w:type="dxa"/>
            <w:vMerge w:val="restart"/>
            <w:shd w:val="clear" w:color="000000" w:fill="FFFFFF"/>
            <w:noWrap/>
            <w:vAlign w:val="center"/>
            <w:hideMark/>
          </w:tcPr>
          <w:p w:rsidR="003D510B" w:rsidRDefault="003D510B" w:rsidP="005426D8">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F.</w:t>
            </w:r>
            <w:r>
              <w:rPr>
                <w:rFonts w:ascii="Arial" w:hAnsi="Arial" w:cs="Arial"/>
                <w:snapToGrid/>
                <w:color w:val="000000"/>
                <w:sz w:val="18"/>
                <w:szCs w:val="18"/>
                <w:lang w:val="es-CO" w:eastAsia="es-CO"/>
              </w:rPr>
              <w:t xml:space="preserve"> </w:t>
            </w:r>
            <w:r w:rsidR="00262657">
              <w:rPr>
                <w:rFonts w:ascii="Arial" w:hAnsi="Arial" w:cs="Arial"/>
                <w:snapToGrid/>
                <w:color w:val="000000"/>
                <w:sz w:val="18"/>
                <w:szCs w:val="18"/>
                <w:lang w:val="es-CO" w:eastAsia="es-CO"/>
              </w:rPr>
              <w:t>239</w:t>
            </w:r>
          </w:p>
          <w:p w:rsidR="003D510B" w:rsidRPr="000A17D7" w:rsidRDefault="003D510B" w:rsidP="003D510B">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Unidad de captura 02</w:t>
            </w:r>
          </w:p>
        </w:tc>
        <w:tc>
          <w:tcPr>
            <w:tcW w:w="1061" w:type="dxa"/>
            <w:shd w:val="clear" w:color="000000" w:fill="FFFFFF"/>
            <w:noWrap/>
            <w:vAlign w:val="center"/>
            <w:hideMark/>
          </w:tcPr>
          <w:p w:rsidR="003D510B" w:rsidRPr="000A17D7" w:rsidRDefault="003D510B" w:rsidP="005426D8">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+005</w:t>
            </w:r>
          </w:p>
        </w:tc>
        <w:tc>
          <w:tcPr>
            <w:tcW w:w="5520" w:type="dxa"/>
            <w:shd w:val="clear" w:color="000000" w:fill="FFFFFF"/>
            <w:hideMark/>
          </w:tcPr>
          <w:p w:rsidR="003D510B" w:rsidRPr="000A17D7" w:rsidRDefault="003D510B">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Valor de las acciones ordinarias suscritas y pagadas, reconocidas por la SFC como PBA de conformidad con los artículos 2.1.1.1.6 y 2.1.1.1.8 del Decreto 2555 de 2010.</w:t>
            </w:r>
          </w:p>
        </w:tc>
        <w:tc>
          <w:tcPr>
            <w:tcW w:w="2160" w:type="dxa"/>
            <w:shd w:val="clear" w:color="000000" w:fill="FFFFFF"/>
            <w:noWrap/>
            <w:vAlign w:val="center"/>
            <w:hideMark/>
          </w:tcPr>
          <w:p w:rsidR="003D510B" w:rsidRPr="000A17D7" w:rsidRDefault="003D510B" w:rsidP="005426D8">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3D510B" w:rsidRPr="000A17D7" w:rsidTr="00F37270">
        <w:trPr>
          <w:trHeight w:val="271"/>
        </w:trPr>
        <w:tc>
          <w:tcPr>
            <w:tcW w:w="1041" w:type="dxa"/>
            <w:vMerge/>
            <w:shd w:val="clear" w:color="000000" w:fill="FFFFFF"/>
            <w:noWrap/>
            <w:vAlign w:val="center"/>
            <w:hideMark/>
          </w:tcPr>
          <w:p w:rsidR="003D510B" w:rsidRPr="000A17D7" w:rsidRDefault="003D510B" w:rsidP="00084CB7">
            <w:pPr>
              <w:jc w:val="center"/>
              <w:rPr>
                <w:rFonts w:ascii="Arial" w:hAnsi="Arial" w:cs="Arial"/>
                <w:snapToGrid/>
                <w:color w:val="000000"/>
                <w:sz w:val="18"/>
                <w:szCs w:val="18"/>
                <w:lang w:val="es-CO" w:eastAsia="es-CO"/>
              </w:rPr>
            </w:pPr>
          </w:p>
        </w:tc>
        <w:tc>
          <w:tcPr>
            <w:tcW w:w="1061" w:type="dxa"/>
            <w:shd w:val="clear" w:color="000000" w:fill="FFFFFF"/>
            <w:noWrap/>
            <w:vAlign w:val="center"/>
            <w:hideMark/>
          </w:tcPr>
          <w:p w:rsidR="003D510B" w:rsidRPr="00A652D7" w:rsidRDefault="003D510B" w:rsidP="005426D8">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+010</w:t>
            </w:r>
          </w:p>
        </w:tc>
        <w:tc>
          <w:tcPr>
            <w:tcW w:w="5520" w:type="dxa"/>
            <w:shd w:val="clear" w:color="000000" w:fill="FFFFFF"/>
            <w:hideMark/>
          </w:tcPr>
          <w:p w:rsidR="003D510B" w:rsidRPr="00A652D7" w:rsidRDefault="003D510B" w:rsidP="005426D8">
            <w:pPr>
              <w:jc w:val="both"/>
              <w:rPr>
                <w:rFonts w:ascii="Arial" w:hAnsi="Arial" w:cs="Arial"/>
                <w:snapToGrid/>
                <w:color w:val="000000"/>
                <w:sz w:val="18"/>
                <w:szCs w:val="18"/>
                <w:lang w:val="es-CO" w:eastAsia="es-CO"/>
              </w:rPr>
            </w:pPr>
            <w:r w:rsidRPr="00A652D7">
              <w:rPr>
                <w:rFonts w:ascii="Arial" w:hAnsi="Arial" w:cs="Arial"/>
                <w:snapToGrid/>
                <w:color w:val="000000"/>
                <w:sz w:val="18"/>
                <w:szCs w:val="18"/>
                <w:lang w:val="es-CO" w:eastAsia="es-CO"/>
              </w:rPr>
              <w:t>Valor de las acciones con dividendo preferencial y sin derecho a voto suscritas y pagadas, reconocidas por la SFC como PBA de conformidad con los artículos 2.1.1.1.6 y 2.1.1.1.8 del Decreto 2555 de 2010.</w:t>
            </w:r>
          </w:p>
        </w:tc>
        <w:tc>
          <w:tcPr>
            <w:tcW w:w="2160" w:type="dxa"/>
            <w:shd w:val="clear" w:color="000000" w:fill="FFFFFF"/>
            <w:vAlign w:val="center"/>
            <w:hideMark/>
          </w:tcPr>
          <w:p w:rsidR="003D510B" w:rsidRPr="000A17D7" w:rsidRDefault="003D510B" w:rsidP="005426D8">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D34588" w:rsidRPr="000A17D7" w:rsidTr="005856C2">
        <w:trPr>
          <w:trHeight w:val="352"/>
        </w:trPr>
        <w:tc>
          <w:tcPr>
            <w:tcW w:w="1041" w:type="dxa"/>
            <w:vMerge/>
            <w:shd w:val="clear" w:color="000000" w:fill="FFFFFF"/>
            <w:noWrap/>
            <w:vAlign w:val="center"/>
          </w:tcPr>
          <w:p w:rsidR="00D34588" w:rsidRPr="000A17D7" w:rsidRDefault="00D34588" w:rsidP="00084CB7">
            <w:pPr>
              <w:jc w:val="center"/>
              <w:rPr>
                <w:rFonts w:ascii="Arial" w:hAnsi="Arial" w:cs="Arial"/>
                <w:snapToGrid/>
                <w:color w:val="000000"/>
                <w:sz w:val="18"/>
                <w:szCs w:val="18"/>
                <w:lang w:val="es-CO" w:eastAsia="es-CO"/>
              </w:rPr>
            </w:pPr>
          </w:p>
        </w:tc>
        <w:tc>
          <w:tcPr>
            <w:tcW w:w="1061" w:type="dxa"/>
            <w:shd w:val="clear" w:color="000000" w:fill="FFFFFF"/>
            <w:noWrap/>
            <w:vAlign w:val="center"/>
          </w:tcPr>
          <w:p w:rsidR="00D34588" w:rsidRDefault="00D34588" w:rsidP="003252B5">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w:t>
            </w:r>
            <w:r w:rsidR="001825AC">
              <w:rPr>
                <w:rFonts w:ascii="Arial" w:hAnsi="Arial" w:cs="Arial"/>
                <w:snapToGrid/>
                <w:color w:val="000000"/>
                <w:sz w:val="18"/>
                <w:szCs w:val="18"/>
                <w:lang w:val="es-CO" w:eastAsia="es-CO"/>
              </w:rPr>
              <w:t>15</w:t>
            </w:r>
          </w:p>
        </w:tc>
        <w:tc>
          <w:tcPr>
            <w:tcW w:w="5520" w:type="dxa"/>
            <w:shd w:val="clear" w:color="000000" w:fill="FFFFFF"/>
          </w:tcPr>
          <w:p w:rsidR="00D34588" w:rsidRPr="00A652D7" w:rsidRDefault="00D34588" w:rsidP="00D34588">
            <w:pPr>
              <w:jc w:val="both"/>
              <w:rPr>
                <w:rFonts w:ascii="Arial" w:hAnsi="Arial" w:cs="Arial"/>
                <w:snapToGrid/>
                <w:color w:val="000000"/>
                <w:sz w:val="18"/>
                <w:szCs w:val="18"/>
                <w:lang w:val="es-CO" w:eastAsia="es-CO"/>
              </w:rPr>
            </w:pPr>
            <w:r w:rsidRPr="00045A0B">
              <w:rPr>
                <w:rFonts w:ascii="Arial" w:hAnsi="Arial" w:cs="Arial"/>
                <w:snapToGrid/>
                <w:color w:val="000000"/>
                <w:sz w:val="18"/>
                <w:szCs w:val="18"/>
                <w:lang w:val="es-CO" w:eastAsia="es-CO"/>
              </w:rPr>
              <w:t>Valor de las acciones privilegiadas suscritas y pagadas, reconocidas por la SFC como PBA de conformidad con los artículos 2.1.1.1.6 y 2.1.1.1.8 del Decreto 2555 de 2010.</w:t>
            </w:r>
          </w:p>
        </w:tc>
        <w:tc>
          <w:tcPr>
            <w:tcW w:w="2160" w:type="dxa"/>
            <w:shd w:val="clear" w:color="000000" w:fill="FFFFFF"/>
            <w:noWrap/>
            <w:vAlign w:val="center"/>
          </w:tcPr>
          <w:p w:rsidR="00D34588" w:rsidRPr="000A17D7" w:rsidRDefault="00D34588" w:rsidP="004C0D4F">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100%</w:t>
            </w:r>
          </w:p>
        </w:tc>
      </w:tr>
      <w:tr w:rsidR="003D510B" w:rsidRPr="000A17D7" w:rsidTr="005856C2">
        <w:trPr>
          <w:trHeight w:val="352"/>
        </w:trPr>
        <w:tc>
          <w:tcPr>
            <w:tcW w:w="1041" w:type="dxa"/>
            <w:vMerge/>
            <w:shd w:val="clear" w:color="000000" w:fill="FFFFFF"/>
            <w:noWrap/>
            <w:vAlign w:val="center"/>
          </w:tcPr>
          <w:p w:rsidR="003D510B" w:rsidRPr="000A17D7" w:rsidRDefault="003D510B" w:rsidP="00084CB7">
            <w:pPr>
              <w:jc w:val="center"/>
              <w:rPr>
                <w:rFonts w:ascii="Arial" w:hAnsi="Arial" w:cs="Arial"/>
                <w:snapToGrid/>
                <w:color w:val="000000"/>
                <w:sz w:val="18"/>
                <w:szCs w:val="18"/>
                <w:lang w:val="es-CO" w:eastAsia="es-CO"/>
              </w:rPr>
            </w:pPr>
          </w:p>
        </w:tc>
        <w:tc>
          <w:tcPr>
            <w:tcW w:w="1061" w:type="dxa"/>
            <w:shd w:val="clear" w:color="000000" w:fill="FFFFFF"/>
            <w:noWrap/>
            <w:vAlign w:val="center"/>
          </w:tcPr>
          <w:p w:rsidR="003D510B" w:rsidRPr="00A652D7" w:rsidRDefault="003D510B" w:rsidP="003252B5">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w:t>
            </w:r>
            <w:r w:rsidR="001825AC">
              <w:rPr>
                <w:rFonts w:ascii="Arial" w:hAnsi="Arial" w:cs="Arial"/>
                <w:snapToGrid/>
                <w:color w:val="000000"/>
                <w:sz w:val="18"/>
                <w:szCs w:val="18"/>
                <w:lang w:val="es-CO" w:eastAsia="es-CO"/>
              </w:rPr>
              <w:t>20</w:t>
            </w:r>
          </w:p>
        </w:tc>
        <w:tc>
          <w:tcPr>
            <w:tcW w:w="5520" w:type="dxa"/>
            <w:shd w:val="clear" w:color="000000" w:fill="FFFFFF"/>
          </w:tcPr>
          <w:p w:rsidR="003D510B" w:rsidRPr="00A652D7" w:rsidRDefault="003D510B" w:rsidP="004C0D4F">
            <w:pPr>
              <w:jc w:val="both"/>
              <w:rPr>
                <w:rFonts w:ascii="Arial" w:hAnsi="Arial" w:cs="Arial"/>
                <w:snapToGrid/>
                <w:color w:val="000000"/>
                <w:sz w:val="18"/>
                <w:szCs w:val="18"/>
                <w:lang w:val="es-CO" w:eastAsia="es-CO"/>
              </w:rPr>
            </w:pPr>
            <w:r w:rsidRPr="00A652D7">
              <w:rPr>
                <w:rFonts w:ascii="Arial" w:hAnsi="Arial" w:cs="Arial"/>
                <w:snapToGrid/>
                <w:color w:val="000000"/>
                <w:sz w:val="18"/>
                <w:szCs w:val="18"/>
                <w:lang w:val="es-CO" w:eastAsia="es-CO"/>
              </w:rPr>
              <w:t>Valor de los dividendos decretados pagaderos en acciones a las</w:t>
            </w:r>
            <w:r>
              <w:rPr>
                <w:rFonts w:ascii="Arial" w:hAnsi="Arial" w:cs="Arial"/>
                <w:snapToGrid/>
                <w:color w:val="000000"/>
                <w:sz w:val="18"/>
                <w:szCs w:val="18"/>
                <w:lang w:val="es-CO" w:eastAsia="es-CO"/>
              </w:rPr>
              <w:t xml:space="preserve"> que se refiere la subcuenta 005</w:t>
            </w:r>
            <w:r w:rsidRPr="00A652D7">
              <w:rPr>
                <w:rFonts w:ascii="Arial" w:hAnsi="Arial" w:cs="Arial"/>
                <w:snapToGrid/>
                <w:color w:val="000000"/>
                <w:sz w:val="18"/>
                <w:szCs w:val="18"/>
                <w:lang w:val="es-CO" w:eastAsia="es-CO"/>
              </w:rPr>
              <w:t>.</w:t>
            </w:r>
          </w:p>
        </w:tc>
        <w:tc>
          <w:tcPr>
            <w:tcW w:w="2160" w:type="dxa"/>
            <w:shd w:val="clear" w:color="000000" w:fill="FFFFFF"/>
            <w:noWrap/>
            <w:vAlign w:val="center"/>
          </w:tcPr>
          <w:p w:rsidR="003D510B" w:rsidRPr="000A17D7" w:rsidRDefault="003D510B" w:rsidP="004C0D4F">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3D510B" w:rsidRPr="000A17D7" w:rsidTr="005856C2">
        <w:trPr>
          <w:trHeight w:val="352"/>
        </w:trPr>
        <w:tc>
          <w:tcPr>
            <w:tcW w:w="1041" w:type="dxa"/>
            <w:vMerge/>
            <w:shd w:val="clear" w:color="000000" w:fill="FFFFFF"/>
            <w:noWrap/>
            <w:vAlign w:val="center"/>
          </w:tcPr>
          <w:p w:rsidR="003D510B" w:rsidRPr="000A17D7" w:rsidRDefault="003D510B" w:rsidP="00084CB7">
            <w:pPr>
              <w:jc w:val="center"/>
              <w:rPr>
                <w:rFonts w:ascii="Arial" w:hAnsi="Arial" w:cs="Arial"/>
                <w:snapToGrid/>
                <w:color w:val="000000"/>
                <w:sz w:val="18"/>
                <w:szCs w:val="18"/>
                <w:lang w:val="es-CO" w:eastAsia="es-CO"/>
              </w:rPr>
            </w:pPr>
          </w:p>
        </w:tc>
        <w:tc>
          <w:tcPr>
            <w:tcW w:w="1061" w:type="dxa"/>
            <w:shd w:val="clear" w:color="000000" w:fill="FFFFFF"/>
            <w:noWrap/>
            <w:vAlign w:val="center"/>
          </w:tcPr>
          <w:p w:rsidR="003D510B" w:rsidRPr="00A652D7" w:rsidRDefault="003D510B" w:rsidP="004C0D4F">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+02</w:t>
            </w:r>
            <w:r w:rsidR="00DE1AA7">
              <w:rPr>
                <w:rFonts w:ascii="Arial" w:hAnsi="Arial" w:cs="Arial"/>
                <w:snapToGrid/>
                <w:color w:val="000000"/>
                <w:sz w:val="18"/>
                <w:szCs w:val="18"/>
                <w:lang w:val="es-CO" w:eastAsia="es-CO"/>
              </w:rPr>
              <w:t>5</w:t>
            </w:r>
          </w:p>
        </w:tc>
        <w:tc>
          <w:tcPr>
            <w:tcW w:w="5520" w:type="dxa"/>
            <w:shd w:val="clear" w:color="000000" w:fill="FFFFFF"/>
          </w:tcPr>
          <w:p w:rsidR="003D510B" w:rsidRPr="00A652D7" w:rsidRDefault="003D510B" w:rsidP="004C0D4F">
            <w:pPr>
              <w:jc w:val="both"/>
              <w:rPr>
                <w:rFonts w:ascii="Arial" w:hAnsi="Arial" w:cs="Arial"/>
                <w:snapToGrid/>
                <w:color w:val="000000"/>
                <w:sz w:val="18"/>
                <w:szCs w:val="18"/>
                <w:lang w:val="es-CO" w:eastAsia="es-CO"/>
              </w:rPr>
            </w:pPr>
            <w:r w:rsidRPr="00A652D7">
              <w:rPr>
                <w:rFonts w:ascii="Arial" w:hAnsi="Arial" w:cs="Arial"/>
                <w:snapToGrid/>
                <w:color w:val="000000"/>
                <w:sz w:val="18"/>
                <w:szCs w:val="18"/>
                <w:lang w:val="es-CO" w:eastAsia="es-CO"/>
              </w:rPr>
              <w:t>Valor de los dividendos decretados pagaderos en acciones a las</w:t>
            </w:r>
            <w:r>
              <w:rPr>
                <w:rFonts w:ascii="Arial" w:hAnsi="Arial" w:cs="Arial"/>
                <w:snapToGrid/>
                <w:color w:val="000000"/>
                <w:sz w:val="18"/>
                <w:szCs w:val="18"/>
                <w:lang w:val="es-CO" w:eastAsia="es-CO"/>
              </w:rPr>
              <w:t xml:space="preserve"> que se refiere la subcuenta 010</w:t>
            </w:r>
            <w:r w:rsidRPr="00A652D7">
              <w:rPr>
                <w:rFonts w:ascii="Arial" w:hAnsi="Arial" w:cs="Arial"/>
                <w:snapToGrid/>
                <w:color w:val="000000"/>
                <w:sz w:val="18"/>
                <w:szCs w:val="18"/>
                <w:lang w:val="es-CO" w:eastAsia="es-CO"/>
              </w:rPr>
              <w:t>.</w:t>
            </w:r>
          </w:p>
        </w:tc>
        <w:tc>
          <w:tcPr>
            <w:tcW w:w="2160" w:type="dxa"/>
            <w:shd w:val="clear" w:color="000000" w:fill="FFFFFF"/>
            <w:noWrap/>
            <w:vAlign w:val="center"/>
          </w:tcPr>
          <w:p w:rsidR="003D510B" w:rsidRPr="000A17D7" w:rsidRDefault="003D510B" w:rsidP="004C0D4F">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D34588" w:rsidRPr="000A17D7" w:rsidTr="005856C2">
        <w:trPr>
          <w:trHeight w:val="352"/>
        </w:trPr>
        <w:tc>
          <w:tcPr>
            <w:tcW w:w="1041" w:type="dxa"/>
            <w:vMerge/>
            <w:shd w:val="clear" w:color="000000" w:fill="FFFFFF"/>
            <w:noWrap/>
            <w:vAlign w:val="center"/>
          </w:tcPr>
          <w:p w:rsidR="00D34588" w:rsidRPr="000A17D7" w:rsidRDefault="00D34588" w:rsidP="00084CB7">
            <w:pPr>
              <w:jc w:val="center"/>
              <w:rPr>
                <w:rFonts w:ascii="Arial" w:hAnsi="Arial" w:cs="Arial"/>
                <w:snapToGrid/>
                <w:color w:val="000000"/>
                <w:sz w:val="18"/>
                <w:szCs w:val="18"/>
                <w:lang w:val="es-CO" w:eastAsia="es-CO"/>
              </w:rPr>
            </w:pPr>
          </w:p>
        </w:tc>
        <w:tc>
          <w:tcPr>
            <w:tcW w:w="1061" w:type="dxa"/>
            <w:shd w:val="clear" w:color="000000" w:fill="FFFFFF"/>
            <w:noWrap/>
            <w:vAlign w:val="center"/>
          </w:tcPr>
          <w:p w:rsidR="00D34588" w:rsidRDefault="00B249CB" w:rsidP="00084CB7">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w:t>
            </w:r>
            <w:r w:rsidR="00DE1AA7">
              <w:rPr>
                <w:rFonts w:ascii="Arial" w:hAnsi="Arial" w:cs="Arial"/>
                <w:snapToGrid/>
                <w:color w:val="000000"/>
                <w:sz w:val="18"/>
                <w:szCs w:val="18"/>
                <w:lang w:val="es-CO" w:eastAsia="es-CO"/>
              </w:rPr>
              <w:t>030</w:t>
            </w:r>
          </w:p>
        </w:tc>
        <w:tc>
          <w:tcPr>
            <w:tcW w:w="5520" w:type="dxa"/>
            <w:shd w:val="clear" w:color="000000" w:fill="FFFFFF"/>
          </w:tcPr>
          <w:p w:rsidR="00D34588" w:rsidRPr="00A652D7" w:rsidRDefault="00D34588" w:rsidP="003252B5">
            <w:pPr>
              <w:jc w:val="both"/>
              <w:rPr>
                <w:rFonts w:ascii="Arial" w:hAnsi="Arial" w:cs="Arial"/>
                <w:snapToGrid/>
                <w:color w:val="000000"/>
                <w:sz w:val="18"/>
                <w:szCs w:val="18"/>
                <w:lang w:val="es-CO" w:eastAsia="es-CO"/>
              </w:rPr>
            </w:pPr>
            <w:r w:rsidRPr="00045A0B">
              <w:rPr>
                <w:rFonts w:ascii="Arial" w:hAnsi="Arial" w:cs="Arial"/>
                <w:snapToGrid/>
                <w:color w:val="000000"/>
                <w:sz w:val="18"/>
                <w:szCs w:val="18"/>
                <w:lang w:val="es-CO" w:eastAsia="es-CO"/>
              </w:rPr>
              <w:t>Valor de los dividendos decretados pagaderos en acciones a las que se refiere la subcuenta 0</w:t>
            </w:r>
            <w:r w:rsidR="00DE1AA7">
              <w:rPr>
                <w:rFonts w:ascii="Arial" w:hAnsi="Arial" w:cs="Arial"/>
                <w:snapToGrid/>
                <w:color w:val="000000"/>
                <w:sz w:val="18"/>
                <w:szCs w:val="18"/>
                <w:lang w:val="es-CO" w:eastAsia="es-CO"/>
              </w:rPr>
              <w:t>15</w:t>
            </w:r>
            <w:r w:rsidRPr="00045A0B">
              <w:rPr>
                <w:rFonts w:ascii="Arial" w:hAnsi="Arial" w:cs="Arial"/>
                <w:snapToGrid/>
                <w:color w:val="000000"/>
                <w:sz w:val="18"/>
                <w:szCs w:val="18"/>
                <w:lang w:val="es-CO" w:eastAsia="es-CO"/>
              </w:rPr>
              <w:t xml:space="preserve"> de la unidad de captura 02.</w:t>
            </w:r>
          </w:p>
        </w:tc>
        <w:tc>
          <w:tcPr>
            <w:tcW w:w="2160" w:type="dxa"/>
            <w:shd w:val="clear" w:color="000000" w:fill="FFFFFF"/>
            <w:noWrap/>
            <w:vAlign w:val="center"/>
          </w:tcPr>
          <w:p w:rsidR="00D34588" w:rsidRPr="000A17D7" w:rsidRDefault="00D34588" w:rsidP="00084CB7">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100%</w:t>
            </w:r>
          </w:p>
        </w:tc>
      </w:tr>
      <w:tr w:rsidR="003D510B" w:rsidRPr="000A17D7" w:rsidTr="005856C2">
        <w:trPr>
          <w:trHeight w:val="352"/>
        </w:trPr>
        <w:tc>
          <w:tcPr>
            <w:tcW w:w="1041" w:type="dxa"/>
            <w:vMerge/>
            <w:shd w:val="clear" w:color="000000" w:fill="FFFFFF"/>
            <w:noWrap/>
            <w:vAlign w:val="center"/>
          </w:tcPr>
          <w:p w:rsidR="003D510B" w:rsidRPr="000A17D7" w:rsidRDefault="003D510B" w:rsidP="00084CB7">
            <w:pPr>
              <w:jc w:val="center"/>
              <w:rPr>
                <w:rFonts w:ascii="Arial" w:hAnsi="Arial" w:cs="Arial"/>
                <w:snapToGrid/>
                <w:color w:val="000000"/>
                <w:sz w:val="18"/>
                <w:szCs w:val="18"/>
                <w:lang w:val="es-CO" w:eastAsia="es-CO"/>
              </w:rPr>
            </w:pPr>
          </w:p>
        </w:tc>
        <w:tc>
          <w:tcPr>
            <w:tcW w:w="1061" w:type="dxa"/>
            <w:shd w:val="clear" w:color="000000" w:fill="FFFFFF"/>
            <w:noWrap/>
            <w:vAlign w:val="center"/>
          </w:tcPr>
          <w:p w:rsidR="003D510B" w:rsidRPr="00A652D7" w:rsidRDefault="003D510B" w:rsidP="003252B5">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w:t>
            </w:r>
            <w:r w:rsidR="00F01955">
              <w:rPr>
                <w:rFonts w:ascii="Arial" w:hAnsi="Arial" w:cs="Arial"/>
                <w:snapToGrid/>
                <w:color w:val="000000"/>
                <w:sz w:val="18"/>
                <w:szCs w:val="18"/>
                <w:lang w:val="es-CO" w:eastAsia="es-CO"/>
              </w:rPr>
              <w:t>3</w:t>
            </w:r>
            <w:r>
              <w:rPr>
                <w:rFonts w:ascii="Arial" w:hAnsi="Arial" w:cs="Arial"/>
                <w:snapToGrid/>
                <w:color w:val="000000"/>
                <w:sz w:val="18"/>
                <w:szCs w:val="18"/>
                <w:lang w:val="es-CO" w:eastAsia="es-CO"/>
              </w:rPr>
              <w:t>5</w:t>
            </w:r>
          </w:p>
        </w:tc>
        <w:tc>
          <w:tcPr>
            <w:tcW w:w="5520" w:type="dxa"/>
            <w:shd w:val="clear" w:color="000000" w:fill="FFFFFF"/>
          </w:tcPr>
          <w:p w:rsidR="003D510B" w:rsidRPr="00A652D7" w:rsidRDefault="003D510B" w:rsidP="00B30AA1">
            <w:pPr>
              <w:jc w:val="both"/>
              <w:rPr>
                <w:rFonts w:ascii="Arial" w:hAnsi="Arial" w:cs="Arial"/>
                <w:snapToGrid/>
                <w:color w:val="000000"/>
                <w:sz w:val="18"/>
                <w:szCs w:val="18"/>
                <w:lang w:val="es-CO" w:eastAsia="es-CO"/>
              </w:rPr>
            </w:pPr>
            <w:r w:rsidRPr="00A652D7">
              <w:rPr>
                <w:rFonts w:ascii="Arial" w:hAnsi="Arial" w:cs="Arial"/>
                <w:snapToGrid/>
                <w:color w:val="000000"/>
                <w:sz w:val="18"/>
                <w:szCs w:val="18"/>
                <w:lang w:val="es-CO" w:eastAsia="es-CO"/>
              </w:rPr>
              <w:t xml:space="preserve">Valor de los instrumentos </w:t>
            </w:r>
            <w:r w:rsidR="00B30AA1">
              <w:rPr>
                <w:rFonts w:ascii="Arial" w:hAnsi="Arial" w:cs="Arial"/>
                <w:snapToGrid/>
                <w:color w:val="000000"/>
                <w:sz w:val="18"/>
                <w:szCs w:val="18"/>
                <w:lang w:val="es-CO" w:eastAsia="es-CO"/>
              </w:rPr>
              <w:t xml:space="preserve">de deuda </w:t>
            </w:r>
            <w:r w:rsidRPr="00A652D7">
              <w:rPr>
                <w:rFonts w:ascii="Arial" w:hAnsi="Arial" w:cs="Arial"/>
                <w:snapToGrid/>
                <w:color w:val="000000"/>
                <w:sz w:val="18"/>
                <w:szCs w:val="18"/>
                <w:lang w:val="es-CO" w:eastAsia="es-CO"/>
              </w:rPr>
              <w:t>reconocidos por la SFC como PBA de conformidad con los artículos 2.1.1.1.6, 2.1.1.1.8 y 2.1.1.1.12 del Decreto 2555 de 2010.</w:t>
            </w:r>
          </w:p>
        </w:tc>
        <w:tc>
          <w:tcPr>
            <w:tcW w:w="2160" w:type="dxa"/>
            <w:shd w:val="clear" w:color="000000" w:fill="FFFFFF"/>
            <w:noWrap/>
            <w:vAlign w:val="center"/>
          </w:tcPr>
          <w:p w:rsidR="003D510B" w:rsidRPr="000A17D7" w:rsidRDefault="003D510B" w:rsidP="00084CB7">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3D510B" w:rsidRPr="000A17D7" w:rsidTr="005856C2">
        <w:trPr>
          <w:trHeight w:val="352"/>
        </w:trPr>
        <w:tc>
          <w:tcPr>
            <w:tcW w:w="1041" w:type="dxa"/>
            <w:vMerge/>
            <w:shd w:val="clear" w:color="000000" w:fill="FFFFFF"/>
            <w:noWrap/>
            <w:vAlign w:val="center"/>
          </w:tcPr>
          <w:p w:rsidR="003D510B" w:rsidRPr="000A17D7" w:rsidRDefault="003D510B" w:rsidP="00084CB7">
            <w:pPr>
              <w:jc w:val="center"/>
              <w:rPr>
                <w:rFonts w:ascii="Arial" w:hAnsi="Arial" w:cs="Arial"/>
                <w:snapToGrid/>
                <w:color w:val="000000"/>
                <w:sz w:val="18"/>
                <w:szCs w:val="18"/>
                <w:lang w:val="es-CO" w:eastAsia="es-CO"/>
              </w:rPr>
            </w:pPr>
          </w:p>
        </w:tc>
        <w:tc>
          <w:tcPr>
            <w:tcW w:w="1061" w:type="dxa"/>
            <w:shd w:val="clear" w:color="000000" w:fill="FFFFFF"/>
            <w:noWrap/>
            <w:vAlign w:val="center"/>
          </w:tcPr>
          <w:p w:rsidR="003D510B" w:rsidRPr="00A652D7" w:rsidRDefault="003D510B" w:rsidP="00084CB7">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w:t>
            </w:r>
            <w:r w:rsidR="00F01955">
              <w:rPr>
                <w:rFonts w:ascii="Arial" w:hAnsi="Arial" w:cs="Arial"/>
                <w:snapToGrid/>
                <w:color w:val="000000"/>
                <w:sz w:val="18"/>
                <w:szCs w:val="18"/>
                <w:lang w:val="es-CO" w:eastAsia="es-CO"/>
              </w:rPr>
              <w:t>4</w:t>
            </w:r>
            <w:r>
              <w:rPr>
                <w:rFonts w:ascii="Arial" w:hAnsi="Arial" w:cs="Arial"/>
                <w:snapToGrid/>
                <w:color w:val="000000"/>
                <w:sz w:val="18"/>
                <w:szCs w:val="18"/>
                <w:lang w:val="es-CO" w:eastAsia="es-CO"/>
              </w:rPr>
              <w:t>0</w:t>
            </w:r>
          </w:p>
        </w:tc>
        <w:tc>
          <w:tcPr>
            <w:tcW w:w="5520" w:type="dxa"/>
            <w:shd w:val="clear" w:color="000000" w:fill="FFFFFF"/>
          </w:tcPr>
          <w:p w:rsidR="003D510B" w:rsidRPr="00A652D7" w:rsidRDefault="003D510B" w:rsidP="001668B4">
            <w:pPr>
              <w:jc w:val="both"/>
              <w:rPr>
                <w:rFonts w:ascii="Arial" w:hAnsi="Arial" w:cs="Arial"/>
                <w:snapToGrid/>
                <w:color w:val="000000"/>
                <w:sz w:val="18"/>
                <w:szCs w:val="18"/>
                <w:lang w:val="es-CO" w:eastAsia="es-CO"/>
              </w:rPr>
            </w:pPr>
            <w:r w:rsidRPr="00A652D7">
              <w:rPr>
                <w:rFonts w:ascii="Arial" w:hAnsi="Arial" w:cs="Arial"/>
                <w:snapToGrid/>
                <w:color w:val="000000"/>
                <w:sz w:val="18"/>
                <w:szCs w:val="18"/>
                <w:lang w:val="es-CO" w:eastAsia="es-CO"/>
              </w:rPr>
              <w:t xml:space="preserve">Valor del interés minoritario (participaciones no controladoras) reconocido en el PBA de la entidad consolidante calculado en los términos </w:t>
            </w:r>
            <w:r w:rsidR="008B5441">
              <w:rPr>
                <w:rFonts w:ascii="Arial" w:hAnsi="Arial" w:cs="Arial"/>
                <w:snapToGrid/>
                <w:color w:val="000000"/>
                <w:sz w:val="18"/>
                <w:szCs w:val="18"/>
                <w:lang w:val="es-CO" w:eastAsia="es-CO"/>
              </w:rPr>
              <w:t>d</w:t>
            </w:r>
            <w:r w:rsidR="00BE2219">
              <w:rPr>
                <w:rFonts w:ascii="Arial" w:hAnsi="Arial" w:cs="Arial"/>
                <w:snapToGrid/>
                <w:color w:val="000000"/>
                <w:sz w:val="18"/>
                <w:szCs w:val="18"/>
                <w:lang w:val="es-CO" w:eastAsia="es-CO"/>
              </w:rPr>
              <w:t>el a</w:t>
            </w:r>
            <w:r w:rsidRPr="00A652D7">
              <w:rPr>
                <w:rFonts w:ascii="Arial" w:hAnsi="Arial" w:cs="Arial"/>
                <w:snapToGrid/>
                <w:color w:val="000000"/>
                <w:sz w:val="18"/>
                <w:szCs w:val="18"/>
                <w:lang w:val="es-CO" w:eastAsia="es-CO"/>
              </w:rPr>
              <w:t>rtículo 2.1.1.1.14 del Decreto 2555 de 2010.</w:t>
            </w:r>
          </w:p>
        </w:tc>
        <w:tc>
          <w:tcPr>
            <w:tcW w:w="2160" w:type="dxa"/>
            <w:shd w:val="clear" w:color="000000" w:fill="FFFFFF"/>
            <w:noWrap/>
            <w:vAlign w:val="center"/>
          </w:tcPr>
          <w:p w:rsidR="003D510B" w:rsidRPr="000A17D7" w:rsidRDefault="003D510B" w:rsidP="00084CB7">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bl>
    <w:p w:rsidR="00A61FAB" w:rsidRPr="000A17D7" w:rsidRDefault="00A61FAB" w:rsidP="00F67085">
      <w:pPr>
        <w:jc w:val="both"/>
        <w:rPr>
          <w:rFonts w:ascii="Arial" w:hAnsi="Arial" w:cs="Arial"/>
          <w:sz w:val="18"/>
          <w:szCs w:val="18"/>
          <w:highlight w:val="yellow"/>
        </w:rPr>
      </w:pPr>
    </w:p>
    <w:p w:rsidR="0013684A" w:rsidRPr="00604027" w:rsidRDefault="0013684A" w:rsidP="009D298D">
      <w:pPr>
        <w:pStyle w:val="Prrafodelista"/>
        <w:numPr>
          <w:ilvl w:val="2"/>
          <w:numId w:val="11"/>
        </w:numPr>
        <w:ind w:left="851" w:hanging="851"/>
        <w:jc w:val="both"/>
        <w:rPr>
          <w:rFonts w:ascii="Arial" w:hAnsi="Arial" w:cs="Arial"/>
          <w:sz w:val="18"/>
          <w:szCs w:val="18"/>
        </w:rPr>
      </w:pPr>
      <w:r w:rsidRPr="00604027">
        <w:rPr>
          <w:rFonts w:ascii="Arial" w:hAnsi="Arial" w:cs="Arial"/>
          <w:sz w:val="18"/>
          <w:szCs w:val="18"/>
        </w:rPr>
        <w:t>P</w:t>
      </w:r>
      <w:r w:rsidR="0000491B">
        <w:rPr>
          <w:rFonts w:ascii="Arial" w:hAnsi="Arial" w:cs="Arial"/>
          <w:sz w:val="18"/>
          <w:szCs w:val="18"/>
        </w:rPr>
        <w:t xml:space="preserve">atrimonio </w:t>
      </w:r>
      <w:r w:rsidRPr="00604027">
        <w:rPr>
          <w:rFonts w:ascii="Arial" w:hAnsi="Arial" w:cs="Arial"/>
          <w:sz w:val="18"/>
          <w:szCs w:val="18"/>
        </w:rPr>
        <w:t>A</w:t>
      </w:r>
      <w:r w:rsidR="0000491B">
        <w:rPr>
          <w:rFonts w:ascii="Arial" w:hAnsi="Arial" w:cs="Arial"/>
          <w:sz w:val="18"/>
          <w:szCs w:val="18"/>
        </w:rPr>
        <w:t>dicional (PA)</w:t>
      </w:r>
    </w:p>
    <w:p w:rsidR="00962759" w:rsidRPr="000A17D7" w:rsidRDefault="00962759" w:rsidP="00744873">
      <w:pPr>
        <w:jc w:val="both"/>
        <w:rPr>
          <w:rFonts w:ascii="Arial" w:hAnsi="Arial" w:cs="Arial"/>
          <w:b/>
          <w:sz w:val="18"/>
          <w:szCs w:val="18"/>
        </w:rPr>
      </w:pPr>
    </w:p>
    <w:p w:rsidR="00744873" w:rsidRPr="000A17D7" w:rsidRDefault="00744873" w:rsidP="00744873">
      <w:pPr>
        <w:jc w:val="both"/>
        <w:rPr>
          <w:rFonts w:ascii="Arial" w:hAnsi="Arial" w:cs="Arial"/>
          <w:sz w:val="18"/>
          <w:szCs w:val="18"/>
        </w:rPr>
      </w:pPr>
      <w:r w:rsidRPr="000A17D7">
        <w:rPr>
          <w:rFonts w:ascii="Arial" w:hAnsi="Arial" w:cs="Arial"/>
          <w:sz w:val="18"/>
          <w:szCs w:val="18"/>
        </w:rPr>
        <w:t xml:space="preserve">El </w:t>
      </w:r>
      <w:r w:rsidR="00604027">
        <w:rPr>
          <w:rFonts w:ascii="Arial" w:hAnsi="Arial" w:cs="Arial"/>
          <w:sz w:val="18"/>
          <w:szCs w:val="18"/>
        </w:rPr>
        <w:t>PA</w:t>
      </w:r>
      <w:r w:rsidRPr="000A17D7">
        <w:rPr>
          <w:rFonts w:ascii="Arial" w:hAnsi="Arial" w:cs="Arial"/>
          <w:sz w:val="18"/>
          <w:szCs w:val="18"/>
        </w:rPr>
        <w:t xml:space="preserve"> </w:t>
      </w:r>
      <w:r w:rsidR="00604027">
        <w:rPr>
          <w:rFonts w:ascii="Arial" w:hAnsi="Arial" w:cs="Arial"/>
          <w:sz w:val="18"/>
          <w:szCs w:val="18"/>
        </w:rPr>
        <w:t>comprende</w:t>
      </w:r>
      <w:r w:rsidR="00C15B27" w:rsidRPr="000A17D7">
        <w:rPr>
          <w:rFonts w:ascii="Arial" w:hAnsi="Arial" w:cs="Arial"/>
          <w:sz w:val="18"/>
          <w:szCs w:val="18"/>
        </w:rPr>
        <w:t xml:space="preserve"> los siguientes rubros</w:t>
      </w:r>
      <w:r w:rsidR="00604027">
        <w:rPr>
          <w:rFonts w:ascii="Arial" w:hAnsi="Arial" w:cs="Arial"/>
          <w:sz w:val="18"/>
          <w:szCs w:val="18"/>
        </w:rPr>
        <w:t xml:space="preserve"> y deducciones:</w:t>
      </w:r>
    </w:p>
    <w:p w:rsidR="00744873" w:rsidRPr="000A17D7" w:rsidRDefault="00744873" w:rsidP="00744873">
      <w:pPr>
        <w:jc w:val="both"/>
        <w:rPr>
          <w:rFonts w:ascii="Arial" w:hAnsi="Arial" w:cs="Arial"/>
          <w:sz w:val="18"/>
          <w:szCs w:val="18"/>
        </w:rPr>
      </w:pPr>
    </w:p>
    <w:tbl>
      <w:tblPr>
        <w:tblW w:w="96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1"/>
        <w:gridCol w:w="1211"/>
        <w:gridCol w:w="5286"/>
        <w:gridCol w:w="6"/>
        <w:gridCol w:w="2066"/>
      </w:tblGrid>
      <w:tr w:rsidR="0013684A" w:rsidRPr="000A17D7" w:rsidTr="00707CCD">
        <w:trPr>
          <w:trHeight w:val="259"/>
          <w:tblHeader/>
        </w:trPr>
        <w:tc>
          <w:tcPr>
            <w:tcW w:w="1121" w:type="dxa"/>
            <w:shd w:val="clear" w:color="000000" w:fill="D9D9D9"/>
            <w:noWrap/>
            <w:vAlign w:val="center"/>
            <w:hideMark/>
          </w:tcPr>
          <w:p w:rsidR="0013684A" w:rsidRPr="000A17D7" w:rsidRDefault="0013684A" w:rsidP="005426D8">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Fuente</w:t>
            </w:r>
          </w:p>
        </w:tc>
        <w:tc>
          <w:tcPr>
            <w:tcW w:w="1211" w:type="dxa"/>
            <w:shd w:val="clear" w:color="000000" w:fill="D9D9D9"/>
            <w:vAlign w:val="center"/>
            <w:hideMark/>
          </w:tcPr>
          <w:p w:rsidR="0013684A" w:rsidRPr="000A17D7" w:rsidRDefault="0013684A" w:rsidP="005426D8">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Cuenta/</w:t>
            </w:r>
            <w:r w:rsidRPr="000A17D7">
              <w:rPr>
                <w:rFonts w:ascii="Arial" w:hAnsi="Arial" w:cs="Arial"/>
                <w:bCs/>
                <w:snapToGrid/>
                <w:color w:val="000000"/>
                <w:sz w:val="18"/>
                <w:szCs w:val="18"/>
                <w:lang w:val="es-CO" w:eastAsia="es-CO"/>
              </w:rPr>
              <w:br/>
              <w:t>Subcuenta</w:t>
            </w:r>
          </w:p>
        </w:tc>
        <w:tc>
          <w:tcPr>
            <w:tcW w:w="5286" w:type="dxa"/>
            <w:shd w:val="clear" w:color="000000" w:fill="D9D9D9"/>
            <w:noWrap/>
            <w:vAlign w:val="center"/>
            <w:hideMark/>
          </w:tcPr>
          <w:p w:rsidR="0013684A" w:rsidRPr="000A17D7" w:rsidRDefault="0013684A" w:rsidP="005426D8">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Denominación</w:t>
            </w:r>
          </w:p>
        </w:tc>
        <w:tc>
          <w:tcPr>
            <w:tcW w:w="2072" w:type="dxa"/>
            <w:gridSpan w:val="2"/>
            <w:shd w:val="clear" w:color="000000" w:fill="D9D9D9"/>
            <w:noWrap/>
            <w:vAlign w:val="center"/>
            <w:hideMark/>
          </w:tcPr>
          <w:p w:rsidR="0013684A" w:rsidRPr="000A17D7" w:rsidRDefault="0013684A" w:rsidP="005426D8">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Ponderación</w:t>
            </w:r>
          </w:p>
        </w:tc>
      </w:tr>
      <w:tr w:rsidR="003D510B" w:rsidRPr="000A17D7" w:rsidTr="00707CCD">
        <w:trPr>
          <w:trHeight w:val="519"/>
        </w:trPr>
        <w:tc>
          <w:tcPr>
            <w:tcW w:w="1121" w:type="dxa"/>
            <w:vMerge w:val="restart"/>
            <w:shd w:val="clear" w:color="000000" w:fill="FFFFFF"/>
            <w:noWrap/>
            <w:vAlign w:val="center"/>
            <w:hideMark/>
          </w:tcPr>
          <w:p w:rsidR="003D510B" w:rsidRDefault="003D510B" w:rsidP="005426D8">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F.</w:t>
            </w:r>
            <w:r>
              <w:rPr>
                <w:rFonts w:ascii="Arial" w:hAnsi="Arial" w:cs="Arial"/>
                <w:snapToGrid/>
                <w:color w:val="000000"/>
                <w:sz w:val="18"/>
                <w:szCs w:val="18"/>
                <w:lang w:val="es-CO" w:eastAsia="es-CO"/>
              </w:rPr>
              <w:t xml:space="preserve"> </w:t>
            </w:r>
            <w:r w:rsidR="00262657">
              <w:rPr>
                <w:rFonts w:ascii="Arial" w:hAnsi="Arial" w:cs="Arial"/>
                <w:snapToGrid/>
                <w:color w:val="000000"/>
                <w:sz w:val="18"/>
                <w:szCs w:val="18"/>
                <w:lang w:val="es-CO" w:eastAsia="es-CO"/>
              </w:rPr>
              <w:t>239</w:t>
            </w:r>
          </w:p>
          <w:p w:rsidR="003D510B" w:rsidRPr="000A17D7" w:rsidRDefault="003D510B" w:rsidP="003D510B">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Unidad de captura 03</w:t>
            </w:r>
          </w:p>
        </w:tc>
        <w:tc>
          <w:tcPr>
            <w:tcW w:w="1211" w:type="dxa"/>
            <w:shd w:val="clear" w:color="000000" w:fill="FFFFFF"/>
            <w:noWrap/>
            <w:vAlign w:val="center"/>
            <w:hideMark/>
          </w:tcPr>
          <w:p w:rsidR="003D510B" w:rsidRPr="000A17D7" w:rsidRDefault="003D510B" w:rsidP="005426D8">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+005</w:t>
            </w:r>
          </w:p>
        </w:tc>
        <w:tc>
          <w:tcPr>
            <w:tcW w:w="5286" w:type="dxa"/>
            <w:shd w:val="clear" w:color="000000" w:fill="FFFFFF"/>
            <w:hideMark/>
          </w:tcPr>
          <w:p w:rsidR="003D510B" w:rsidRPr="000A17D7" w:rsidRDefault="003D510B">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Valor del interés minoritario (participaciones no controladoras)</w:t>
            </w:r>
            <w:r w:rsidR="000571A2">
              <w:rPr>
                <w:rFonts w:ascii="Arial" w:hAnsi="Arial" w:cs="Arial"/>
                <w:snapToGrid/>
                <w:color w:val="000000"/>
                <w:sz w:val="18"/>
                <w:szCs w:val="18"/>
                <w:lang w:val="es-CO" w:eastAsia="es-CO"/>
              </w:rPr>
              <w:t xml:space="preserve"> </w:t>
            </w:r>
            <w:r w:rsidRPr="000A17D7">
              <w:rPr>
                <w:rFonts w:ascii="Arial" w:hAnsi="Arial" w:cs="Arial"/>
                <w:sz w:val="18"/>
                <w:szCs w:val="18"/>
              </w:rPr>
              <w:t>que clasifique como PA de acuerdo con el artículo 2.1.1.1.14 del Decreto 2555 de 2010</w:t>
            </w:r>
            <w:r w:rsidRPr="000A17D7">
              <w:rPr>
                <w:rFonts w:ascii="Arial" w:hAnsi="Arial" w:cs="Arial"/>
                <w:snapToGrid/>
                <w:color w:val="000000"/>
                <w:sz w:val="18"/>
                <w:szCs w:val="18"/>
                <w:lang w:val="es-CO" w:eastAsia="es-CO"/>
              </w:rPr>
              <w:t>.</w:t>
            </w:r>
          </w:p>
        </w:tc>
        <w:tc>
          <w:tcPr>
            <w:tcW w:w="2072" w:type="dxa"/>
            <w:gridSpan w:val="2"/>
            <w:shd w:val="clear" w:color="000000" w:fill="FFFFFF"/>
            <w:noWrap/>
            <w:vAlign w:val="center"/>
            <w:hideMark/>
          </w:tcPr>
          <w:p w:rsidR="003D510B" w:rsidRPr="000A17D7" w:rsidRDefault="003D510B" w:rsidP="005426D8">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3D510B" w:rsidRPr="000A17D7" w:rsidTr="00707CCD">
        <w:trPr>
          <w:trHeight w:val="59"/>
        </w:trPr>
        <w:tc>
          <w:tcPr>
            <w:tcW w:w="1121" w:type="dxa"/>
            <w:vMerge/>
            <w:shd w:val="clear" w:color="000000" w:fill="FFFFFF"/>
            <w:noWrap/>
            <w:vAlign w:val="center"/>
          </w:tcPr>
          <w:p w:rsidR="003D510B" w:rsidRPr="000A17D7" w:rsidRDefault="003D510B" w:rsidP="002E3E53">
            <w:pPr>
              <w:jc w:val="center"/>
              <w:rPr>
                <w:rFonts w:ascii="Arial" w:hAnsi="Arial" w:cs="Arial"/>
                <w:snapToGrid/>
                <w:color w:val="000000"/>
                <w:sz w:val="18"/>
                <w:szCs w:val="18"/>
                <w:lang w:val="es-CO" w:eastAsia="es-CO"/>
              </w:rPr>
            </w:pPr>
          </w:p>
        </w:tc>
        <w:tc>
          <w:tcPr>
            <w:tcW w:w="1211" w:type="dxa"/>
            <w:shd w:val="clear" w:color="000000" w:fill="FFFFFF"/>
            <w:noWrap/>
            <w:vAlign w:val="center"/>
          </w:tcPr>
          <w:p w:rsidR="003D510B" w:rsidRPr="000A17D7" w:rsidRDefault="003D510B" w:rsidP="002E3E53">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+010</w:t>
            </w:r>
          </w:p>
        </w:tc>
        <w:tc>
          <w:tcPr>
            <w:tcW w:w="5286" w:type="dxa"/>
            <w:shd w:val="clear" w:color="000000" w:fill="FFFFFF"/>
          </w:tcPr>
          <w:p w:rsidR="003D510B" w:rsidRPr="000A17D7" w:rsidRDefault="003D510B" w:rsidP="002E3E53">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Valor de los bonos obligatoriamente convertibles en acciones que sean efectivamente colocados y pagados y que cumplan con los requisitos establecidos en el artículo 86 del EOSF.</w:t>
            </w:r>
          </w:p>
        </w:tc>
        <w:tc>
          <w:tcPr>
            <w:tcW w:w="2072" w:type="dxa"/>
            <w:gridSpan w:val="2"/>
            <w:shd w:val="clear" w:color="000000" w:fill="FFFFFF"/>
            <w:noWrap/>
            <w:vAlign w:val="center"/>
          </w:tcPr>
          <w:p w:rsidR="003D510B" w:rsidRPr="000A17D7" w:rsidRDefault="003D510B" w:rsidP="002E3E53">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7858B5" w:rsidRPr="000A17D7" w:rsidTr="00707CCD">
        <w:trPr>
          <w:trHeight w:val="59"/>
        </w:trPr>
        <w:tc>
          <w:tcPr>
            <w:tcW w:w="1121" w:type="dxa"/>
            <w:vMerge/>
            <w:shd w:val="clear" w:color="000000" w:fill="FFFFFF"/>
            <w:noWrap/>
            <w:vAlign w:val="center"/>
          </w:tcPr>
          <w:p w:rsidR="007858B5" w:rsidRPr="000A17D7" w:rsidRDefault="007858B5" w:rsidP="002E3E53">
            <w:pPr>
              <w:jc w:val="center"/>
              <w:rPr>
                <w:rFonts w:ascii="Arial" w:hAnsi="Arial" w:cs="Arial"/>
                <w:snapToGrid/>
                <w:color w:val="000000"/>
                <w:sz w:val="18"/>
                <w:szCs w:val="18"/>
                <w:lang w:val="es-CO" w:eastAsia="es-CO"/>
              </w:rPr>
            </w:pPr>
          </w:p>
        </w:tc>
        <w:tc>
          <w:tcPr>
            <w:tcW w:w="1211" w:type="dxa"/>
            <w:shd w:val="clear" w:color="000000" w:fill="FFFFFF"/>
            <w:noWrap/>
            <w:vAlign w:val="center"/>
          </w:tcPr>
          <w:p w:rsidR="007858B5" w:rsidRDefault="00A0363E" w:rsidP="002E3E53">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+015</w:t>
            </w:r>
          </w:p>
        </w:tc>
        <w:tc>
          <w:tcPr>
            <w:tcW w:w="5286" w:type="dxa"/>
            <w:shd w:val="clear" w:color="000000" w:fill="FFFFFF"/>
          </w:tcPr>
          <w:p w:rsidR="007858B5" w:rsidRPr="000A17D7" w:rsidRDefault="007858B5" w:rsidP="00DE00D7">
            <w:pPr>
              <w:jc w:val="both"/>
              <w:rPr>
                <w:rFonts w:ascii="Arial" w:hAnsi="Arial" w:cs="Arial"/>
                <w:snapToGrid/>
                <w:color w:val="000000"/>
                <w:sz w:val="18"/>
                <w:szCs w:val="18"/>
                <w:lang w:val="es-CO" w:eastAsia="es-CO"/>
              </w:rPr>
            </w:pPr>
            <w:r w:rsidRPr="0071430A">
              <w:rPr>
                <w:rFonts w:ascii="Arial" w:hAnsi="Arial" w:cs="Arial"/>
                <w:snapToGrid/>
                <w:color w:val="000000"/>
                <w:sz w:val="18"/>
                <w:szCs w:val="18"/>
                <w:lang w:val="es-CO" w:eastAsia="es-CO"/>
              </w:rPr>
              <w:t xml:space="preserve">Valor de los instrumentos </w:t>
            </w:r>
            <w:r>
              <w:rPr>
                <w:rFonts w:ascii="Arial" w:hAnsi="Arial" w:cs="Arial"/>
                <w:snapToGrid/>
                <w:color w:val="000000"/>
                <w:sz w:val="18"/>
                <w:szCs w:val="18"/>
                <w:lang w:val="es-CO" w:eastAsia="es-CO"/>
              </w:rPr>
              <w:t xml:space="preserve">de deuda </w:t>
            </w:r>
            <w:r w:rsidRPr="0071430A">
              <w:rPr>
                <w:rFonts w:ascii="Arial" w:hAnsi="Arial" w:cs="Arial"/>
                <w:snapToGrid/>
                <w:color w:val="000000"/>
                <w:sz w:val="18"/>
                <w:szCs w:val="18"/>
                <w:lang w:val="es-CO" w:eastAsia="es-CO"/>
              </w:rPr>
              <w:t>reconocidos por la SFC como</w:t>
            </w:r>
            <w:r>
              <w:rPr>
                <w:rFonts w:ascii="Arial" w:hAnsi="Arial" w:cs="Arial"/>
                <w:snapToGrid/>
                <w:color w:val="000000"/>
                <w:sz w:val="18"/>
                <w:szCs w:val="18"/>
                <w:lang w:val="es-CO" w:eastAsia="es-CO"/>
              </w:rPr>
              <w:t xml:space="preserve"> parte del </w:t>
            </w:r>
            <w:r w:rsidRPr="0071430A">
              <w:rPr>
                <w:rFonts w:ascii="Arial" w:hAnsi="Arial" w:cs="Arial"/>
                <w:snapToGrid/>
                <w:color w:val="000000"/>
                <w:sz w:val="18"/>
                <w:szCs w:val="18"/>
                <w:lang w:val="es-CO" w:eastAsia="es-CO"/>
              </w:rPr>
              <w:t>PA de conformidad con los artículos 2.1.1.1.6, 2.1.1.1.9 y 2.1.1.1.13 del Decreto 2555 de 2010.</w:t>
            </w:r>
            <w:r>
              <w:rPr>
                <w:rFonts w:ascii="Arial" w:hAnsi="Arial" w:cs="Arial"/>
                <w:snapToGrid/>
                <w:color w:val="000000"/>
                <w:sz w:val="18"/>
                <w:szCs w:val="18"/>
                <w:lang w:val="es-CO" w:eastAsia="es-CO"/>
              </w:rPr>
              <w:t xml:space="preserve"> </w:t>
            </w:r>
            <w:r w:rsidRPr="007F3EA0">
              <w:rPr>
                <w:rFonts w:ascii="Arial" w:hAnsi="Arial" w:cs="Arial"/>
                <w:snapToGrid/>
                <w:color w:val="000000"/>
                <w:sz w:val="18"/>
                <w:szCs w:val="18"/>
                <w:lang w:val="es-CO" w:eastAsia="es-CO"/>
              </w:rPr>
              <w:t>Su reconocimiento en el capital regulatorio será amortizado anualmente por el método de l</w:t>
            </w:r>
            <w:r w:rsidR="00E54483" w:rsidRPr="007F3EA0">
              <w:rPr>
                <w:rFonts w:ascii="Arial" w:hAnsi="Arial" w:cs="Arial"/>
                <w:snapToGrid/>
                <w:color w:val="000000"/>
                <w:sz w:val="18"/>
                <w:szCs w:val="18"/>
                <w:lang w:val="es-CO" w:eastAsia="es-CO"/>
              </w:rPr>
              <w:t>ínea recta en los 5</w:t>
            </w:r>
            <w:r w:rsidRPr="007F3EA0">
              <w:rPr>
                <w:rFonts w:ascii="Arial" w:hAnsi="Arial" w:cs="Arial"/>
                <w:snapToGrid/>
                <w:color w:val="000000"/>
                <w:sz w:val="18"/>
                <w:szCs w:val="18"/>
                <w:lang w:val="es-CO" w:eastAsia="es-CO"/>
              </w:rPr>
              <w:t xml:space="preserve"> años anteriores a su vencimiento</w:t>
            </w:r>
            <w:r w:rsidR="00E54483" w:rsidRPr="007F3EA0">
              <w:rPr>
                <w:rFonts w:ascii="Arial" w:hAnsi="Arial" w:cs="Arial"/>
                <w:snapToGrid/>
                <w:color w:val="000000"/>
                <w:sz w:val="18"/>
                <w:szCs w:val="18"/>
                <w:lang w:val="es-CO" w:eastAsia="es-CO"/>
              </w:rPr>
              <w:t xml:space="preserve">, diferentes de las subcuentas </w:t>
            </w:r>
            <w:r w:rsidR="00DE00D7" w:rsidRPr="007F3EA0">
              <w:rPr>
                <w:rFonts w:ascii="Arial" w:hAnsi="Arial" w:cs="Arial"/>
                <w:snapToGrid/>
                <w:color w:val="000000"/>
                <w:sz w:val="18"/>
                <w:szCs w:val="18"/>
                <w:lang w:val="es-CO" w:eastAsia="es-CO"/>
              </w:rPr>
              <w:t>020</w:t>
            </w:r>
            <w:r w:rsidR="00E54483" w:rsidRPr="007F3EA0">
              <w:rPr>
                <w:rFonts w:ascii="Arial" w:hAnsi="Arial" w:cs="Arial"/>
                <w:snapToGrid/>
                <w:color w:val="000000"/>
                <w:sz w:val="18"/>
                <w:szCs w:val="18"/>
                <w:lang w:val="es-CO" w:eastAsia="es-CO"/>
              </w:rPr>
              <w:t xml:space="preserve"> y </w:t>
            </w:r>
            <w:r w:rsidR="00DE00D7" w:rsidRPr="007F3EA0">
              <w:rPr>
                <w:rFonts w:ascii="Arial" w:hAnsi="Arial" w:cs="Arial"/>
                <w:snapToGrid/>
                <w:color w:val="000000"/>
                <w:sz w:val="18"/>
                <w:szCs w:val="18"/>
                <w:lang w:val="es-CO" w:eastAsia="es-CO"/>
              </w:rPr>
              <w:t>025</w:t>
            </w:r>
            <w:r w:rsidR="00E54483" w:rsidRPr="007F3EA0">
              <w:rPr>
                <w:rFonts w:ascii="Arial" w:hAnsi="Arial" w:cs="Arial"/>
                <w:snapToGrid/>
                <w:color w:val="000000"/>
                <w:sz w:val="18"/>
                <w:szCs w:val="18"/>
                <w:lang w:val="es-CO" w:eastAsia="es-CO"/>
              </w:rPr>
              <w:t xml:space="preserve"> de la unidad de captura 3</w:t>
            </w:r>
            <w:r w:rsidRPr="007F3EA0">
              <w:rPr>
                <w:rFonts w:ascii="Arial" w:hAnsi="Arial" w:cs="Arial"/>
                <w:snapToGrid/>
                <w:color w:val="000000"/>
                <w:sz w:val="18"/>
                <w:szCs w:val="18"/>
                <w:lang w:val="es-CO" w:eastAsia="es-CO"/>
              </w:rPr>
              <w:t>.</w:t>
            </w:r>
          </w:p>
        </w:tc>
        <w:tc>
          <w:tcPr>
            <w:tcW w:w="2072" w:type="dxa"/>
            <w:gridSpan w:val="2"/>
            <w:shd w:val="clear" w:color="000000" w:fill="FFFFFF"/>
            <w:noWrap/>
            <w:vAlign w:val="center"/>
          </w:tcPr>
          <w:p w:rsidR="007858B5" w:rsidRPr="000A17D7" w:rsidRDefault="007858B5" w:rsidP="002E3E53">
            <w:pPr>
              <w:jc w:val="center"/>
              <w:rPr>
                <w:rFonts w:ascii="Arial" w:hAnsi="Arial" w:cs="Arial"/>
                <w:snapToGrid/>
                <w:color w:val="000000"/>
                <w:sz w:val="18"/>
                <w:szCs w:val="18"/>
                <w:lang w:val="es-CO" w:eastAsia="es-CO"/>
              </w:rPr>
            </w:pPr>
          </w:p>
        </w:tc>
      </w:tr>
      <w:tr w:rsidR="003D510B" w:rsidRPr="000A17D7" w:rsidTr="00707CCD">
        <w:trPr>
          <w:trHeight w:val="59"/>
        </w:trPr>
        <w:tc>
          <w:tcPr>
            <w:tcW w:w="1121" w:type="dxa"/>
            <w:vMerge/>
            <w:shd w:val="clear" w:color="000000" w:fill="FFFFFF"/>
            <w:noWrap/>
            <w:vAlign w:val="center"/>
          </w:tcPr>
          <w:p w:rsidR="003D510B" w:rsidRPr="000A17D7" w:rsidRDefault="003D510B" w:rsidP="002E3E53">
            <w:pPr>
              <w:jc w:val="center"/>
              <w:rPr>
                <w:rFonts w:ascii="Arial" w:hAnsi="Arial" w:cs="Arial"/>
                <w:snapToGrid/>
                <w:color w:val="000000"/>
                <w:sz w:val="18"/>
                <w:szCs w:val="18"/>
                <w:lang w:val="es-CO" w:eastAsia="es-CO"/>
              </w:rPr>
            </w:pPr>
          </w:p>
        </w:tc>
        <w:tc>
          <w:tcPr>
            <w:tcW w:w="1211" w:type="dxa"/>
            <w:shd w:val="clear" w:color="000000" w:fill="FFFFFF"/>
            <w:noWrap/>
            <w:vAlign w:val="center"/>
          </w:tcPr>
          <w:p w:rsidR="003D510B" w:rsidRPr="000A17D7" w:rsidRDefault="003D510B" w:rsidP="00A0363E">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w:t>
            </w:r>
            <w:r w:rsidR="00A0363E">
              <w:rPr>
                <w:rFonts w:ascii="Arial" w:hAnsi="Arial" w:cs="Arial"/>
                <w:snapToGrid/>
                <w:color w:val="000000"/>
                <w:sz w:val="18"/>
                <w:szCs w:val="18"/>
                <w:lang w:val="es-CO" w:eastAsia="es-CO"/>
              </w:rPr>
              <w:t>20</w:t>
            </w:r>
          </w:p>
        </w:tc>
        <w:tc>
          <w:tcPr>
            <w:tcW w:w="5286" w:type="dxa"/>
            <w:shd w:val="clear" w:color="000000" w:fill="FFFFFF"/>
          </w:tcPr>
          <w:p w:rsidR="00E54483" w:rsidRPr="007F3EA0" w:rsidRDefault="00B36A60" w:rsidP="00B36A60">
            <w:pPr>
              <w:jc w:val="both"/>
              <w:rPr>
                <w:rFonts w:ascii="Arial" w:hAnsi="Arial" w:cs="Arial"/>
                <w:snapToGrid/>
                <w:color w:val="000000"/>
                <w:sz w:val="18"/>
                <w:szCs w:val="18"/>
                <w:lang w:val="es-CO" w:eastAsia="es-CO"/>
              </w:rPr>
            </w:pPr>
            <w:r w:rsidRPr="00045A0B">
              <w:rPr>
                <w:rFonts w:ascii="Arial" w:hAnsi="Arial" w:cs="Arial"/>
                <w:snapToGrid/>
                <w:color w:val="000000"/>
                <w:sz w:val="18"/>
                <w:szCs w:val="18"/>
                <w:lang w:val="es-CO" w:eastAsia="es-CO"/>
              </w:rPr>
              <w:t xml:space="preserve">Valor de los instrumentos de deuda </w:t>
            </w:r>
            <w:r w:rsidR="00E54483" w:rsidRPr="00045A0B">
              <w:rPr>
                <w:rFonts w:ascii="Arial" w:hAnsi="Arial" w:cs="Arial"/>
                <w:snapToGrid/>
                <w:color w:val="000000"/>
                <w:sz w:val="18"/>
                <w:szCs w:val="18"/>
                <w:lang w:val="es-CO" w:eastAsia="es-CO"/>
              </w:rPr>
              <w:t xml:space="preserve">emitidos antes del 31 de diciembre de 2015, y que cumplan los criterios de los artículos 2.1.1.1.6 y 2.1.1.1.9 </w:t>
            </w:r>
            <w:r w:rsidR="008B5441" w:rsidRPr="00045A0B">
              <w:rPr>
                <w:rFonts w:ascii="Arial" w:hAnsi="Arial" w:cs="Arial"/>
                <w:snapToGrid/>
                <w:color w:val="000000"/>
                <w:sz w:val="18"/>
                <w:szCs w:val="18"/>
                <w:lang w:val="es-CO" w:eastAsia="es-CO"/>
              </w:rPr>
              <w:t xml:space="preserve">que la SFC clasifique como parte del PA, </w:t>
            </w:r>
            <w:r w:rsidR="00E54483" w:rsidRPr="00045A0B">
              <w:rPr>
                <w:rFonts w:ascii="Arial" w:hAnsi="Arial" w:cs="Arial"/>
                <w:snapToGrid/>
                <w:color w:val="000000"/>
                <w:sz w:val="18"/>
                <w:szCs w:val="18"/>
                <w:lang w:val="es-CO" w:eastAsia="es-CO"/>
              </w:rPr>
              <w:t>excepto el literal f) del Decreto 2555 de 2010.</w:t>
            </w:r>
            <w:r w:rsidR="00E54483" w:rsidRPr="007F3EA0">
              <w:rPr>
                <w:rFonts w:ascii="Arial" w:hAnsi="Arial" w:cs="Arial"/>
                <w:snapToGrid/>
                <w:color w:val="000000"/>
                <w:sz w:val="18"/>
                <w:szCs w:val="18"/>
                <w:lang w:val="es-CO" w:eastAsia="es-CO"/>
              </w:rPr>
              <w:t xml:space="preserve"> </w:t>
            </w:r>
          </w:p>
          <w:p w:rsidR="003D510B" w:rsidRPr="000A17D7" w:rsidRDefault="00B36A60" w:rsidP="00E15717">
            <w:pPr>
              <w:jc w:val="both"/>
              <w:rPr>
                <w:rFonts w:ascii="Arial" w:hAnsi="Arial" w:cs="Arial"/>
                <w:snapToGrid/>
                <w:color w:val="000000"/>
                <w:sz w:val="18"/>
                <w:szCs w:val="18"/>
                <w:lang w:val="es-CO" w:eastAsia="es-CO"/>
              </w:rPr>
            </w:pPr>
            <w:r w:rsidRPr="007F3EA0">
              <w:rPr>
                <w:rFonts w:ascii="Arial" w:hAnsi="Arial" w:cs="Arial"/>
                <w:snapToGrid/>
                <w:color w:val="000000"/>
                <w:sz w:val="18"/>
                <w:szCs w:val="18"/>
                <w:lang w:val="es-CO" w:eastAsia="es-CO"/>
              </w:rPr>
              <w:t>Su reconocimiento en el capital regulatorio será amortizado anualmente por el método de línea recta en los 5 años anteriores a su vencimiento.</w:t>
            </w:r>
          </w:p>
        </w:tc>
        <w:tc>
          <w:tcPr>
            <w:tcW w:w="2072" w:type="dxa"/>
            <w:gridSpan w:val="2"/>
            <w:shd w:val="clear" w:color="000000" w:fill="FFFFFF"/>
            <w:noWrap/>
            <w:vAlign w:val="center"/>
          </w:tcPr>
          <w:p w:rsidR="003D510B" w:rsidRPr="000A17D7" w:rsidRDefault="003D510B" w:rsidP="002E3E53">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r w:rsidR="003D510B" w:rsidRPr="000A17D7" w:rsidTr="00045A0B">
        <w:trPr>
          <w:trHeight w:val="2769"/>
        </w:trPr>
        <w:tc>
          <w:tcPr>
            <w:tcW w:w="1121" w:type="dxa"/>
            <w:vMerge/>
            <w:shd w:val="clear" w:color="000000" w:fill="FFFFFF"/>
            <w:noWrap/>
          </w:tcPr>
          <w:p w:rsidR="003D510B" w:rsidRPr="000A17D7" w:rsidRDefault="003D510B" w:rsidP="002E3E53">
            <w:pPr>
              <w:jc w:val="center"/>
              <w:rPr>
                <w:rFonts w:ascii="Arial" w:hAnsi="Arial" w:cs="Arial"/>
                <w:sz w:val="18"/>
                <w:szCs w:val="18"/>
              </w:rPr>
            </w:pPr>
          </w:p>
        </w:tc>
        <w:tc>
          <w:tcPr>
            <w:tcW w:w="1211" w:type="dxa"/>
            <w:shd w:val="clear" w:color="000000" w:fill="FFFFFF"/>
            <w:noWrap/>
            <w:vAlign w:val="center"/>
          </w:tcPr>
          <w:p w:rsidR="003D510B" w:rsidRPr="000A17D7" w:rsidRDefault="003D510B" w:rsidP="00A0363E">
            <w:pPr>
              <w:jc w:val="center"/>
              <w:rPr>
                <w:rFonts w:ascii="Arial" w:hAnsi="Arial" w:cs="Arial"/>
                <w:snapToGrid/>
                <w:color w:val="000000"/>
                <w:sz w:val="18"/>
                <w:szCs w:val="18"/>
                <w:highlight w:val="yellow"/>
                <w:lang w:val="es-CO" w:eastAsia="es-CO"/>
              </w:rPr>
            </w:pPr>
            <w:r>
              <w:rPr>
                <w:rFonts w:ascii="Arial" w:hAnsi="Arial" w:cs="Arial"/>
                <w:snapToGrid/>
                <w:color w:val="000000"/>
                <w:sz w:val="18"/>
                <w:szCs w:val="18"/>
                <w:lang w:val="es-CO" w:eastAsia="es-CO"/>
              </w:rPr>
              <w:t>+02</w:t>
            </w:r>
            <w:r w:rsidR="00A0363E">
              <w:rPr>
                <w:rFonts w:ascii="Arial" w:hAnsi="Arial" w:cs="Arial"/>
                <w:snapToGrid/>
                <w:color w:val="000000"/>
                <w:sz w:val="18"/>
                <w:szCs w:val="18"/>
                <w:lang w:val="es-CO" w:eastAsia="es-CO"/>
              </w:rPr>
              <w:t>5</w:t>
            </w:r>
          </w:p>
        </w:tc>
        <w:tc>
          <w:tcPr>
            <w:tcW w:w="5286" w:type="dxa"/>
            <w:shd w:val="clear" w:color="000000" w:fill="FFFFFF"/>
          </w:tcPr>
          <w:p w:rsidR="003D510B" w:rsidRPr="007F3EA0" w:rsidRDefault="007858B5" w:rsidP="001668B4">
            <w:pPr>
              <w:jc w:val="both"/>
              <w:rPr>
                <w:rFonts w:ascii="Arial" w:hAnsi="Arial" w:cs="Arial"/>
                <w:snapToGrid/>
                <w:color w:val="000000"/>
                <w:sz w:val="18"/>
                <w:szCs w:val="18"/>
                <w:lang w:val="es-CO" w:eastAsia="es-CO"/>
              </w:rPr>
            </w:pPr>
            <w:r w:rsidRPr="007F3EA0">
              <w:rPr>
                <w:rFonts w:ascii="Arial" w:hAnsi="Arial" w:cs="Arial"/>
                <w:snapToGrid/>
                <w:color w:val="000000"/>
                <w:sz w:val="18"/>
                <w:szCs w:val="18"/>
                <w:lang w:val="es-CO" w:eastAsia="es-CO"/>
              </w:rPr>
              <w:t>V</w:t>
            </w:r>
            <w:r w:rsidR="00B36A60" w:rsidRPr="007F3EA0">
              <w:rPr>
                <w:rFonts w:ascii="Arial" w:hAnsi="Arial" w:cs="Arial"/>
                <w:snapToGrid/>
                <w:color w:val="000000"/>
                <w:sz w:val="18"/>
                <w:szCs w:val="18"/>
                <w:lang w:val="es-CO" w:eastAsia="es-CO"/>
              </w:rPr>
              <w:t xml:space="preserve">alor de los instrumentos de deuda </w:t>
            </w:r>
            <w:r w:rsidR="00E54483" w:rsidRPr="007F3EA0">
              <w:rPr>
                <w:rFonts w:ascii="Arial" w:hAnsi="Arial" w:cs="Arial"/>
                <w:snapToGrid/>
                <w:color w:val="000000"/>
                <w:sz w:val="18"/>
                <w:szCs w:val="18"/>
                <w:lang w:val="es-CO" w:eastAsia="es-CO"/>
              </w:rPr>
              <w:t xml:space="preserve">emitidos entre el 31 de diciembre de 2015 y el 31 de diciembre de 2017 y que cumplan con los criterios establecidos en </w:t>
            </w:r>
            <w:r w:rsidR="00B36A60" w:rsidRPr="007F3EA0">
              <w:rPr>
                <w:rFonts w:ascii="Arial" w:hAnsi="Arial" w:cs="Arial"/>
                <w:snapToGrid/>
                <w:color w:val="000000"/>
                <w:sz w:val="18"/>
                <w:szCs w:val="18"/>
                <w:lang w:val="es-CO" w:eastAsia="es-CO"/>
              </w:rPr>
              <w:t>los artículos 2.1.1.1.6 y 2.1.1.1.9</w:t>
            </w:r>
            <w:r w:rsidR="00E54483" w:rsidRPr="007F3EA0">
              <w:rPr>
                <w:rFonts w:ascii="Arial" w:hAnsi="Arial" w:cs="Arial"/>
                <w:snapToGrid/>
                <w:color w:val="000000"/>
                <w:sz w:val="18"/>
                <w:szCs w:val="18"/>
                <w:lang w:val="es-CO" w:eastAsia="es-CO"/>
              </w:rPr>
              <w:t>, excepto el literal f)</w:t>
            </w:r>
            <w:r w:rsidR="00B36A60" w:rsidRPr="007F3EA0">
              <w:rPr>
                <w:rFonts w:ascii="Arial" w:hAnsi="Arial" w:cs="Arial"/>
                <w:snapToGrid/>
                <w:color w:val="000000"/>
                <w:sz w:val="18"/>
                <w:szCs w:val="18"/>
                <w:lang w:val="es-CO" w:eastAsia="es-CO"/>
              </w:rPr>
              <w:t xml:space="preserve"> del Decreto 2555 de 2010. Su reconocimiento </w:t>
            </w:r>
            <w:r w:rsidR="00E54483" w:rsidRPr="007F3EA0">
              <w:rPr>
                <w:rFonts w:ascii="Arial" w:hAnsi="Arial" w:cs="Arial"/>
                <w:snapToGrid/>
                <w:color w:val="000000"/>
                <w:sz w:val="18"/>
                <w:szCs w:val="18"/>
                <w:lang w:val="es-CO" w:eastAsia="es-CO"/>
              </w:rPr>
              <w:t>est</w:t>
            </w:r>
            <w:r w:rsidR="00A74BFB" w:rsidRPr="007F3EA0">
              <w:rPr>
                <w:rFonts w:ascii="Arial" w:hAnsi="Arial" w:cs="Arial"/>
                <w:snapToGrid/>
                <w:color w:val="000000"/>
                <w:sz w:val="18"/>
                <w:szCs w:val="18"/>
                <w:lang w:val="es-CO" w:eastAsia="es-CO"/>
              </w:rPr>
              <w:t>a</w:t>
            </w:r>
            <w:r w:rsidR="00E54483" w:rsidRPr="007F3EA0">
              <w:rPr>
                <w:rFonts w:ascii="Arial" w:hAnsi="Arial" w:cs="Arial"/>
                <w:snapToGrid/>
                <w:color w:val="000000"/>
                <w:sz w:val="18"/>
                <w:szCs w:val="18"/>
                <w:lang w:val="es-CO" w:eastAsia="es-CO"/>
              </w:rPr>
              <w:t xml:space="preserve">rá </w:t>
            </w:r>
            <w:r w:rsidR="00B36A60" w:rsidRPr="007F3EA0">
              <w:rPr>
                <w:rFonts w:ascii="Arial" w:hAnsi="Arial" w:cs="Arial"/>
                <w:snapToGrid/>
                <w:color w:val="000000"/>
                <w:sz w:val="18"/>
                <w:szCs w:val="18"/>
                <w:lang w:val="es-CO" w:eastAsia="es-CO"/>
              </w:rPr>
              <w:t xml:space="preserve">sujeto </w:t>
            </w:r>
            <w:r w:rsidR="00E54483" w:rsidRPr="007F3EA0">
              <w:rPr>
                <w:rFonts w:ascii="Arial" w:hAnsi="Arial" w:cs="Arial"/>
                <w:snapToGrid/>
                <w:color w:val="000000"/>
                <w:sz w:val="18"/>
                <w:szCs w:val="18"/>
                <w:lang w:val="es-CO" w:eastAsia="es-CO"/>
              </w:rPr>
              <w:t>a</w:t>
            </w:r>
            <w:r w:rsidR="00B36A60" w:rsidRPr="007F3EA0">
              <w:rPr>
                <w:rFonts w:ascii="Arial" w:hAnsi="Arial" w:cs="Arial"/>
                <w:snapToGrid/>
                <w:color w:val="000000"/>
                <w:sz w:val="18"/>
                <w:szCs w:val="18"/>
                <w:lang w:val="es-CO" w:eastAsia="es-CO"/>
              </w:rPr>
              <w:t xml:space="preserve">l siguiente cálculo: i) </w:t>
            </w:r>
            <w:r w:rsidR="003D510B" w:rsidRPr="007F3EA0">
              <w:rPr>
                <w:rFonts w:ascii="Arial" w:hAnsi="Arial" w:cs="Arial"/>
                <w:snapToGrid/>
                <w:color w:val="000000"/>
                <w:sz w:val="18"/>
                <w:szCs w:val="18"/>
                <w:lang w:val="es-CO" w:eastAsia="es-CO"/>
              </w:rPr>
              <w:t xml:space="preserve">en el primer año posterior al 31 de diciembre de 2017 el valor máximo a reconocer será equivalente al 90% de su valor nominal; ii) este porcentaje se reducirá cada año en un 10% hasta el 31 de diciembre de 2025; iii) a partir del 1º de enero de 2026, estos instrumentos no serán reconocidos como parte del </w:t>
            </w:r>
            <w:r w:rsidR="0088001A">
              <w:rPr>
                <w:rFonts w:ascii="Arial" w:hAnsi="Arial" w:cs="Arial"/>
                <w:snapToGrid/>
                <w:color w:val="000000"/>
                <w:sz w:val="18"/>
                <w:szCs w:val="18"/>
                <w:lang w:val="es-CO" w:eastAsia="es-CO"/>
              </w:rPr>
              <w:t>PA</w:t>
            </w:r>
            <w:r w:rsidR="003D510B" w:rsidRPr="007F3EA0">
              <w:rPr>
                <w:rFonts w:ascii="Arial" w:hAnsi="Arial" w:cs="Arial"/>
                <w:snapToGrid/>
                <w:color w:val="000000"/>
                <w:sz w:val="18"/>
                <w:szCs w:val="18"/>
                <w:lang w:val="es-CO" w:eastAsia="es-CO"/>
              </w:rPr>
              <w:t>. El valor a reconocer como parte del PA será el menor entre el cálculo descrito anterior y la amortización anual del instrumento por el método de línea recta en los 5 años anteriores a su vencimiento.</w:t>
            </w:r>
          </w:p>
        </w:tc>
        <w:tc>
          <w:tcPr>
            <w:tcW w:w="2072" w:type="dxa"/>
            <w:gridSpan w:val="2"/>
            <w:shd w:val="clear" w:color="000000" w:fill="FFFFFF"/>
            <w:noWrap/>
            <w:vAlign w:val="center"/>
          </w:tcPr>
          <w:p w:rsidR="003D510B" w:rsidRPr="000A17D7" w:rsidRDefault="003D510B" w:rsidP="005C5E57">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 xml:space="preserve">100% </w:t>
            </w:r>
          </w:p>
        </w:tc>
      </w:tr>
      <w:tr w:rsidR="003D510B" w:rsidRPr="000A17D7" w:rsidTr="00707CCD">
        <w:trPr>
          <w:trHeight w:val="720"/>
        </w:trPr>
        <w:tc>
          <w:tcPr>
            <w:tcW w:w="1121" w:type="dxa"/>
            <w:vMerge/>
            <w:shd w:val="clear" w:color="000000" w:fill="FFFFFF"/>
            <w:noWrap/>
            <w:vAlign w:val="center"/>
          </w:tcPr>
          <w:p w:rsidR="003D510B" w:rsidRPr="000A17D7" w:rsidRDefault="003D510B" w:rsidP="002E3E53">
            <w:pPr>
              <w:jc w:val="center"/>
              <w:rPr>
                <w:rFonts w:ascii="Arial" w:hAnsi="Arial" w:cs="Arial"/>
                <w:snapToGrid/>
                <w:color w:val="000000"/>
                <w:sz w:val="18"/>
                <w:szCs w:val="18"/>
                <w:lang w:val="es-CO" w:eastAsia="es-CO"/>
              </w:rPr>
            </w:pPr>
          </w:p>
        </w:tc>
        <w:tc>
          <w:tcPr>
            <w:tcW w:w="1211" w:type="dxa"/>
            <w:shd w:val="clear" w:color="000000" w:fill="FFFFFF"/>
            <w:noWrap/>
            <w:vAlign w:val="center"/>
          </w:tcPr>
          <w:p w:rsidR="003D510B" w:rsidRPr="000A17D7" w:rsidRDefault="003D510B" w:rsidP="002E3E53">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w:t>
            </w:r>
            <w:r w:rsidR="00495BC9">
              <w:rPr>
                <w:rFonts w:ascii="Arial" w:hAnsi="Arial" w:cs="Arial"/>
                <w:snapToGrid/>
                <w:color w:val="000000"/>
                <w:sz w:val="18"/>
                <w:szCs w:val="18"/>
                <w:lang w:val="es-CO" w:eastAsia="es-CO"/>
              </w:rPr>
              <w:t>30</w:t>
            </w:r>
          </w:p>
        </w:tc>
        <w:tc>
          <w:tcPr>
            <w:tcW w:w="5292" w:type="dxa"/>
            <w:gridSpan w:val="2"/>
            <w:shd w:val="clear" w:color="000000" w:fill="FFFFFF"/>
            <w:vAlign w:val="center"/>
          </w:tcPr>
          <w:p w:rsidR="003D510B" w:rsidRDefault="003D510B" w:rsidP="001668B4">
            <w:pPr>
              <w:jc w:val="both"/>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 xml:space="preserve">Valor del deterioro </w:t>
            </w:r>
            <w:r w:rsidR="00B36A60">
              <w:rPr>
                <w:rFonts w:ascii="Arial" w:hAnsi="Arial" w:cs="Arial"/>
                <w:snapToGrid/>
                <w:color w:val="000000"/>
                <w:sz w:val="18"/>
                <w:szCs w:val="18"/>
                <w:lang w:val="es-CO" w:eastAsia="es-CO"/>
              </w:rPr>
              <w:t xml:space="preserve">(provisiones) de carácter </w:t>
            </w:r>
            <w:r w:rsidRPr="000A17D7">
              <w:rPr>
                <w:rFonts w:ascii="Arial" w:hAnsi="Arial" w:cs="Arial"/>
                <w:snapToGrid/>
                <w:color w:val="000000"/>
                <w:sz w:val="18"/>
                <w:szCs w:val="18"/>
                <w:lang w:val="es-CO" w:eastAsia="es-CO"/>
              </w:rPr>
              <w:t xml:space="preserve">general que deben constituir las entidades vigiladas de acuerdo con lo establecido en el Capítulo II de la CBCF. No se tienen en cuenta los excesos sobre el deterioro general (provisiones generales regulatorias). El valor a reportar en esta subcuenta no debe ser mayor al 1.25% de los </w:t>
            </w:r>
            <w:r w:rsidR="00136C4B">
              <w:rPr>
                <w:rFonts w:ascii="Arial" w:hAnsi="Arial" w:cs="Arial"/>
                <w:snapToGrid/>
                <w:color w:val="000000"/>
                <w:sz w:val="18"/>
                <w:szCs w:val="18"/>
                <w:lang w:val="es-CO" w:eastAsia="es-CO"/>
              </w:rPr>
              <w:t>APNR</w:t>
            </w:r>
            <w:r w:rsidRPr="000A17D7">
              <w:rPr>
                <w:rFonts w:ascii="Arial" w:hAnsi="Arial" w:cs="Arial"/>
                <w:snapToGrid/>
                <w:color w:val="000000"/>
                <w:sz w:val="18"/>
                <w:szCs w:val="18"/>
                <w:lang w:val="es-CO" w:eastAsia="es-CO"/>
              </w:rPr>
              <w:t>.</w:t>
            </w:r>
          </w:p>
          <w:p w:rsidR="0088001A" w:rsidRDefault="0088001A" w:rsidP="007505AA">
            <w:pPr>
              <w:jc w:val="both"/>
              <w:rPr>
                <w:rFonts w:ascii="Arial" w:hAnsi="Arial" w:cs="Arial"/>
                <w:snapToGrid/>
                <w:color w:val="000000"/>
                <w:sz w:val="18"/>
                <w:szCs w:val="18"/>
                <w:lang w:val="es-CO" w:eastAsia="es-CO"/>
              </w:rPr>
            </w:pPr>
          </w:p>
          <w:p w:rsidR="0088001A" w:rsidRPr="000A17D7" w:rsidRDefault="0088001A">
            <w:pPr>
              <w:jc w:val="both"/>
              <w:rPr>
                <w:rFonts w:ascii="Arial" w:hAnsi="Arial" w:cs="Arial"/>
                <w:snapToGrid/>
                <w:color w:val="000000"/>
                <w:sz w:val="18"/>
                <w:szCs w:val="18"/>
                <w:lang w:val="es-CO" w:eastAsia="es-CO"/>
              </w:rPr>
            </w:pPr>
            <w:r>
              <w:rPr>
                <w:rFonts w:ascii="Arial" w:hAnsi="Arial" w:cs="Arial"/>
                <w:snapToGrid/>
                <w:color w:val="000000"/>
                <w:sz w:val="18"/>
                <w:szCs w:val="18"/>
                <w:lang w:val="es-CO" w:eastAsia="es-CO"/>
              </w:rPr>
              <w:t xml:space="preserve">Este valor se tendrá en cuenta a nivel individual, para la solvencia consolidada se podrá computar en el PA </w:t>
            </w:r>
            <w:r w:rsidR="002A1090">
              <w:rPr>
                <w:rFonts w:ascii="Arial" w:hAnsi="Arial" w:cs="Arial"/>
                <w:snapToGrid/>
                <w:color w:val="000000"/>
                <w:sz w:val="18"/>
                <w:szCs w:val="18"/>
                <w:lang w:val="es-CO" w:eastAsia="es-CO"/>
              </w:rPr>
              <w:t xml:space="preserve">solo </w:t>
            </w:r>
            <w:r>
              <w:rPr>
                <w:rFonts w:ascii="Arial" w:hAnsi="Arial" w:cs="Arial"/>
                <w:snapToGrid/>
                <w:color w:val="000000"/>
                <w:sz w:val="18"/>
                <w:szCs w:val="18"/>
                <w:lang w:val="es-CO" w:eastAsia="es-CO"/>
              </w:rPr>
              <w:t>si la entidad cumple con todos los requisitos del numeral 1) de la instrucción primera de la Circular Externa 037 de 2015.</w:t>
            </w:r>
          </w:p>
        </w:tc>
        <w:tc>
          <w:tcPr>
            <w:tcW w:w="2066" w:type="dxa"/>
            <w:shd w:val="clear" w:color="000000" w:fill="FFFFFF"/>
            <w:noWrap/>
            <w:vAlign w:val="center"/>
          </w:tcPr>
          <w:p w:rsidR="003D510B" w:rsidRPr="000A17D7" w:rsidRDefault="003D510B" w:rsidP="002A1090">
            <w:pPr>
              <w:jc w:val="center"/>
              <w:rPr>
                <w:rFonts w:ascii="Arial" w:hAnsi="Arial" w:cs="Arial"/>
                <w:snapToGrid/>
                <w:color w:val="000000"/>
                <w:sz w:val="18"/>
                <w:szCs w:val="18"/>
                <w:lang w:val="es-CO" w:eastAsia="es-CO"/>
              </w:rPr>
            </w:pPr>
            <w:r w:rsidRPr="000A17D7">
              <w:rPr>
                <w:rFonts w:ascii="Arial" w:hAnsi="Arial" w:cs="Arial"/>
                <w:snapToGrid/>
                <w:color w:val="000000"/>
                <w:sz w:val="18"/>
                <w:szCs w:val="18"/>
                <w:lang w:val="es-CO" w:eastAsia="es-CO"/>
              </w:rPr>
              <w:t>100%</w:t>
            </w:r>
          </w:p>
        </w:tc>
      </w:tr>
    </w:tbl>
    <w:p w:rsidR="0013684A" w:rsidRDefault="0013684A" w:rsidP="0013684A">
      <w:pPr>
        <w:jc w:val="both"/>
        <w:rPr>
          <w:rFonts w:ascii="Arial" w:hAnsi="Arial" w:cs="Arial"/>
          <w:snapToGrid/>
          <w:color w:val="000000"/>
          <w:sz w:val="18"/>
          <w:szCs w:val="18"/>
          <w:highlight w:val="yellow"/>
          <w:lang w:val="es-CO" w:eastAsia="es-CO"/>
        </w:rPr>
      </w:pPr>
    </w:p>
    <w:p w:rsidR="00245825" w:rsidRPr="009D298D" w:rsidRDefault="00245825" w:rsidP="009D298D">
      <w:pPr>
        <w:pStyle w:val="Prrafodelista"/>
        <w:numPr>
          <w:ilvl w:val="2"/>
          <w:numId w:val="11"/>
        </w:numPr>
        <w:ind w:left="851" w:hanging="851"/>
        <w:jc w:val="both"/>
        <w:rPr>
          <w:rFonts w:ascii="Arial" w:hAnsi="Arial" w:cs="Arial"/>
          <w:sz w:val="18"/>
          <w:szCs w:val="18"/>
        </w:rPr>
      </w:pPr>
      <w:r w:rsidRPr="009D298D">
        <w:rPr>
          <w:rFonts w:ascii="Arial" w:hAnsi="Arial" w:cs="Arial"/>
          <w:sz w:val="18"/>
          <w:szCs w:val="18"/>
        </w:rPr>
        <w:t>Deducciones al PT</w:t>
      </w:r>
    </w:p>
    <w:p w:rsidR="00245825" w:rsidRPr="002A1090" w:rsidRDefault="00245825" w:rsidP="002A1090">
      <w:pPr>
        <w:jc w:val="both"/>
        <w:rPr>
          <w:rFonts w:ascii="Arial" w:hAnsi="Arial" w:cs="Arial"/>
          <w:color w:val="000000" w:themeColor="text1"/>
          <w:sz w:val="18"/>
          <w:szCs w:val="18"/>
          <w:highlight w:val="yellow"/>
        </w:rPr>
      </w:pPr>
    </w:p>
    <w:p w:rsidR="00245825" w:rsidRDefault="00245825" w:rsidP="00245825">
      <w:pPr>
        <w:jc w:val="both"/>
        <w:rPr>
          <w:rFonts w:ascii="Arial" w:hAnsi="Arial" w:cs="Arial"/>
          <w:color w:val="000000" w:themeColor="text1"/>
          <w:sz w:val="18"/>
          <w:szCs w:val="18"/>
        </w:rPr>
      </w:pPr>
      <w:r w:rsidRPr="000A17D7">
        <w:rPr>
          <w:rFonts w:ascii="Arial" w:hAnsi="Arial" w:cs="Arial"/>
          <w:color w:val="000000" w:themeColor="text1"/>
          <w:sz w:val="18"/>
          <w:szCs w:val="18"/>
        </w:rPr>
        <w:t xml:space="preserve">Las deducciones al </w:t>
      </w:r>
      <w:r w:rsidR="000B416C">
        <w:rPr>
          <w:rFonts w:ascii="Arial" w:hAnsi="Arial" w:cs="Arial"/>
          <w:color w:val="000000" w:themeColor="text1"/>
          <w:sz w:val="18"/>
          <w:szCs w:val="18"/>
        </w:rPr>
        <w:t xml:space="preserve">PT de las que trata el </w:t>
      </w:r>
      <w:r w:rsidR="000B416C" w:rsidRPr="000B416C">
        <w:rPr>
          <w:rFonts w:ascii="Arial" w:hAnsi="Arial" w:cs="Arial"/>
          <w:color w:val="000000" w:themeColor="text1"/>
          <w:sz w:val="18"/>
          <w:szCs w:val="18"/>
        </w:rPr>
        <w:t>numeral 10</w:t>
      </w:r>
      <w:r w:rsidRPr="000B416C">
        <w:rPr>
          <w:rFonts w:ascii="Arial" w:hAnsi="Arial" w:cs="Arial"/>
          <w:color w:val="000000" w:themeColor="text1"/>
          <w:sz w:val="18"/>
          <w:szCs w:val="18"/>
        </w:rPr>
        <w:t xml:space="preserve">) </w:t>
      </w:r>
      <w:r w:rsidR="000B416C" w:rsidRPr="000B416C">
        <w:rPr>
          <w:rFonts w:ascii="Arial" w:hAnsi="Arial" w:cs="Arial"/>
          <w:color w:val="000000" w:themeColor="text1"/>
          <w:sz w:val="18"/>
          <w:szCs w:val="18"/>
        </w:rPr>
        <w:t>del artículo 2.1.1.3.2</w:t>
      </w:r>
      <w:r w:rsidRPr="000B416C">
        <w:rPr>
          <w:rFonts w:ascii="Arial" w:hAnsi="Arial" w:cs="Arial"/>
          <w:color w:val="000000" w:themeColor="text1"/>
          <w:sz w:val="18"/>
          <w:szCs w:val="18"/>
        </w:rPr>
        <w:t xml:space="preserve"> del Decreto 2555 de 2010 comprenden los siguientes rubros:</w:t>
      </w:r>
    </w:p>
    <w:p w:rsidR="002E59A4" w:rsidRDefault="002E59A4" w:rsidP="00245825">
      <w:pPr>
        <w:jc w:val="both"/>
        <w:rPr>
          <w:rFonts w:ascii="Arial" w:hAnsi="Arial" w:cs="Arial"/>
          <w:color w:val="000000" w:themeColor="text1"/>
          <w:sz w:val="18"/>
          <w:szCs w:val="18"/>
        </w:rPr>
      </w:pPr>
    </w:p>
    <w:tbl>
      <w:tblPr>
        <w:tblW w:w="96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1"/>
        <w:gridCol w:w="1211"/>
        <w:gridCol w:w="5286"/>
        <w:gridCol w:w="6"/>
        <w:gridCol w:w="2066"/>
      </w:tblGrid>
      <w:tr w:rsidR="00245825" w:rsidRPr="000A17D7" w:rsidTr="0051115A">
        <w:trPr>
          <w:trHeight w:val="259"/>
          <w:tblHeader/>
        </w:trPr>
        <w:tc>
          <w:tcPr>
            <w:tcW w:w="1121" w:type="dxa"/>
            <w:shd w:val="clear" w:color="000000" w:fill="D9D9D9"/>
            <w:noWrap/>
            <w:vAlign w:val="center"/>
            <w:hideMark/>
          </w:tcPr>
          <w:p w:rsidR="00245825" w:rsidRPr="000A17D7" w:rsidRDefault="00245825" w:rsidP="00E6565B">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Fuente</w:t>
            </w:r>
          </w:p>
        </w:tc>
        <w:tc>
          <w:tcPr>
            <w:tcW w:w="1211" w:type="dxa"/>
            <w:shd w:val="clear" w:color="000000" w:fill="D9D9D9"/>
            <w:vAlign w:val="center"/>
            <w:hideMark/>
          </w:tcPr>
          <w:p w:rsidR="00DD091C" w:rsidRDefault="00245825" w:rsidP="001668B4">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Cuenta/</w:t>
            </w:r>
          </w:p>
          <w:p w:rsidR="00245825" w:rsidRPr="000A17D7" w:rsidRDefault="00245825" w:rsidP="007505AA">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Subcuenta</w:t>
            </w:r>
          </w:p>
        </w:tc>
        <w:tc>
          <w:tcPr>
            <w:tcW w:w="5286" w:type="dxa"/>
            <w:shd w:val="clear" w:color="000000" w:fill="D9D9D9"/>
            <w:noWrap/>
            <w:vAlign w:val="center"/>
            <w:hideMark/>
          </w:tcPr>
          <w:p w:rsidR="00245825" w:rsidRPr="000A17D7" w:rsidRDefault="00245825" w:rsidP="00E6565B">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Denominación</w:t>
            </w:r>
          </w:p>
        </w:tc>
        <w:tc>
          <w:tcPr>
            <w:tcW w:w="2072" w:type="dxa"/>
            <w:gridSpan w:val="2"/>
            <w:shd w:val="clear" w:color="000000" w:fill="D9D9D9"/>
            <w:noWrap/>
            <w:vAlign w:val="center"/>
            <w:hideMark/>
          </w:tcPr>
          <w:p w:rsidR="00245825" w:rsidRPr="000A17D7" w:rsidRDefault="00245825" w:rsidP="00E6565B">
            <w:pPr>
              <w:jc w:val="center"/>
              <w:rPr>
                <w:rFonts w:ascii="Arial" w:hAnsi="Arial" w:cs="Arial"/>
                <w:bCs/>
                <w:snapToGrid/>
                <w:color w:val="000000"/>
                <w:sz w:val="18"/>
                <w:szCs w:val="18"/>
                <w:lang w:val="es-CO" w:eastAsia="es-CO"/>
              </w:rPr>
            </w:pPr>
            <w:r w:rsidRPr="000A17D7">
              <w:rPr>
                <w:rFonts w:ascii="Arial" w:hAnsi="Arial" w:cs="Arial"/>
                <w:bCs/>
                <w:snapToGrid/>
                <w:color w:val="000000"/>
                <w:sz w:val="18"/>
                <w:szCs w:val="18"/>
                <w:lang w:val="es-CO" w:eastAsia="es-CO"/>
              </w:rPr>
              <w:t>Ponderación</w:t>
            </w:r>
          </w:p>
        </w:tc>
      </w:tr>
      <w:tr w:rsidR="003D510B" w:rsidRPr="000A17D7" w:rsidTr="0051115A">
        <w:trPr>
          <w:trHeight w:val="720"/>
        </w:trPr>
        <w:tc>
          <w:tcPr>
            <w:tcW w:w="1121" w:type="dxa"/>
            <w:vMerge w:val="restart"/>
            <w:shd w:val="clear" w:color="000000" w:fill="FFFFFF"/>
            <w:noWrap/>
            <w:vAlign w:val="center"/>
          </w:tcPr>
          <w:p w:rsidR="003D510B" w:rsidRDefault="003D510B" w:rsidP="00E6565B">
            <w:pPr>
              <w:jc w:val="center"/>
              <w:rPr>
                <w:rFonts w:ascii="Arial" w:hAnsi="Arial" w:cs="Arial"/>
                <w:snapToGrid/>
                <w:color w:val="000000"/>
                <w:sz w:val="18"/>
                <w:szCs w:val="18"/>
                <w:lang w:val="es-CO" w:eastAsia="es-CO"/>
              </w:rPr>
            </w:pPr>
            <w:r w:rsidRPr="002E59A4">
              <w:rPr>
                <w:rFonts w:ascii="Arial" w:hAnsi="Arial" w:cs="Arial"/>
                <w:snapToGrid/>
                <w:color w:val="000000"/>
                <w:sz w:val="18"/>
                <w:szCs w:val="18"/>
                <w:lang w:val="es-CO" w:eastAsia="es-CO"/>
              </w:rPr>
              <w:t>F.</w:t>
            </w:r>
            <w:r>
              <w:rPr>
                <w:rFonts w:ascii="Arial" w:hAnsi="Arial" w:cs="Arial"/>
                <w:snapToGrid/>
                <w:color w:val="000000"/>
                <w:sz w:val="18"/>
                <w:szCs w:val="18"/>
                <w:lang w:val="es-CO" w:eastAsia="es-CO"/>
              </w:rPr>
              <w:t xml:space="preserve"> </w:t>
            </w:r>
            <w:r w:rsidR="00262657">
              <w:rPr>
                <w:rFonts w:ascii="Arial" w:hAnsi="Arial" w:cs="Arial"/>
                <w:snapToGrid/>
                <w:color w:val="000000"/>
                <w:sz w:val="18"/>
                <w:szCs w:val="18"/>
                <w:lang w:val="es-CO" w:eastAsia="es-CO"/>
              </w:rPr>
              <w:t>239</w:t>
            </w:r>
          </w:p>
          <w:p w:rsidR="003D510B" w:rsidRPr="002E59A4" w:rsidRDefault="003D510B" w:rsidP="003D510B">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Unidad de captura 04</w:t>
            </w:r>
          </w:p>
        </w:tc>
        <w:tc>
          <w:tcPr>
            <w:tcW w:w="1211" w:type="dxa"/>
            <w:shd w:val="clear" w:color="000000" w:fill="FFFFFF"/>
            <w:noWrap/>
            <w:vAlign w:val="center"/>
          </w:tcPr>
          <w:p w:rsidR="003D510B" w:rsidRPr="002E59A4" w:rsidRDefault="003D510B" w:rsidP="00E6565B">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-005</w:t>
            </w:r>
          </w:p>
          <w:p w:rsidR="003D510B" w:rsidRPr="002E59A4" w:rsidRDefault="003D510B" w:rsidP="00E6565B">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(deducciones al PT</w:t>
            </w:r>
            <w:r w:rsidRPr="002E59A4">
              <w:rPr>
                <w:rFonts w:ascii="Arial" w:hAnsi="Arial" w:cs="Arial"/>
                <w:snapToGrid/>
                <w:color w:val="000000"/>
                <w:sz w:val="18"/>
                <w:szCs w:val="18"/>
                <w:lang w:val="es-CO" w:eastAsia="es-CO"/>
              </w:rPr>
              <w:t>)</w:t>
            </w:r>
          </w:p>
        </w:tc>
        <w:tc>
          <w:tcPr>
            <w:tcW w:w="5292" w:type="dxa"/>
            <w:gridSpan w:val="2"/>
            <w:shd w:val="clear" w:color="000000" w:fill="FFFFFF"/>
            <w:vAlign w:val="center"/>
          </w:tcPr>
          <w:p w:rsidR="003D510B" w:rsidRPr="002E59A4" w:rsidRDefault="003D510B" w:rsidP="00E6565B">
            <w:pPr>
              <w:jc w:val="both"/>
              <w:rPr>
                <w:rFonts w:ascii="Arial" w:hAnsi="Arial" w:cs="Arial"/>
                <w:snapToGrid/>
                <w:color w:val="000000"/>
                <w:sz w:val="18"/>
                <w:szCs w:val="18"/>
                <w:lang w:val="es-CO" w:eastAsia="es-CO"/>
              </w:rPr>
            </w:pPr>
            <w:r w:rsidRPr="002E59A4">
              <w:rPr>
                <w:rFonts w:ascii="Arial" w:hAnsi="Arial" w:cs="Arial"/>
                <w:sz w:val="18"/>
                <w:szCs w:val="18"/>
              </w:rPr>
              <w:t>Títulos derivados de procesos de titularización que tengan calificación de riesgo de largo plazo menor a “CCC” o sin calificación.</w:t>
            </w:r>
          </w:p>
        </w:tc>
        <w:tc>
          <w:tcPr>
            <w:tcW w:w="2066" w:type="dxa"/>
            <w:shd w:val="clear" w:color="000000" w:fill="FFFFFF"/>
            <w:noWrap/>
            <w:vAlign w:val="center"/>
          </w:tcPr>
          <w:p w:rsidR="003D510B" w:rsidRPr="002E59A4" w:rsidRDefault="003D510B" w:rsidP="00E6565B">
            <w:pPr>
              <w:jc w:val="center"/>
              <w:rPr>
                <w:rFonts w:ascii="Arial" w:hAnsi="Arial" w:cs="Arial"/>
                <w:snapToGrid/>
                <w:color w:val="000000"/>
                <w:sz w:val="18"/>
                <w:szCs w:val="18"/>
                <w:lang w:val="es-CO" w:eastAsia="es-CO"/>
              </w:rPr>
            </w:pPr>
            <w:r w:rsidRPr="002E59A4">
              <w:rPr>
                <w:rFonts w:ascii="Arial" w:hAnsi="Arial" w:cs="Arial"/>
                <w:snapToGrid/>
                <w:color w:val="000000"/>
                <w:sz w:val="18"/>
                <w:szCs w:val="18"/>
                <w:lang w:val="es-CO" w:eastAsia="es-CO"/>
              </w:rPr>
              <w:t>100%</w:t>
            </w:r>
          </w:p>
        </w:tc>
      </w:tr>
      <w:tr w:rsidR="003D510B" w:rsidRPr="000A17D7" w:rsidTr="0051115A">
        <w:trPr>
          <w:trHeight w:val="720"/>
        </w:trPr>
        <w:tc>
          <w:tcPr>
            <w:tcW w:w="1121" w:type="dxa"/>
            <w:vMerge/>
            <w:shd w:val="clear" w:color="000000" w:fill="FFFFFF"/>
            <w:noWrap/>
            <w:vAlign w:val="center"/>
          </w:tcPr>
          <w:p w:rsidR="003D510B" w:rsidRPr="002E59A4" w:rsidRDefault="003D510B" w:rsidP="00E6565B">
            <w:pPr>
              <w:jc w:val="center"/>
              <w:rPr>
                <w:rFonts w:ascii="Arial" w:hAnsi="Arial" w:cs="Arial"/>
                <w:snapToGrid/>
                <w:color w:val="000000"/>
                <w:sz w:val="18"/>
                <w:szCs w:val="18"/>
                <w:lang w:val="es-CO" w:eastAsia="es-CO"/>
              </w:rPr>
            </w:pPr>
          </w:p>
        </w:tc>
        <w:tc>
          <w:tcPr>
            <w:tcW w:w="1211" w:type="dxa"/>
            <w:shd w:val="clear" w:color="000000" w:fill="FFFFFF"/>
            <w:noWrap/>
            <w:vAlign w:val="center"/>
          </w:tcPr>
          <w:p w:rsidR="003D510B" w:rsidRPr="002E59A4" w:rsidRDefault="003D510B" w:rsidP="00E6565B">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-010</w:t>
            </w:r>
          </w:p>
          <w:p w:rsidR="003D510B" w:rsidRPr="002E59A4" w:rsidRDefault="003D510B" w:rsidP="00E6565B">
            <w:pPr>
              <w:jc w:val="center"/>
              <w:rPr>
                <w:rFonts w:ascii="Arial" w:hAnsi="Arial" w:cs="Arial"/>
                <w:snapToGrid/>
                <w:color w:val="000000"/>
                <w:sz w:val="18"/>
                <w:szCs w:val="18"/>
                <w:lang w:val="es-CO" w:eastAsia="es-CO"/>
              </w:rPr>
            </w:pPr>
            <w:r>
              <w:rPr>
                <w:rFonts w:ascii="Arial" w:hAnsi="Arial" w:cs="Arial"/>
                <w:snapToGrid/>
                <w:color w:val="000000"/>
                <w:sz w:val="18"/>
                <w:szCs w:val="18"/>
                <w:lang w:val="es-CO" w:eastAsia="es-CO"/>
              </w:rPr>
              <w:t>(deducciones al PT</w:t>
            </w:r>
            <w:r w:rsidRPr="002E59A4">
              <w:rPr>
                <w:rFonts w:ascii="Arial" w:hAnsi="Arial" w:cs="Arial"/>
                <w:snapToGrid/>
                <w:color w:val="000000"/>
                <w:sz w:val="18"/>
                <w:szCs w:val="18"/>
                <w:lang w:val="es-CO" w:eastAsia="es-CO"/>
              </w:rPr>
              <w:t>)</w:t>
            </w:r>
          </w:p>
        </w:tc>
        <w:tc>
          <w:tcPr>
            <w:tcW w:w="5292" w:type="dxa"/>
            <w:gridSpan w:val="2"/>
            <w:shd w:val="clear" w:color="000000" w:fill="FFFFFF"/>
            <w:vAlign w:val="center"/>
          </w:tcPr>
          <w:p w:rsidR="003D510B" w:rsidRPr="009D298D" w:rsidRDefault="003D510B" w:rsidP="00E6565B">
            <w:pPr>
              <w:jc w:val="both"/>
              <w:rPr>
                <w:rFonts w:ascii="Arial" w:hAnsi="Arial" w:cs="Arial"/>
                <w:sz w:val="18"/>
                <w:szCs w:val="18"/>
              </w:rPr>
            </w:pPr>
            <w:r w:rsidRPr="002E59A4">
              <w:rPr>
                <w:rFonts w:ascii="Arial" w:hAnsi="Arial" w:cs="Arial"/>
                <w:sz w:val="18"/>
                <w:szCs w:val="18"/>
              </w:rPr>
              <w:t xml:space="preserve">Títulos derivados de procesos de titularización que tengan calificación de riesgo de corto plazo </w:t>
            </w:r>
            <w:r w:rsidR="0002447D">
              <w:rPr>
                <w:rFonts w:ascii="Arial" w:hAnsi="Arial" w:cs="Arial"/>
                <w:sz w:val="18"/>
                <w:szCs w:val="18"/>
              </w:rPr>
              <w:t>igual a</w:t>
            </w:r>
            <w:r w:rsidRPr="002E59A4">
              <w:rPr>
                <w:rFonts w:ascii="Arial" w:hAnsi="Arial" w:cs="Arial"/>
                <w:sz w:val="18"/>
                <w:szCs w:val="18"/>
              </w:rPr>
              <w:t xml:space="preserve"> “5“ o sin calificación.</w:t>
            </w:r>
          </w:p>
        </w:tc>
        <w:tc>
          <w:tcPr>
            <w:tcW w:w="2066" w:type="dxa"/>
            <w:shd w:val="clear" w:color="000000" w:fill="FFFFFF"/>
            <w:noWrap/>
            <w:vAlign w:val="center"/>
          </w:tcPr>
          <w:p w:rsidR="003D510B" w:rsidRPr="002E59A4" w:rsidRDefault="003D510B" w:rsidP="00E6565B">
            <w:pPr>
              <w:jc w:val="center"/>
              <w:rPr>
                <w:rFonts w:ascii="Arial" w:hAnsi="Arial" w:cs="Arial"/>
                <w:snapToGrid/>
                <w:color w:val="000000"/>
                <w:sz w:val="18"/>
                <w:szCs w:val="18"/>
                <w:lang w:val="es-CO" w:eastAsia="es-CO"/>
              </w:rPr>
            </w:pPr>
            <w:r w:rsidRPr="002E59A4">
              <w:rPr>
                <w:rFonts w:ascii="Arial" w:hAnsi="Arial" w:cs="Arial"/>
                <w:snapToGrid/>
                <w:color w:val="000000"/>
                <w:sz w:val="18"/>
                <w:szCs w:val="18"/>
                <w:lang w:val="es-CO" w:eastAsia="es-CO"/>
              </w:rPr>
              <w:t>100%</w:t>
            </w:r>
          </w:p>
        </w:tc>
      </w:tr>
    </w:tbl>
    <w:p w:rsidR="00C101B2" w:rsidRDefault="00C101B2" w:rsidP="0013684A">
      <w:pPr>
        <w:jc w:val="both"/>
        <w:rPr>
          <w:rFonts w:ascii="Arial" w:hAnsi="Arial" w:cs="Arial"/>
          <w:color w:val="000000" w:themeColor="text1"/>
          <w:sz w:val="18"/>
          <w:szCs w:val="18"/>
          <w:highlight w:val="yellow"/>
        </w:rPr>
      </w:pPr>
    </w:p>
    <w:p w:rsidR="00DC5D25" w:rsidRDefault="0013684A" w:rsidP="009D298D">
      <w:pPr>
        <w:pStyle w:val="Prrafodelista"/>
        <w:numPr>
          <w:ilvl w:val="2"/>
          <w:numId w:val="11"/>
        </w:numPr>
        <w:ind w:left="0" w:firstLine="0"/>
        <w:jc w:val="both"/>
        <w:rPr>
          <w:rFonts w:ascii="Arial" w:hAnsi="Arial" w:cs="Arial"/>
          <w:sz w:val="18"/>
          <w:szCs w:val="18"/>
        </w:rPr>
      </w:pPr>
      <w:r w:rsidRPr="002E59A4">
        <w:rPr>
          <w:rFonts w:ascii="Arial" w:hAnsi="Arial" w:cs="Arial"/>
          <w:sz w:val="18"/>
          <w:szCs w:val="18"/>
        </w:rPr>
        <w:t>Interés minoritario</w:t>
      </w:r>
    </w:p>
    <w:p w:rsidR="00DC5D25" w:rsidRDefault="00DC5D25" w:rsidP="00DC5D25">
      <w:pPr>
        <w:pStyle w:val="Prrafodelista"/>
        <w:ind w:left="0"/>
        <w:jc w:val="both"/>
        <w:rPr>
          <w:rFonts w:ascii="Arial" w:hAnsi="Arial" w:cs="Arial"/>
          <w:sz w:val="18"/>
          <w:szCs w:val="18"/>
        </w:rPr>
      </w:pPr>
    </w:p>
    <w:p w:rsidR="0013684A" w:rsidRPr="000A17D7" w:rsidRDefault="0013684A" w:rsidP="00E531C5">
      <w:pPr>
        <w:jc w:val="both"/>
        <w:rPr>
          <w:rFonts w:ascii="Arial" w:hAnsi="Arial" w:cs="Arial"/>
          <w:sz w:val="18"/>
          <w:szCs w:val="18"/>
        </w:rPr>
      </w:pPr>
      <w:r w:rsidRPr="000A17D7">
        <w:rPr>
          <w:rFonts w:ascii="Arial" w:hAnsi="Arial" w:cs="Arial"/>
          <w:sz w:val="18"/>
          <w:szCs w:val="18"/>
        </w:rPr>
        <w:t xml:space="preserve">Para efectos del cálculo del interés minoritario (participaciones no controladoras) en el </w:t>
      </w:r>
      <w:r w:rsidR="007F30B0">
        <w:rPr>
          <w:rFonts w:ascii="Arial" w:hAnsi="Arial" w:cs="Arial"/>
          <w:sz w:val="18"/>
          <w:szCs w:val="18"/>
        </w:rPr>
        <w:t>PT</w:t>
      </w:r>
      <w:r w:rsidRPr="000A17D7">
        <w:rPr>
          <w:rFonts w:ascii="Arial" w:hAnsi="Arial" w:cs="Arial"/>
          <w:sz w:val="18"/>
          <w:szCs w:val="18"/>
        </w:rPr>
        <w:t xml:space="preserve"> consolidado, se debe reconocer el valor de los instrumentos constitutivos del PT de la entidad consolidada, bruto de las deducciones al</w:t>
      </w:r>
      <w:r w:rsidR="00A9055F">
        <w:rPr>
          <w:rFonts w:ascii="Arial" w:hAnsi="Arial" w:cs="Arial"/>
          <w:sz w:val="18"/>
          <w:szCs w:val="18"/>
        </w:rPr>
        <w:t xml:space="preserve"> PBO, que no sean de propiedad directa o indirecta</w:t>
      </w:r>
      <w:r w:rsidRPr="000A17D7">
        <w:rPr>
          <w:rFonts w:ascii="Arial" w:hAnsi="Arial" w:cs="Arial"/>
          <w:sz w:val="18"/>
          <w:szCs w:val="18"/>
        </w:rPr>
        <w:t xml:space="preserve"> de la </w:t>
      </w:r>
      <w:proofErr w:type="spellStart"/>
      <w:r w:rsidRPr="000A17D7">
        <w:rPr>
          <w:rFonts w:ascii="Arial" w:hAnsi="Arial" w:cs="Arial"/>
          <w:sz w:val="18"/>
          <w:szCs w:val="18"/>
        </w:rPr>
        <w:t>consolidante</w:t>
      </w:r>
      <w:proofErr w:type="spellEnd"/>
      <w:r w:rsidRPr="000A17D7">
        <w:rPr>
          <w:rFonts w:ascii="Arial" w:hAnsi="Arial" w:cs="Arial"/>
          <w:sz w:val="18"/>
          <w:szCs w:val="18"/>
        </w:rPr>
        <w:t xml:space="preserve"> o de la(s) controlante(s) de ésta.</w:t>
      </w:r>
    </w:p>
    <w:p w:rsidR="0013684A" w:rsidRPr="000A17D7" w:rsidRDefault="0013684A" w:rsidP="0013684A">
      <w:pPr>
        <w:jc w:val="both"/>
        <w:rPr>
          <w:rFonts w:ascii="Arial" w:hAnsi="Arial" w:cs="Arial"/>
          <w:sz w:val="18"/>
          <w:szCs w:val="18"/>
        </w:rPr>
      </w:pPr>
    </w:p>
    <w:p w:rsidR="0013684A" w:rsidRPr="000A17D7" w:rsidRDefault="0013684A" w:rsidP="0013684A">
      <w:pPr>
        <w:jc w:val="both"/>
        <w:rPr>
          <w:rFonts w:ascii="Arial" w:hAnsi="Arial" w:cs="Arial"/>
          <w:sz w:val="18"/>
          <w:szCs w:val="18"/>
        </w:rPr>
      </w:pPr>
      <w:r w:rsidRPr="000A17D7">
        <w:rPr>
          <w:rFonts w:ascii="Arial" w:hAnsi="Arial" w:cs="Arial"/>
          <w:sz w:val="18"/>
          <w:szCs w:val="18"/>
        </w:rPr>
        <w:t xml:space="preserve">Para el efecto, se entiende por inversión directa la participación accionaria de la cual es titular la matriz de la entidad financiera consolidante en el capital de las entidades subordinadas a la entidad financiera consolidante. Por su parte, se considera inversión indirecta la participación accionaria que tiene la matriz de la entidad financiera consolidante en las entidades consolidadas a través de sus subordinadas. </w:t>
      </w:r>
    </w:p>
    <w:p w:rsidR="0013684A" w:rsidRPr="000A17D7" w:rsidRDefault="0013684A" w:rsidP="0013684A">
      <w:pPr>
        <w:jc w:val="both"/>
        <w:rPr>
          <w:rFonts w:ascii="Arial" w:hAnsi="Arial" w:cs="Arial"/>
          <w:sz w:val="18"/>
          <w:szCs w:val="18"/>
        </w:rPr>
      </w:pPr>
    </w:p>
    <w:p w:rsidR="0013684A" w:rsidRPr="000A17D7" w:rsidRDefault="0013684A" w:rsidP="0013684A">
      <w:pPr>
        <w:jc w:val="both"/>
        <w:rPr>
          <w:rFonts w:ascii="Arial" w:hAnsi="Arial" w:cs="Arial"/>
          <w:sz w:val="18"/>
          <w:szCs w:val="18"/>
        </w:rPr>
      </w:pPr>
      <w:r w:rsidRPr="000A17D7">
        <w:rPr>
          <w:rFonts w:ascii="Arial" w:hAnsi="Arial" w:cs="Arial"/>
          <w:sz w:val="18"/>
          <w:szCs w:val="18"/>
        </w:rPr>
        <w:t>Solo se reconoce el exceso de capital sobre los mínimos regulatorios</w:t>
      </w:r>
      <w:r w:rsidR="00FA2D9F">
        <w:rPr>
          <w:rFonts w:ascii="Arial" w:hAnsi="Arial" w:cs="Arial"/>
          <w:sz w:val="18"/>
          <w:szCs w:val="18"/>
        </w:rPr>
        <w:t>,</w:t>
      </w:r>
      <w:r w:rsidRPr="000A17D7">
        <w:rPr>
          <w:rFonts w:ascii="Arial" w:hAnsi="Arial" w:cs="Arial"/>
          <w:sz w:val="18"/>
          <w:szCs w:val="18"/>
        </w:rPr>
        <w:t xml:space="preserve"> en aquellas entidades con estándares prudenciales iguales o superiores a los de </w:t>
      </w:r>
      <w:r w:rsidR="00FA2D9F" w:rsidRPr="000A17D7">
        <w:rPr>
          <w:rFonts w:ascii="Arial" w:hAnsi="Arial" w:cs="Arial"/>
          <w:sz w:val="18"/>
          <w:szCs w:val="18"/>
        </w:rPr>
        <w:t xml:space="preserve">los establecimientos de crédito en </w:t>
      </w:r>
      <w:r w:rsidRPr="000A17D7">
        <w:rPr>
          <w:rFonts w:ascii="Arial" w:hAnsi="Arial" w:cs="Arial"/>
          <w:sz w:val="18"/>
          <w:szCs w:val="18"/>
        </w:rPr>
        <w:t xml:space="preserve">Colombia, que cumplan con los criterios de pertenencia al capital regulatorio definidos en el Capítulo 1 del Libro 1 de la Parte 2 del Decreto 2555 de 2010. </w:t>
      </w:r>
    </w:p>
    <w:p w:rsidR="0013684A" w:rsidRPr="000A17D7" w:rsidRDefault="0013684A" w:rsidP="0013684A">
      <w:pPr>
        <w:jc w:val="both"/>
        <w:rPr>
          <w:rFonts w:ascii="Arial" w:hAnsi="Arial" w:cs="Arial"/>
          <w:sz w:val="18"/>
          <w:szCs w:val="18"/>
        </w:rPr>
      </w:pPr>
    </w:p>
    <w:p w:rsidR="0013684A" w:rsidRPr="000A17D7" w:rsidRDefault="0013684A" w:rsidP="00E531C5">
      <w:pPr>
        <w:jc w:val="both"/>
        <w:rPr>
          <w:rFonts w:ascii="Arial" w:hAnsi="Arial" w:cs="Arial"/>
          <w:sz w:val="18"/>
          <w:szCs w:val="18"/>
        </w:rPr>
      </w:pPr>
      <w:r w:rsidRPr="000A17D7">
        <w:rPr>
          <w:rFonts w:ascii="Arial" w:hAnsi="Arial" w:cs="Arial"/>
          <w:sz w:val="18"/>
          <w:szCs w:val="18"/>
        </w:rPr>
        <w:t xml:space="preserve">Sin embargo, se podrá reconocer como interés minoritario el valor de los instrumentos constitutivos del </w:t>
      </w:r>
      <w:r w:rsidR="00FA2D9F">
        <w:rPr>
          <w:rFonts w:ascii="Arial" w:hAnsi="Arial" w:cs="Arial"/>
          <w:sz w:val="18"/>
          <w:szCs w:val="18"/>
        </w:rPr>
        <w:t>PT</w:t>
      </w:r>
      <w:r w:rsidRPr="000A17D7">
        <w:rPr>
          <w:rFonts w:ascii="Arial" w:hAnsi="Arial" w:cs="Arial"/>
          <w:sz w:val="18"/>
          <w:szCs w:val="18"/>
        </w:rPr>
        <w:t xml:space="preserve"> de la entidad consolidada que sean de propiedad, directa o indirecta, de la(s) controlante(s) de la consolidante, solamente cuando la entidad que realizó la inversión de capital en la consolidada manifieste a la SFC su voluntad de no aplicar la excepción descrita en el ordinal iii del literal b) del artículo 2.1.1.1 .11 del Decreto 2555 de 2010. En </w:t>
      </w:r>
      <w:r w:rsidR="00FA2D9F">
        <w:rPr>
          <w:rFonts w:ascii="Arial" w:hAnsi="Arial" w:cs="Arial"/>
          <w:sz w:val="18"/>
          <w:szCs w:val="18"/>
        </w:rPr>
        <w:t xml:space="preserve">el </w:t>
      </w:r>
      <w:r w:rsidRPr="000A17D7">
        <w:rPr>
          <w:rFonts w:ascii="Arial" w:hAnsi="Arial" w:cs="Arial"/>
          <w:sz w:val="18"/>
          <w:szCs w:val="18"/>
        </w:rPr>
        <w:t xml:space="preserve">caso </w:t>
      </w:r>
      <w:r w:rsidR="00FA2D9F">
        <w:rPr>
          <w:rFonts w:ascii="Arial" w:hAnsi="Arial" w:cs="Arial"/>
          <w:sz w:val="18"/>
          <w:szCs w:val="18"/>
        </w:rPr>
        <w:t xml:space="preserve">en que </w:t>
      </w:r>
      <w:r w:rsidRPr="000A17D7">
        <w:rPr>
          <w:rFonts w:ascii="Arial" w:hAnsi="Arial" w:cs="Arial"/>
          <w:sz w:val="18"/>
          <w:szCs w:val="18"/>
        </w:rPr>
        <w:t>la entidad decida volver a aplicar la excepción</w:t>
      </w:r>
      <w:r w:rsidR="00FA2D9F">
        <w:rPr>
          <w:rFonts w:ascii="Arial" w:hAnsi="Arial" w:cs="Arial"/>
          <w:sz w:val="18"/>
          <w:szCs w:val="18"/>
        </w:rPr>
        <w:t xml:space="preserve"> antes referida</w:t>
      </w:r>
      <w:r w:rsidRPr="000A17D7">
        <w:rPr>
          <w:rFonts w:ascii="Arial" w:hAnsi="Arial" w:cs="Arial"/>
          <w:sz w:val="18"/>
          <w:szCs w:val="18"/>
        </w:rPr>
        <w:t xml:space="preserve">, </w:t>
      </w:r>
      <w:r w:rsidR="00FA2D9F">
        <w:rPr>
          <w:rFonts w:ascii="Arial" w:hAnsi="Arial" w:cs="Arial"/>
          <w:sz w:val="18"/>
          <w:szCs w:val="18"/>
        </w:rPr>
        <w:t xml:space="preserve">esto </w:t>
      </w:r>
      <w:r w:rsidRPr="000A17D7">
        <w:rPr>
          <w:rFonts w:ascii="Arial" w:hAnsi="Arial" w:cs="Arial"/>
          <w:sz w:val="18"/>
          <w:szCs w:val="18"/>
        </w:rPr>
        <w:t>sólo podrá llevarse a cabo un año después de recibida la manifestación inicial y requerirá de la autorización expresa de la SFC.</w:t>
      </w:r>
    </w:p>
    <w:p w:rsidR="0013684A" w:rsidRPr="000A17D7" w:rsidRDefault="0013684A" w:rsidP="0013684A">
      <w:pPr>
        <w:jc w:val="both"/>
        <w:rPr>
          <w:rFonts w:ascii="Arial" w:hAnsi="Arial" w:cs="Arial"/>
          <w:sz w:val="18"/>
          <w:szCs w:val="18"/>
        </w:rPr>
      </w:pPr>
    </w:p>
    <w:p w:rsidR="0013684A" w:rsidRPr="000A17D7" w:rsidRDefault="0013684A" w:rsidP="009D298D">
      <w:pPr>
        <w:pStyle w:val="Prrafodelista"/>
        <w:numPr>
          <w:ilvl w:val="3"/>
          <w:numId w:val="11"/>
        </w:numPr>
        <w:jc w:val="both"/>
        <w:rPr>
          <w:rFonts w:ascii="Arial" w:hAnsi="Arial" w:cs="Arial"/>
          <w:sz w:val="18"/>
          <w:szCs w:val="18"/>
        </w:rPr>
      </w:pPr>
      <w:r w:rsidRPr="000A17D7">
        <w:rPr>
          <w:rFonts w:ascii="Arial" w:hAnsi="Arial" w:cs="Arial"/>
          <w:sz w:val="18"/>
          <w:szCs w:val="18"/>
        </w:rPr>
        <w:t>Se reconoce como interés minoritario en el PBO de la consolidante el valor de:</w:t>
      </w:r>
    </w:p>
    <w:p w:rsidR="0013684A" w:rsidRPr="000A17D7" w:rsidRDefault="0013684A" w:rsidP="0013684A">
      <w:pPr>
        <w:tabs>
          <w:tab w:val="left" w:pos="2608"/>
        </w:tabs>
        <w:jc w:val="both"/>
        <w:rPr>
          <w:rFonts w:ascii="Arial" w:hAnsi="Arial" w:cs="Arial"/>
          <w:sz w:val="18"/>
          <w:szCs w:val="18"/>
        </w:rPr>
      </w:pPr>
    </w:p>
    <w:p w:rsidR="0013684A" w:rsidRPr="000A17D7" w:rsidRDefault="0013684A" w:rsidP="00513595">
      <w:pPr>
        <w:pStyle w:val="Prrafodelista"/>
        <w:numPr>
          <w:ilvl w:val="0"/>
          <w:numId w:val="3"/>
        </w:numPr>
        <w:jc w:val="both"/>
        <w:rPr>
          <w:rFonts w:ascii="Arial" w:hAnsi="Arial" w:cs="Arial"/>
          <w:sz w:val="18"/>
          <w:szCs w:val="18"/>
        </w:rPr>
      </w:pPr>
      <w:r w:rsidRPr="000A17D7">
        <w:rPr>
          <w:rFonts w:ascii="Arial" w:hAnsi="Arial" w:cs="Arial"/>
          <w:sz w:val="18"/>
          <w:szCs w:val="18"/>
        </w:rPr>
        <w:t xml:space="preserve">Las acciones de la entidad consolidada que no sean propiedad, directa o indirecta de la consolidante o controlante(s) de ésta que, de acuerdo con lo establecido en los artículos 2.1.1.1.6, </w:t>
      </w:r>
      <w:r w:rsidR="0002140A">
        <w:rPr>
          <w:rFonts w:ascii="Arial" w:hAnsi="Arial" w:cs="Arial"/>
          <w:sz w:val="18"/>
          <w:szCs w:val="18"/>
        </w:rPr>
        <w:t xml:space="preserve">2.1.1.1.7, </w:t>
      </w:r>
      <w:r w:rsidRPr="000A17D7">
        <w:rPr>
          <w:rFonts w:ascii="Arial" w:hAnsi="Arial" w:cs="Arial"/>
          <w:sz w:val="18"/>
          <w:szCs w:val="18"/>
        </w:rPr>
        <w:t>2.1.1.1.10 y el parágrafo 2 del artículo 2.1.1.1.14 del Decreto 2555 de 2010, se clasifiquen como PBO.</w:t>
      </w:r>
    </w:p>
    <w:p w:rsidR="0013684A" w:rsidRPr="000A17D7" w:rsidRDefault="0013684A" w:rsidP="00513595">
      <w:pPr>
        <w:pStyle w:val="Prrafodelista"/>
        <w:numPr>
          <w:ilvl w:val="0"/>
          <w:numId w:val="3"/>
        </w:numPr>
        <w:jc w:val="both"/>
        <w:rPr>
          <w:rFonts w:ascii="Arial" w:hAnsi="Arial" w:cs="Arial"/>
          <w:sz w:val="18"/>
          <w:szCs w:val="18"/>
        </w:rPr>
      </w:pPr>
      <w:r w:rsidRPr="000A17D7">
        <w:rPr>
          <w:rFonts w:ascii="Arial" w:hAnsi="Arial" w:cs="Arial"/>
          <w:sz w:val="18"/>
          <w:szCs w:val="18"/>
        </w:rPr>
        <w:t>Los dividendos decretados en acciones a las que se refiere el literal</w:t>
      </w:r>
      <w:r w:rsidR="00FA2D9F" w:rsidRPr="00FA2D9F">
        <w:rPr>
          <w:rFonts w:ascii="Arial" w:hAnsi="Arial" w:cs="Arial"/>
          <w:sz w:val="18"/>
          <w:szCs w:val="18"/>
        </w:rPr>
        <w:t xml:space="preserve"> </w:t>
      </w:r>
      <w:r w:rsidR="00FA2D9F" w:rsidRPr="000A17D7">
        <w:rPr>
          <w:rFonts w:ascii="Arial" w:hAnsi="Arial" w:cs="Arial"/>
          <w:sz w:val="18"/>
          <w:szCs w:val="18"/>
        </w:rPr>
        <w:t>anterior</w:t>
      </w:r>
      <w:r w:rsidRPr="000A17D7">
        <w:rPr>
          <w:rFonts w:ascii="Arial" w:hAnsi="Arial" w:cs="Arial"/>
          <w:sz w:val="18"/>
          <w:szCs w:val="18"/>
        </w:rPr>
        <w:t>.</w:t>
      </w:r>
    </w:p>
    <w:p w:rsidR="0013684A" w:rsidRPr="000A17D7" w:rsidRDefault="0013684A" w:rsidP="00513595">
      <w:pPr>
        <w:pStyle w:val="Prrafodelista"/>
        <w:numPr>
          <w:ilvl w:val="0"/>
          <w:numId w:val="3"/>
        </w:numPr>
        <w:jc w:val="both"/>
        <w:rPr>
          <w:rFonts w:ascii="Arial" w:hAnsi="Arial" w:cs="Arial"/>
          <w:sz w:val="18"/>
          <w:szCs w:val="18"/>
        </w:rPr>
      </w:pPr>
      <w:r w:rsidRPr="000A17D7">
        <w:rPr>
          <w:rFonts w:ascii="Arial" w:hAnsi="Arial" w:cs="Arial"/>
          <w:sz w:val="18"/>
          <w:szCs w:val="18"/>
        </w:rPr>
        <w:t>La parte de los demás rubros constitutivos del PBO de la entidad consolidada atribuible a minoritarios.</w:t>
      </w:r>
    </w:p>
    <w:p w:rsidR="0013684A" w:rsidRDefault="0013684A" w:rsidP="00E531C5">
      <w:pPr>
        <w:jc w:val="both"/>
        <w:rPr>
          <w:rFonts w:ascii="Arial" w:hAnsi="Arial" w:cs="Arial"/>
          <w:sz w:val="18"/>
          <w:szCs w:val="18"/>
        </w:rPr>
      </w:pPr>
    </w:p>
    <w:p w:rsidR="0013684A" w:rsidRPr="000A17D7" w:rsidRDefault="0013684A" w:rsidP="009D298D">
      <w:pPr>
        <w:pStyle w:val="Prrafodelista"/>
        <w:numPr>
          <w:ilvl w:val="3"/>
          <w:numId w:val="11"/>
        </w:numPr>
        <w:jc w:val="both"/>
        <w:rPr>
          <w:rFonts w:ascii="Arial" w:hAnsi="Arial" w:cs="Arial"/>
          <w:sz w:val="18"/>
          <w:szCs w:val="18"/>
        </w:rPr>
      </w:pPr>
      <w:r w:rsidRPr="000A17D7">
        <w:rPr>
          <w:rFonts w:ascii="Arial" w:hAnsi="Arial" w:cs="Arial"/>
          <w:sz w:val="18"/>
          <w:szCs w:val="18"/>
        </w:rPr>
        <w:t>Se reconoce como interés minoritario en el PBA de la consolidante el valor correspondiente a:</w:t>
      </w:r>
    </w:p>
    <w:p w:rsidR="0013684A" w:rsidRPr="000A17D7" w:rsidRDefault="0013684A" w:rsidP="00C101B2">
      <w:pPr>
        <w:jc w:val="both"/>
        <w:rPr>
          <w:rFonts w:ascii="Arial" w:hAnsi="Arial" w:cs="Arial"/>
          <w:sz w:val="18"/>
          <w:szCs w:val="18"/>
        </w:rPr>
      </w:pPr>
    </w:p>
    <w:p w:rsidR="0013684A" w:rsidRPr="000A17D7" w:rsidRDefault="0013684A" w:rsidP="00513595">
      <w:pPr>
        <w:pStyle w:val="Prrafodelista"/>
        <w:numPr>
          <w:ilvl w:val="0"/>
          <w:numId w:val="4"/>
        </w:numPr>
        <w:jc w:val="both"/>
        <w:rPr>
          <w:rFonts w:ascii="Arial" w:hAnsi="Arial" w:cs="Arial"/>
          <w:sz w:val="18"/>
          <w:szCs w:val="18"/>
        </w:rPr>
      </w:pPr>
      <w:r w:rsidRPr="000A17D7">
        <w:rPr>
          <w:rFonts w:ascii="Arial" w:hAnsi="Arial" w:cs="Arial"/>
          <w:sz w:val="18"/>
          <w:szCs w:val="18"/>
        </w:rPr>
        <w:t>Las acciones de la entidad co</w:t>
      </w:r>
      <w:r w:rsidR="00CF6537">
        <w:rPr>
          <w:rFonts w:ascii="Arial" w:hAnsi="Arial" w:cs="Arial"/>
          <w:sz w:val="18"/>
          <w:szCs w:val="18"/>
        </w:rPr>
        <w:t>nsolidada que no sean propiedad</w:t>
      </w:r>
      <w:r w:rsidRPr="000A17D7">
        <w:rPr>
          <w:rFonts w:ascii="Arial" w:hAnsi="Arial" w:cs="Arial"/>
          <w:sz w:val="18"/>
          <w:szCs w:val="18"/>
        </w:rPr>
        <w:t xml:space="preserve"> directa o indirecta de la consolidante o controlante(s) de ésta que, de acuerdo con lo establecido en los artículos 2.1.1.1.6, </w:t>
      </w:r>
      <w:r w:rsidR="0002140A">
        <w:rPr>
          <w:rFonts w:ascii="Arial" w:hAnsi="Arial" w:cs="Arial"/>
          <w:sz w:val="18"/>
          <w:szCs w:val="18"/>
        </w:rPr>
        <w:t xml:space="preserve">2.1.1.1.8, </w:t>
      </w:r>
      <w:r w:rsidRPr="000A17D7">
        <w:rPr>
          <w:rFonts w:ascii="Arial" w:hAnsi="Arial" w:cs="Arial"/>
          <w:sz w:val="18"/>
          <w:szCs w:val="18"/>
        </w:rPr>
        <w:t>2.1.1.1.12 y el parágrafo 2 del artículo 2.1.1.1.14</w:t>
      </w:r>
      <w:r w:rsidR="009B338C">
        <w:rPr>
          <w:rFonts w:ascii="Arial" w:hAnsi="Arial" w:cs="Arial"/>
          <w:sz w:val="18"/>
          <w:szCs w:val="18"/>
        </w:rPr>
        <w:t xml:space="preserve"> </w:t>
      </w:r>
      <w:r w:rsidRPr="000A17D7">
        <w:rPr>
          <w:rFonts w:ascii="Arial" w:hAnsi="Arial" w:cs="Arial"/>
          <w:sz w:val="18"/>
          <w:szCs w:val="18"/>
        </w:rPr>
        <w:t>del Decreto 2555 de 2010, se clasifiquen como PBA.</w:t>
      </w:r>
    </w:p>
    <w:p w:rsidR="0013684A" w:rsidRPr="000A17D7" w:rsidRDefault="0013684A" w:rsidP="00513595">
      <w:pPr>
        <w:pStyle w:val="Prrafodelista"/>
        <w:numPr>
          <w:ilvl w:val="0"/>
          <w:numId w:val="4"/>
        </w:numPr>
        <w:jc w:val="both"/>
        <w:rPr>
          <w:rFonts w:ascii="Arial" w:hAnsi="Arial" w:cs="Arial"/>
          <w:sz w:val="18"/>
          <w:szCs w:val="18"/>
        </w:rPr>
      </w:pPr>
      <w:r w:rsidRPr="000A17D7">
        <w:rPr>
          <w:rFonts w:ascii="Arial" w:hAnsi="Arial" w:cs="Arial"/>
          <w:sz w:val="18"/>
          <w:szCs w:val="18"/>
        </w:rPr>
        <w:t>El valor de los dividendos decretados en acciones a las que se refiere el literal</w:t>
      </w:r>
      <w:r w:rsidR="00FA2D9F">
        <w:rPr>
          <w:rFonts w:ascii="Arial" w:hAnsi="Arial" w:cs="Arial"/>
          <w:sz w:val="18"/>
          <w:szCs w:val="18"/>
        </w:rPr>
        <w:t xml:space="preserve"> </w:t>
      </w:r>
      <w:r w:rsidR="00FA2D9F" w:rsidRPr="000A17D7">
        <w:rPr>
          <w:rFonts w:ascii="Arial" w:hAnsi="Arial" w:cs="Arial"/>
          <w:sz w:val="18"/>
          <w:szCs w:val="18"/>
        </w:rPr>
        <w:t>anterior</w:t>
      </w:r>
      <w:r w:rsidRPr="000A17D7">
        <w:rPr>
          <w:rFonts w:ascii="Arial" w:hAnsi="Arial" w:cs="Arial"/>
          <w:sz w:val="18"/>
          <w:szCs w:val="18"/>
        </w:rPr>
        <w:t xml:space="preserve">. </w:t>
      </w:r>
    </w:p>
    <w:p w:rsidR="0013684A" w:rsidRPr="000A17D7" w:rsidRDefault="0013684A" w:rsidP="00513595">
      <w:pPr>
        <w:pStyle w:val="Prrafodelista"/>
        <w:numPr>
          <w:ilvl w:val="0"/>
          <w:numId w:val="4"/>
        </w:numPr>
        <w:jc w:val="both"/>
        <w:rPr>
          <w:rFonts w:ascii="Arial" w:hAnsi="Arial" w:cs="Arial"/>
          <w:sz w:val="18"/>
          <w:szCs w:val="18"/>
        </w:rPr>
      </w:pPr>
      <w:r w:rsidRPr="000A17D7">
        <w:rPr>
          <w:rFonts w:ascii="Arial" w:hAnsi="Arial" w:cs="Arial"/>
          <w:sz w:val="18"/>
          <w:szCs w:val="18"/>
        </w:rPr>
        <w:t>La parte de los demás rubros constitutivos del PBA de la entidad consolidada atribuible a los minoritarios.</w:t>
      </w:r>
    </w:p>
    <w:p w:rsidR="0013684A" w:rsidRPr="000A17D7" w:rsidRDefault="0013684A" w:rsidP="0013684A">
      <w:pPr>
        <w:jc w:val="both"/>
        <w:rPr>
          <w:rFonts w:ascii="Arial" w:hAnsi="Arial" w:cs="Arial"/>
          <w:sz w:val="18"/>
          <w:szCs w:val="18"/>
        </w:rPr>
      </w:pPr>
    </w:p>
    <w:p w:rsidR="0013684A" w:rsidRDefault="0013684A" w:rsidP="009D298D">
      <w:pPr>
        <w:pStyle w:val="Prrafodelista"/>
        <w:numPr>
          <w:ilvl w:val="3"/>
          <w:numId w:val="11"/>
        </w:numPr>
        <w:ind w:left="0" w:hanging="11"/>
        <w:jc w:val="both"/>
        <w:rPr>
          <w:rFonts w:ascii="Arial" w:hAnsi="Arial" w:cs="Arial"/>
          <w:sz w:val="18"/>
          <w:szCs w:val="18"/>
        </w:rPr>
      </w:pPr>
      <w:r w:rsidRPr="000A17D7">
        <w:rPr>
          <w:rFonts w:ascii="Arial" w:hAnsi="Arial" w:cs="Arial"/>
          <w:sz w:val="18"/>
          <w:szCs w:val="18"/>
        </w:rPr>
        <w:t>Se reconoce como interés minoritario en el PA de la consolidante el valor correspondiente a la parte de los demás rubros constitutivos del PA de la entidad consolidada atribuible a los minoritarios (participaciones no controladoras).</w:t>
      </w:r>
    </w:p>
    <w:p w:rsidR="0002140A" w:rsidRPr="002A1090" w:rsidRDefault="0002140A" w:rsidP="002A1090">
      <w:pPr>
        <w:jc w:val="both"/>
        <w:rPr>
          <w:rFonts w:ascii="Arial" w:hAnsi="Arial" w:cs="Arial"/>
          <w:sz w:val="18"/>
          <w:szCs w:val="18"/>
        </w:rPr>
      </w:pPr>
    </w:p>
    <w:p w:rsidR="00F67085" w:rsidRDefault="0002140A" w:rsidP="0013684A">
      <w:pPr>
        <w:jc w:val="both"/>
        <w:rPr>
          <w:rFonts w:ascii="Arial" w:hAnsi="Arial" w:cs="Arial"/>
          <w:sz w:val="18"/>
          <w:szCs w:val="18"/>
        </w:rPr>
      </w:pPr>
      <w:r>
        <w:rPr>
          <w:rFonts w:ascii="Arial" w:hAnsi="Arial" w:cs="Arial"/>
          <w:sz w:val="18"/>
          <w:szCs w:val="18"/>
        </w:rPr>
        <w:t>De conformidad con el artículo 2.1.1.1.14 del Decreto 2555 de 2010, solo se reconocerá el exceso de capital sobre los mínimos regulatorios en aquellas entidades con estándares prudenciales iguales o superiores a los de los establecimientos de crédito en Colombia, que cumplan con los criterios contenidos en los artículos 2.1.1.1.7, 2.1.1.1.8 y 2.1.1.1.9. según sea el caso.</w:t>
      </w:r>
    </w:p>
    <w:p w:rsidR="0002140A" w:rsidRDefault="0002140A" w:rsidP="0013684A">
      <w:pPr>
        <w:jc w:val="both"/>
        <w:rPr>
          <w:rFonts w:ascii="Arial" w:hAnsi="Arial" w:cs="Arial"/>
          <w:sz w:val="18"/>
          <w:szCs w:val="18"/>
        </w:rPr>
      </w:pPr>
    </w:p>
    <w:p w:rsidR="0002140A" w:rsidRPr="000A17D7" w:rsidRDefault="0002140A" w:rsidP="0013684A">
      <w:pPr>
        <w:jc w:val="both"/>
        <w:rPr>
          <w:rFonts w:ascii="Arial" w:hAnsi="Arial" w:cs="Arial"/>
          <w:sz w:val="18"/>
          <w:szCs w:val="18"/>
        </w:rPr>
      </w:pPr>
    </w:p>
    <w:p w:rsidR="0013684A" w:rsidRPr="009D298D" w:rsidRDefault="0000491B" w:rsidP="009D298D">
      <w:pPr>
        <w:pStyle w:val="Prrafodelista"/>
        <w:numPr>
          <w:ilvl w:val="1"/>
          <w:numId w:val="11"/>
        </w:numPr>
        <w:jc w:val="both"/>
        <w:outlineLvl w:val="2"/>
        <w:rPr>
          <w:rFonts w:ascii="Arial" w:hAnsi="Arial" w:cs="Arial"/>
          <w:b/>
          <w:sz w:val="18"/>
          <w:szCs w:val="18"/>
        </w:rPr>
      </w:pPr>
      <w:bookmarkStart w:id="5" w:name="_Toc354995213"/>
      <w:r w:rsidRPr="009D298D">
        <w:rPr>
          <w:rFonts w:ascii="Arial" w:hAnsi="Arial" w:cs="Arial"/>
          <w:b/>
          <w:sz w:val="18"/>
          <w:szCs w:val="18"/>
        </w:rPr>
        <w:t>Activos Ponderados por Nivel de Riesgo</w:t>
      </w:r>
      <w:r w:rsidR="00136C4B" w:rsidRPr="009D298D">
        <w:rPr>
          <w:rFonts w:ascii="Arial" w:hAnsi="Arial" w:cs="Arial"/>
          <w:b/>
          <w:sz w:val="18"/>
          <w:szCs w:val="18"/>
        </w:rPr>
        <w:t xml:space="preserve"> Cre</w:t>
      </w:r>
      <w:r w:rsidR="00D41C7E" w:rsidRPr="009D298D">
        <w:rPr>
          <w:rFonts w:ascii="Arial" w:hAnsi="Arial" w:cs="Arial"/>
          <w:b/>
          <w:sz w:val="18"/>
          <w:szCs w:val="18"/>
        </w:rPr>
        <w:t>dit</w:t>
      </w:r>
      <w:r w:rsidR="00136C4B" w:rsidRPr="009D298D">
        <w:rPr>
          <w:rFonts w:ascii="Arial" w:hAnsi="Arial" w:cs="Arial"/>
          <w:b/>
          <w:sz w:val="18"/>
          <w:szCs w:val="18"/>
        </w:rPr>
        <w:t>ici</w:t>
      </w:r>
      <w:r w:rsidR="00D41C7E" w:rsidRPr="009D298D">
        <w:rPr>
          <w:rFonts w:ascii="Arial" w:hAnsi="Arial" w:cs="Arial"/>
          <w:b/>
          <w:sz w:val="18"/>
          <w:szCs w:val="18"/>
        </w:rPr>
        <w:t>o</w:t>
      </w:r>
      <w:r w:rsidRPr="009D298D">
        <w:rPr>
          <w:rFonts w:ascii="Arial" w:hAnsi="Arial" w:cs="Arial"/>
          <w:b/>
          <w:sz w:val="18"/>
          <w:szCs w:val="18"/>
        </w:rPr>
        <w:t xml:space="preserve"> (</w:t>
      </w:r>
      <w:r w:rsidR="0013684A" w:rsidRPr="009D298D">
        <w:rPr>
          <w:rFonts w:ascii="Arial" w:hAnsi="Arial" w:cs="Arial"/>
          <w:b/>
          <w:sz w:val="18"/>
          <w:szCs w:val="18"/>
        </w:rPr>
        <w:t>APNR</w:t>
      </w:r>
      <w:bookmarkEnd w:id="5"/>
      <w:r w:rsidRPr="009D298D">
        <w:rPr>
          <w:rFonts w:ascii="Arial" w:hAnsi="Arial" w:cs="Arial"/>
          <w:b/>
          <w:sz w:val="18"/>
          <w:szCs w:val="18"/>
        </w:rPr>
        <w:t>)</w:t>
      </w:r>
    </w:p>
    <w:p w:rsidR="0013684A" w:rsidRPr="000A17D7" w:rsidRDefault="0013684A" w:rsidP="0013684A">
      <w:pPr>
        <w:jc w:val="both"/>
        <w:rPr>
          <w:rFonts w:ascii="Arial" w:hAnsi="Arial" w:cs="Arial"/>
          <w:sz w:val="18"/>
          <w:szCs w:val="18"/>
        </w:rPr>
      </w:pPr>
    </w:p>
    <w:p w:rsidR="00690761" w:rsidRDefault="00690761" w:rsidP="00366BE0">
      <w:pPr>
        <w:jc w:val="both"/>
        <w:rPr>
          <w:rFonts w:ascii="Arial" w:hAnsi="Arial" w:cs="Arial"/>
          <w:sz w:val="18"/>
          <w:szCs w:val="18"/>
        </w:rPr>
      </w:pPr>
      <w:r>
        <w:rPr>
          <w:rFonts w:ascii="Arial" w:hAnsi="Arial" w:cs="Arial"/>
          <w:sz w:val="18"/>
          <w:szCs w:val="18"/>
        </w:rPr>
        <w:t xml:space="preserve">Las entidades vigiladas deben contar con políticas, procesos, sistemas y controles internos eficaces para garantizar que </w:t>
      </w:r>
      <w:r w:rsidR="00F62D46">
        <w:rPr>
          <w:rFonts w:ascii="Arial" w:hAnsi="Arial" w:cs="Arial"/>
          <w:sz w:val="18"/>
          <w:szCs w:val="18"/>
        </w:rPr>
        <w:t xml:space="preserve">le </w:t>
      </w:r>
      <w:r>
        <w:rPr>
          <w:rFonts w:ascii="Arial" w:hAnsi="Arial" w:cs="Arial"/>
          <w:sz w:val="18"/>
          <w:szCs w:val="18"/>
        </w:rPr>
        <w:t xml:space="preserve">asignan </w:t>
      </w:r>
      <w:r w:rsidR="00CF6537">
        <w:rPr>
          <w:rFonts w:ascii="Arial" w:hAnsi="Arial" w:cs="Arial"/>
          <w:sz w:val="18"/>
          <w:szCs w:val="18"/>
        </w:rPr>
        <w:t xml:space="preserve">a cada contraparte </w:t>
      </w:r>
      <w:r w:rsidR="005A72F1">
        <w:rPr>
          <w:rFonts w:ascii="Arial" w:hAnsi="Arial" w:cs="Arial"/>
          <w:sz w:val="18"/>
          <w:szCs w:val="18"/>
        </w:rPr>
        <w:t>la</w:t>
      </w:r>
      <w:r w:rsidR="00F62D46">
        <w:rPr>
          <w:rFonts w:ascii="Arial" w:hAnsi="Arial" w:cs="Arial"/>
          <w:sz w:val="18"/>
          <w:szCs w:val="18"/>
        </w:rPr>
        <w:t xml:space="preserve"> </w:t>
      </w:r>
      <w:r w:rsidR="005A72F1">
        <w:rPr>
          <w:rFonts w:ascii="Arial" w:hAnsi="Arial" w:cs="Arial"/>
          <w:sz w:val="18"/>
          <w:szCs w:val="18"/>
        </w:rPr>
        <w:t>ponderación adecuada</w:t>
      </w:r>
      <w:r>
        <w:rPr>
          <w:rFonts w:ascii="Arial" w:hAnsi="Arial" w:cs="Arial"/>
          <w:sz w:val="18"/>
          <w:szCs w:val="18"/>
        </w:rPr>
        <w:t xml:space="preserve"> </w:t>
      </w:r>
      <w:r w:rsidR="00F62D46">
        <w:rPr>
          <w:rFonts w:ascii="Arial" w:hAnsi="Arial" w:cs="Arial"/>
          <w:sz w:val="18"/>
          <w:szCs w:val="18"/>
        </w:rPr>
        <w:t>por riesgo crediticio</w:t>
      </w:r>
      <w:r>
        <w:rPr>
          <w:rFonts w:ascii="Arial" w:hAnsi="Arial" w:cs="Arial"/>
          <w:sz w:val="18"/>
          <w:szCs w:val="18"/>
        </w:rPr>
        <w:t>.</w:t>
      </w:r>
    </w:p>
    <w:p w:rsidR="00690761" w:rsidRDefault="00690761" w:rsidP="00366BE0">
      <w:pPr>
        <w:jc w:val="both"/>
        <w:rPr>
          <w:rFonts w:ascii="Arial" w:hAnsi="Arial" w:cs="Arial"/>
          <w:sz w:val="18"/>
          <w:szCs w:val="18"/>
        </w:rPr>
      </w:pPr>
    </w:p>
    <w:p w:rsidR="00366BE0" w:rsidRPr="008B4776" w:rsidRDefault="00366BE0" w:rsidP="00366BE0">
      <w:pPr>
        <w:jc w:val="both"/>
        <w:rPr>
          <w:rFonts w:ascii="Arial" w:hAnsi="Arial" w:cs="Arial"/>
          <w:sz w:val="18"/>
          <w:szCs w:val="18"/>
        </w:rPr>
      </w:pPr>
      <w:r w:rsidRPr="008B4776">
        <w:rPr>
          <w:rFonts w:ascii="Arial" w:hAnsi="Arial" w:cs="Arial"/>
          <w:sz w:val="18"/>
          <w:szCs w:val="18"/>
        </w:rPr>
        <w:t>Para el cálculo de los activos</w:t>
      </w:r>
      <w:r w:rsidR="00E343C8">
        <w:rPr>
          <w:rFonts w:ascii="Arial" w:hAnsi="Arial" w:cs="Arial"/>
          <w:sz w:val="18"/>
          <w:szCs w:val="18"/>
        </w:rPr>
        <w:t>, exposiciones y contingencias</w:t>
      </w:r>
      <w:r w:rsidRPr="008B4776">
        <w:rPr>
          <w:rFonts w:ascii="Arial" w:hAnsi="Arial" w:cs="Arial"/>
          <w:sz w:val="18"/>
          <w:szCs w:val="18"/>
        </w:rPr>
        <w:t xml:space="preserve"> que pondera</w:t>
      </w:r>
      <w:r w:rsidR="0000491B">
        <w:rPr>
          <w:rFonts w:ascii="Arial" w:hAnsi="Arial" w:cs="Arial"/>
          <w:sz w:val="18"/>
          <w:szCs w:val="18"/>
        </w:rPr>
        <w:t>n</w:t>
      </w:r>
      <w:r w:rsidRPr="008B4776">
        <w:rPr>
          <w:rFonts w:ascii="Arial" w:hAnsi="Arial" w:cs="Arial"/>
          <w:sz w:val="18"/>
          <w:szCs w:val="18"/>
        </w:rPr>
        <w:t xml:space="preserve"> por nivel de riesgo</w:t>
      </w:r>
      <w:r w:rsidR="00E83821">
        <w:rPr>
          <w:rFonts w:ascii="Arial" w:hAnsi="Arial" w:cs="Arial"/>
          <w:sz w:val="18"/>
          <w:szCs w:val="18"/>
        </w:rPr>
        <w:t xml:space="preserve"> crediticio</w:t>
      </w:r>
      <w:r w:rsidR="00CF6537">
        <w:rPr>
          <w:rFonts w:ascii="Arial" w:hAnsi="Arial" w:cs="Arial"/>
          <w:sz w:val="18"/>
          <w:szCs w:val="18"/>
        </w:rPr>
        <w:t>,</w:t>
      </w:r>
      <w:r w:rsidRPr="008B4776">
        <w:rPr>
          <w:rFonts w:ascii="Arial" w:hAnsi="Arial" w:cs="Arial"/>
          <w:sz w:val="18"/>
          <w:szCs w:val="18"/>
        </w:rPr>
        <w:t xml:space="preserve"> </w:t>
      </w:r>
      <w:r w:rsidR="00F62D46">
        <w:rPr>
          <w:rFonts w:ascii="Arial" w:hAnsi="Arial" w:cs="Arial"/>
          <w:sz w:val="18"/>
          <w:szCs w:val="18"/>
        </w:rPr>
        <w:t xml:space="preserve">las entidades </w:t>
      </w:r>
      <w:r>
        <w:rPr>
          <w:rFonts w:ascii="Arial" w:hAnsi="Arial" w:cs="Arial"/>
          <w:sz w:val="18"/>
          <w:szCs w:val="18"/>
        </w:rPr>
        <w:t>debe</w:t>
      </w:r>
      <w:r w:rsidR="009D4BA3">
        <w:rPr>
          <w:rFonts w:ascii="Arial" w:hAnsi="Arial" w:cs="Arial"/>
          <w:sz w:val="18"/>
          <w:szCs w:val="18"/>
        </w:rPr>
        <w:t>n</w:t>
      </w:r>
      <w:r>
        <w:rPr>
          <w:rFonts w:ascii="Arial" w:hAnsi="Arial" w:cs="Arial"/>
          <w:sz w:val="18"/>
          <w:szCs w:val="18"/>
        </w:rPr>
        <w:t xml:space="preserve"> tener en cuenta las instrucciones</w:t>
      </w:r>
      <w:r w:rsidR="000C6F6D">
        <w:rPr>
          <w:rFonts w:ascii="Arial" w:hAnsi="Arial" w:cs="Arial"/>
          <w:sz w:val="18"/>
          <w:szCs w:val="18"/>
        </w:rPr>
        <w:t xml:space="preserve"> del</w:t>
      </w:r>
      <w:r>
        <w:rPr>
          <w:rFonts w:ascii="Arial" w:hAnsi="Arial" w:cs="Arial"/>
          <w:sz w:val="18"/>
          <w:szCs w:val="18"/>
        </w:rPr>
        <w:t xml:space="preserve"> </w:t>
      </w:r>
      <w:r w:rsidR="00B04C44" w:rsidRPr="00B04C44">
        <w:rPr>
          <w:rFonts w:ascii="Arial" w:hAnsi="Arial" w:cs="Arial"/>
          <w:sz w:val="18"/>
          <w:szCs w:val="18"/>
        </w:rPr>
        <w:t>Formato 239 (Proforma F.1000-141</w:t>
      </w:r>
      <w:r w:rsidR="00CF6537">
        <w:rPr>
          <w:rFonts w:ascii="Arial" w:hAnsi="Arial" w:cs="Arial"/>
          <w:sz w:val="18"/>
          <w:szCs w:val="18"/>
        </w:rPr>
        <w:t>)</w:t>
      </w:r>
      <w:r w:rsidR="00B04C44" w:rsidRPr="00B04C44">
        <w:rPr>
          <w:rFonts w:ascii="Arial" w:hAnsi="Arial" w:cs="Arial"/>
          <w:sz w:val="18"/>
          <w:szCs w:val="18"/>
        </w:rPr>
        <w:t xml:space="preserve"> “Reporte de Información de Margen de Solvencia y Otros Requerimientos de Patrimonio y Declaración del Control de Ley Margen de Solvencia”</w:t>
      </w:r>
      <w:r w:rsidR="00F62D46">
        <w:rPr>
          <w:rFonts w:ascii="Arial" w:hAnsi="Arial" w:cs="Arial"/>
          <w:sz w:val="18"/>
          <w:szCs w:val="18"/>
        </w:rPr>
        <w:t>, las de su correspondiente instructivo</w:t>
      </w:r>
      <w:r>
        <w:rPr>
          <w:rFonts w:ascii="Arial" w:hAnsi="Arial" w:cs="Arial"/>
          <w:sz w:val="18"/>
          <w:szCs w:val="18"/>
        </w:rPr>
        <w:t xml:space="preserve"> y las </w:t>
      </w:r>
      <w:r w:rsidR="0000491B">
        <w:rPr>
          <w:rFonts w:ascii="Arial" w:hAnsi="Arial" w:cs="Arial"/>
          <w:sz w:val="18"/>
          <w:szCs w:val="18"/>
        </w:rPr>
        <w:t xml:space="preserve">que se señalan </w:t>
      </w:r>
      <w:r>
        <w:rPr>
          <w:rFonts w:ascii="Arial" w:hAnsi="Arial" w:cs="Arial"/>
          <w:sz w:val="18"/>
          <w:szCs w:val="18"/>
        </w:rPr>
        <w:t>a continuación:</w:t>
      </w:r>
    </w:p>
    <w:p w:rsidR="0013684A" w:rsidRPr="000A17D7" w:rsidRDefault="0013684A" w:rsidP="0013684A">
      <w:pPr>
        <w:jc w:val="both"/>
        <w:rPr>
          <w:rFonts w:ascii="Arial" w:hAnsi="Arial" w:cs="Arial"/>
          <w:sz w:val="18"/>
          <w:szCs w:val="18"/>
          <w:highlight w:val="yellow"/>
        </w:rPr>
      </w:pPr>
    </w:p>
    <w:p w:rsidR="006143C7" w:rsidRPr="006E2C05" w:rsidRDefault="009431D9" w:rsidP="006E2C05">
      <w:pPr>
        <w:pStyle w:val="Prrafodelista"/>
        <w:numPr>
          <w:ilvl w:val="2"/>
          <w:numId w:val="37"/>
        </w:numPr>
        <w:jc w:val="both"/>
        <w:outlineLvl w:val="2"/>
        <w:rPr>
          <w:rFonts w:ascii="Arial" w:hAnsi="Arial" w:cs="Arial"/>
          <w:sz w:val="18"/>
          <w:szCs w:val="18"/>
        </w:rPr>
      </w:pPr>
      <w:r w:rsidRPr="006E2C05">
        <w:rPr>
          <w:rFonts w:ascii="Arial" w:hAnsi="Arial" w:cs="Arial"/>
          <w:sz w:val="18"/>
          <w:szCs w:val="18"/>
        </w:rPr>
        <w:t xml:space="preserve">Reconocimiento de </w:t>
      </w:r>
      <w:r w:rsidR="00D14B36" w:rsidRPr="006E2C05">
        <w:rPr>
          <w:rFonts w:ascii="Arial" w:hAnsi="Arial" w:cs="Arial"/>
          <w:sz w:val="18"/>
          <w:szCs w:val="18"/>
        </w:rPr>
        <w:t xml:space="preserve">las provisiones individuales y de </w:t>
      </w:r>
      <w:r w:rsidRPr="006E2C05">
        <w:rPr>
          <w:rFonts w:ascii="Arial" w:hAnsi="Arial" w:cs="Arial"/>
          <w:sz w:val="18"/>
          <w:szCs w:val="18"/>
        </w:rPr>
        <w:t xml:space="preserve">las </w:t>
      </w:r>
      <w:r w:rsidR="00D07E8E" w:rsidRPr="006E2C05">
        <w:rPr>
          <w:rFonts w:ascii="Arial" w:hAnsi="Arial" w:cs="Arial"/>
          <w:sz w:val="18"/>
          <w:szCs w:val="18"/>
        </w:rPr>
        <w:t xml:space="preserve">garantías </w:t>
      </w:r>
      <w:r w:rsidR="007F6C9C" w:rsidRPr="006E2C05">
        <w:rPr>
          <w:rFonts w:ascii="Arial" w:hAnsi="Arial" w:cs="Arial"/>
          <w:sz w:val="18"/>
          <w:szCs w:val="18"/>
        </w:rPr>
        <w:t>diferentes a las in</w:t>
      </w:r>
      <w:r w:rsidR="00D14B36" w:rsidRPr="006E2C05">
        <w:rPr>
          <w:rFonts w:ascii="Arial" w:hAnsi="Arial" w:cs="Arial"/>
          <w:sz w:val="18"/>
          <w:szCs w:val="18"/>
        </w:rPr>
        <w:t>mobiliarias</w:t>
      </w:r>
    </w:p>
    <w:p w:rsidR="00050AFE" w:rsidRPr="000A17D7" w:rsidRDefault="00050AFE" w:rsidP="009431D9">
      <w:pPr>
        <w:jc w:val="both"/>
        <w:rPr>
          <w:rFonts w:ascii="Arial" w:hAnsi="Arial" w:cs="Arial"/>
          <w:sz w:val="18"/>
          <w:szCs w:val="18"/>
        </w:rPr>
      </w:pPr>
    </w:p>
    <w:p w:rsidR="00440239" w:rsidRPr="000A17D7" w:rsidRDefault="00BF6B79" w:rsidP="009431D9">
      <w:pPr>
        <w:jc w:val="both"/>
        <w:rPr>
          <w:rFonts w:ascii="Arial" w:hAnsi="Arial" w:cs="Arial"/>
          <w:sz w:val="18"/>
          <w:szCs w:val="18"/>
        </w:rPr>
      </w:pPr>
      <w:r>
        <w:rPr>
          <w:rFonts w:ascii="Arial" w:hAnsi="Arial" w:cs="Arial"/>
          <w:sz w:val="18"/>
          <w:szCs w:val="18"/>
        </w:rPr>
        <w:t>Todo</w:t>
      </w:r>
      <w:r w:rsidR="00072650" w:rsidRPr="000A17D7">
        <w:rPr>
          <w:rFonts w:ascii="Arial" w:hAnsi="Arial" w:cs="Arial"/>
          <w:sz w:val="18"/>
          <w:szCs w:val="18"/>
        </w:rPr>
        <w:t xml:space="preserve">s los activos </w:t>
      </w:r>
      <w:r w:rsidR="009E5413" w:rsidRPr="000A17D7">
        <w:rPr>
          <w:rFonts w:ascii="Arial" w:hAnsi="Arial" w:cs="Arial"/>
          <w:sz w:val="18"/>
          <w:szCs w:val="18"/>
        </w:rPr>
        <w:t>sujetos a riesgo de crédito se</w:t>
      </w:r>
      <w:r w:rsidR="007F6C9C">
        <w:rPr>
          <w:rFonts w:ascii="Arial" w:hAnsi="Arial" w:cs="Arial"/>
          <w:sz w:val="18"/>
          <w:szCs w:val="18"/>
        </w:rPr>
        <w:t xml:space="preserve"> deben calcular</w:t>
      </w:r>
      <w:r w:rsidR="009E5413" w:rsidRPr="000A17D7">
        <w:rPr>
          <w:rFonts w:ascii="Arial" w:hAnsi="Arial" w:cs="Arial"/>
          <w:sz w:val="18"/>
          <w:szCs w:val="18"/>
        </w:rPr>
        <w:t xml:space="preserve"> neto</w:t>
      </w:r>
      <w:r w:rsidR="007F6C9C">
        <w:rPr>
          <w:rFonts w:ascii="Arial" w:hAnsi="Arial" w:cs="Arial"/>
          <w:sz w:val="18"/>
          <w:szCs w:val="18"/>
        </w:rPr>
        <w:t>s</w:t>
      </w:r>
      <w:r w:rsidR="009E5413" w:rsidRPr="000A17D7">
        <w:rPr>
          <w:rFonts w:ascii="Arial" w:hAnsi="Arial" w:cs="Arial"/>
          <w:sz w:val="18"/>
          <w:szCs w:val="18"/>
        </w:rPr>
        <w:t xml:space="preserve"> de provisiones</w:t>
      </w:r>
      <w:r w:rsidR="00042078" w:rsidRPr="000A17D7">
        <w:rPr>
          <w:rFonts w:ascii="Arial" w:hAnsi="Arial" w:cs="Arial"/>
          <w:sz w:val="18"/>
          <w:szCs w:val="18"/>
        </w:rPr>
        <w:t xml:space="preserve"> de carácter individual</w:t>
      </w:r>
      <w:r w:rsidR="00A85572" w:rsidRPr="000A17D7">
        <w:rPr>
          <w:rFonts w:ascii="Arial" w:hAnsi="Arial" w:cs="Arial"/>
          <w:sz w:val="18"/>
          <w:szCs w:val="18"/>
        </w:rPr>
        <w:t xml:space="preserve"> y de las garantías </w:t>
      </w:r>
      <w:r w:rsidR="007F6C9C">
        <w:rPr>
          <w:rFonts w:ascii="Arial" w:hAnsi="Arial" w:cs="Arial"/>
          <w:sz w:val="18"/>
          <w:szCs w:val="18"/>
        </w:rPr>
        <w:t xml:space="preserve">diferentes </w:t>
      </w:r>
      <w:r w:rsidR="005947AD">
        <w:rPr>
          <w:rFonts w:ascii="Arial" w:hAnsi="Arial" w:cs="Arial"/>
          <w:sz w:val="18"/>
          <w:szCs w:val="18"/>
        </w:rPr>
        <w:t>de</w:t>
      </w:r>
      <w:r w:rsidR="007F6C9C">
        <w:rPr>
          <w:rFonts w:ascii="Arial" w:hAnsi="Arial" w:cs="Arial"/>
          <w:sz w:val="18"/>
          <w:szCs w:val="18"/>
        </w:rPr>
        <w:t xml:space="preserve"> las in</w:t>
      </w:r>
      <w:r w:rsidR="00103F32" w:rsidRPr="000A17D7">
        <w:rPr>
          <w:rFonts w:ascii="Arial" w:hAnsi="Arial" w:cs="Arial"/>
          <w:sz w:val="18"/>
          <w:szCs w:val="18"/>
        </w:rPr>
        <w:t xml:space="preserve">mobiliarias </w:t>
      </w:r>
      <w:r w:rsidR="008C521F" w:rsidRPr="000A17D7">
        <w:rPr>
          <w:rFonts w:ascii="Arial" w:hAnsi="Arial" w:cs="Arial"/>
          <w:sz w:val="18"/>
          <w:szCs w:val="18"/>
        </w:rPr>
        <w:t>conforme la siguiente</w:t>
      </w:r>
      <w:r w:rsidR="00440239" w:rsidRPr="000A17D7">
        <w:rPr>
          <w:rFonts w:ascii="Arial" w:hAnsi="Arial" w:cs="Arial"/>
          <w:sz w:val="18"/>
          <w:szCs w:val="18"/>
        </w:rPr>
        <w:t xml:space="preserve"> fórmula:</w:t>
      </w:r>
    </w:p>
    <w:p w:rsidR="00DD07F9" w:rsidRPr="00DD07F9" w:rsidRDefault="00DD07F9" w:rsidP="009431D9">
      <w:pPr>
        <w:jc w:val="both"/>
        <w:rPr>
          <w:rFonts w:ascii="Arial" w:hAnsi="Arial" w:cs="Arial"/>
          <w:sz w:val="8"/>
          <w:szCs w:val="8"/>
        </w:rPr>
      </w:pPr>
    </w:p>
    <w:p w:rsidR="00440239" w:rsidRPr="000A17D7" w:rsidRDefault="00546722" w:rsidP="009431D9">
      <w:pPr>
        <w:jc w:val="both"/>
        <w:rPr>
          <w:rFonts w:ascii="Arial" w:hAnsi="Arial" w:cs="Arial"/>
          <w:sz w:val="18"/>
          <w:szCs w:val="18"/>
        </w:rPr>
      </w:pPr>
      <m:oMathPara>
        <m:oMath>
          <m:r>
            <w:rPr>
              <w:rFonts w:ascii="Cambria Math" w:hAnsi="Cambria Math" w:cs="Arial"/>
              <w:sz w:val="18"/>
              <w:szCs w:val="18"/>
            </w:rPr>
            <w:lastRenderedPageBreak/>
            <m:t>E=</m:t>
          </m:r>
          <m:d>
            <m:dPr>
              <m:ctrlPr>
                <w:rPr>
                  <w:rFonts w:ascii="Cambria Math" w:hAnsi="Cambria Math" w:cs="Arial"/>
                  <w:i/>
                  <w:sz w:val="18"/>
                  <w:szCs w:val="18"/>
                </w:rPr>
              </m:ctrlPr>
            </m:dPr>
            <m:e>
              <m:r>
                <w:rPr>
                  <w:rFonts w:ascii="Cambria Math" w:hAnsi="Cambria Math" w:cs="Arial"/>
                  <w:sz w:val="18"/>
                  <w:szCs w:val="18"/>
                </w:rPr>
                <m:t>A*</m:t>
              </m:r>
              <m:d>
                <m:dPr>
                  <m:ctrlPr>
                    <w:rPr>
                      <w:rFonts w:ascii="Cambria Math" w:hAnsi="Cambria Math" w:cs="Arial"/>
                      <w:i/>
                      <w:sz w:val="18"/>
                      <w:szCs w:val="18"/>
                    </w:rPr>
                  </m:ctrlPr>
                </m:dPr>
                <m:e>
                  <m:r>
                    <w:rPr>
                      <w:rFonts w:ascii="Cambria Math" w:hAnsi="Cambria Math" w:cs="Arial"/>
                      <w:sz w:val="18"/>
                      <w:szCs w:val="18"/>
                    </w:rPr>
                    <m:t>1+Fa</m:t>
                  </m:r>
                </m:e>
              </m:d>
            </m:e>
          </m:d>
          <m:r>
            <w:rPr>
              <w:rFonts w:ascii="Cambria Math" w:hAnsi="Cambria Math" w:cs="Arial"/>
              <w:sz w:val="18"/>
              <w:szCs w:val="18"/>
            </w:rPr>
            <m:t>-</m:t>
          </m:r>
          <m:d>
            <m:dPr>
              <m:ctrlPr>
                <w:rPr>
                  <w:rFonts w:ascii="Cambria Math" w:hAnsi="Cambria Math" w:cs="Arial"/>
                  <w:i/>
                  <w:sz w:val="18"/>
                  <w:szCs w:val="18"/>
                </w:rPr>
              </m:ctrlPr>
            </m:dPr>
            <m:e>
              <m:r>
                <w:rPr>
                  <w:rFonts w:ascii="Cambria Math" w:hAnsi="Cambria Math" w:cs="Arial"/>
                  <w:sz w:val="18"/>
                  <w:szCs w:val="18"/>
                </w:rPr>
                <m:t>G*</m:t>
              </m:r>
              <m:d>
                <m:dPr>
                  <m:ctrlPr>
                    <w:rPr>
                      <w:rFonts w:ascii="Cambria Math" w:hAnsi="Cambria Math" w:cs="Arial"/>
                      <w:i/>
                      <w:sz w:val="18"/>
                      <w:szCs w:val="18"/>
                    </w:rPr>
                  </m:ctrlPr>
                </m:dPr>
                <m:e>
                  <m:r>
                    <w:rPr>
                      <w:rFonts w:ascii="Cambria Math" w:hAnsi="Cambria Math" w:cs="Arial"/>
                      <w:sz w:val="18"/>
                      <w:szCs w:val="18"/>
                    </w:rPr>
                    <m:t>1-Fg-Fc</m:t>
                  </m:r>
                </m:e>
              </m:d>
            </m:e>
          </m:d>
        </m:oMath>
      </m:oMathPara>
    </w:p>
    <w:p w:rsidR="00D91DD1" w:rsidRDefault="00D91DD1" w:rsidP="009431D9">
      <w:pPr>
        <w:jc w:val="both"/>
        <w:rPr>
          <w:rFonts w:ascii="Arial" w:hAnsi="Arial" w:cs="Arial"/>
          <w:sz w:val="18"/>
          <w:szCs w:val="18"/>
        </w:rPr>
      </w:pPr>
      <w:r w:rsidRPr="000A17D7">
        <w:rPr>
          <w:rFonts w:ascii="Arial" w:hAnsi="Arial" w:cs="Arial"/>
          <w:sz w:val="18"/>
          <w:szCs w:val="18"/>
        </w:rPr>
        <w:t>Donde:</w:t>
      </w:r>
    </w:p>
    <w:p w:rsidR="00DD07F9" w:rsidRPr="000A17D7" w:rsidRDefault="00DD07F9" w:rsidP="009431D9">
      <w:pPr>
        <w:jc w:val="both"/>
        <w:rPr>
          <w:rFonts w:ascii="Arial" w:hAnsi="Arial" w:cs="Arial"/>
          <w:sz w:val="18"/>
          <w:szCs w:val="18"/>
        </w:rPr>
      </w:pPr>
    </w:p>
    <w:p w:rsidR="00D91DD1" w:rsidRPr="000A17D7" w:rsidRDefault="00D91DD1" w:rsidP="009431D9">
      <w:pPr>
        <w:jc w:val="both"/>
        <w:rPr>
          <w:rFonts w:ascii="Arial" w:hAnsi="Arial" w:cs="Arial"/>
          <w:sz w:val="18"/>
          <w:szCs w:val="18"/>
        </w:rPr>
      </w:pPr>
      <w:r w:rsidRPr="000A17D7">
        <w:rPr>
          <w:rFonts w:ascii="Arial" w:hAnsi="Arial" w:cs="Arial"/>
          <w:sz w:val="18"/>
          <w:szCs w:val="18"/>
        </w:rPr>
        <w:t>E</w:t>
      </w:r>
      <w:r w:rsidR="00CF6537">
        <w:rPr>
          <w:rFonts w:ascii="Arial" w:hAnsi="Arial" w:cs="Arial"/>
          <w:sz w:val="18"/>
          <w:szCs w:val="18"/>
        </w:rPr>
        <w:t>=</w:t>
      </w:r>
      <w:r w:rsidR="000D32D1">
        <w:rPr>
          <w:rFonts w:ascii="Arial" w:hAnsi="Arial" w:cs="Arial"/>
          <w:sz w:val="18"/>
          <w:szCs w:val="18"/>
        </w:rPr>
        <w:t xml:space="preserve"> </w:t>
      </w:r>
      <w:r w:rsidRPr="000A17D7">
        <w:rPr>
          <w:rFonts w:ascii="Arial" w:hAnsi="Arial" w:cs="Arial"/>
          <w:sz w:val="18"/>
          <w:szCs w:val="18"/>
        </w:rPr>
        <w:t>Valor de exposición del activo</w:t>
      </w:r>
    </w:p>
    <w:p w:rsidR="00D91DD1" w:rsidRPr="000A17D7" w:rsidRDefault="00D91DD1" w:rsidP="009431D9">
      <w:pPr>
        <w:jc w:val="both"/>
        <w:rPr>
          <w:rFonts w:ascii="Arial" w:hAnsi="Arial" w:cs="Arial"/>
          <w:sz w:val="18"/>
          <w:szCs w:val="18"/>
        </w:rPr>
      </w:pPr>
      <w:r w:rsidRPr="000A17D7">
        <w:rPr>
          <w:rFonts w:ascii="Arial" w:hAnsi="Arial" w:cs="Arial"/>
          <w:sz w:val="18"/>
          <w:szCs w:val="18"/>
        </w:rPr>
        <w:t>A</w:t>
      </w:r>
      <w:r w:rsidR="00CF6537">
        <w:rPr>
          <w:rFonts w:ascii="Arial" w:hAnsi="Arial" w:cs="Arial"/>
          <w:sz w:val="18"/>
          <w:szCs w:val="18"/>
        </w:rPr>
        <w:t>=</w:t>
      </w:r>
      <w:r w:rsidR="000D32D1">
        <w:rPr>
          <w:rFonts w:ascii="Arial" w:hAnsi="Arial" w:cs="Arial"/>
          <w:sz w:val="18"/>
          <w:szCs w:val="18"/>
        </w:rPr>
        <w:t xml:space="preserve"> </w:t>
      </w:r>
      <w:r w:rsidRPr="000A17D7">
        <w:rPr>
          <w:rFonts w:ascii="Arial" w:hAnsi="Arial" w:cs="Arial"/>
          <w:sz w:val="18"/>
          <w:szCs w:val="18"/>
        </w:rPr>
        <w:t>Valor del activo neto de provisiones</w:t>
      </w:r>
    </w:p>
    <w:p w:rsidR="00D91DD1" w:rsidRPr="000A17D7" w:rsidRDefault="00D91DD1" w:rsidP="009431D9">
      <w:pPr>
        <w:jc w:val="both"/>
        <w:rPr>
          <w:rFonts w:ascii="Arial" w:hAnsi="Arial" w:cs="Arial"/>
          <w:sz w:val="18"/>
          <w:szCs w:val="18"/>
        </w:rPr>
      </w:pPr>
      <w:r w:rsidRPr="000A17D7">
        <w:rPr>
          <w:rFonts w:ascii="Arial" w:hAnsi="Arial" w:cs="Arial"/>
          <w:sz w:val="18"/>
          <w:szCs w:val="18"/>
        </w:rPr>
        <w:t>Fa</w:t>
      </w:r>
      <w:r w:rsidR="00CF6537">
        <w:rPr>
          <w:rFonts w:ascii="Arial" w:hAnsi="Arial" w:cs="Arial"/>
          <w:sz w:val="18"/>
          <w:szCs w:val="18"/>
        </w:rPr>
        <w:t>=</w:t>
      </w:r>
      <w:r w:rsidRPr="000A17D7">
        <w:rPr>
          <w:rFonts w:ascii="Arial" w:hAnsi="Arial" w:cs="Arial"/>
          <w:sz w:val="18"/>
          <w:szCs w:val="18"/>
        </w:rPr>
        <w:t xml:space="preserve"> </w:t>
      </w:r>
      <w:r w:rsidR="00103F32" w:rsidRPr="000A17D7">
        <w:rPr>
          <w:rFonts w:ascii="Arial" w:hAnsi="Arial" w:cs="Arial"/>
          <w:sz w:val="18"/>
          <w:szCs w:val="18"/>
        </w:rPr>
        <w:t>Factor de ajuste del activo</w:t>
      </w:r>
    </w:p>
    <w:p w:rsidR="00103F32" w:rsidRPr="000A17D7" w:rsidRDefault="00CF6537" w:rsidP="009431D9">
      <w:pPr>
        <w:jc w:val="both"/>
        <w:rPr>
          <w:rFonts w:ascii="Arial" w:hAnsi="Arial" w:cs="Arial"/>
          <w:sz w:val="18"/>
          <w:szCs w:val="18"/>
        </w:rPr>
      </w:pPr>
      <w:r>
        <w:rPr>
          <w:rFonts w:ascii="Arial" w:hAnsi="Arial" w:cs="Arial"/>
          <w:sz w:val="18"/>
          <w:szCs w:val="18"/>
        </w:rPr>
        <w:t>G=</w:t>
      </w:r>
      <w:r w:rsidR="000D32D1">
        <w:rPr>
          <w:rFonts w:ascii="Arial" w:hAnsi="Arial" w:cs="Arial"/>
          <w:sz w:val="18"/>
          <w:szCs w:val="18"/>
        </w:rPr>
        <w:t xml:space="preserve"> </w:t>
      </w:r>
      <w:r w:rsidR="00103F32" w:rsidRPr="000A17D7">
        <w:rPr>
          <w:rFonts w:ascii="Arial" w:hAnsi="Arial" w:cs="Arial"/>
          <w:sz w:val="18"/>
          <w:szCs w:val="18"/>
        </w:rPr>
        <w:t>Valor de las garantías</w:t>
      </w:r>
    </w:p>
    <w:p w:rsidR="00103F32" w:rsidRPr="000A17D7" w:rsidRDefault="00CF6537" w:rsidP="009431D9">
      <w:pPr>
        <w:jc w:val="both"/>
        <w:rPr>
          <w:rFonts w:ascii="Arial" w:hAnsi="Arial" w:cs="Arial"/>
          <w:sz w:val="18"/>
          <w:szCs w:val="18"/>
        </w:rPr>
      </w:pPr>
      <w:proofErr w:type="spellStart"/>
      <w:r>
        <w:rPr>
          <w:rFonts w:ascii="Arial" w:hAnsi="Arial" w:cs="Arial"/>
          <w:sz w:val="18"/>
          <w:szCs w:val="18"/>
        </w:rPr>
        <w:t>Fg</w:t>
      </w:r>
      <w:proofErr w:type="spellEnd"/>
      <w:r>
        <w:rPr>
          <w:rFonts w:ascii="Arial" w:hAnsi="Arial" w:cs="Arial"/>
          <w:sz w:val="18"/>
          <w:szCs w:val="18"/>
        </w:rPr>
        <w:t>=</w:t>
      </w:r>
      <w:r w:rsidR="00103F32" w:rsidRPr="000A17D7">
        <w:rPr>
          <w:rFonts w:ascii="Arial" w:hAnsi="Arial" w:cs="Arial"/>
          <w:sz w:val="18"/>
          <w:szCs w:val="18"/>
        </w:rPr>
        <w:t xml:space="preserve"> Factor de ajuste de la garantía</w:t>
      </w:r>
    </w:p>
    <w:p w:rsidR="00103F32" w:rsidRPr="000A17D7" w:rsidRDefault="00103F32" w:rsidP="009431D9">
      <w:pPr>
        <w:jc w:val="both"/>
        <w:rPr>
          <w:rFonts w:ascii="Arial" w:hAnsi="Arial" w:cs="Arial"/>
          <w:sz w:val="18"/>
          <w:szCs w:val="18"/>
        </w:rPr>
      </w:pPr>
      <w:proofErr w:type="spellStart"/>
      <w:r w:rsidRPr="000A17D7">
        <w:rPr>
          <w:rFonts w:ascii="Arial" w:hAnsi="Arial" w:cs="Arial"/>
          <w:sz w:val="18"/>
          <w:szCs w:val="18"/>
        </w:rPr>
        <w:t>F</w:t>
      </w:r>
      <w:r w:rsidR="008F0F00" w:rsidRPr="000A17D7">
        <w:rPr>
          <w:rFonts w:ascii="Arial" w:hAnsi="Arial" w:cs="Arial"/>
          <w:sz w:val="18"/>
          <w:szCs w:val="18"/>
        </w:rPr>
        <w:t>c</w:t>
      </w:r>
      <w:proofErr w:type="spellEnd"/>
      <w:r w:rsidR="00CF6537">
        <w:rPr>
          <w:rFonts w:ascii="Arial" w:hAnsi="Arial" w:cs="Arial"/>
          <w:sz w:val="18"/>
          <w:szCs w:val="18"/>
        </w:rPr>
        <w:t>=</w:t>
      </w:r>
      <w:r w:rsidRPr="000A17D7">
        <w:rPr>
          <w:rFonts w:ascii="Arial" w:hAnsi="Arial" w:cs="Arial"/>
          <w:sz w:val="18"/>
          <w:szCs w:val="18"/>
        </w:rPr>
        <w:t xml:space="preserve"> Factor de ajuste cambiario</w:t>
      </w:r>
    </w:p>
    <w:p w:rsidR="00103F32" w:rsidRPr="000A17D7" w:rsidRDefault="00103F32" w:rsidP="009431D9">
      <w:pPr>
        <w:jc w:val="both"/>
        <w:rPr>
          <w:rFonts w:ascii="Arial" w:hAnsi="Arial" w:cs="Arial"/>
          <w:sz w:val="18"/>
          <w:szCs w:val="18"/>
        </w:rPr>
      </w:pPr>
    </w:p>
    <w:p w:rsidR="000C53B1" w:rsidRPr="000A17D7" w:rsidRDefault="000C53B1" w:rsidP="009431D9">
      <w:pPr>
        <w:jc w:val="both"/>
        <w:rPr>
          <w:rFonts w:ascii="Arial" w:hAnsi="Arial" w:cs="Arial"/>
          <w:sz w:val="18"/>
          <w:szCs w:val="18"/>
        </w:rPr>
      </w:pPr>
      <w:r w:rsidRPr="000A17D7">
        <w:rPr>
          <w:rFonts w:ascii="Arial" w:hAnsi="Arial" w:cs="Arial"/>
          <w:sz w:val="18"/>
          <w:szCs w:val="18"/>
        </w:rPr>
        <w:t xml:space="preserve">El valor de </w:t>
      </w:r>
      <w:r w:rsidR="00960C90">
        <w:rPr>
          <w:rFonts w:ascii="Arial" w:hAnsi="Arial" w:cs="Arial"/>
          <w:sz w:val="18"/>
          <w:szCs w:val="18"/>
        </w:rPr>
        <w:t xml:space="preserve">la </w:t>
      </w:r>
      <w:r w:rsidRPr="000A17D7">
        <w:rPr>
          <w:rFonts w:ascii="Arial" w:hAnsi="Arial" w:cs="Arial"/>
          <w:sz w:val="18"/>
          <w:szCs w:val="18"/>
        </w:rPr>
        <w:t>exposición del activo no puede ser superior a su valor neto de provisiones y tampoco puede ser inferior al 20% de su valor neto de provisiones</w:t>
      </w:r>
      <w:r w:rsidR="00E40652">
        <w:rPr>
          <w:rFonts w:ascii="Arial" w:hAnsi="Arial" w:cs="Arial"/>
          <w:sz w:val="18"/>
          <w:szCs w:val="18"/>
        </w:rPr>
        <w:t xml:space="preserve"> de carácter individual</w:t>
      </w:r>
      <w:r w:rsidRPr="000A17D7">
        <w:rPr>
          <w:rFonts w:ascii="Arial" w:hAnsi="Arial" w:cs="Arial"/>
          <w:sz w:val="18"/>
          <w:szCs w:val="18"/>
        </w:rPr>
        <w:t>.</w:t>
      </w:r>
    </w:p>
    <w:p w:rsidR="00813CB0" w:rsidRPr="000A17D7" w:rsidRDefault="00813CB0" w:rsidP="009431D9">
      <w:pPr>
        <w:jc w:val="both"/>
        <w:rPr>
          <w:rFonts w:ascii="Arial" w:hAnsi="Arial" w:cs="Arial"/>
          <w:sz w:val="18"/>
          <w:szCs w:val="18"/>
        </w:rPr>
      </w:pPr>
    </w:p>
    <w:p w:rsidR="003362C9" w:rsidRDefault="00D247D2" w:rsidP="009431D9">
      <w:pPr>
        <w:jc w:val="both"/>
        <w:rPr>
          <w:rFonts w:ascii="Arial" w:hAnsi="Arial" w:cs="Arial"/>
          <w:sz w:val="18"/>
          <w:szCs w:val="18"/>
        </w:rPr>
      </w:pPr>
      <w:r w:rsidRPr="000A17D7">
        <w:rPr>
          <w:rFonts w:ascii="Arial" w:hAnsi="Arial" w:cs="Arial"/>
          <w:sz w:val="18"/>
          <w:szCs w:val="18"/>
        </w:rPr>
        <w:t xml:space="preserve">Se exceptúan de </w:t>
      </w:r>
      <w:r w:rsidR="006C177D" w:rsidRPr="000A17D7">
        <w:rPr>
          <w:rFonts w:ascii="Arial" w:hAnsi="Arial" w:cs="Arial"/>
          <w:sz w:val="18"/>
          <w:szCs w:val="18"/>
        </w:rPr>
        <w:t>l</w:t>
      </w:r>
      <w:r w:rsidR="002A516A">
        <w:rPr>
          <w:rFonts w:ascii="Arial" w:hAnsi="Arial" w:cs="Arial"/>
          <w:sz w:val="18"/>
          <w:szCs w:val="18"/>
        </w:rPr>
        <w:t xml:space="preserve">a instrucción de este </w:t>
      </w:r>
      <w:r w:rsidR="005A72F1">
        <w:rPr>
          <w:rFonts w:ascii="Arial" w:hAnsi="Arial" w:cs="Arial"/>
          <w:sz w:val="18"/>
          <w:szCs w:val="18"/>
        </w:rPr>
        <w:t>sub</w:t>
      </w:r>
      <w:r w:rsidR="002A516A">
        <w:rPr>
          <w:rFonts w:ascii="Arial" w:hAnsi="Arial" w:cs="Arial"/>
          <w:sz w:val="18"/>
          <w:szCs w:val="18"/>
        </w:rPr>
        <w:t xml:space="preserve">numeral </w:t>
      </w:r>
      <w:r w:rsidR="00154906">
        <w:rPr>
          <w:rFonts w:ascii="Arial" w:hAnsi="Arial" w:cs="Arial"/>
          <w:sz w:val="18"/>
          <w:szCs w:val="18"/>
        </w:rPr>
        <w:t>l</w:t>
      </w:r>
      <w:r w:rsidR="00F93AE8">
        <w:rPr>
          <w:rFonts w:ascii="Arial" w:hAnsi="Arial" w:cs="Arial"/>
          <w:sz w:val="18"/>
          <w:szCs w:val="18"/>
        </w:rPr>
        <w:t xml:space="preserve">as operaciones </w:t>
      </w:r>
      <w:r w:rsidR="0000491B">
        <w:rPr>
          <w:rFonts w:ascii="Arial" w:hAnsi="Arial" w:cs="Arial"/>
          <w:sz w:val="18"/>
          <w:szCs w:val="18"/>
        </w:rPr>
        <w:t xml:space="preserve">a </w:t>
      </w:r>
      <w:r w:rsidR="00F62D46">
        <w:rPr>
          <w:rFonts w:ascii="Arial" w:hAnsi="Arial" w:cs="Arial"/>
          <w:sz w:val="18"/>
          <w:szCs w:val="18"/>
        </w:rPr>
        <w:t xml:space="preserve">las </w:t>
      </w:r>
      <w:r w:rsidR="0000491B">
        <w:rPr>
          <w:rFonts w:ascii="Arial" w:hAnsi="Arial" w:cs="Arial"/>
          <w:sz w:val="18"/>
          <w:szCs w:val="18"/>
        </w:rPr>
        <w:t>que se refiere</w:t>
      </w:r>
      <w:r w:rsidR="00C324CF">
        <w:rPr>
          <w:rFonts w:ascii="Arial" w:hAnsi="Arial" w:cs="Arial"/>
          <w:sz w:val="18"/>
          <w:szCs w:val="18"/>
        </w:rPr>
        <w:t>n los</w:t>
      </w:r>
      <w:r w:rsidR="00F93AE8">
        <w:rPr>
          <w:rFonts w:ascii="Arial" w:hAnsi="Arial" w:cs="Arial"/>
          <w:sz w:val="18"/>
          <w:szCs w:val="18"/>
        </w:rPr>
        <w:t xml:space="preserve"> parágrafo</w:t>
      </w:r>
      <w:r w:rsidR="00C324CF">
        <w:rPr>
          <w:rFonts w:ascii="Arial" w:hAnsi="Arial" w:cs="Arial"/>
          <w:sz w:val="18"/>
          <w:szCs w:val="18"/>
        </w:rPr>
        <w:t>s</w:t>
      </w:r>
      <w:r w:rsidR="00F93AE8">
        <w:rPr>
          <w:rFonts w:ascii="Arial" w:hAnsi="Arial" w:cs="Arial"/>
          <w:sz w:val="18"/>
          <w:szCs w:val="18"/>
        </w:rPr>
        <w:t xml:space="preserve"> </w:t>
      </w:r>
      <w:r w:rsidR="005B1A6B">
        <w:rPr>
          <w:rFonts w:ascii="Arial" w:hAnsi="Arial" w:cs="Arial"/>
          <w:sz w:val="18"/>
          <w:szCs w:val="18"/>
        </w:rPr>
        <w:t xml:space="preserve">1, </w:t>
      </w:r>
      <w:r w:rsidR="00C324CF">
        <w:rPr>
          <w:rFonts w:ascii="Arial" w:hAnsi="Arial" w:cs="Arial"/>
          <w:sz w:val="18"/>
          <w:szCs w:val="18"/>
        </w:rPr>
        <w:t>3</w:t>
      </w:r>
      <w:r w:rsidR="005B1A6B">
        <w:rPr>
          <w:rFonts w:ascii="Arial" w:hAnsi="Arial" w:cs="Arial"/>
          <w:sz w:val="18"/>
          <w:szCs w:val="18"/>
        </w:rPr>
        <w:t>,</w:t>
      </w:r>
      <w:r w:rsidR="00C324CF">
        <w:rPr>
          <w:rFonts w:ascii="Arial" w:hAnsi="Arial" w:cs="Arial"/>
          <w:sz w:val="18"/>
          <w:szCs w:val="18"/>
        </w:rPr>
        <w:t xml:space="preserve"> </w:t>
      </w:r>
      <w:r w:rsidR="00F93AE8">
        <w:rPr>
          <w:rFonts w:ascii="Arial" w:hAnsi="Arial" w:cs="Arial"/>
          <w:sz w:val="18"/>
          <w:szCs w:val="18"/>
        </w:rPr>
        <w:t>5</w:t>
      </w:r>
      <w:r w:rsidR="005B1A6B">
        <w:rPr>
          <w:rFonts w:ascii="Arial" w:hAnsi="Arial" w:cs="Arial"/>
          <w:sz w:val="18"/>
          <w:szCs w:val="18"/>
        </w:rPr>
        <w:t xml:space="preserve"> y 7</w:t>
      </w:r>
      <w:r w:rsidR="00F93AE8">
        <w:rPr>
          <w:rFonts w:ascii="Arial" w:hAnsi="Arial" w:cs="Arial"/>
          <w:sz w:val="18"/>
          <w:szCs w:val="18"/>
        </w:rPr>
        <w:t xml:space="preserve"> del artículo 2.1.1.3.4. del Decreto 2555 de 2010</w:t>
      </w:r>
      <w:r w:rsidR="002A516A">
        <w:rPr>
          <w:rFonts w:ascii="Arial" w:hAnsi="Arial" w:cs="Arial"/>
          <w:sz w:val="18"/>
          <w:szCs w:val="18"/>
        </w:rPr>
        <w:t>.</w:t>
      </w:r>
    </w:p>
    <w:p w:rsidR="003362C9" w:rsidRDefault="003362C9" w:rsidP="009431D9">
      <w:pPr>
        <w:jc w:val="both"/>
        <w:rPr>
          <w:rFonts w:ascii="Arial" w:hAnsi="Arial" w:cs="Arial"/>
          <w:sz w:val="18"/>
          <w:szCs w:val="18"/>
        </w:rPr>
      </w:pPr>
    </w:p>
    <w:p w:rsidR="00B971CF" w:rsidRDefault="00DE40C1" w:rsidP="009431D9">
      <w:pPr>
        <w:jc w:val="both"/>
        <w:rPr>
          <w:rFonts w:ascii="Arial" w:hAnsi="Arial" w:cs="Arial"/>
          <w:sz w:val="18"/>
          <w:szCs w:val="18"/>
        </w:rPr>
      </w:pPr>
      <w:r>
        <w:rPr>
          <w:rFonts w:ascii="Arial" w:hAnsi="Arial" w:cs="Arial"/>
          <w:sz w:val="18"/>
          <w:szCs w:val="18"/>
        </w:rPr>
        <w:t>Las entidades deben tener en cuenta que</w:t>
      </w:r>
      <w:r w:rsidR="00CF6537">
        <w:rPr>
          <w:rFonts w:ascii="Arial" w:hAnsi="Arial" w:cs="Arial"/>
          <w:sz w:val="18"/>
          <w:szCs w:val="18"/>
        </w:rPr>
        <w:t xml:space="preserve">, respecto de </w:t>
      </w:r>
      <w:r w:rsidR="00205401">
        <w:rPr>
          <w:rFonts w:ascii="Arial" w:hAnsi="Arial" w:cs="Arial"/>
          <w:sz w:val="18"/>
          <w:szCs w:val="18"/>
        </w:rPr>
        <w:t>la excepción del parágrafo 1</w:t>
      </w:r>
      <w:r w:rsidR="00F33295">
        <w:rPr>
          <w:rFonts w:ascii="Arial" w:hAnsi="Arial" w:cs="Arial"/>
          <w:sz w:val="18"/>
          <w:szCs w:val="18"/>
        </w:rPr>
        <w:t xml:space="preserve"> del artículo 2.1.1.3.4. del Decreto 2555 de 2010</w:t>
      </w:r>
      <w:r w:rsidR="00205401">
        <w:rPr>
          <w:rFonts w:ascii="Arial" w:hAnsi="Arial" w:cs="Arial"/>
          <w:sz w:val="18"/>
          <w:szCs w:val="18"/>
        </w:rPr>
        <w:t xml:space="preserve"> </w:t>
      </w:r>
      <w:r w:rsidR="003362C9">
        <w:rPr>
          <w:rFonts w:ascii="Arial" w:hAnsi="Arial" w:cs="Arial"/>
          <w:sz w:val="18"/>
          <w:szCs w:val="18"/>
        </w:rPr>
        <w:t xml:space="preserve">que se refiere a </w:t>
      </w:r>
      <w:r w:rsidR="00762959" w:rsidRPr="000A17D7">
        <w:rPr>
          <w:rFonts w:ascii="Arial" w:hAnsi="Arial" w:cs="Arial"/>
          <w:sz w:val="18"/>
          <w:szCs w:val="18"/>
        </w:rPr>
        <w:t>los activos, exposiciones y contingencias</w:t>
      </w:r>
      <w:r w:rsidR="00BD4761">
        <w:rPr>
          <w:rFonts w:ascii="Arial" w:hAnsi="Arial" w:cs="Arial"/>
          <w:sz w:val="18"/>
          <w:szCs w:val="18"/>
        </w:rPr>
        <w:t xml:space="preserve"> </w:t>
      </w:r>
      <w:r>
        <w:rPr>
          <w:rFonts w:ascii="Arial" w:hAnsi="Arial" w:cs="Arial"/>
          <w:sz w:val="18"/>
          <w:szCs w:val="18"/>
        </w:rPr>
        <w:t xml:space="preserve">garantizados </w:t>
      </w:r>
      <w:r w:rsidR="00BD4761">
        <w:rPr>
          <w:rFonts w:ascii="Arial" w:hAnsi="Arial" w:cs="Arial"/>
          <w:sz w:val="18"/>
          <w:szCs w:val="18"/>
        </w:rPr>
        <w:t>con garantía inmobiliaria</w:t>
      </w:r>
      <w:r w:rsidR="001668B4">
        <w:rPr>
          <w:rFonts w:ascii="Arial" w:hAnsi="Arial" w:cs="Arial"/>
          <w:sz w:val="18"/>
          <w:szCs w:val="18"/>
        </w:rPr>
        <w:t>,</w:t>
      </w:r>
      <w:r w:rsidR="00B971CF">
        <w:rPr>
          <w:rFonts w:ascii="Arial" w:hAnsi="Arial" w:cs="Arial"/>
          <w:sz w:val="18"/>
          <w:szCs w:val="18"/>
        </w:rPr>
        <w:t xml:space="preserve"> </w:t>
      </w:r>
      <w:r w:rsidR="00F33295">
        <w:rPr>
          <w:rFonts w:ascii="Arial" w:hAnsi="Arial" w:cs="Arial"/>
          <w:sz w:val="18"/>
          <w:szCs w:val="18"/>
        </w:rPr>
        <w:t xml:space="preserve">dichos </w:t>
      </w:r>
      <w:r w:rsidR="00F33295" w:rsidRPr="000A17D7">
        <w:rPr>
          <w:rFonts w:ascii="Arial" w:hAnsi="Arial" w:cs="Arial"/>
          <w:sz w:val="18"/>
          <w:szCs w:val="18"/>
        </w:rPr>
        <w:t>activos, exposiciones y contingencias</w:t>
      </w:r>
      <w:r w:rsidR="001668B4">
        <w:rPr>
          <w:rFonts w:ascii="Arial" w:hAnsi="Arial" w:cs="Arial"/>
          <w:sz w:val="18"/>
          <w:szCs w:val="18"/>
        </w:rPr>
        <w:t xml:space="preserve"> </w:t>
      </w:r>
      <w:r w:rsidR="00F62D46">
        <w:rPr>
          <w:rFonts w:ascii="Arial" w:hAnsi="Arial" w:cs="Arial"/>
          <w:sz w:val="18"/>
          <w:szCs w:val="18"/>
        </w:rPr>
        <w:t xml:space="preserve">deben ponderar por riesgo </w:t>
      </w:r>
      <w:r w:rsidR="0023567F">
        <w:rPr>
          <w:rFonts w:ascii="Arial" w:hAnsi="Arial" w:cs="Arial"/>
          <w:sz w:val="18"/>
          <w:szCs w:val="18"/>
        </w:rPr>
        <w:t xml:space="preserve">crediticio </w:t>
      </w:r>
      <w:r w:rsidR="00F62D46">
        <w:rPr>
          <w:rFonts w:ascii="Arial" w:hAnsi="Arial" w:cs="Arial"/>
          <w:sz w:val="18"/>
          <w:szCs w:val="18"/>
        </w:rPr>
        <w:t xml:space="preserve">según </w:t>
      </w:r>
      <w:r w:rsidR="00F62D46" w:rsidRPr="000A17D7">
        <w:rPr>
          <w:rFonts w:ascii="Arial" w:hAnsi="Arial" w:cs="Arial"/>
          <w:sz w:val="18"/>
          <w:szCs w:val="18"/>
        </w:rPr>
        <w:t xml:space="preserve">las instrucciones del </w:t>
      </w:r>
      <w:r w:rsidR="00F33295">
        <w:rPr>
          <w:rFonts w:ascii="Arial" w:hAnsi="Arial" w:cs="Arial"/>
          <w:sz w:val="18"/>
          <w:szCs w:val="18"/>
        </w:rPr>
        <w:t>sub</w:t>
      </w:r>
      <w:r w:rsidR="00F62D46" w:rsidRPr="00C324CF">
        <w:rPr>
          <w:rFonts w:ascii="Arial" w:hAnsi="Arial" w:cs="Arial"/>
          <w:sz w:val="18"/>
          <w:szCs w:val="18"/>
        </w:rPr>
        <w:t>numeral 2.4.2</w:t>
      </w:r>
      <w:r w:rsidR="0023567F">
        <w:rPr>
          <w:rFonts w:ascii="Arial" w:hAnsi="Arial" w:cs="Arial"/>
          <w:sz w:val="18"/>
          <w:szCs w:val="18"/>
        </w:rPr>
        <w:t xml:space="preserve"> y </w:t>
      </w:r>
      <w:r w:rsidR="0023567F" w:rsidRPr="00C324CF">
        <w:rPr>
          <w:rFonts w:ascii="Arial" w:hAnsi="Arial" w:cs="Arial"/>
          <w:sz w:val="18"/>
          <w:szCs w:val="18"/>
        </w:rPr>
        <w:t>2.4.</w:t>
      </w:r>
      <w:r w:rsidR="0023567F">
        <w:rPr>
          <w:rFonts w:ascii="Arial" w:hAnsi="Arial" w:cs="Arial"/>
          <w:sz w:val="18"/>
          <w:szCs w:val="18"/>
        </w:rPr>
        <w:t>3</w:t>
      </w:r>
      <w:r w:rsidR="00F62D46" w:rsidRPr="00C324CF">
        <w:rPr>
          <w:rFonts w:ascii="Arial" w:hAnsi="Arial" w:cs="Arial"/>
          <w:sz w:val="18"/>
          <w:szCs w:val="18"/>
        </w:rPr>
        <w:t xml:space="preserve"> del presente</w:t>
      </w:r>
      <w:r w:rsidR="00F62D46" w:rsidRPr="000A17D7">
        <w:rPr>
          <w:rFonts w:ascii="Arial" w:hAnsi="Arial" w:cs="Arial"/>
          <w:sz w:val="18"/>
          <w:szCs w:val="18"/>
        </w:rPr>
        <w:t xml:space="preserve"> </w:t>
      </w:r>
      <w:r w:rsidR="001940CD">
        <w:rPr>
          <w:rFonts w:ascii="Arial" w:hAnsi="Arial" w:cs="Arial"/>
          <w:sz w:val="18"/>
          <w:szCs w:val="18"/>
        </w:rPr>
        <w:t>C</w:t>
      </w:r>
      <w:r w:rsidR="00F62D46" w:rsidRPr="000A17D7">
        <w:rPr>
          <w:rFonts w:ascii="Arial" w:hAnsi="Arial" w:cs="Arial"/>
          <w:sz w:val="18"/>
          <w:szCs w:val="18"/>
        </w:rPr>
        <w:t>apítulo</w:t>
      </w:r>
      <w:r w:rsidR="00F62D46">
        <w:rPr>
          <w:rFonts w:ascii="Arial" w:hAnsi="Arial" w:cs="Arial"/>
          <w:sz w:val="18"/>
          <w:szCs w:val="18"/>
        </w:rPr>
        <w:t xml:space="preserve">, siempre que </w:t>
      </w:r>
      <w:r w:rsidR="00B971CF">
        <w:rPr>
          <w:rFonts w:ascii="Arial" w:hAnsi="Arial" w:cs="Arial"/>
          <w:sz w:val="18"/>
          <w:szCs w:val="18"/>
        </w:rPr>
        <w:t>corresponda a los crédit</w:t>
      </w:r>
      <w:r w:rsidR="00BE2219">
        <w:rPr>
          <w:rFonts w:ascii="Arial" w:hAnsi="Arial" w:cs="Arial"/>
          <w:sz w:val="18"/>
          <w:szCs w:val="18"/>
        </w:rPr>
        <w:t>os citados en el numeral 9</w:t>
      </w:r>
      <w:r w:rsidR="00F33295">
        <w:rPr>
          <w:rFonts w:ascii="Arial" w:hAnsi="Arial" w:cs="Arial"/>
          <w:sz w:val="18"/>
          <w:szCs w:val="18"/>
        </w:rPr>
        <w:t>)</w:t>
      </w:r>
      <w:r w:rsidR="00BE2219">
        <w:rPr>
          <w:rFonts w:ascii="Arial" w:hAnsi="Arial" w:cs="Arial"/>
          <w:sz w:val="18"/>
          <w:szCs w:val="18"/>
        </w:rPr>
        <w:t xml:space="preserve"> del a</w:t>
      </w:r>
      <w:r w:rsidR="00B971CF">
        <w:rPr>
          <w:rFonts w:ascii="Arial" w:hAnsi="Arial" w:cs="Arial"/>
          <w:sz w:val="18"/>
          <w:szCs w:val="18"/>
        </w:rPr>
        <w:t>rtículo 2.1.1.3.2 del Decreto</w:t>
      </w:r>
      <w:r>
        <w:rPr>
          <w:rFonts w:ascii="Arial" w:hAnsi="Arial" w:cs="Arial"/>
          <w:sz w:val="18"/>
          <w:szCs w:val="18"/>
        </w:rPr>
        <w:t xml:space="preserve"> 2555</w:t>
      </w:r>
      <w:r w:rsidR="00B971CF">
        <w:rPr>
          <w:rFonts w:ascii="Arial" w:hAnsi="Arial" w:cs="Arial"/>
          <w:sz w:val="18"/>
          <w:szCs w:val="18"/>
        </w:rPr>
        <w:t xml:space="preserve"> </w:t>
      </w:r>
      <w:r>
        <w:rPr>
          <w:rFonts w:ascii="Arial" w:hAnsi="Arial" w:cs="Arial"/>
          <w:sz w:val="18"/>
          <w:szCs w:val="18"/>
        </w:rPr>
        <w:t>de 2010</w:t>
      </w:r>
      <w:r w:rsidR="00762959" w:rsidRPr="000A17D7">
        <w:rPr>
          <w:rFonts w:ascii="Arial" w:hAnsi="Arial" w:cs="Arial"/>
          <w:sz w:val="18"/>
          <w:szCs w:val="18"/>
        </w:rPr>
        <w:t>.</w:t>
      </w:r>
    </w:p>
    <w:p w:rsidR="00B971CF" w:rsidRDefault="00B971CF" w:rsidP="009431D9">
      <w:pPr>
        <w:jc w:val="both"/>
        <w:rPr>
          <w:rFonts w:ascii="Arial" w:hAnsi="Arial" w:cs="Arial"/>
          <w:sz w:val="18"/>
          <w:szCs w:val="18"/>
        </w:rPr>
      </w:pPr>
    </w:p>
    <w:p w:rsidR="00DE40C1" w:rsidRPr="000A17D7" w:rsidRDefault="003362C9" w:rsidP="009431D9">
      <w:pPr>
        <w:jc w:val="both"/>
        <w:rPr>
          <w:rFonts w:ascii="Arial" w:hAnsi="Arial" w:cs="Arial"/>
          <w:sz w:val="18"/>
          <w:szCs w:val="18"/>
        </w:rPr>
      </w:pPr>
      <w:r>
        <w:rPr>
          <w:rFonts w:ascii="Arial" w:hAnsi="Arial" w:cs="Arial"/>
          <w:sz w:val="18"/>
          <w:szCs w:val="18"/>
        </w:rPr>
        <w:t xml:space="preserve">En todo caso, de conformidad con lo previsto en el </w:t>
      </w:r>
      <w:r w:rsidR="00BE2219">
        <w:rPr>
          <w:rFonts w:ascii="Arial" w:hAnsi="Arial" w:cs="Arial"/>
          <w:sz w:val="18"/>
          <w:szCs w:val="18"/>
        </w:rPr>
        <w:t>parágrafo 2 del a</w:t>
      </w:r>
      <w:r w:rsidRPr="003362C9">
        <w:rPr>
          <w:rFonts w:ascii="Arial" w:hAnsi="Arial" w:cs="Arial"/>
          <w:sz w:val="18"/>
          <w:szCs w:val="18"/>
        </w:rPr>
        <w:t>rtículo 2.1.1.3.4 del Decreto 2555 de 2010</w:t>
      </w:r>
      <w:r w:rsidR="00F33295">
        <w:rPr>
          <w:rFonts w:ascii="Arial" w:hAnsi="Arial" w:cs="Arial"/>
          <w:sz w:val="18"/>
          <w:szCs w:val="18"/>
        </w:rPr>
        <w:t>,</w:t>
      </w:r>
      <w:r w:rsidRPr="003362C9">
        <w:rPr>
          <w:rFonts w:ascii="Arial" w:hAnsi="Arial" w:cs="Arial"/>
          <w:sz w:val="18"/>
          <w:szCs w:val="18"/>
        </w:rPr>
        <w:t xml:space="preserve"> los créditos </w:t>
      </w:r>
      <w:r w:rsidR="00DE40C1">
        <w:rPr>
          <w:rFonts w:ascii="Arial" w:hAnsi="Arial" w:cs="Arial"/>
          <w:sz w:val="18"/>
          <w:szCs w:val="18"/>
        </w:rPr>
        <w:t>señalados en el numeral 9</w:t>
      </w:r>
      <w:r w:rsidR="00F33295">
        <w:rPr>
          <w:rFonts w:ascii="Arial" w:hAnsi="Arial" w:cs="Arial"/>
          <w:sz w:val="18"/>
          <w:szCs w:val="18"/>
        </w:rPr>
        <w:t>)</w:t>
      </w:r>
      <w:r w:rsidR="00DE40C1">
        <w:rPr>
          <w:rFonts w:ascii="Arial" w:hAnsi="Arial" w:cs="Arial"/>
          <w:sz w:val="18"/>
          <w:szCs w:val="18"/>
        </w:rPr>
        <w:t xml:space="preserve"> antes citado que sean </w:t>
      </w:r>
      <w:r w:rsidRPr="003362C9">
        <w:rPr>
          <w:rFonts w:ascii="Arial" w:hAnsi="Arial" w:cs="Arial"/>
          <w:sz w:val="18"/>
          <w:szCs w:val="18"/>
        </w:rPr>
        <w:t>garantizados simultáneamente con inmuebles y con ot</w:t>
      </w:r>
      <w:r w:rsidR="002E6310">
        <w:rPr>
          <w:rFonts w:ascii="Arial" w:hAnsi="Arial" w:cs="Arial"/>
          <w:sz w:val="18"/>
          <w:szCs w:val="18"/>
        </w:rPr>
        <w:t xml:space="preserve">ras garantías admisibles, </w:t>
      </w:r>
      <w:r w:rsidR="00F33295">
        <w:rPr>
          <w:rFonts w:ascii="Arial" w:hAnsi="Arial" w:cs="Arial"/>
          <w:sz w:val="18"/>
          <w:szCs w:val="18"/>
        </w:rPr>
        <w:t xml:space="preserve">podrán mitigar </w:t>
      </w:r>
      <w:r w:rsidR="00F33295" w:rsidRPr="003362C9">
        <w:rPr>
          <w:rFonts w:ascii="Arial" w:hAnsi="Arial" w:cs="Arial"/>
          <w:sz w:val="18"/>
          <w:szCs w:val="18"/>
        </w:rPr>
        <w:t xml:space="preserve">la parte </w:t>
      </w:r>
      <w:r w:rsidR="00F33295">
        <w:rPr>
          <w:rFonts w:ascii="Arial" w:hAnsi="Arial" w:cs="Arial"/>
          <w:sz w:val="18"/>
          <w:szCs w:val="18"/>
        </w:rPr>
        <w:t>de la exposición no cubierta por</w:t>
      </w:r>
      <w:r w:rsidR="00F33295" w:rsidRPr="003362C9">
        <w:rPr>
          <w:rFonts w:ascii="Arial" w:hAnsi="Arial" w:cs="Arial"/>
          <w:sz w:val="18"/>
          <w:szCs w:val="18"/>
        </w:rPr>
        <w:t xml:space="preserve"> </w:t>
      </w:r>
      <w:r w:rsidR="00F33295">
        <w:rPr>
          <w:rFonts w:ascii="Arial" w:hAnsi="Arial" w:cs="Arial"/>
          <w:sz w:val="18"/>
          <w:szCs w:val="18"/>
        </w:rPr>
        <w:t xml:space="preserve">la </w:t>
      </w:r>
      <w:r w:rsidR="00F33295" w:rsidRPr="003362C9">
        <w:rPr>
          <w:rFonts w:ascii="Arial" w:hAnsi="Arial" w:cs="Arial"/>
          <w:sz w:val="18"/>
          <w:szCs w:val="18"/>
        </w:rPr>
        <w:t>garantía inmobiliaria</w:t>
      </w:r>
      <w:r w:rsidR="00F33295">
        <w:rPr>
          <w:rFonts w:ascii="Arial" w:hAnsi="Arial" w:cs="Arial"/>
          <w:sz w:val="18"/>
          <w:szCs w:val="18"/>
        </w:rPr>
        <w:t xml:space="preserve"> con otras garantías, </w:t>
      </w:r>
      <w:r w:rsidR="002E6310">
        <w:rPr>
          <w:rFonts w:ascii="Arial" w:hAnsi="Arial" w:cs="Arial"/>
          <w:sz w:val="18"/>
          <w:szCs w:val="18"/>
        </w:rPr>
        <w:t>siempre</w:t>
      </w:r>
      <w:r w:rsidRPr="003362C9">
        <w:rPr>
          <w:rFonts w:ascii="Arial" w:hAnsi="Arial" w:cs="Arial"/>
          <w:sz w:val="18"/>
          <w:szCs w:val="18"/>
        </w:rPr>
        <w:t xml:space="preserve"> </w:t>
      </w:r>
      <w:r w:rsidR="000A30F6">
        <w:rPr>
          <w:rFonts w:ascii="Arial" w:hAnsi="Arial" w:cs="Arial"/>
          <w:sz w:val="18"/>
          <w:szCs w:val="18"/>
        </w:rPr>
        <w:t xml:space="preserve">que </w:t>
      </w:r>
      <w:r w:rsidRPr="003362C9">
        <w:rPr>
          <w:rFonts w:ascii="Arial" w:hAnsi="Arial" w:cs="Arial"/>
          <w:sz w:val="18"/>
          <w:szCs w:val="18"/>
        </w:rPr>
        <w:t xml:space="preserve">estás últimas cumplan con todos los requisitos establecidos en el </w:t>
      </w:r>
      <w:r w:rsidR="0023567F">
        <w:rPr>
          <w:rFonts w:ascii="Arial" w:hAnsi="Arial" w:cs="Arial"/>
          <w:sz w:val="18"/>
          <w:szCs w:val="18"/>
        </w:rPr>
        <w:t>sub</w:t>
      </w:r>
      <w:r w:rsidRPr="003362C9">
        <w:rPr>
          <w:rFonts w:ascii="Arial" w:hAnsi="Arial" w:cs="Arial"/>
          <w:sz w:val="18"/>
          <w:szCs w:val="18"/>
        </w:rPr>
        <w:t>numeral 2.4.1.</w:t>
      </w:r>
      <w:r w:rsidR="00AD4991">
        <w:rPr>
          <w:rFonts w:ascii="Arial" w:hAnsi="Arial" w:cs="Arial"/>
          <w:sz w:val="18"/>
          <w:szCs w:val="18"/>
        </w:rPr>
        <w:t>2</w:t>
      </w:r>
      <w:r w:rsidR="0023567F">
        <w:rPr>
          <w:rFonts w:ascii="Arial" w:hAnsi="Arial" w:cs="Arial"/>
          <w:sz w:val="18"/>
          <w:szCs w:val="18"/>
        </w:rPr>
        <w:t xml:space="preserve"> </w:t>
      </w:r>
      <w:r w:rsidR="000A30F6">
        <w:rPr>
          <w:rFonts w:ascii="Arial" w:hAnsi="Arial" w:cs="Arial"/>
          <w:sz w:val="18"/>
          <w:szCs w:val="18"/>
        </w:rPr>
        <w:t xml:space="preserve">del presente </w:t>
      </w:r>
      <w:r w:rsidR="001940CD">
        <w:rPr>
          <w:rFonts w:ascii="Arial" w:hAnsi="Arial" w:cs="Arial"/>
          <w:sz w:val="18"/>
          <w:szCs w:val="18"/>
        </w:rPr>
        <w:t>C</w:t>
      </w:r>
      <w:r w:rsidR="000A30F6">
        <w:rPr>
          <w:rFonts w:ascii="Arial" w:hAnsi="Arial" w:cs="Arial"/>
          <w:sz w:val="18"/>
          <w:szCs w:val="18"/>
        </w:rPr>
        <w:t>apítulo</w:t>
      </w:r>
      <w:r w:rsidR="00F62D46">
        <w:rPr>
          <w:rFonts w:ascii="Arial" w:hAnsi="Arial" w:cs="Arial"/>
          <w:i/>
          <w:color w:val="FF0000"/>
          <w:sz w:val="18"/>
          <w:szCs w:val="18"/>
        </w:rPr>
        <w:t>.</w:t>
      </w:r>
    </w:p>
    <w:p w:rsidR="005C3CBE" w:rsidRPr="000A17D7" w:rsidRDefault="005C3CBE" w:rsidP="009431D9">
      <w:pPr>
        <w:jc w:val="both"/>
        <w:rPr>
          <w:rFonts w:ascii="Arial" w:hAnsi="Arial" w:cs="Arial"/>
          <w:sz w:val="18"/>
          <w:szCs w:val="18"/>
        </w:rPr>
      </w:pPr>
    </w:p>
    <w:p w:rsidR="005C3CBE" w:rsidRPr="001668B4" w:rsidRDefault="005C3CBE" w:rsidP="005C3CBE">
      <w:pPr>
        <w:jc w:val="both"/>
        <w:rPr>
          <w:rFonts w:ascii="Arial" w:hAnsi="Arial" w:cs="Arial"/>
          <w:b/>
          <w:sz w:val="18"/>
          <w:szCs w:val="18"/>
        </w:rPr>
      </w:pPr>
      <w:r w:rsidRPr="001668B4">
        <w:rPr>
          <w:rFonts w:ascii="Arial" w:hAnsi="Arial" w:cs="Arial"/>
          <w:sz w:val="18"/>
          <w:szCs w:val="18"/>
        </w:rPr>
        <w:t xml:space="preserve">Para los activos emitidos, avalados o garantizados por la Nación, el Banco de la República, </w:t>
      </w:r>
      <w:r w:rsidR="004932A8" w:rsidRPr="001668B4">
        <w:rPr>
          <w:rFonts w:ascii="Arial" w:hAnsi="Arial" w:cs="Arial"/>
          <w:sz w:val="18"/>
          <w:szCs w:val="18"/>
        </w:rPr>
        <w:t>Fogafín</w:t>
      </w:r>
      <w:r w:rsidRPr="001668B4">
        <w:rPr>
          <w:rFonts w:ascii="Arial" w:hAnsi="Arial" w:cs="Arial"/>
          <w:sz w:val="18"/>
          <w:szCs w:val="18"/>
        </w:rPr>
        <w:t xml:space="preserve">, Fogacoop, gobiernos o bancos centrales de otros países y los organismos señalados en el literal d) del numeral 1) del artículo 2.1.1.3.2 del Decreto 2555 de 2010 </w:t>
      </w:r>
      <w:r w:rsidR="002A516A" w:rsidRPr="007505AA">
        <w:rPr>
          <w:rFonts w:ascii="Arial" w:hAnsi="Arial" w:cs="Arial"/>
          <w:sz w:val="18"/>
          <w:szCs w:val="18"/>
        </w:rPr>
        <w:t xml:space="preserve">el valor de exposición del activo será igual a </w:t>
      </w:r>
      <w:r w:rsidR="00DE189E" w:rsidRPr="007505AA">
        <w:rPr>
          <w:rFonts w:ascii="Arial" w:hAnsi="Arial" w:cs="Arial"/>
          <w:sz w:val="18"/>
          <w:szCs w:val="18"/>
        </w:rPr>
        <w:t xml:space="preserve">su valor neto de </w:t>
      </w:r>
      <w:r w:rsidRPr="001668B4">
        <w:rPr>
          <w:rFonts w:ascii="Arial" w:hAnsi="Arial" w:cs="Arial"/>
          <w:sz w:val="18"/>
          <w:szCs w:val="18"/>
        </w:rPr>
        <w:t>provisiones individuales</w:t>
      </w:r>
      <w:r w:rsidR="002A516A" w:rsidRPr="001668B4">
        <w:rPr>
          <w:rFonts w:ascii="Arial" w:hAnsi="Arial" w:cs="Arial"/>
          <w:sz w:val="18"/>
          <w:szCs w:val="18"/>
        </w:rPr>
        <w:t>,</w:t>
      </w:r>
      <w:r w:rsidR="00F33295">
        <w:rPr>
          <w:rFonts w:ascii="Arial" w:hAnsi="Arial" w:cs="Arial"/>
          <w:sz w:val="18"/>
          <w:szCs w:val="18"/>
        </w:rPr>
        <w:t xml:space="preserve"> conforme a</w:t>
      </w:r>
      <w:r w:rsidR="00D80FE3" w:rsidRPr="001668B4">
        <w:rPr>
          <w:rFonts w:ascii="Arial" w:hAnsi="Arial" w:cs="Arial"/>
          <w:sz w:val="18"/>
          <w:szCs w:val="18"/>
        </w:rPr>
        <w:t xml:space="preserve"> lo </w:t>
      </w:r>
      <w:r w:rsidR="00CF6537">
        <w:rPr>
          <w:rFonts w:ascii="Arial" w:hAnsi="Arial" w:cs="Arial"/>
          <w:sz w:val="18"/>
          <w:szCs w:val="18"/>
        </w:rPr>
        <w:t>establecido</w:t>
      </w:r>
      <w:r w:rsidR="002A516A" w:rsidRPr="001668B4">
        <w:rPr>
          <w:rFonts w:ascii="Arial" w:hAnsi="Arial" w:cs="Arial"/>
          <w:sz w:val="18"/>
          <w:szCs w:val="18"/>
        </w:rPr>
        <w:t xml:space="preserve"> </w:t>
      </w:r>
      <w:r w:rsidR="00D80FE3" w:rsidRPr="001668B4">
        <w:rPr>
          <w:rFonts w:ascii="Arial" w:hAnsi="Arial" w:cs="Arial"/>
          <w:sz w:val="18"/>
          <w:szCs w:val="18"/>
        </w:rPr>
        <w:t xml:space="preserve">en el parágrafo 3 del </w:t>
      </w:r>
      <w:r w:rsidR="006C54FF" w:rsidRPr="001668B4">
        <w:rPr>
          <w:rFonts w:ascii="Arial" w:hAnsi="Arial" w:cs="Arial"/>
          <w:sz w:val="18"/>
          <w:szCs w:val="18"/>
        </w:rPr>
        <w:t>a</w:t>
      </w:r>
      <w:r w:rsidR="00D80FE3" w:rsidRPr="001668B4">
        <w:rPr>
          <w:rFonts w:ascii="Arial" w:hAnsi="Arial" w:cs="Arial"/>
          <w:sz w:val="18"/>
          <w:szCs w:val="18"/>
        </w:rPr>
        <w:t>rtículo 2.1.1.3.4 del Decreto 2555 de 2010</w:t>
      </w:r>
      <w:r w:rsidRPr="001668B4">
        <w:rPr>
          <w:rFonts w:ascii="Arial" w:hAnsi="Arial" w:cs="Arial"/>
          <w:sz w:val="18"/>
          <w:szCs w:val="18"/>
        </w:rPr>
        <w:t>.</w:t>
      </w:r>
      <w:r w:rsidR="00440291" w:rsidRPr="001668B4">
        <w:rPr>
          <w:rFonts w:ascii="Arial" w:hAnsi="Arial" w:cs="Arial"/>
          <w:sz w:val="18"/>
          <w:szCs w:val="18"/>
        </w:rPr>
        <w:t xml:space="preserve"> </w:t>
      </w:r>
      <w:r w:rsidRPr="001668B4">
        <w:rPr>
          <w:rFonts w:ascii="Arial" w:hAnsi="Arial" w:cs="Arial"/>
          <w:sz w:val="18"/>
          <w:szCs w:val="18"/>
        </w:rPr>
        <w:t>Cuando el alcance de la cobertura de los avales y garantías</w:t>
      </w:r>
      <w:r w:rsidR="00F33295">
        <w:rPr>
          <w:rFonts w:ascii="Arial" w:hAnsi="Arial" w:cs="Arial"/>
          <w:sz w:val="18"/>
          <w:szCs w:val="18"/>
        </w:rPr>
        <w:t xml:space="preserve"> otorgados por las entidades</w:t>
      </w:r>
      <w:r w:rsidRPr="001668B4">
        <w:rPr>
          <w:rFonts w:ascii="Arial" w:hAnsi="Arial" w:cs="Arial"/>
          <w:sz w:val="18"/>
          <w:szCs w:val="18"/>
        </w:rPr>
        <w:t xml:space="preserve"> aquí señaladas esté referido </w:t>
      </w:r>
      <w:r w:rsidR="00440291" w:rsidRPr="001668B4">
        <w:rPr>
          <w:rFonts w:ascii="Arial" w:hAnsi="Arial" w:cs="Arial"/>
          <w:sz w:val="18"/>
          <w:szCs w:val="18"/>
        </w:rPr>
        <w:t xml:space="preserve">solo </w:t>
      </w:r>
      <w:r w:rsidRPr="001668B4">
        <w:rPr>
          <w:rFonts w:ascii="Arial" w:hAnsi="Arial" w:cs="Arial"/>
          <w:sz w:val="18"/>
          <w:szCs w:val="18"/>
        </w:rPr>
        <w:t xml:space="preserve">a una parte de la operación, </w:t>
      </w:r>
      <w:r w:rsidR="00440291" w:rsidRPr="001668B4">
        <w:rPr>
          <w:rFonts w:ascii="Arial" w:hAnsi="Arial" w:cs="Arial"/>
          <w:sz w:val="18"/>
          <w:szCs w:val="18"/>
        </w:rPr>
        <w:t>e</w:t>
      </w:r>
      <w:r w:rsidRPr="001668B4">
        <w:rPr>
          <w:rFonts w:ascii="Arial" w:hAnsi="Arial" w:cs="Arial"/>
          <w:sz w:val="18"/>
          <w:szCs w:val="18"/>
        </w:rPr>
        <w:t xml:space="preserve">l valor de exposición de la parte descubierta </w:t>
      </w:r>
      <w:r w:rsidR="00440291">
        <w:rPr>
          <w:rFonts w:ascii="Arial" w:hAnsi="Arial" w:cs="Arial"/>
          <w:sz w:val="18"/>
          <w:szCs w:val="18"/>
        </w:rPr>
        <w:t xml:space="preserve">se podrá mitigar </w:t>
      </w:r>
      <w:r w:rsidR="00440291" w:rsidRPr="003362C9">
        <w:rPr>
          <w:rFonts w:ascii="Arial" w:hAnsi="Arial" w:cs="Arial"/>
          <w:sz w:val="18"/>
          <w:szCs w:val="18"/>
        </w:rPr>
        <w:t>con garantía</w:t>
      </w:r>
      <w:r w:rsidR="00440291">
        <w:rPr>
          <w:rFonts w:ascii="Arial" w:hAnsi="Arial" w:cs="Arial"/>
          <w:sz w:val="18"/>
          <w:szCs w:val="18"/>
        </w:rPr>
        <w:t>s</w:t>
      </w:r>
      <w:r w:rsidR="00440291" w:rsidRPr="003362C9">
        <w:rPr>
          <w:rFonts w:ascii="Arial" w:hAnsi="Arial" w:cs="Arial"/>
          <w:sz w:val="18"/>
          <w:szCs w:val="18"/>
        </w:rPr>
        <w:t xml:space="preserve"> </w:t>
      </w:r>
      <w:r w:rsidR="00440291">
        <w:rPr>
          <w:rFonts w:ascii="Arial" w:hAnsi="Arial" w:cs="Arial"/>
          <w:sz w:val="18"/>
          <w:szCs w:val="18"/>
        </w:rPr>
        <w:t xml:space="preserve">diferentes a las </w:t>
      </w:r>
      <w:r w:rsidR="00440291" w:rsidRPr="003362C9">
        <w:rPr>
          <w:rFonts w:ascii="Arial" w:hAnsi="Arial" w:cs="Arial"/>
          <w:sz w:val="18"/>
          <w:szCs w:val="18"/>
        </w:rPr>
        <w:t>inmobiliaria</w:t>
      </w:r>
      <w:r w:rsidR="00F33295">
        <w:rPr>
          <w:rFonts w:ascii="Arial" w:hAnsi="Arial" w:cs="Arial"/>
          <w:sz w:val="18"/>
          <w:szCs w:val="18"/>
        </w:rPr>
        <w:t xml:space="preserve">s. </w:t>
      </w:r>
    </w:p>
    <w:p w:rsidR="005C1BC6" w:rsidRDefault="005C1BC6" w:rsidP="005C3CBE">
      <w:pPr>
        <w:jc w:val="both"/>
        <w:rPr>
          <w:rFonts w:ascii="Arial" w:hAnsi="Arial" w:cs="Arial"/>
          <w:sz w:val="18"/>
          <w:szCs w:val="18"/>
        </w:rPr>
      </w:pPr>
    </w:p>
    <w:p w:rsidR="00992930" w:rsidRDefault="005C1BC6" w:rsidP="001668B4">
      <w:pPr>
        <w:jc w:val="both"/>
        <w:rPr>
          <w:rFonts w:ascii="Arial" w:hAnsi="Arial" w:cs="Arial"/>
          <w:sz w:val="18"/>
          <w:szCs w:val="18"/>
        </w:rPr>
      </w:pPr>
      <w:r>
        <w:rPr>
          <w:rFonts w:ascii="Arial" w:hAnsi="Arial" w:cs="Arial"/>
          <w:sz w:val="18"/>
          <w:szCs w:val="18"/>
        </w:rPr>
        <w:t>L</w:t>
      </w:r>
      <w:r w:rsidR="00992930">
        <w:rPr>
          <w:rFonts w:ascii="Arial" w:hAnsi="Arial" w:cs="Arial"/>
          <w:sz w:val="18"/>
          <w:szCs w:val="18"/>
        </w:rPr>
        <w:t xml:space="preserve">os </w:t>
      </w:r>
      <w:r w:rsidR="00566D6D">
        <w:rPr>
          <w:rFonts w:ascii="Arial" w:hAnsi="Arial" w:cs="Arial"/>
          <w:sz w:val="18"/>
          <w:szCs w:val="18"/>
        </w:rPr>
        <w:t>activos de</w:t>
      </w:r>
      <w:r w:rsidR="00992930">
        <w:rPr>
          <w:rFonts w:ascii="Arial" w:hAnsi="Arial" w:cs="Arial"/>
          <w:sz w:val="18"/>
          <w:szCs w:val="18"/>
        </w:rPr>
        <w:t xml:space="preserve"> l</w:t>
      </w:r>
      <w:r>
        <w:rPr>
          <w:rFonts w:ascii="Arial" w:hAnsi="Arial" w:cs="Arial"/>
          <w:sz w:val="18"/>
          <w:szCs w:val="18"/>
        </w:rPr>
        <w:t xml:space="preserve">as entidades del sector </w:t>
      </w:r>
      <w:r w:rsidR="000058D1">
        <w:rPr>
          <w:rFonts w:ascii="Arial" w:hAnsi="Arial" w:cs="Arial"/>
          <w:sz w:val="18"/>
          <w:szCs w:val="18"/>
        </w:rPr>
        <w:t>público</w:t>
      </w:r>
      <w:r>
        <w:rPr>
          <w:rFonts w:ascii="Arial" w:hAnsi="Arial" w:cs="Arial"/>
          <w:sz w:val="18"/>
          <w:szCs w:val="18"/>
        </w:rPr>
        <w:t xml:space="preserve"> distintas de la Nación</w:t>
      </w:r>
      <w:r w:rsidR="00992930">
        <w:rPr>
          <w:rFonts w:ascii="Arial" w:hAnsi="Arial" w:cs="Arial"/>
          <w:sz w:val="18"/>
          <w:szCs w:val="18"/>
        </w:rPr>
        <w:t>, incluidas las</w:t>
      </w:r>
      <w:r w:rsidR="00992930" w:rsidRPr="002A1090">
        <w:rPr>
          <w:rFonts w:ascii="Arial" w:hAnsi="Arial" w:cs="Arial"/>
          <w:sz w:val="18"/>
          <w:szCs w:val="18"/>
        </w:rPr>
        <w:t xml:space="preserve"> empresas de economía mixta,</w:t>
      </w:r>
      <w:r w:rsidR="00992930" w:rsidRPr="00FF4B33">
        <w:rPr>
          <w:rFonts w:ascii="Arial" w:hAnsi="Arial" w:cs="Arial"/>
          <w:sz w:val="18"/>
          <w:szCs w:val="18"/>
        </w:rPr>
        <w:t xml:space="preserve"> </w:t>
      </w:r>
      <w:r w:rsidR="00DE585D">
        <w:rPr>
          <w:rFonts w:ascii="Arial" w:hAnsi="Arial" w:cs="Arial"/>
          <w:sz w:val="18"/>
          <w:szCs w:val="18"/>
        </w:rPr>
        <w:t xml:space="preserve">se </w:t>
      </w:r>
      <w:r>
        <w:rPr>
          <w:rFonts w:ascii="Arial" w:hAnsi="Arial" w:cs="Arial"/>
          <w:sz w:val="18"/>
          <w:szCs w:val="18"/>
        </w:rPr>
        <w:t xml:space="preserve">deben ponderar de conformidad con </w:t>
      </w:r>
      <w:r w:rsidR="0023567F">
        <w:rPr>
          <w:rFonts w:ascii="Arial" w:hAnsi="Arial" w:cs="Arial"/>
          <w:sz w:val="18"/>
          <w:szCs w:val="18"/>
        </w:rPr>
        <w:t>lo definido en</w:t>
      </w:r>
      <w:r>
        <w:rPr>
          <w:rFonts w:ascii="Arial" w:hAnsi="Arial" w:cs="Arial"/>
          <w:sz w:val="18"/>
          <w:szCs w:val="18"/>
        </w:rPr>
        <w:t xml:space="preserve"> el numeral 5</w:t>
      </w:r>
      <w:r w:rsidR="00F33295">
        <w:rPr>
          <w:rFonts w:ascii="Arial" w:hAnsi="Arial" w:cs="Arial"/>
          <w:sz w:val="18"/>
          <w:szCs w:val="18"/>
        </w:rPr>
        <w:t>)</w:t>
      </w:r>
      <w:r>
        <w:rPr>
          <w:rFonts w:ascii="Arial" w:hAnsi="Arial" w:cs="Arial"/>
          <w:sz w:val="18"/>
          <w:szCs w:val="18"/>
        </w:rPr>
        <w:t xml:space="preserve"> del </w:t>
      </w:r>
      <w:r w:rsidR="006C54FF">
        <w:rPr>
          <w:rFonts w:ascii="Arial" w:hAnsi="Arial" w:cs="Arial"/>
          <w:sz w:val="18"/>
          <w:szCs w:val="18"/>
        </w:rPr>
        <w:t>a</w:t>
      </w:r>
      <w:r>
        <w:rPr>
          <w:rFonts w:ascii="Arial" w:hAnsi="Arial" w:cs="Arial"/>
          <w:sz w:val="18"/>
          <w:szCs w:val="18"/>
        </w:rPr>
        <w:t>rtículo 2.1.1.3.2 del Decreto 2555 de 2010</w:t>
      </w:r>
      <w:r w:rsidR="00992930">
        <w:rPr>
          <w:rFonts w:ascii="Arial" w:hAnsi="Arial" w:cs="Arial"/>
          <w:sz w:val="18"/>
          <w:szCs w:val="18"/>
        </w:rPr>
        <w:t>.</w:t>
      </w:r>
    </w:p>
    <w:p w:rsidR="00992930" w:rsidRDefault="00992930" w:rsidP="001668B4">
      <w:pPr>
        <w:jc w:val="both"/>
        <w:rPr>
          <w:rFonts w:ascii="Arial" w:hAnsi="Arial" w:cs="Arial"/>
          <w:sz w:val="18"/>
          <w:szCs w:val="18"/>
        </w:rPr>
      </w:pPr>
    </w:p>
    <w:p w:rsidR="00992930" w:rsidRPr="001668B4" w:rsidRDefault="00CF6537" w:rsidP="001668B4">
      <w:pPr>
        <w:jc w:val="both"/>
        <w:rPr>
          <w:rFonts w:ascii="Arial" w:hAnsi="Arial" w:cs="Arial"/>
          <w:sz w:val="18"/>
          <w:szCs w:val="18"/>
        </w:rPr>
      </w:pPr>
      <w:r>
        <w:rPr>
          <w:rFonts w:ascii="Arial" w:hAnsi="Arial" w:cs="Arial"/>
          <w:sz w:val="18"/>
          <w:szCs w:val="18"/>
        </w:rPr>
        <w:t>De igual forma, los activos de los</w:t>
      </w:r>
      <w:r w:rsidR="009C2EB6">
        <w:rPr>
          <w:rFonts w:ascii="Arial" w:hAnsi="Arial" w:cs="Arial"/>
          <w:sz w:val="18"/>
          <w:szCs w:val="18"/>
        </w:rPr>
        <w:t xml:space="preserve"> </w:t>
      </w:r>
      <w:r w:rsidR="00992930" w:rsidRPr="001B6743">
        <w:rPr>
          <w:rFonts w:ascii="Arial" w:hAnsi="Arial" w:cs="Arial"/>
          <w:sz w:val="18"/>
          <w:szCs w:val="18"/>
        </w:rPr>
        <w:t>ent</w:t>
      </w:r>
      <w:r w:rsidR="007C138F">
        <w:rPr>
          <w:rFonts w:ascii="Arial" w:hAnsi="Arial" w:cs="Arial"/>
          <w:sz w:val="18"/>
          <w:szCs w:val="18"/>
        </w:rPr>
        <w:t xml:space="preserve">es </w:t>
      </w:r>
      <w:r w:rsidR="00992930" w:rsidRPr="001B6743">
        <w:rPr>
          <w:rFonts w:ascii="Arial" w:hAnsi="Arial" w:cs="Arial"/>
          <w:sz w:val="18"/>
          <w:szCs w:val="18"/>
        </w:rPr>
        <w:t>territorial</w:t>
      </w:r>
      <w:r w:rsidR="007C138F">
        <w:rPr>
          <w:rFonts w:ascii="Arial" w:hAnsi="Arial" w:cs="Arial"/>
          <w:sz w:val="18"/>
          <w:szCs w:val="18"/>
        </w:rPr>
        <w:t>es</w:t>
      </w:r>
      <w:r w:rsidR="00992930" w:rsidRPr="001B6743">
        <w:rPr>
          <w:rFonts w:ascii="Arial" w:hAnsi="Arial" w:cs="Arial"/>
          <w:sz w:val="18"/>
          <w:szCs w:val="18"/>
        </w:rPr>
        <w:t xml:space="preserve"> se debe</w:t>
      </w:r>
      <w:r w:rsidR="00992930">
        <w:rPr>
          <w:rFonts w:ascii="Arial" w:hAnsi="Arial" w:cs="Arial"/>
          <w:sz w:val="18"/>
          <w:szCs w:val="18"/>
        </w:rPr>
        <w:t>n</w:t>
      </w:r>
      <w:r w:rsidR="00992930" w:rsidRPr="001B6743">
        <w:rPr>
          <w:rFonts w:ascii="Arial" w:hAnsi="Arial" w:cs="Arial"/>
          <w:sz w:val="18"/>
          <w:szCs w:val="18"/>
        </w:rPr>
        <w:t xml:space="preserve"> </w:t>
      </w:r>
      <w:r w:rsidR="00992930">
        <w:rPr>
          <w:rFonts w:ascii="Arial" w:hAnsi="Arial" w:cs="Arial"/>
          <w:sz w:val="18"/>
          <w:szCs w:val="18"/>
        </w:rPr>
        <w:t xml:space="preserve">ponderar </w:t>
      </w:r>
      <w:r w:rsidR="009C2EB6">
        <w:rPr>
          <w:rFonts w:ascii="Arial" w:hAnsi="Arial" w:cs="Arial"/>
          <w:sz w:val="18"/>
          <w:szCs w:val="18"/>
        </w:rPr>
        <w:t>de acuerdo con los porcentajes establecidos en el numeral 5) del artículo 2.1.1.3.2 del Decreto 2555 de 2010</w:t>
      </w:r>
      <w:r w:rsidR="00566D6D">
        <w:rPr>
          <w:rFonts w:ascii="Arial" w:hAnsi="Arial" w:cs="Arial"/>
          <w:sz w:val="18"/>
          <w:szCs w:val="18"/>
        </w:rPr>
        <w:t>. E</w:t>
      </w:r>
      <w:r w:rsidR="009C2EB6">
        <w:rPr>
          <w:rFonts w:ascii="Arial" w:hAnsi="Arial" w:cs="Arial"/>
          <w:sz w:val="18"/>
          <w:szCs w:val="18"/>
        </w:rPr>
        <w:t xml:space="preserve">n el caso de los créditos con estas contrapartes se debe </w:t>
      </w:r>
      <w:r w:rsidR="00992930" w:rsidRPr="001B6743">
        <w:rPr>
          <w:rFonts w:ascii="Arial" w:hAnsi="Arial" w:cs="Arial"/>
          <w:sz w:val="18"/>
          <w:szCs w:val="18"/>
        </w:rPr>
        <w:t>considera</w:t>
      </w:r>
      <w:r w:rsidR="009C2EB6">
        <w:rPr>
          <w:rFonts w:ascii="Arial" w:hAnsi="Arial" w:cs="Arial"/>
          <w:sz w:val="18"/>
          <w:szCs w:val="18"/>
        </w:rPr>
        <w:t xml:space="preserve">r </w:t>
      </w:r>
      <w:r w:rsidR="00992930" w:rsidRPr="001B6743">
        <w:rPr>
          <w:rFonts w:ascii="Arial" w:hAnsi="Arial" w:cs="Arial"/>
          <w:sz w:val="18"/>
          <w:szCs w:val="18"/>
        </w:rPr>
        <w:t>la calificación de capacidad de pago asignada por una sociedad calificadora de riesgos autorizada por la SFC, conforme a lo previsto en el Capítulo II, Título 2 de la Parte 2 del Decreto 1068 de 2015 y sus modificaciones o actualizaciones (Decreto Único Reglamentario del Sector Hacienda y Crédito Público).</w:t>
      </w:r>
    </w:p>
    <w:p w:rsidR="005947AD" w:rsidRDefault="005947AD" w:rsidP="005C3CBE">
      <w:pPr>
        <w:jc w:val="both"/>
        <w:rPr>
          <w:rFonts w:ascii="Arial" w:hAnsi="Arial" w:cs="Arial"/>
          <w:sz w:val="18"/>
          <w:szCs w:val="18"/>
        </w:rPr>
      </w:pPr>
    </w:p>
    <w:p w:rsidR="00627636" w:rsidRDefault="005947AD" w:rsidP="005947AD">
      <w:pPr>
        <w:pStyle w:val="Prrafodelista"/>
        <w:numPr>
          <w:ilvl w:val="3"/>
          <w:numId w:val="11"/>
        </w:numPr>
        <w:jc w:val="both"/>
        <w:rPr>
          <w:rFonts w:ascii="Arial" w:hAnsi="Arial" w:cs="Arial"/>
          <w:sz w:val="18"/>
          <w:szCs w:val="18"/>
        </w:rPr>
      </w:pPr>
      <w:r>
        <w:rPr>
          <w:rFonts w:ascii="Arial" w:hAnsi="Arial" w:cs="Arial"/>
          <w:sz w:val="18"/>
          <w:szCs w:val="18"/>
        </w:rPr>
        <w:t>Factor de Ajuste del Activo (Fa)</w:t>
      </w:r>
    </w:p>
    <w:p w:rsidR="005947AD" w:rsidRDefault="005947AD" w:rsidP="005947AD">
      <w:pPr>
        <w:jc w:val="both"/>
        <w:rPr>
          <w:rFonts w:ascii="Arial" w:hAnsi="Arial" w:cs="Arial"/>
          <w:sz w:val="18"/>
          <w:szCs w:val="18"/>
        </w:rPr>
      </w:pPr>
    </w:p>
    <w:p w:rsidR="005947AD" w:rsidRPr="002A1090" w:rsidRDefault="00205401" w:rsidP="005947AD">
      <w:pPr>
        <w:contextualSpacing/>
        <w:jc w:val="both"/>
        <w:rPr>
          <w:rFonts w:ascii="Arial" w:hAnsi="Arial" w:cs="Arial"/>
          <w:sz w:val="18"/>
          <w:szCs w:val="18"/>
        </w:rPr>
      </w:pPr>
      <w:r>
        <w:rPr>
          <w:rFonts w:ascii="Arial" w:hAnsi="Arial" w:cs="Arial"/>
          <w:sz w:val="18"/>
          <w:szCs w:val="18"/>
        </w:rPr>
        <w:t xml:space="preserve">El Fa será </w:t>
      </w:r>
      <w:r w:rsidR="005947AD">
        <w:rPr>
          <w:rFonts w:ascii="Arial" w:hAnsi="Arial" w:cs="Arial"/>
          <w:sz w:val="18"/>
          <w:szCs w:val="18"/>
        </w:rPr>
        <w:t xml:space="preserve">cero siempre que </w:t>
      </w:r>
      <w:r w:rsidR="005947AD" w:rsidRPr="002A1090">
        <w:rPr>
          <w:rFonts w:ascii="Arial" w:hAnsi="Arial" w:cs="Arial"/>
          <w:sz w:val="18"/>
          <w:szCs w:val="18"/>
        </w:rPr>
        <w:t>los activos que sean objeto de la operación (desembolso y pagos) se realicen en efectivo</w:t>
      </w:r>
      <w:r w:rsidR="00AE59D0" w:rsidRPr="002A1090">
        <w:rPr>
          <w:rFonts w:ascii="Arial" w:hAnsi="Arial" w:cs="Arial"/>
          <w:sz w:val="18"/>
          <w:szCs w:val="18"/>
        </w:rPr>
        <w:t xml:space="preserve">. En el caso de préstamos de </w:t>
      </w:r>
      <w:r w:rsidR="005947AD" w:rsidRPr="002A1090">
        <w:rPr>
          <w:rFonts w:ascii="Arial" w:hAnsi="Arial" w:cs="Arial"/>
          <w:sz w:val="18"/>
          <w:szCs w:val="18"/>
        </w:rPr>
        <w:t xml:space="preserve">valores (entrega o recepción de títulos) el Fa será el mismo </w:t>
      </w:r>
      <w:r w:rsidR="00CF6537">
        <w:rPr>
          <w:rFonts w:ascii="Arial" w:hAnsi="Arial" w:cs="Arial"/>
          <w:sz w:val="18"/>
          <w:szCs w:val="18"/>
        </w:rPr>
        <w:t>Factor de Ajuste de la Garantía (</w:t>
      </w:r>
      <w:proofErr w:type="spellStart"/>
      <w:r w:rsidR="005947AD" w:rsidRPr="002A1090">
        <w:rPr>
          <w:rFonts w:ascii="Arial" w:hAnsi="Arial" w:cs="Arial"/>
          <w:sz w:val="18"/>
          <w:szCs w:val="18"/>
        </w:rPr>
        <w:t>Fg</w:t>
      </w:r>
      <w:proofErr w:type="spellEnd"/>
      <w:r w:rsidR="00CF6537">
        <w:rPr>
          <w:rFonts w:ascii="Arial" w:hAnsi="Arial" w:cs="Arial"/>
          <w:sz w:val="18"/>
          <w:szCs w:val="18"/>
        </w:rPr>
        <w:t>)</w:t>
      </w:r>
      <w:r w:rsidR="005947AD" w:rsidRPr="002A1090">
        <w:rPr>
          <w:rFonts w:ascii="Arial" w:hAnsi="Arial" w:cs="Arial"/>
          <w:sz w:val="18"/>
          <w:szCs w:val="18"/>
        </w:rPr>
        <w:t>.</w:t>
      </w:r>
    </w:p>
    <w:p w:rsidR="00FE0BBB" w:rsidRPr="005947AD" w:rsidRDefault="00FE0BBB" w:rsidP="005947AD">
      <w:pPr>
        <w:jc w:val="both"/>
        <w:rPr>
          <w:rFonts w:ascii="Arial" w:hAnsi="Arial" w:cs="Arial"/>
          <w:sz w:val="18"/>
          <w:szCs w:val="18"/>
        </w:rPr>
      </w:pPr>
    </w:p>
    <w:p w:rsidR="00627636" w:rsidRPr="000A17D7" w:rsidRDefault="00D91211" w:rsidP="00642F0F">
      <w:pPr>
        <w:pStyle w:val="Prrafodelista"/>
        <w:numPr>
          <w:ilvl w:val="3"/>
          <w:numId w:val="11"/>
        </w:numPr>
        <w:jc w:val="both"/>
        <w:outlineLvl w:val="2"/>
        <w:rPr>
          <w:rFonts w:ascii="Arial" w:hAnsi="Arial" w:cs="Arial"/>
          <w:sz w:val="18"/>
          <w:szCs w:val="18"/>
        </w:rPr>
      </w:pPr>
      <w:r>
        <w:rPr>
          <w:rFonts w:ascii="Arial" w:hAnsi="Arial" w:cs="Arial"/>
          <w:sz w:val="18"/>
          <w:szCs w:val="18"/>
        </w:rPr>
        <w:t>Tratamiento de las g</w:t>
      </w:r>
      <w:r w:rsidR="001D32AD" w:rsidRPr="000A17D7">
        <w:rPr>
          <w:rFonts w:ascii="Arial" w:hAnsi="Arial" w:cs="Arial"/>
          <w:sz w:val="18"/>
          <w:szCs w:val="18"/>
        </w:rPr>
        <w:t>arantía</w:t>
      </w:r>
      <w:r w:rsidR="007B6F11" w:rsidRPr="000A17D7">
        <w:rPr>
          <w:rFonts w:ascii="Arial" w:hAnsi="Arial" w:cs="Arial"/>
          <w:sz w:val="18"/>
          <w:szCs w:val="18"/>
        </w:rPr>
        <w:t>s</w:t>
      </w:r>
      <w:r>
        <w:rPr>
          <w:rFonts w:ascii="Arial" w:hAnsi="Arial" w:cs="Arial"/>
          <w:sz w:val="18"/>
          <w:szCs w:val="18"/>
        </w:rPr>
        <w:t xml:space="preserve"> y </w:t>
      </w:r>
      <w:r w:rsidR="00F33295">
        <w:rPr>
          <w:rFonts w:ascii="Arial" w:hAnsi="Arial" w:cs="Arial"/>
          <w:sz w:val="18"/>
          <w:szCs w:val="18"/>
        </w:rPr>
        <w:t>Factor de A</w:t>
      </w:r>
      <w:r w:rsidR="007F6C9C">
        <w:rPr>
          <w:rFonts w:ascii="Arial" w:hAnsi="Arial" w:cs="Arial"/>
          <w:sz w:val="18"/>
          <w:szCs w:val="18"/>
        </w:rPr>
        <w:t>juste de la</w:t>
      </w:r>
      <w:r w:rsidR="00F33295">
        <w:rPr>
          <w:rFonts w:ascii="Arial" w:hAnsi="Arial" w:cs="Arial"/>
          <w:sz w:val="18"/>
          <w:szCs w:val="18"/>
        </w:rPr>
        <w:t xml:space="preserve"> G</w:t>
      </w:r>
      <w:r w:rsidR="007F6C9C">
        <w:rPr>
          <w:rFonts w:ascii="Arial" w:hAnsi="Arial" w:cs="Arial"/>
          <w:sz w:val="18"/>
          <w:szCs w:val="18"/>
        </w:rPr>
        <w:t>arantía (Fg)</w:t>
      </w:r>
    </w:p>
    <w:p w:rsidR="00687DDF" w:rsidRPr="000A17D7" w:rsidRDefault="00687DDF" w:rsidP="009431D9">
      <w:pPr>
        <w:jc w:val="both"/>
        <w:rPr>
          <w:rFonts w:ascii="Arial" w:hAnsi="Arial" w:cs="Arial"/>
          <w:sz w:val="18"/>
          <w:szCs w:val="18"/>
        </w:rPr>
      </w:pPr>
    </w:p>
    <w:p w:rsidR="005324DF" w:rsidRPr="000A17D7" w:rsidRDefault="00C324CF" w:rsidP="008425BA">
      <w:pPr>
        <w:jc w:val="both"/>
        <w:rPr>
          <w:rFonts w:ascii="Arial" w:hAnsi="Arial" w:cs="Arial"/>
          <w:sz w:val="18"/>
          <w:szCs w:val="18"/>
        </w:rPr>
      </w:pPr>
      <w:r>
        <w:rPr>
          <w:rFonts w:ascii="Arial" w:hAnsi="Arial" w:cs="Arial"/>
          <w:sz w:val="18"/>
          <w:szCs w:val="18"/>
        </w:rPr>
        <w:t xml:space="preserve">Las entidades solo </w:t>
      </w:r>
      <w:r w:rsidR="00D05ED6">
        <w:rPr>
          <w:rFonts w:ascii="Arial" w:hAnsi="Arial" w:cs="Arial"/>
          <w:sz w:val="18"/>
          <w:szCs w:val="18"/>
        </w:rPr>
        <w:t>podrán</w:t>
      </w:r>
      <w:r>
        <w:rPr>
          <w:rFonts w:ascii="Arial" w:hAnsi="Arial" w:cs="Arial"/>
          <w:sz w:val="18"/>
          <w:szCs w:val="18"/>
        </w:rPr>
        <w:t xml:space="preserve"> reconocer las garantías </w:t>
      </w:r>
      <w:r w:rsidR="000875B9">
        <w:rPr>
          <w:rFonts w:ascii="Arial" w:hAnsi="Arial" w:cs="Arial"/>
          <w:sz w:val="18"/>
          <w:szCs w:val="18"/>
        </w:rPr>
        <w:t xml:space="preserve">admisibles </w:t>
      </w:r>
      <w:r>
        <w:rPr>
          <w:rFonts w:ascii="Arial" w:hAnsi="Arial" w:cs="Arial"/>
          <w:sz w:val="18"/>
          <w:szCs w:val="18"/>
        </w:rPr>
        <w:t xml:space="preserve">como mitigantes de la exposición por riesgo de los activos, </w:t>
      </w:r>
      <w:r w:rsidR="00AE59D0">
        <w:rPr>
          <w:rFonts w:ascii="Arial" w:hAnsi="Arial" w:cs="Arial"/>
          <w:sz w:val="18"/>
          <w:szCs w:val="18"/>
        </w:rPr>
        <w:t xml:space="preserve">exposiciones y contingencias </w:t>
      </w:r>
      <w:r>
        <w:rPr>
          <w:rFonts w:ascii="Arial" w:hAnsi="Arial" w:cs="Arial"/>
          <w:sz w:val="18"/>
          <w:szCs w:val="18"/>
        </w:rPr>
        <w:t xml:space="preserve">cuando las mismas cumplan con los requisitos de idoneidad a </w:t>
      </w:r>
      <w:r w:rsidR="00F33295">
        <w:rPr>
          <w:rFonts w:ascii="Arial" w:hAnsi="Arial" w:cs="Arial"/>
          <w:sz w:val="18"/>
          <w:szCs w:val="18"/>
        </w:rPr>
        <w:t>lo</w:t>
      </w:r>
      <w:r w:rsidR="00AE59D0">
        <w:rPr>
          <w:rFonts w:ascii="Arial" w:hAnsi="Arial" w:cs="Arial"/>
          <w:sz w:val="18"/>
          <w:szCs w:val="18"/>
        </w:rPr>
        <w:t xml:space="preserve">s </w:t>
      </w:r>
      <w:r>
        <w:rPr>
          <w:rFonts w:ascii="Arial" w:hAnsi="Arial" w:cs="Arial"/>
          <w:sz w:val="18"/>
          <w:szCs w:val="18"/>
        </w:rPr>
        <w:t>que se refiere el Capítulo II de la CBCF.</w:t>
      </w:r>
    </w:p>
    <w:p w:rsidR="004F59AB" w:rsidRPr="000A17D7" w:rsidRDefault="004F59AB" w:rsidP="008425BA">
      <w:pPr>
        <w:jc w:val="both"/>
        <w:rPr>
          <w:rFonts w:ascii="Arial" w:hAnsi="Arial" w:cs="Arial"/>
          <w:sz w:val="18"/>
          <w:szCs w:val="18"/>
        </w:rPr>
      </w:pPr>
    </w:p>
    <w:p w:rsidR="00F33295" w:rsidRDefault="00F33295" w:rsidP="008425BA">
      <w:pPr>
        <w:jc w:val="both"/>
        <w:rPr>
          <w:rFonts w:ascii="Arial" w:hAnsi="Arial" w:cs="Arial"/>
          <w:sz w:val="18"/>
          <w:szCs w:val="18"/>
        </w:rPr>
      </w:pPr>
      <w:r>
        <w:rPr>
          <w:rFonts w:ascii="Arial" w:hAnsi="Arial" w:cs="Arial"/>
          <w:sz w:val="18"/>
          <w:szCs w:val="18"/>
        </w:rPr>
        <w:t xml:space="preserve">a) </w:t>
      </w:r>
      <w:r w:rsidR="00D05ED6">
        <w:rPr>
          <w:rFonts w:ascii="Arial" w:hAnsi="Arial" w:cs="Arial"/>
          <w:sz w:val="18"/>
          <w:szCs w:val="18"/>
        </w:rPr>
        <w:t>P</w:t>
      </w:r>
      <w:r w:rsidR="004F59AB" w:rsidRPr="000A17D7">
        <w:rPr>
          <w:rFonts w:ascii="Arial" w:hAnsi="Arial" w:cs="Arial"/>
          <w:sz w:val="18"/>
          <w:szCs w:val="18"/>
        </w:rPr>
        <w:t>ara el caso de</w:t>
      </w:r>
      <w:r w:rsidR="00D82E50">
        <w:rPr>
          <w:rFonts w:ascii="Arial" w:hAnsi="Arial" w:cs="Arial"/>
          <w:sz w:val="18"/>
          <w:szCs w:val="18"/>
        </w:rPr>
        <w:t xml:space="preserve"> </w:t>
      </w:r>
      <w:r w:rsidR="00D05ED6">
        <w:rPr>
          <w:rFonts w:ascii="Arial" w:hAnsi="Arial" w:cs="Arial"/>
          <w:sz w:val="18"/>
          <w:szCs w:val="18"/>
        </w:rPr>
        <w:t>las</w:t>
      </w:r>
      <w:r w:rsidR="007F6C9C">
        <w:rPr>
          <w:rFonts w:ascii="Arial" w:hAnsi="Arial" w:cs="Arial"/>
          <w:sz w:val="18"/>
          <w:szCs w:val="18"/>
        </w:rPr>
        <w:t xml:space="preserve"> inversiones</w:t>
      </w:r>
      <w:r>
        <w:rPr>
          <w:rFonts w:ascii="Arial" w:hAnsi="Arial" w:cs="Arial"/>
          <w:sz w:val="18"/>
          <w:szCs w:val="18"/>
        </w:rPr>
        <w:t xml:space="preserve">: </w:t>
      </w:r>
    </w:p>
    <w:p w:rsidR="00F33295" w:rsidRDefault="00F33295" w:rsidP="008425BA">
      <w:pPr>
        <w:jc w:val="both"/>
        <w:rPr>
          <w:rFonts w:ascii="Arial" w:hAnsi="Arial" w:cs="Arial"/>
          <w:sz w:val="18"/>
          <w:szCs w:val="18"/>
        </w:rPr>
      </w:pPr>
    </w:p>
    <w:p w:rsidR="008425BA" w:rsidRDefault="00F33295" w:rsidP="008425BA">
      <w:pPr>
        <w:jc w:val="both"/>
        <w:rPr>
          <w:rFonts w:ascii="Arial" w:hAnsi="Arial" w:cs="Arial"/>
          <w:sz w:val="18"/>
          <w:szCs w:val="18"/>
        </w:rPr>
      </w:pPr>
      <w:r>
        <w:rPr>
          <w:rFonts w:ascii="Arial" w:hAnsi="Arial" w:cs="Arial"/>
          <w:sz w:val="18"/>
          <w:szCs w:val="18"/>
        </w:rPr>
        <w:t>Tratándose de inversiones</w:t>
      </w:r>
      <w:r w:rsidR="00367939">
        <w:rPr>
          <w:rFonts w:ascii="Arial" w:hAnsi="Arial" w:cs="Arial"/>
          <w:sz w:val="18"/>
          <w:szCs w:val="18"/>
        </w:rPr>
        <w:t xml:space="preserve"> </w:t>
      </w:r>
      <w:r w:rsidR="002A516A">
        <w:rPr>
          <w:rFonts w:ascii="Arial" w:hAnsi="Arial" w:cs="Arial"/>
          <w:sz w:val="18"/>
          <w:szCs w:val="18"/>
        </w:rPr>
        <w:t>contabilizadas y valoradas al</w:t>
      </w:r>
      <w:r w:rsidR="002A516A" w:rsidRPr="002A516A">
        <w:rPr>
          <w:rFonts w:ascii="Arial" w:hAnsi="Arial" w:cs="Arial"/>
          <w:sz w:val="18"/>
          <w:szCs w:val="18"/>
        </w:rPr>
        <w:t xml:space="preserve"> valor razonable con cambios en resultados</w:t>
      </w:r>
      <w:r w:rsidR="00CF6537">
        <w:rPr>
          <w:rFonts w:ascii="Arial" w:hAnsi="Arial" w:cs="Arial"/>
          <w:sz w:val="18"/>
          <w:szCs w:val="18"/>
        </w:rPr>
        <w:t>,</w:t>
      </w:r>
      <w:r w:rsidR="007F6C9C">
        <w:rPr>
          <w:rFonts w:ascii="Arial" w:hAnsi="Arial" w:cs="Arial"/>
          <w:sz w:val="18"/>
          <w:szCs w:val="18"/>
        </w:rPr>
        <w:t xml:space="preserve"> las entidades podrán ajustar la exposición de</w:t>
      </w:r>
      <w:r w:rsidR="002A516A">
        <w:rPr>
          <w:rFonts w:ascii="Arial" w:hAnsi="Arial" w:cs="Arial"/>
          <w:sz w:val="18"/>
          <w:szCs w:val="18"/>
        </w:rPr>
        <w:t xml:space="preserve">l </w:t>
      </w:r>
      <w:r w:rsidR="007F6C9C">
        <w:rPr>
          <w:rFonts w:ascii="Arial" w:hAnsi="Arial" w:cs="Arial"/>
          <w:sz w:val="18"/>
          <w:szCs w:val="18"/>
        </w:rPr>
        <w:t xml:space="preserve">activo con el valor </w:t>
      </w:r>
      <w:r w:rsidR="00D82E50">
        <w:rPr>
          <w:rFonts w:ascii="Arial" w:hAnsi="Arial" w:cs="Arial"/>
          <w:sz w:val="18"/>
          <w:szCs w:val="18"/>
        </w:rPr>
        <w:t xml:space="preserve">del </w:t>
      </w:r>
      <w:r w:rsidR="004F59AB" w:rsidRPr="000A17D7">
        <w:rPr>
          <w:rFonts w:ascii="Arial" w:hAnsi="Arial" w:cs="Arial"/>
          <w:sz w:val="18"/>
          <w:szCs w:val="18"/>
        </w:rPr>
        <w:t>colateral financiero</w:t>
      </w:r>
      <w:r w:rsidR="007F6C9C">
        <w:rPr>
          <w:rFonts w:ascii="Arial" w:hAnsi="Arial" w:cs="Arial"/>
          <w:sz w:val="18"/>
          <w:szCs w:val="18"/>
        </w:rPr>
        <w:t xml:space="preserve"> admisible</w:t>
      </w:r>
      <w:r w:rsidR="000D32D1">
        <w:rPr>
          <w:rFonts w:ascii="Arial" w:hAnsi="Arial" w:cs="Arial"/>
          <w:sz w:val="18"/>
          <w:szCs w:val="18"/>
        </w:rPr>
        <w:t>. P</w:t>
      </w:r>
      <w:r w:rsidR="00D82E50">
        <w:rPr>
          <w:rFonts w:ascii="Arial" w:hAnsi="Arial" w:cs="Arial"/>
          <w:sz w:val="18"/>
          <w:szCs w:val="18"/>
        </w:rPr>
        <w:t>ara el efecto</w:t>
      </w:r>
      <w:r w:rsidR="0000491B">
        <w:rPr>
          <w:rFonts w:ascii="Arial" w:hAnsi="Arial" w:cs="Arial"/>
          <w:sz w:val="18"/>
          <w:szCs w:val="18"/>
        </w:rPr>
        <w:t>,</w:t>
      </w:r>
      <w:r w:rsidR="00D82E50">
        <w:rPr>
          <w:rFonts w:ascii="Arial" w:hAnsi="Arial" w:cs="Arial"/>
          <w:sz w:val="18"/>
          <w:szCs w:val="18"/>
        </w:rPr>
        <w:t xml:space="preserve"> </w:t>
      </w:r>
      <w:r w:rsidR="007F6C9C">
        <w:rPr>
          <w:rFonts w:ascii="Arial" w:hAnsi="Arial" w:cs="Arial"/>
          <w:sz w:val="18"/>
          <w:szCs w:val="18"/>
        </w:rPr>
        <w:t xml:space="preserve">se considera </w:t>
      </w:r>
      <w:r w:rsidR="008425BA" w:rsidRPr="000A17D7">
        <w:rPr>
          <w:rFonts w:ascii="Arial" w:hAnsi="Arial" w:cs="Arial"/>
          <w:sz w:val="18"/>
          <w:szCs w:val="18"/>
        </w:rPr>
        <w:t>como colateral financiero admisible</w:t>
      </w:r>
      <w:r w:rsidR="00EA57A0" w:rsidRPr="000A17D7">
        <w:rPr>
          <w:rFonts w:ascii="Arial" w:hAnsi="Arial" w:cs="Arial"/>
          <w:sz w:val="18"/>
          <w:szCs w:val="18"/>
        </w:rPr>
        <w:t xml:space="preserve"> </w:t>
      </w:r>
      <w:r w:rsidR="007F6C9C" w:rsidRPr="000A17D7">
        <w:rPr>
          <w:rFonts w:ascii="Arial" w:hAnsi="Arial" w:cs="Arial"/>
          <w:sz w:val="18"/>
          <w:szCs w:val="18"/>
        </w:rPr>
        <w:t xml:space="preserve">los instrumentos </w:t>
      </w:r>
      <w:r w:rsidR="007F6C9C">
        <w:rPr>
          <w:rFonts w:ascii="Arial" w:hAnsi="Arial" w:cs="Arial"/>
          <w:sz w:val="18"/>
          <w:szCs w:val="18"/>
        </w:rPr>
        <w:t>que se relaciona</w:t>
      </w:r>
      <w:r w:rsidR="006139A9">
        <w:rPr>
          <w:rFonts w:ascii="Arial" w:hAnsi="Arial" w:cs="Arial"/>
          <w:sz w:val="18"/>
          <w:szCs w:val="18"/>
        </w:rPr>
        <w:t>n</w:t>
      </w:r>
      <w:r w:rsidR="007F6C9C">
        <w:rPr>
          <w:rFonts w:ascii="Arial" w:hAnsi="Arial" w:cs="Arial"/>
          <w:sz w:val="18"/>
          <w:szCs w:val="18"/>
        </w:rPr>
        <w:t xml:space="preserve"> a continuación, </w:t>
      </w:r>
      <w:r w:rsidR="00EA57A0" w:rsidRPr="000A17D7">
        <w:rPr>
          <w:rFonts w:ascii="Arial" w:hAnsi="Arial" w:cs="Arial"/>
          <w:sz w:val="18"/>
          <w:szCs w:val="18"/>
        </w:rPr>
        <w:t xml:space="preserve">siempre que se realice una valoración diaria del activo a precios de mercado, </w:t>
      </w:r>
      <w:r w:rsidR="009717B4" w:rsidRPr="000A17D7">
        <w:rPr>
          <w:rFonts w:ascii="Arial" w:hAnsi="Arial" w:cs="Arial"/>
          <w:sz w:val="18"/>
          <w:szCs w:val="18"/>
        </w:rPr>
        <w:t xml:space="preserve">reposición diaria de márgenes y </w:t>
      </w:r>
      <w:r w:rsidR="00D82E50">
        <w:rPr>
          <w:rFonts w:ascii="Arial" w:hAnsi="Arial" w:cs="Arial"/>
          <w:sz w:val="18"/>
          <w:szCs w:val="18"/>
        </w:rPr>
        <w:t xml:space="preserve">un </w:t>
      </w:r>
      <w:r w:rsidR="009717B4" w:rsidRPr="000A17D7">
        <w:rPr>
          <w:rFonts w:ascii="Arial" w:hAnsi="Arial" w:cs="Arial"/>
          <w:sz w:val="18"/>
          <w:szCs w:val="18"/>
        </w:rPr>
        <w:t>periodo de mantenimiento de 10 días hábiles</w:t>
      </w:r>
      <w:r w:rsidR="0023567F">
        <w:rPr>
          <w:rFonts w:ascii="Arial" w:hAnsi="Arial" w:cs="Arial"/>
          <w:sz w:val="18"/>
          <w:szCs w:val="18"/>
        </w:rPr>
        <w:t>.</w:t>
      </w:r>
    </w:p>
    <w:p w:rsidR="00D82E50" w:rsidRDefault="00D82E50" w:rsidP="008425BA">
      <w:pPr>
        <w:jc w:val="both"/>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2"/>
        <w:gridCol w:w="4666"/>
      </w:tblGrid>
      <w:tr w:rsidR="00D82E50" w:rsidRPr="00D05ED6" w:rsidTr="009D4BA3">
        <w:trPr>
          <w:jc w:val="center"/>
        </w:trPr>
        <w:tc>
          <w:tcPr>
            <w:tcW w:w="4332" w:type="dxa"/>
            <w:shd w:val="clear" w:color="auto" w:fill="auto"/>
          </w:tcPr>
          <w:p w:rsidR="00D82E50" w:rsidRPr="00D05ED6" w:rsidRDefault="00D82E50" w:rsidP="00E6565B">
            <w:pPr>
              <w:jc w:val="center"/>
              <w:rPr>
                <w:rFonts w:ascii="Arial" w:hAnsi="Arial" w:cs="Arial"/>
                <w:b/>
                <w:sz w:val="18"/>
                <w:szCs w:val="18"/>
              </w:rPr>
            </w:pPr>
            <w:r w:rsidRPr="00D05ED6">
              <w:rPr>
                <w:rFonts w:ascii="Arial" w:hAnsi="Arial" w:cs="Arial"/>
                <w:b/>
                <w:sz w:val="18"/>
                <w:szCs w:val="18"/>
              </w:rPr>
              <w:t>Colateral financiero admisible</w:t>
            </w:r>
          </w:p>
        </w:tc>
        <w:tc>
          <w:tcPr>
            <w:tcW w:w="4666" w:type="dxa"/>
            <w:shd w:val="clear" w:color="auto" w:fill="auto"/>
          </w:tcPr>
          <w:p w:rsidR="00D82E50" w:rsidRPr="00D05ED6" w:rsidRDefault="00D82E50" w:rsidP="00D82E50">
            <w:pPr>
              <w:jc w:val="center"/>
              <w:rPr>
                <w:rFonts w:ascii="Arial" w:hAnsi="Arial" w:cs="Arial"/>
                <w:b/>
                <w:sz w:val="18"/>
                <w:szCs w:val="18"/>
              </w:rPr>
            </w:pPr>
            <w:r w:rsidRPr="00D05ED6">
              <w:rPr>
                <w:rFonts w:ascii="Arial" w:hAnsi="Arial" w:cs="Arial"/>
                <w:b/>
                <w:sz w:val="18"/>
                <w:szCs w:val="18"/>
              </w:rPr>
              <w:t>F</w:t>
            </w:r>
            <w:r w:rsidR="005548F3">
              <w:rPr>
                <w:rFonts w:ascii="Arial" w:hAnsi="Arial" w:cs="Arial"/>
                <w:b/>
                <w:sz w:val="18"/>
                <w:szCs w:val="18"/>
              </w:rPr>
              <w:t>g</w:t>
            </w:r>
          </w:p>
        </w:tc>
      </w:tr>
      <w:tr w:rsidR="00D82E50" w:rsidRPr="00D82E50" w:rsidTr="009D4BA3">
        <w:trPr>
          <w:jc w:val="center"/>
        </w:trPr>
        <w:tc>
          <w:tcPr>
            <w:tcW w:w="4332" w:type="dxa"/>
            <w:shd w:val="clear" w:color="auto" w:fill="auto"/>
          </w:tcPr>
          <w:p w:rsidR="00D82E50" w:rsidRPr="00D82E50" w:rsidRDefault="00D82E50" w:rsidP="00E6565B">
            <w:pPr>
              <w:rPr>
                <w:rFonts w:ascii="Arial" w:hAnsi="Arial" w:cs="Arial"/>
                <w:sz w:val="18"/>
                <w:szCs w:val="18"/>
              </w:rPr>
            </w:pPr>
            <w:r w:rsidRPr="00D82E50">
              <w:rPr>
                <w:rFonts w:ascii="Arial" w:hAnsi="Arial" w:cs="Arial"/>
                <w:sz w:val="18"/>
                <w:szCs w:val="18"/>
              </w:rPr>
              <w:t>Efectivo en pesos o divisas</w:t>
            </w:r>
          </w:p>
        </w:tc>
        <w:tc>
          <w:tcPr>
            <w:tcW w:w="4666" w:type="dxa"/>
            <w:shd w:val="clear" w:color="auto" w:fill="auto"/>
          </w:tcPr>
          <w:p w:rsidR="00D82E50" w:rsidRPr="00D82E50" w:rsidRDefault="00D82E50" w:rsidP="00E6565B">
            <w:pPr>
              <w:jc w:val="center"/>
              <w:rPr>
                <w:rFonts w:ascii="Arial" w:hAnsi="Arial" w:cs="Arial"/>
                <w:sz w:val="18"/>
                <w:szCs w:val="18"/>
              </w:rPr>
            </w:pPr>
            <w:r w:rsidRPr="00D82E50">
              <w:rPr>
                <w:rFonts w:ascii="Arial" w:hAnsi="Arial" w:cs="Arial"/>
                <w:sz w:val="18"/>
                <w:szCs w:val="18"/>
              </w:rPr>
              <w:t>0</w:t>
            </w:r>
            <w:r w:rsidR="007F6C9C">
              <w:rPr>
                <w:rFonts w:ascii="Arial" w:hAnsi="Arial" w:cs="Arial"/>
                <w:sz w:val="18"/>
                <w:szCs w:val="18"/>
              </w:rPr>
              <w:t>%</w:t>
            </w:r>
          </w:p>
        </w:tc>
      </w:tr>
      <w:tr w:rsidR="00D82E50" w:rsidRPr="00D82E50" w:rsidTr="009D4BA3">
        <w:trPr>
          <w:trHeight w:val="855"/>
          <w:jc w:val="center"/>
        </w:trPr>
        <w:tc>
          <w:tcPr>
            <w:tcW w:w="4332" w:type="dxa"/>
            <w:shd w:val="clear" w:color="auto" w:fill="auto"/>
          </w:tcPr>
          <w:p w:rsidR="00D82E50" w:rsidRPr="00D82E50" w:rsidRDefault="00D82E50" w:rsidP="00E6565B">
            <w:pPr>
              <w:rPr>
                <w:rFonts w:ascii="Arial" w:hAnsi="Arial" w:cs="Arial"/>
                <w:sz w:val="18"/>
                <w:szCs w:val="18"/>
              </w:rPr>
            </w:pPr>
            <w:r w:rsidRPr="00D82E50">
              <w:rPr>
                <w:rFonts w:ascii="Arial" w:hAnsi="Arial" w:cs="Arial"/>
                <w:sz w:val="18"/>
                <w:szCs w:val="18"/>
              </w:rPr>
              <w:t xml:space="preserve">Títulos de renta fija aceptados por el Banco de la República como colateral en operaciones </w:t>
            </w:r>
            <w:r w:rsidR="0023567F">
              <w:rPr>
                <w:rFonts w:ascii="Arial" w:hAnsi="Arial" w:cs="Arial"/>
                <w:sz w:val="18"/>
                <w:szCs w:val="18"/>
              </w:rPr>
              <w:t>r</w:t>
            </w:r>
            <w:r w:rsidRPr="00D82E50">
              <w:rPr>
                <w:rFonts w:ascii="Arial" w:hAnsi="Arial" w:cs="Arial"/>
                <w:sz w:val="18"/>
                <w:szCs w:val="18"/>
              </w:rPr>
              <w:t>epo de expansión</w:t>
            </w:r>
            <w:r w:rsidR="009C2EB6">
              <w:rPr>
                <w:rFonts w:ascii="Arial" w:hAnsi="Arial" w:cs="Arial"/>
                <w:sz w:val="18"/>
                <w:szCs w:val="18"/>
              </w:rPr>
              <w:t>.</w:t>
            </w:r>
          </w:p>
        </w:tc>
        <w:tc>
          <w:tcPr>
            <w:tcW w:w="4666" w:type="dxa"/>
            <w:shd w:val="clear" w:color="auto" w:fill="auto"/>
          </w:tcPr>
          <w:p w:rsidR="00D82E50" w:rsidRPr="00D82E50" w:rsidRDefault="00D82E50" w:rsidP="007F6C9C">
            <w:pPr>
              <w:pStyle w:val="Normal9pt"/>
              <w:numPr>
                <w:ilvl w:val="0"/>
                <w:numId w:val="0"/>
              </w:numPr>
              <w:pBdr>
                <w:left w:val="single" w:sz="4" w:space="4" w:color="auto"/>
              </w:pBdr>
              <w:rPr>
                <w:i w:val="0"/>
                <w:snapToGrid w:val="0"/>
                <w:lang w:val="es-ES_tradnl" w:eastAsia="es-ES"/>
              </w:rPr>
            </w:pPr>
            <w:r w:rsidRPr="00D82E50">
              <w:rPr>
                <w:i w:val="0"/>
                <w:snapToGrid w:val="0"/>
                <w:lang w:val="es-ES_tradnl" w:eastAsia="es-ES"/>
              </w:rPr>
              <w:t>Se debe</w:t>
            </w:r>
            <w:r>
              <w:rPr>
                <w:i w:val="0"/>
                <w:snapToGrid w:val="0"/>
                <w:lang w:val="es-ES_tradnl" w:eastAsia="es-ES"/>
              </w:rPr>
              <w:t>n</w:t>
            </w:r>
            <w:r w:rsidRPr="00D82E50">
              <w:rPr>
                <w:i w:val="0"/>
                <w:snapToGrid w:val="0"/>
                <w:lang w:val="es-ES_tradnl" w:eastAsia="es-ES"/>
              </w:rPr>
              <w:t xml:space="preserve"> aplicar los </w:t>
            </w:r>
            <w:r>
              <w:rPr>
                <w:i w:val="0"/>
                <w:snapToGrid w:val="0"/>
                <w:lang w:val="es-ES_tradnl" w:eastAsia="es-ES"/>
              </w:rPr>
              <w:t xml:space="preserve">ajustes o </w:t>
            </w:r>
            <w:r w:rsidRPr="00D82E50">
              <w:rPr>
                <w:i w:val="0"/>
                <w:snapToGrid w:val="0"/>
                <w:lang w:val="es-ES_tradnl" w:eastAsia="es-ES"/>
              </w:rPr>
              <w:t>descuentos que aplica el Banco de la República, los cuales son actualizados y public</w:t>
            </w:r>
            <w:r w:rsidR="007F6C9C">
              <w:rPr>
                <w:i w:val="0"/>
                <w:snapToGrid w:val="0"/>
                <w:lang w:val="es-ES_tradnl" w:eastAsia="es-ES"/>
              </w:rPr>
              <w:t>ados en la página web del Banco</w:t>
            </w:r>
            <w:r w:rsidR="002254CC">
              <w:rPr>
                <w:i w:val="0"/>
                <w:snapToGrid w:val="0"/>
                <w:lang w:val="es-ES_tradnl" w:eastAsia="es-ES"/>
              </w:rPr>
              <w:t>.</w:t>
            </w:r>
          </w:p>
        </w:tc>
      </w:tr>
      <w:tr w:rsidR="00D82E50" w:rsidRPr="00D82E50" w:rsidTr="009D4BA3">
        <w:trPr>
          <w:jc w:val="center"/>
        </w:trPr>
        <w:tc>
          <w:tcPr>
            <w:tcW w:w="4332" w:type="dxa"/>
            <w:shd w:val="clear" w:color="auto" w:fill="auto"/>
          </w:tcPr>
          <w:p w:rsidR="00D82E50" w:rsidRPr="00D82E50" w:rsidRDefault="00D82E50" w:rsidP="00E6565B">
            <w:pPr>
              <w:rPr>
                <w:rFonts w:ascii="Arial" w:hAnsi="Arial" w:cs="Arial"/>
                <w:sz w:val="18"/>
                <w:szCs w:val="18"/>
              </w:rPr>
            </w:pPr>
            <w:r w:rsidRPr="00D82E50">
              <w:rPr>
                <w:rFonts w:ascii="Arial" w:hAnsi="Arial" w:cs="Arial"/>
                <w:sz w:val="18"/>
                <w:szCs w:val="18"/>
              </w:rPr>
              <w:t>Títulos de deuda pública extranjera de emisores con grado de inversión</w:t>
            </w:r>
            <w:r w:rsidR="009C2EB6">
              <w:rPr>
                <w:rFonts w:ascii="Arial" w:hAnsi="Arial" w:cs="Arial"/>
                <w:sz w:val="18"/>
                <w:szCs w:val="18"/>
              </w:rPr>
              <w:t>.</w:t>
            </w:r>
          </w:p>
        </w:tc>
        <w:tc>
          <w:tcPr>
            <w:tcW w:w="4666" w:type="dxa"/>
            <w:shd w:val="clear" w:color="auto" w:fill="auto"/>
          </w:tcPr>
          <w:p w:rsidR="00D82E50" w:rsidRPr="00D82E50" w:rsidRDefault="00D82E50" w:rsidP="00E6565B">
            <w:pPr>
              <w:jc w:val="center"/>
              <w:rPr>
                <w:rFonts w:ascii="Arial" w:hAnsi="Arial" w:cs="Arial"/>
                <w:sz w:val="18"/>
                <w:szCs w:val="18"/>
              </w:rPr>
            </w:pPr>
            <w:r w:rsidRPr="00D82E50">
              <w:rPr>
                <w:rFonts w:ascii="Arial" w:hAnsi="Arial" w:cs="Arial"/>
                <w:sz w:val="18"/>
                <w:szCs w:val="18"/>
              </w:rPr>
              <w:t>4%</w:t>
            </w:r>
          </w:p>
        </w:tc>
      </w:tr>
    </w:tbl>
    <w:p w:rsidR="00F33295" w:rsidRDefault="00F33295" w:rsidP="00AE13C2">
      <w:pPr>
        <w:jc w:val="both"/>
        <w:rPr>
          <w:rFonts w:ascii="Arial" w:hAnsi="Arial" w:cs="Arial"/>
          <w:sz w:val="18"/>
          <w:szCs w:val="18"/>
        </w:rPr>
      </w:pPr>
    </w:p>
    <w:p w:rsidR="00AE13C2" w:rsidRPr="00E15717" w:rsidRDefault="00F33295" w:rsidP="00AE13C2">
      <w:pPr>
        <w:jc w:val="both"/>
        <w:rPr>
          <w:rFonts w:ascii="Arial" w:hAnsi="Arial" w:cs="Arial"/>
          <w:sz w:val="18"/>
          <w:szCs w:val="18"/>
        </w:rPr>
      </w:pPr>
      <w:r>
        <w:rPr>
          <w:rFonts w:ascii="Arial" w:hAnsi="Arial" w:cs="Arial"/>
          <w:sz w:val="18"/>
          <w:szCs w:val="18"/>
        </w:rPr>
        <w:lastRenderedPageBreak/>
        <w:t>En</w:t>
      </w:r>
      <w:r w:rsidR="00AE13C2" w:rsidRPr="00E15717">
        <w:rPr>
          <w:rFonts w:ascii="Arial" w:hAnsi="Arial" w:cs="Arial"/>
          <w:sz w:val="18"/>
          <w:szCs w:val="18"/>
        </w:rPr>
        <w:t xml:space="preserve"> el caso </w:t>
      </w:r>
      <w:r w:rsidRPr="000A17D7">
        <w:rPr>
          <w:rFonts w:ascii="Arial" w:hAnsi="Arial" w:cs="Arial"/>
          <w:sz w:val="18"/>
          <w:szCs w:val="18"/>
        </w:rPr>
        <w:t>de</w:t>
      </w:r>
      <w:r>
        <w:rPr>
          <w:rFonts w:ascii="Arial" w:hAnsi="Arial" w:cs="Arial"/>
          <w:sz w:val="18"/>
          <w:szCs w:val="18"/>
        </w:rPr>
        <w:t xml:space="preserve"> las inversiones contabilizadas y valoradas al</w:t>
      </w:r>
      <w:r w:rsidRPr="002A516A">
        <w:rPr>
          <w:rFonts w:ascii="Arial" w:hAnsi="Arial" w:cs="Arial"/>
          <w:sz w:val="18"/>
          <w:szCs w:val="18"/>
        </w:rPr>
        <w:t xml:space="preserve"> valor razonable con cambios en resultados</w:t>
      </w:r>
      <w:r>
        <w:rPr>
          <w:rFonts w:ascii="Arial" w:hAnsi="Arial" w:cs="Arial"/>
          <w:sz w:val="18"/>
          <w:szCs w:val="18"/>
        </w:rPr>
        <w:t xml:space="preserve"> </w:t>
      </w:r>
      <w:r w:rsidR="006139A9">
        <w:rPr>
          <w:rFonts w:ascii="Arial" w:hAnsi="Arial" w:cs="Arial"/>
          <w:sz w:val="18"/>
          <w:szCs w:val="18"/>
        </w:rPr>
        <w:t>reconocidas por</w:t>
      </w:r>
      <w:r w:rsidR="00AE13C2" w:rsidRPr="00E15717">
        <w:rPr>
          <w:rFonts w:ascii="Arial" w:hAnsi="Arial" w:cs="Arial"/>
          <w:sz w:val="18"/>
          <w:szCs w:val="18"/>
        </w:rPr>
        <w:t xml:space="preserve"> </w:t>
      </w:r>
      <w:r w:rsidR="00EE5818">
        <w:rPr>
          <w:rFonts w:ascii="Arial" w:hAnsi="Arial" w:cs="Arial"/>
          <w:sz w:val="18"/>
          <w:szCs w:val="18"/>
        </w:rPr>
        <w:t xml:space="preserve">las </w:t>
      </w:r>
      <w:r w:rsidR="00AE13C2" w:rsidRPr="00E15717">
        <w:rPr>
          <w:rFonts w:ascii="Arial" w:hAnsi="Arial" w:cs="Arial"/>
          <w:sz w:val="18"/>
          <w:szCs w:val="18"/>
        </w:rPr>
        <w:t xml:space="preserve">subordinadas del exterior, las entidades </w:t>
      </w:r>
      <w:r w:rsidR="0036142D" w:rsidRPr="00E15717">
        <w:rPr>
          <w:rFonts w:ascii="Arial" w:hAnsi="Arial" w:cs="Arial"/>
          <w:sz w:val="18"/>
          <w:szCs w:val="18"/>
        </w:rPr>
        <w:t xml:space="preserve">solo </w:t>
      </w:r>
      <w:r w:rsidR="00AE13C2" w:rsidRPr="00E15717">
        <w:rPr>
          <w:rFonts w:ascii="Arial" w:hAnsi="Arial" w:cs="Arial"/>
          <w:sz w:val="18"/>
          <w:szCs w:val="18"/>
        </w:rPr>
        <w:t>podrán ajustar la exposición de</w:t>
      </w:r>
      <w:r w:rsidR="00A217E9">
        <w:rPr>
          <w:rFonts w:ascii="Arial" w:hAnsi="Arial" w:cs="Arial"/>
          <w:sz w:val="18"/>
          <w:szCs w:val="18"/>
        </w:rPr>
        <w:t xml:space="preserve"> dicho</w:t>
      </w:r>
      <w:r w:rsidR="00AE13C2" w:rsidRPr="00E15717">
        <w:rPr>
          <w:rFonts w:ascii="Arial" w:hAnsi="Arial" w:cs="Arial"/>
          <w:sz w:val="18"/>
          <w:szCs w:val="18"/>
        </w:rPr>
        <w:t xml:space="preserve"> activo con </w:t>
      </w:r>
      <w:r w:rsidR="00D754A0">
        <w:rPr>
          <w:rFonts w:ascii="Arial" w:hAnsi="Arial" w:cs="Arial"/>
          <w:sz w:val="18"/>
          <w:szCs w:val="18"/>
        </w:rPr>
        <w:t>el</w:t>
      </w:r>
      <w:r w:rsidR="00947A8A">
        <w:rPr>
          <w:rFonts w:ascii="Arial" w:hAnsi="Arial" w:cs="Arial"/>
          <w:sz w:val="18"/>
          <w:szCs w:val="18"/>
        </w:rPr>
        <w:t xml:space="preserve"> </w:t>
      </w:r>
      <w:r w:rsidR="00D754A0">
        <w:rPr>
          <w:rFonts w:ascii="Arial" w:hAnsi="Arial" w:cs="Arial"/>
          <w:sz w:val="18"/>
          <w:szCs w:val="18"/>
        </w:rPr>
        <w:t xml:space="preserve">valor del </w:t>
      </w:r>
      <w:r w:rsidR="00AE13C2" w:rsidRPr="00E15717">
        <w:rPr>
          <w:rFonts w:ascii="Arial" w:hAnsi="Arial" w:cs="Arial"/>
          <w:sz w:val="18"/>
          <w:szCs w:val="18"/>
        </w:rPr>
        <w:t>colateral financiero admisible. Para el efecto se considera como colateral financiero admisible los instrumentos que se relaciona</w:t>
      </w:r>
      <w:r w:rsidR="0023567F">
        <w:rPr>
          <w:rFonts w:ascii="Arial" w:hAnsi="Arial" w:cs="Arial"/>
          <w:sz w:val="18"/>
          <w:szCs w:val="18"/>
        </w:rPr>
        <w:t xml:space="preserve">n </w:t>
      </w:r>
      <w:r w:rsidR="00AE13C2" w:rsidRPr="00E15717">
        <w:rPr>
          <w:rFonts w:ascii="Arial" w:hAnsi="Arial" w:cs="Arial"/>
          <w:sz w:val="18"/>
          <w:szCs w:val="18"/>
        </w:rPr>
        <w:t>a continuación, siempre que se realice una valoración diaria del activo a precios de mercado, reposición diaria de márgenes y un periodo de mantenimiento de 10 días hábiles</w:t>
      </w:r>
      <w:r w:rsidR="0023567F">
        <w:rPr>
          <w:rFonts w:ascii="Arial" w:hAnsi="Arial" w:cs="Arial"/>
          <w:sz w:val="18"/>
          <w:szCs w:val="18"/>
        </w:rPr>
        <w:t>.</w:t>
      </w:r>
    </w:p>
    <w:p w:rsidR="00947A8A" w:rsidRPr="00E15717" w:rsidRDefault="00947A8A" w:rsidP="00AE13C2">
      <w:pPr>
        <w:jc w:val="both"/>
        <w:rPr>
          <w:rFonts w:ascii="Arial" w:hAnsi="Arial" w:cs="Arial"/>
          <w:sz w:val="18"/>
          <w:szCs w:val="18"/>
        </w:rPr>
      </w:pPr>
    </w:p>
    <w:tbl>
      <w:tblPr>
        <w:tblW w:w="9130" w:type="dxa"/>
        <w:tblInd w:w="-5" w:type="dxa"/>
        <w:tblCellMar>
          <w:left w:w="70" w:type="dxa"/>
          <w:right w:w="70" w:type="dxa"/>
        </w:tblCellMar>
        <w:tblLook w:val="04A0" w:firstRow="1" w:lastRow="0" w:firstColumn="1" w:lastColumn="0" w:noHBand="0" w:noVBand="1"/>
      </w:tblPr>
      <w:tblGrid>
        <w:gridCol w:w="3686"/>
        <w:gridCol w:w="2524"/>
        <w:gridCol w:w="2920"/>
      </w:tblGrid>
      <w:tr w:rsidR="00AE13C2" w:rsidRPr="00481EAD" w:rsidTr="00F33295">
        <w:trPr>
          <w:trHeight w:val="300"/>
        </w:trPr>
        <w:tc>
          <w:tcPr>
            <w:tcW w:w="3686" w:type="dxa"/>
            <w:tcBorders>
              <w:top w:val="single" w:sz="4" w:space="0" w:color="auto"/>
              <w:left w:val="single" w:sz="4" w:space="0" w:color="auto"/>
              <w:bottom w:val="single" w:sz="4" w:space="0" w:color="auto"/>
              <w:right w:val="single" w:sz="4" w:space="0" w:color="auto"/>
            </w:tcBorders>
            <w:noWrap/>
            <w:vAlign w:val="bottom"/>
            <w:hideMark/>
          </w:tcPr>
          <w:p w:rsidR="00AE13C2" w:rsidRPr="00E15717" w:rsidRDefault="00AE13C2">
            <w:pPr>
              <w:spacing w:line="276" w:lineRule="auto"/>
              <w:jc w:val="center"/>
              <w:rPr>
                <w:rFonts w:ascii="Arial" w:hAnsi="Arial" w:cs="Arial"/>
                <w:b/>
                <w:bCs/>
                <w:color w:val="000000"/>
                <w:sz w:val="18"/>
                <w:szCs w:val="18"/>
                <w:lang w:val="es-CO" w:eastAsia="es-CO"/>
              </w:rPr>
            </w:pPr>
            <w:r w:rsidRPr="00E15717">
              <w:rPr>
                <w:rFonts w:ascii="Arial" w:hAnsi="Arial" w:cs="Arial"/>
                <w:b/>
                <w:bCs/>
                <w:color w:val="000000"/>
                <w:sz w:val="18"/>
                <w:szCs w:val="18"/>
                <w:lang w:val="es-CO" w:eastAsia="es-CO"/>
              </w:rPr>
              <w:t>Colateral financiero admisibl</w:t>
            </w:r>
            <w:r w:rsidR="0036142D" w:rsidRPr="00E15717">
              <w:rPr>
                <w:rFonts w:ascii="Arial" w:hAnsi="Arial" w:cs="Arial"/>
                <w:b/>
                <w:bCs/>
                <w:color w:val="000000"/>
                <w:sz w:val="18"/>
                <w:szCs w:val="18"/>
                <w:lang w:val="es-CO" w:eastAsia="es-CO"/>
              </w:rPr>
              <w:t>e</w:t>
            </w:r>
          </w:p>
        </w:tc>
        <w:tc>
          <w:tcPr>
            <w:tcW w:w="2524" w:type="dxa"/>
            <w:tcBorders>
              <w:top w:val="single" w:sz="4" w:space="0" w:color="auto"/>
              <w:left w:val="single" w:sz="4" w:space="0" w:color="auto"/>
              <w:bottom w:val="single" w:sz="4" w:space="0" w:color="auto"/>
              <w:right w:val="single" w:sz="4" w:space="0" w:color="auto"/>
            </w:tcBorders>
            <w:noWrap/>
            <w:vAlign w:val="bottom"/>
            <w:hideMark/>
          </w:tcPr>
          <w:p w:rsidR="00AE13C2" w:rsidRPr="00E15717" w:rsidRDefault="00AE13C2">
            <w:pPr>
              <w:spacing w:line="276" w:lineRule="auto"/>
              <w:jc w:val="center"/>
              <w:rPr>
                <w:rFonts w:ascii="Arial" w:hAnsi="Arial" w:cs="Arial"/>
                <w:b/>
                <w:bCs/>
                <w:color w:val="000000"/>
                <w:sz w:val="18"/>
                <w:szCs w:val="18"/>
                <w:lang w:val="es-CO" w:eastAsia="es-CO"/>
              </w:rPr>
            </w:pPr>
            <w:r w:rsidRPr="00E15717">
              <w:rPr>
                <w:rFonts w:ascii="Arial" w:hAnsi="Arial" w:cs="Arial"/>
                <w:b/>
                <w:bCs/>
                <w:color w:val="000000"/>
                <w:sz w:val="18"/>
                <w:szCs w:val="18"/>
                <w:lang w:val="es-CO" w:eastAsia="es-CO"/>
              </w:rPr>
              <w:t>Vencimiento Residual</w:t>
            </w:r>
          </w:p>
        </w:tc>
        <w:tc>
          <w:tcPr>
            <w:tcW w:w="2920" w:type="dxa"/>
            <w:tcBorders>
              <w:top w:val="single" w:sz="4" w:space="0" w:color="auto"/>
              <w:left w:val="single" w:sz="4" w:space="0" w:color="auto"/>
              <w:bottom w:val="single" w:sz="4" w:space="0" w:color="auto"/>
              <w:right w:val="single" w:sz="4" w:space="0" w:color="auto"/>
            </w:tcBorders>
            <w:noWrap/>
            <w:vAlign w:val="bottom"/>
            <w:hideMark/>
          </w:tcPr>
          <w:p w:rsidR="00AE13C2" w:rsidRPr="00E15717" w:rsidRDefault="00AE13C2">
            <w:pPr>
              <w:spacing w:line="276" w:lineRule="auto"/>
              <w:jc w:val="center"/>
              <w:rPr>
                <w:rFonts w:ascii="Arial" w:hAnsi="Arial" w:cs="Arial"/>
                <w:b/>
                <w:bCs/>
                <w:color w:val="000000"/>
                <w:sz w:val="18"/>
                <w:szCs w:val="18"/>
                <w:lang w:val="es-CO" w:eastAsia="es-CO"/>
              </w:rPr>
            </w:pPr>
            <w:r w:rsidRPr="00E15717">
              <w:rPr>
                <w:rFonts w:ascii="Arial" w:hAnsi="Arial" w:cs="Arial"/>
                <w:b/>
                <w:bCs/>
                <w:color w:val="000000"/>
                <w:sz w:val="18"/>
                <w:szCs w:val="18"/>
                <w:lang w:eastAsia="es-CO"/>
              </w:rPr>
              <w:t>Fg</w:t>
            </w:r>
          </w:p>
        </w:tc>
      </w:tr>
      <w:tr w:rsidR="00AE13C2" w:rsidRPr="00481EAD" w:rsidTr="00F33295">
        <w:trPr>
          <w:trHeight w:val="300"/>
        </w:trPr>
        <w:tc>
          <w:tcPr>
            <w:tcW w:w="6210" w:type="dxa"/>
            <w:gridSpan w:val="2"/>
            <w:tcBorders>
              <w:top w:val="single" w:sz="4" w:space="0" w:color="auto"/>
              <w:left w:val="single" w:sz="4" w:space="0" w:color="auto"/>
              <w:bottom w:val="single" w:sz="4" w:space="0" w:color="auto"/>
              <w:right w:val="single" w:sz="4" w:space="0" w:color="auto"/>
            </w:tcBorders>
            <w:vAlign w:val="center"/>
            <w:hideMark/>
          </w:tcPr>
          <w:p w:rsidR="00AE13C2" w:rsidRPr="00E15717" w:rsidRDefault="00AE13C2" w:rsidP="00E15717">
            <w:pPr>
              <w:rPr>
                <w:rFonts w:ascii="Arial" w:hAnsi="Arial" w:cs="Arial"/>
                <w:sz w:val="18"/>
                <w:szCs w:val="18"/>
              </w:rPr>
            </w:pPr>
            <w:r w:rsidRPr="00E15717">
              <w:rPr>
                <w:rFonts w:ascii="Arial" w:hAnsi="Arial" w:cs="Arial"/>
                <w:sz w:val="18"/>
                <w:szCs w:val="18"/>
              </w:rPr>
              <w:t>Efectivo en pesos o divisas</w:t>
            </w:r>
          </w:p>
        </w:tc>
        <w:tc>
          <w:tcPr>
            <w:tcW w:w="2920" w:type="dxa"/>
            <w:tcBorders>
              <w:top w:val="single" w:sz="4" w:space="0" w:color="auto"/>
              <w:left w:val="single" w:sz="4" w:space="0" w:color="auto"/>
              <w:bottom w:val="single" w:sz="4" w:space="0" w:color="auto"/>
              <w:right w:val="single" w:sz="4" w:space="0" w:color="auto"/>
            </w:tcBorders>
            <w:noWrap/>
            <w:vAlign w:val="bottom"/>
            <w:hideMark/>
          </w:tcPr>
          <w:p w:rsidR="00AE13C2" w:rsidRPr="00E15717" w:rsidRDefault="00AE13C2" w:rsidP="00E15717">
            <w:pPr>
              <w:jc w:val="center"/>
              <w:rPr>
                <w:rFonts w:ascii="Arial" w:hAnsi="Arial" w:cs="Arial"/>
                <w:sz w:val="18"/>
                <w:szCs w:val="18"/>
              </w:rPr>
            </w:pPr>
            <w:r w:rsidRPr="00E15717">
              <w:rPr>
                <w:rFonts w:ascii="Arial" w:hAnsi="Arial" w:cs="Arial"/>
                <w:sz w:val="18"/>
                <w:szCs w:val="18"/>
              </w:rPr>
              <w:t>0%</w:t>
            </w:r>
          </w:p>
        </w:tc>
      </w:tr>
      <w:tr w:rsidR="00AE13C2" w:rsidRPr="00481EAD" w:rsidTr="00F33295">
        <w:trPr>
          <w:trHeight w:val="300"/>
        </w:trPr>
        <w:tc>
          <w:tcPr>
            <w:tcW w:w="3686" w:type="dxa"/>
            <w:vMerge w:val="restart"/>
            <w:tcBorders>
              <w:top w:val="single" w:sz="4" w:space="0" w:color="auto"/>
              <w:left w:val="single" w:sz="4" w:space="0" w:color="auto"/>
              <w:bottom w:val="single" w:sz="4" w:space="0" w:color="auto"/>
              <w:right w:val="single" w:sz="4" w:space="0" w:color="auto"/>
            </w:tcBorders>
            <w:noWrap/>
            <w:vAlign w:val="center"/>
            <w:hideMark/>
          </w:tcPr>
          <w:p w:rsidR="00AE13C2" w:rsidRPr="00E15717" w:rsidRDefault="00AE13C2" w:rsidP="00E15717">
            <w:pPr>
              <w:rPr>
                <w:rFonts w:ascii="Arial" w:hAnsi="Arial" w:cs="Arial"/>
                <w:sz w:val="18"/>
                <w:szCs w:val="18"/>
              </w:rPr>
            </w:pPr>
            <w:r w:rsidRPr="00E15717">
              <w:rPr>
                <w:rFonts w:ascii="Arial" w:hAnsi="Arial" w:cs="Arial"/>
                <w:sz w:val="18"/>
                <w:szCs w:val="18"/>
              </w:rPr>
              <w:t xml:space="preserve">Soberanos de la jurisdicción de origen </w:t>
            </w:r>
          </w:p>
        </w:tc>
        <w:tc>
          <w:tcPr>
            <w:tcW w:w="2524" w:type="dxa"/>
            <w:tcBorders>
              <w:top w:val="single" w:sz="4" w:space="0" w:color="auto"/>
              <w:left w:val="single" w:sz="4" w:space="0" w:color="auto"/>
              <w:bottom w:val="single" w:sz="4" w:space="0" w:color="auto"/>
              <w:right w:val="single" w:sz="4" w:space="0" w:color="auto"/>
            </w:tcBorders>
            <w:noWrap/>
            <w:vAlign w:val="bottom"/>
            <w:hideMark/>
          </w:tcPr>
          <w:p w:rsidR="00AE13C2" w:rsidRPr="00E15717" w:rsidRDefault="00AE13C2" w:rsidP="00E15717">
            <w:pPr>
              <w:rPr>
                <w:rFonts w:ascii="Arial" w:hAnsi="Arial" w:cs="Arial"/>
                <w:sz w:val="18"/>
                <w:szCs w:val="18"/>
              </w:rPr>
            </w:pPr>
            <w:r w:rsidRPr="00E15717">
              <w:rPr>
                <w:rFonts w:ascii="Arial" w:hAnsi="Arial" w:cs="Arial"/>
                <w:sz w:val="18"/>
                <w:szCs w:val="18"/>
              </w:rPr>
              <w:t xml:space="preserve">≤ 1 año </w:t>
            </w:r>
          </w:p>
        </w:tc>
        <w:tc>
          <w:tcPr>
            <w:tcW w:w="2920" w:type="dxa"/>
            <w:tcBorders>
              <w:top w:val="single" w:sz="4" w:space="0" w:color="auto"/>
              <w:left w:val="single" w:sz="4" w:space="0" w:color="auto"/>
              <w:bottom w:val="single" w:sz="4" w:space="0" w:color="auto"/>
              <w:right w:val="single" w:sz="4" w:space="0" w:color="auto"/>
            </w:tcBorders>
            <w:noWrap/>
            <w:vAlign w:val="center"/>
            <w:hideMark/>
          </w:tcPr>
          <w:p w:rsidR="00AE13C2" w:rsidRPr="00E15717" w:rsidRDefault="00AE13C2" w:rsidP="00E15717">
            <w:pPr>
              <w:jc w:val="center"/>
              <w:rPr>
                <w:rFonts w:ascii="Arial" w:hAnsi="Arial" w:cs="Arial"/>
                <w:sz w:val="18"/>
                <w:szCs w:val="18"/>
              </w:rPr>
            </w:pPr>
            <w:r w:rsidRPr="00E15717">
              <w:rPr>
                <w:rFonts w:ascii="Arial" w:hAnsi="Arial" w:cs="Arial"/>
                <w:sz w:val="18"/>
                <w:szCs w:val="18"/>
              </w:rPr>
              <w:t>0</w:t>
            </w:r>
            <w:r w:rsidR="0036142D" w:rsidRPr="00E15717">
              <w:rPr>
                <w:rFonts w:ascii="Arial" w:hAnsi="Arial" w:cs="Arial"/>
                <w:sz w:val="18"/>
                <w:szCs w:val="18"/>
              </w:rPr>
              <w:t>.</w:t>
            </w:r>
            <w:r w:rsidRPr="00E15717">
              <w:rPr>
                <w:rFonts w:ascii="Arial" w:hAnsi="Arial" w:cs="Arial"/>
                <w:sz w:val="18"/>
                <w:szCs w:val="18"/>
              </w:rPr>
              <w:t>50%</w:t>
            </w:r>
          </w:p>
        </w:tc>
      </w:tr>
      <w:tr w:rsidR="00AE13C2" w:rsidRPr="00481EAD" w:rsidTr="00F33295">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E13C2" w:rsidRPr="000A3325" w:rsidRDefault="00AE13C2" w:rsidP="000A3325">
            <w:pPr>
              <w:rPr>
                <w:rFonts w:ascii="Arial" w:hAnsi="Arial" w:cs="Arial"/>
                <w:sz w:val="18"/>
                <w:szCs w:val="18"/>
              </w:rPr>
            </w:pPr>
          </w:p>
        </w:tc>
        <w:tc>
          <w:tcPr>
            <w:tcW w:w="2524" w:type="dxa"/>
            <w:tcBorders>
              <w:top w:val="single" w:sz="4" w:space="0" w:color="auto"/>
              <w:left w:val="nil"/>
              <w:bottom w:val="single" w:sz="4" w:space="0" w:color="auto"/>
              <w:right w:val="single" w:sz="4" w:space="0" w:color="auto"/>
            </w:tcBorders>
            <w:noWrap/>
            <w:vAlign w:val="bottom"/>
            <w:hideMark/>
          </w:tcPr>
          <w:p w:rsidR="00AE13C2" w:rsidRPr="00E15717" w:rsidRDefault="00AE13C2" w:rsidP="000A3325">
            <w:pPr>
              <w:rPr>
                <w:rFonts w:ascii="Arial" w:hAnsi="Arial" w:cs="Arial"/>
                <w:sz w:val="18"/>
                <w:szCs w:val="18"/>
              </w:rPr>
            </w:pPr>
            <w:r w:rsidRPr="00E15717">
              <w:rPr>
                <w:rFonts w:ascii="Arial" w:hAnsi="Arial" w:cs="Arial"/>
                <w:sz w:val="18"/>
                <w:szCs w:val="18"/>
              </w:rPr>
              <w:t>&gt; 1 años, ≤ 3 años</w:t>
            </w:r>
          </w:p>
        </w:tc>
        <w:tc>
          <w:tcPr>
            <w:tcW w:w="2920" w:type="dxa"/>
            <w:vMerge w:val="restart"/>
            <w:tcBorders>
              <w:top w:val="single" w:sz="4" w:space="0" w:color="auto"/>
              <w:left w:val="single" w:sz="4" w:space="0" w:color="auto"/>
              <w:bottom w:val="single" w:sz="4" w:space="0" w:color="auto"/>
              <w:right w:val="single" w:sz="4" w:space="0" w:color="auto"/>
            </w:tcBorders>
            <w:noWrap/>
            <w:vAlign w:val="center"/>
            <w:hideMark/>
          </w:tcPr>
          <w:p w:rsidR="00AE13C2" w:rsidRPr="00E15717" w:rsidRDefault="00AE13C2" w:rsidP="000A3325">
            <w:pPr>
              <w:jc w:val="center"/>
              <w:rPr>
                <w:rFonts w:ascii="Arial" w:hAnsi="Arial" w:cs="Arial"/>
                <w:sz w:val="18"/>
                <w:szCs w:val="18"/>
              </w:rPr>
            </w:pPr>
            <w:r w:rsidRPr="00E15717">
              <w:rPr>
                <w:rFonts w:ascii="Arial" w:hAnsi="Arial" w:cs="Arial"/>
                <w:sz w:val="18"/>
                <w:szCs w:val="18"/>
              </w:rPr>
              <w:t>2%</w:t>
            </w:r>
          </w:p>
        </w:tc>
      </w:tr>
      <w:tr w:rsidR="00AE13C2" w:rsidRPr="00481EAD" w:rsidTr="00AE13C2">
        <w:trPr>
          <w:trHeight w:val="300"/>
        </w:trPr>
        <w:tc>
          <w:tcPr>
            <w:tcW w:w="0" w:type="auto"/>
            <w:vMerge/>
            <w:tcBorders>
              <w:top w:val="nil"/>
              <w:left w:val="single" w:sz="4" w:space="0" w:color="auto"/>
              <w:bottom w:val="single" w:sz="4" w:space="0" w:color="000000"/>
              <w:right w:val="single" w:sz="4" w:space="0" w:color="auto"/>
            </w:tcBorders>
            <w:vAlign w:val="center"/>
            <w:hideMark/>
          </w:tcPr>
          <w:p w:rsidR="00AE13C2" w:rsidRPr="000A3325" w:rsidRDefault="00AE13C2" w:rsidP="000A3325">
            <w:pPr>
              <w:rPr>
                <w:rFonts w:ascii="Arial" w:hAnsi="Arial" w:cs="Arial"/>
                <w:sz w:val="18"/>
                <w:szCs w:val="18"/>
              </w:rPr>
            </w:pPr>
          </w:p>
        </w:tc>
        <w:tc>
          <w:tcPr>
            <w:tcW w:w="2524" w:type="dxa"/>
            <w:tcBorders>
              <w:top w:val="nil"/>
              <w:left w:val="nil"/>
              <w:bottom w:val="single" w:sz="4" w:space="0" w:color="auto"/>
              <w:right w:val="single" w:sz="4" w:space="0" w:color="auto"/>
            </w:tcBorders>
            <w:noWrap/>
            <w:vAlign w:val="bottom"/>
            <w:hideMark/>
          </w:tcPr>
          <w:p w:rsidR="00AE13C2" w:rsidRPr="00E15717" w:rsidRDefault="00AE13C2" w:rsidP="000A3325">
            <w:pPr>
              <w:rPr>
                <w:rFonts w:ascii="Arial" w:hAnsi="Arial" w:cs="Arial"/>
                <w:sz w:val="18"/>
                <w:szCs w:val="18"/>
              </w:rPr>
            </w:pPr>
            <w:r w:rsidRPr="00E15717">
              <w:rPr>
                <w:rFonts w:ascii="Arial" w:hAnsi="Arial" w:cs="Arial"/>
                <w:sz w:val="18"/>
                <w:szCs w:val="18"/>
              </w:rPr>
              <w:t>&gt; 3 años, ≤ 5 años</w:t>
            </w:r>
          </w:p>
        </w:tc>
        <w:tc>
          <w:tcPr>
            <w:tcW w:w="0" w:type="auto"/>
            <w:vMerge/>
            <w:tcBorders>
              <w:top w:val="nil"/>
              <w:left w:val="single" w:sz="4" w:space="0" w:color="auto"/>
              <w:bottom w:val="single" w:sz="4" w:space="0" w:color="auto"/>
              <w:right w:val="single" w:sz="4" w:space="0" w:color="auto"/>
            </w:tcBorders>
            <w:vAlign w:val="center"/>
            <w:hideMark/>
          </w:tcPr>
          <w:p w:rsidR="00AE13C2" w:rsidRPr="000A3325" w:rsidRDefault="00AE13C2" w:rsidP="000A3325">
            <w:pPr>
              <w:jc w:val="center"/>
              <w:rPr>
                <w:rFonts w:ascii="Arial" w:hAnsi="Arial" w:cs="Arial"/>
                <w:sz w:val="18"/>
                <w:szCs w:val="18"/>
              </w:rPr>
            </w:pPr>
          </w:p>
        </w:tc>
      </w:tr>
      <w:tr w:rsidR="00AE13C2" w:rsidTr="00AE13C2">
        <w:trPr>
          <w:trHeight w:val="300"/>
        </w:trPr>
        <w:tc>
          <w:tcPr>
            <w:tcW w:w="0" w:type="auto"/>
            <w:vMerge/>
            <w:tcBorders>
              <w:top w:val="nil"/>
              <w:left w:val="single" w:sz="4" w:space="0" w:color="auto"/>
              <w:bottom w:val="single" w:sz="4" w:space="0" w:color="000000"/>
              <w:right w:val="single" w:sz="4" w:space="0" w:color="auto"/>
            </w:tcBorders>
            <w:vAlign w:val="center"/>
            <w:hideMark/>
          </w:tcPr>
          <w:p w:rsidR="00AE13C2" w:rsidRPr="000A3325" w:rsidRDefault="00AE13C2" w:rsidP="000A3325">
            <w:pPr>
              <w:rPr>
                <w:rFonts w:ascii="Arial" w:hAnsi="Arial" w:cs="Arial"/>
                <w:sz w:val="18"/>
                <w:szCs w:val="18"/>
              </w:rPr>
            </w:pPr>
          </w:p>
        </w:tc>
        <w:tc>
          <w:tcPr>
            <w:tcW w:w="2524" w:type="dxa"/>
            <w:tcBorders>
              <w:top w:val="nil"/>
              <w:left w:val="nil"/>
              <w:bottom w:val="single" w:sz="4" w:space="0" w:color="auto"/>
              <w:right w:val="single" w:sz="4" w:space="0" w:color="auto"/>
            </w:tcBorders>
            <w:noWrap/>
            <w:vAlign w:val="bottom"/>
            <w:hideMark/>
          </w:tcPr>
          <w:p w:rsidR="00AE13C2" w:rsidRPr="00E15717" w:rsidRDefault="00AE13C2" w:rsidP="000A3325">
            <w:pPr>
              <w:rPr>
                <w:rFonts w:ascii="Arial" w:hAnsi="Arial" w:cs="Arial"/>
                <w:sz w:val="18"/>
                <w:szCs w:val="18"/>
              </w:rPr>
            </w:pPr>
            <w:r w:rsidRPr="00E15717">
              <w:rPr>
                <w:rFonts w:ascii="Arial" w:hAnsi="Arial" w:cs="Arial"/>
                <w:sz w:val="18"/>
                <w:szCs w:val="18"/>
              </w:rPr>
              <w:t>&gt; 5 años, ≤ 10 años</w:t>
            </w:r>
          </w:p>
        </w:tc>
        <w:tc>
          <w:tcPr>
            <w:tcW w:w="2920" w:type="dxa"/>
            <w:vMerge w:val="restart"/>
            <w:tcBorders>
              <w:top w:val="nil"/>
              <w:left w:val="single" w:sz="4" w:space="0" w:color="auto"/>
              <w:bottom w:val="single" w:sz="4" w:space="0" w:color="auto"/>
              <w:right w:val="single" w:sz="4" w:space="0" w:color="auto"/>
            </w:tcBorders>
            <w:noWrap/>
            <w:vAlign w:val="center"/>
            <w:hideMark/>
          </w:tcPr>
          <w:p w:rsidR="00AE13C2" w:rsidRPr="00E15717" w:rsidRDefault="00AE13C2" w:rsidP="000A3325">
            <w:pPr>
              <w:jc w:val="center"/>
              <w:rPr>
                <w:rFonts w:ascii="Arial" w:hAnsi="Arial" w:cs="Arial"/>
                <w:sz w:val="18"/>
                <w:szCs w:val="18"/>
              </w:rPr>
            </w:pPr>
            <w:r w:rsidRPr="00E15717">
              <w:rPr>
                <w:rFonts w:ascii="Arial" w:hAnsi="Arial" w:cs="Arial"/>
                <w:sz w:val="18"/>
                <w:szCs w:val="18"/>
              </w:rPr>
              <w:t>4%</w:t>
            </w:r>
          </w:p>
        </w:tc>
      </w:tr>
      <w:tr w:rsidR="00AE13C2" w:rsidTr="00AE13C2">
        <w:trPr>
          <w:trHeight w:val="300"/>
        </w:trPr>
        <w:tc>
          <w:tcPr>
            <w:tcW w:w="0" w:type="auto"/>
            <w:vMerge/>
            <w:tcBorders>
              <w:top w:val="nil"/>
              <w:left w:val="single" w:sz="4" w:space="0" w:color="auto"/>
              <w:bottom w:val="single" w:sz="4" w:space="0" w:color="000000"/>
              <w:right w:val="single" w:sz="4" w:space="0" w:color="auto"/>
            </w:tcBorders>
            <w:vAlign w:val="center"/>
            <w:hideMark/>
          </w:tcPr>
          <w:p w:rsidR="00AE13C2" w:rsidRDefault="00AE13C2">
            <w:pPr>
              <w:spacing w:line="276" w:lineRule="auto"/>
              <w:rPr>
                <w:rFonts w:ascii="Arial" w:hAnsi="Arial" w:cs="Arial"/>
                <w:b/>
                <w:bCs/>
                <w:color w:val="000000"/>
                <w:sz w:val="18"/>
                <w:szCs w:val="18"/>
                <w:highlight w:val="yellow"/>
                <w:lang w:val="es-CO" w:eastAsia="es-CO"/>
              </w:rPr>
            </w:pPr>
          </w:p>
        </w:tc>
        <w:tc>
          <w:tcPr>
            <w:tcW w:w="2524" w:type="dxa"/>
            <w:tcBorders>
              <w:top w:val="nil"/>
              <w:left w:val="nil"/>
              <w:bottom w:val="single" w:sz="4" w:space="0" w:color="auto"/>
              <w:right w:val="single" w:sz="4" w:space="0" w:color="auto"/>
            </w:tcBorders>
            <w:noWrap/>
            <w:vAlign w:val="bottom"/>
            <w:hideMark/>
          </w:tcPr>
          <w:p w:rsidR="00AE13C2" w:rsidRPr="00344D76" w:rsidRDefault="00AE13C2">
            <w:pPr>
              <w:spacing w:line="276" w:lineRule="auto"/>
              <w:rPr>
                <w:rFonts w:ascii="Arial" w:hAnsi="Arial" w:cs="Arial"/>
                <w:color w:val="000000"/>
                <w:sz w:val="18"/>
                <w:szCs w:val="18"/>
                <w:lang w:val="es-CO" w:eastAsia="es-CO"/>
              </w:rPr>
            </w:pPr>
            <w:r w:rsidRPr="00344D76">
              <w:rPr>
                <w:rFonts w:ascii="Arial" w:hAnsi="Arial" w:cs="Arial"/>
                <w:color w:val="000000"/>
                <w:sz w:val="18"/>
                <w:szCs w:val="18"/>
                <w:lang w:val="es-CO" w:eastAsia="es-CO"/>
              </w:rPr>
              <w:t>&gt;10 años</w:t>
            </w:r>
          </w:p>
        </w:tc>
        <w:tc>
          <w:tcPr>
            <w:tcW w:w="0" w:type="auto"/>
            <w:vMerge/>
            <w:tcBorders>
              <w:top w:val="nil"/>
              <w:left w:val="single" w:sz="4" w:space="0" w:color="auto"/>
              <w:bottom w:val="single" w:sz="4" w:space="0" w:color="auto"/>
              <w:right w:val="single" w:sz="4" w:space="0" w:color="auto"/>
            </w:tcBorders>
            <w:vAlign w:val="center"/>
            <w:hideMark/>
          </w:tcPr>
          <w:p w:rsidR="00AE13C2" w:rsidRDefault="00AE13C2">
            <w:pPr>
              <w:spacing w:line="276" w:lineRule="auto"/>
              <w:rPr>
                <w:rFonts w:ascii="Calibri" w:hAnsi="Calibri" w:cs="Calibri"/>
                <w:color w:val="000000"/>
                <w:sz w:val="22"/>
                <w:szCs w:val="22"/>
                <w:highlight w:val="yellow"/>
                <w:lang w:val="es-CO" w:eastAsia="es-CO"/>
              </w:rPr>
            </w:pPr>
          </w:p>
        </w:tc>
      </w:tr>
    </w:tbl>
    <w:p w:rsidR="00AE13C2" w:rsidRDefault="00AE13C2" w:rsidP="00AE13C2">
      <w:pPr>
        <w:jc w:val="both"/>
        <w:rPr>
          <w:rFonts w:ascii="Arial" w:hAnsi="Arial" w:cs="Arial"/>
          <w:sz w:val="18"/>
          <w:szCs w:val="18"/>
        </w:rPr>
      </w:pPr>
    </w:p>
    <w:p w:rsidR="00F33295" w:rsidRDefault="00F33295" w:rsidP="00C00FBE">
      <w:pPr>
        <w:jc w:val="both"/>
        <w:rPr>
          <w:rFonts w:ascii="Arial" w:hAnsi="Arial" w:cs="Arial"/>
          <w:sz w:val="18"/>
          <w:szCs w:val="18"/>
        </w:rPr>
      </w:pPr>
      <w:r>
        <w:rPr>
          <w:rFonts w:ascii="Arial" w:hAnsi="Arial" w:cs="Arial"/>
          <w:sz w:val="18"/>
          <w:szCs w:val="18"/>
        </w:rPr>
        <w:t xml:space="preserve">b) </w:t>
      </w:r>
      <w:r w:rsidR="00A2050E">
        <w:rPr>
          <w:rFonts w:ascii="Arial" w:hAnsi="Arial" w:cs="Arial"/>
          <w:sz w:val="18"/>
          <w:szCs w:val="18"/>
        </w:rPr>
        <w:t>P</w:t>
      </w:r>
      <w:r w:rsidR="00A2050E" w:rsidRPr="000A17D7">
        <w:rPr>
          <w:rFonts w:ascii="Arial" w:hAnsi="Arial" w:cs="Arial"/>
          <w:sz w:val="18"/>
          <w:szCs w:val="18"/>
        </w:rPr>
        <w:t>ara el caso de</w:t>
      </w:r>
      <w:r w:rsidR="00A2050E">
        <w:rPr>
          <w:rFonts w:ascii="Arial" w:hAnsi="Arial" w:cs="Arial"/>
          <w:sz w:val="18"/>
          <w:szCs w:val="18"/>
        </w:rPr>
        <w:t xml:space="preserve"> los créditos</w:t>
      </w:r>
      <w:r>
        <w:rPr>
          <w:rFonts w:ascii="Arial" w:hAnsi="Arial" w:cs="Arial"/>
          <w:sz w:val="18"/>
          <w:szCs w:val="18"/>
        </w:rPr>
        <w:t>:</w:t>
      </w:r>
    </w:p>
    <w:p w:rsidR="00F33295" w:rsidRDefault="00F33295" w:rsidP="00C00FBE">
      <w:pPr>
        <w:jc w:val="both"/>
        <w:rPr>
          <w:rFonts w:ascii="Arial" w:hAnsi="Arial" w:cs="Arial"/>
          <w:sz w:val="18"/>
          <w:szCs w:val="18"/>
        </w:rPr>
      </w:pPr>
    </w:p>
    <w:p w:rsidR="00D754A0" w:rsidRDefault="00F33295" w:rsidP="00C00FBE">
      <w:pPr>
        <w:jc w:val="both"/>
        <w:rPr>
          <w:rFonts w:ascii="Arial" w:hAnsi="Arial" w:cs="Arial"/>
          <w:b/>
          <w:sz w:val="18"/>
          <w:szCs w:val="18"/>
        </w:rPr>
      </w:pPr>
      <w:r>
        <w:rPr>
          <w:rFonts w:ascii="Arial" w:hAnsi="Arial" w:cs="Arial"/>
          <w:sz w:val="18"/>
          <w:szCs w:val="18"/>
        </w:rPr>
        <w:t>L</w:t>
      </w:r>
      <w:r w:rsidR="007F6C9C">
        <w:rPr>
          <w:rFonts w:ascii="Arial" w:hAnsi="Arial" w:cs="Arial"/>
          <w:sz w:val="18"/>
          <w:szCs w:val="18"/>
        </w:rPr>
        <w:t xml:space="preserve">as entidades podrán ajustar la exposición de este activo por el valor de las </w:t>
      </w:r>
      <w:r w:rsidR="00A2050E">
        <w:rPr>
          <w:rFonts w:ascii="Arial" w:hAnsi="Arial" w:cs="Arial"/>
          <w:sz w:val="18"/>
          <w:szCs w:val="18"/>
        </w:rPr>
        <w:t xml:space="preserve">garantías </w:t>
      </w:r>
      <w:r w:rsidR="007F6C9C">
        <w:rPr>
          <w:rFonts w:ascii="Arial" w:hAnsi="Arial" w:cs="Arial"/>
          <w:sz w:val="18"/>
          <w:szCs w:val="18"/>
        </w:rPr>
        <w:t>diferentes de las in</w:t>
      </w:r>
      <w:r w:rsidR="00A2050E">
        <w:rPr>
          <w:rFonts w:ascii="Arial" w:hAnsi="Arial" w:cs="Arial"/>
          <w:sz w:val="18"/>
          <w:szCs w:val="18"/>
        </w:rPr>
        <w:t>mobiliarias</w:t>
      </w:r>
      <w:r w:rsidR="00517697">
        <w:rPr>
          <w:rFonts w:ascii="Arial" w:hAnsi="Arial" w:cs="Arial"/>
          <w:sz w:val="18"/>
          <w:szCs w:val="18"/>
        </w:rPr>
        <w:t xml:space="preserve"> que </w:t>
      </w:r>
      <w:r w:rsidR="00A2050E">
        <w:rPr>
          <w:rFonts w:ascii="Arial" w:hAnsi="Arial" w:cs="Arial"/>
          <w:sz w:val="18"/>
          <w:szCs w:val="18"/>
        </w:rPr>
        <w:t>cumplan con los requisitos de</w:t>
      </w:r>
      <w:r w:rsidR="007F6C9C">
        <w:rPr>
          <w:rFonts w:ascii="Arial" w:hAnsi="Arial" w:cs="Arial"/>
          <w:sz w:val="18"/>
          <w:szCs w:val="18"/>
        </w:rPr>
        <w:t xml:space="preserve"> idoneidad </w:t>
      </w:r>
      <w:r>
        <w:rPr>
          <w:rFonts w:ascii="Arial" w:hAnsi="Arial" w:cs="Arial"/>
          <w:sz w:val="18"/>
          <w:szCs w:val="18"/>
        </w:rPr>
        <w:t xml:space="preserve">de que trata </w:t>
      </w:r>
      <w:r w:rsidR="007F6C9C">
        <w:rPr>
          <w:rFonts w:ascii="Arial" w:hAnsi="Arial" w:cs="Arial"/>
          <w:sz w:val="18"/>
          <w:szCs w:val="18"/>
        </w:rPr>
        <w:t>del Capítulo II de la CBCF y</w:t>
      </w:r>
      <w:r w:rsidR="00A2050E">
        <w:rPr>
          <w:rFonts w:ascii="Arial" w:hAnsi="Arial" w:cs="Arial"/>
          <w:sz w:val="18"/>
          <w:szCs w:val="18"/>
        </w:rPr>
        <w:t xml:space="preserve"> </w:t>
      </w:r>
      <w:r>
        <w:rPr>
          <w:rFonts w:ascii="Arial" w:hAnsi="Arial" w:cs="Arial"/>
          <w:sz w:val="18"/>
          <w:szCs w:val="18"/>
        </w:rPr>
        <w:t xml:space="preserve">los requisitos </w:t>
      </w:r>
      <w:r w:rsidR="007F6C9C">
        <w:rPr>
          <w:rFonts w:ascii="Arial" w:hAnsi="Arial" w:cs="Arial"/>
          <w:sz w:val="18"/>
          <w:szCs w:val="18"/>
        </w:rPr>
        <w:t xml:space="preserve">de </w:t>
      </w:r>
      <w:r w:rsidR="00A2050E">
        <w:rPr>
          <w:rFonts w:ascii="Arial" w:hAnsi="Arial" w:cs="Arial"/>
          <w:sz w:val="18"/>
          <w:szCs w:val="18"/>
        </w:rPr>
        <w:t>valoración a que se refiere el subnumeral 2.4.3. del presente Capítulo</w:t>
      </w:r>
      <w:r w:rsidR="007F6C9C">
        <w:rPr>
          <w:rFonts w:ascii="Arial" w:hAnsi="Arial" w:cs="Arial"/>
          <w:sz w:val="18"/>
          <w:szCs w:val="18"/>
        </w:rPr>
        <w:t xml:space="preserve">. </w:t>
      </w:r>
      <w:r w:rsidR="00517697">
        <w:rPr>
          <w:rFonts w:ascii="Arial" w:hAnsi="Arial" w:cs="Arial"/>
          <w:sz w:val="18"/>
          <w:szCs w:val="18"/>
        </w:rPr>
        <w:t>Para efectos de</w:t>
      </w:r>
      <w:r w:rsidR="00826FB2">
        <w:rPr>
          <w:rFonts w:ascii="Arial" w:hAnsi="Arial" w:cs="Arial"/>
          <w:sz w:val="18"/>
          <w:szCs w:val="18"/>
        </w:rPr>
        <w:t>l</w:t>
      </w:r>
      <w:r w:rsidR="00517697">
        <w:rPr>
          <w:rFonts w:ascii="Arial" w:hAnsi="Arial" w:cs="Arial"/>
          <w:sz w:val="18"/>
          <w:szCs w:val="18"/>
        </w:rPr>
        <w:t xml:space="preserve"> capital</w:t>
      </w:r>
      <w:r w:rsidR="00826FB2">
        <w:rPr>
          <w:rFonts w:ascii="Arial" w:hAnsi="Arial" w:cs="Arial"/>
          <w:sz w:val="18"/>
          <w:szCs w:val="18"/>
        </w:rPr>
        <w:t xml:space="preserve"> regulatorio</w:t>
      </w:r>
      <w:r>
        <w:rPr>
          <w:rFonts w:ascii="Arial" w:hAnsi="Arial" w:cs="Arial"/>
          <w:sz w:val="18"/>
          <w:szCs w:val="18"/>
        </w:rPr>
        <w:t>,</w:t>
      </w:r>
      <w:r w:rsidR="00517697">
        <w:rPr>
          <w:rFonts w:ascii="Arial" w:hAnsi="Arial" w:cs="Arial"/>
          <w:sz w:val="18"/>
          <w:szCs w:val="18"/>
        </w:rPr>
        <w:t xml:space="preserve"> e</w:t>
      </w:r>
      <w:r w:rsidR="007F6C9C">
        <w:rPr>
          <w:rFonts w:ascii="Arial" w:hAnsi="Arial" w:cs="Arial"/>
          <w:sz w:val="18"/>
          <w:szCs w:val="18"/>
        </w:rPr>
        <w:t xml:space="preserve">l valor de la garantía </w:t>
      </w:r>
      <w:r w:rsidR="00E343C8">
        <w:rPr>
          <w:rFonts w:ascii="Arial" w:hAnsi="Arial" w:cs="Arial"/>
          <w:sz w:val="18"/>
          <w:szCs w:val="18"/>
        </w:rPr>
        <w:t xml:space="preserve">se </w:t>
      </w:r>
      <w:r w:rsidR="00422B03">
        <w:rPr>
          <w:rFonts w:ascii="Arial" w:hAnsi="Arial" w:cs="Arial"/>
          <w:sz w:val="18"/>
          <w:szCs w:val="18"/>
        </w:rPr>
        <w:t>reconocerá</w:t>
      </w:r>
      <w:r w:rsidR="00422B03" w:rsidRPr="00E343C8">
        <w:rPr>
          <w:rFonts w:ascii="Arial" w:hAnsi="Arial" w:cs="Arial"/>
          <w:sz w:val="18"/>
          <w:szCs w:val="18"/>
        </w:rPr>
        <w:t xml:space="preserve"> </w:t>
      </w:r>
      <w:r w:rsidR="00517697" w:rsidRPr="00E343C8">
        <w:rPr>
          <w:rFonts w:ascii="Arial" w:hAnsi="Arial" w:cs="Arial"/>
          <w:sz w:val="18"/>
          <w:szCs w:val="18"/>
        </w:rPr>
        <w:t>sobre el porcentaje real de cubrimien</w:t>
      </w:r>
      <w:r>
        <w:rPr>
          <w:rFonts w:ascii="Arial" w:hAnsi="Arial" w:cs="Arial"/>
          <w:sz w:val="18"/>
          <w:szCs w:val="18"/>
        </w:rPr>
        <w:t>to que representa l</w:t>
      </w:r>
      <w:r w:rsidR="00517697" w:rsidRPr="00E343C8">
        <w:rPr>
          <w:rFonts w:ascii="Arial" w:hAnsi="Arial" w:cs="Arial"/>
          <w:sz w:val="18"/>
          <w:szCs w:val="18"/>
        </w:rPr>
        <w:t>a garantía respecto de</w:t>
      </w:r>
      <w:r w:rsidR="00E343C8">
        <w:rPr>
          <w:rFonts w:ascii="Arial" w:hAnsi="Arial" w:cs="Arial"/>
          <w:sz w:val="18"/>
          <w:szCs w:val="18"/>
        </w:rPr>
        <w:t>l saldo de</w:t>
      </w:r>
      <w:r>
        <w:rPr>
          <w:rFonts w:ascii="Arial" w:hAnsi="Arial" w:cs="Arial"/>
          <w:sz w:val="18"/>
          <w:szCs w:val="18"/>
        </w:rPr>
        <w:t xml:space="preserve"> la obligación.</w:t>
      </w:r>
    </w:p>
    <w:p w:rsidR="00D754A0" w:rsidRDefault="00D754A0" w:rsidP="00C00FBE">
      <w:pPr>
        <w:jc w:val="both"/>
        <w:rPr>
          <w:rFonts w:ascii="Arial" w:hAnsi="Arial" w:cs="Arial"/>
          <w:b/>
          <w:sz w:val="18"/>
          <w:szCs w:val="18"/>
        </w:rPr>
      </w:pPr>
    </w:p>
    <w:p w:rsidR="00517697" w:rsidRDefault="00F33295" w:rsidP="00C00FBE">
      <w:pPr>
        <w:jc w:val="both"/>
        <w:rPr>
          <w:rFonts w:ascii="Arial" w:hAnsi="Arial" w:cs="Arial"/>
          <w:sz w:val="18"/>
          <w:szCs w:val="18"/>
          <w:lang w:val="es-ES"/>
        </w:rPr>
      </w:pPr>
      <w:r>
        <w:rPr>
          <w:rFonts w:ascii="Arial" w:hAnsi="Arial" w:cs="Arial"/>
          <w:sz w:val="18"/>
          <w:szCs w:val="18"/>
        </w:rPr>
        <w:t>El</w:t>
      </w:r>
      <w:r w:rsidR="00E343C8" w:rsidRPr="00E343C8">
        <w:rPr>
          <w:rFonts w:ascii="Arial" w:hAnsi="Arial" w:cs="Arial"/>
          <w:sz w:val="18"/>
          <w:szCs w:val="18"/>
        </w:rPr>
        <w:t xml:space="preserve"> valor</w:t>
      </w:r>
      <w:r w:rsidR="00E343C8">
        <w:rPr>
          <w:rFonts w:ascii="Arial" w:hAnsi="Arial" w:cs="Arial"/>
          <w:b/>
          <w:sz w:val="18"/>
          <w:szCs w:val="18"/>
        </w:rPr>
        <w:t xml:space="preserve"> </w:t>
      </w:r>
      <w:r>
        <w:rPr>
          <w:rFonts w:ascii="Arial" w:hAnsi="Arial" w:cs="Arial"/>
          <w:sz w:val="18"/>
          <w:szCs w:val="18"/>
        </w:rPr>
        <w:t>de cada</w:t>
      </w:r>
      <w:r w:rsidR="00D754A0" w:rsidRPr="00243A33">
        <w:rPr>
          <w:rFonts w:ascii="Arial" w:hAnsi="Arial" w:cs="Arial"/>
          <w:sz w:val="18"/>
          <w:szCs w:val="18"/>
        </w:rPr>
        <w:t xml:space="preserve"> garantía </w:t>
      </w:r>
      <w:r w:rsidR="007F6C9C" w:rsidRPr="00243A33">
        <w:rPr>
          <w:rFonts w:ascii="Arial" w:hAnsi="Arial" w:cs="Arial"/>
          <w:sz w:val="18"/>
          <w:szCs w:val="18"/>
        </w:rPr>
        <w:t>se</w:t>
      </w:r>
      <w:r w:rsidR="007F6C9C">
        <w:rPr>
          <w:rFonts w:ascii="Arial" w:hAnsi="Arial" w:cs="Arial"/>
          <w:sz w:val="18"/>
          <w:szCs w:val="18"/>
        </w:rPr>
        <w:t xml:space="preserve"> </w:t>
      </w:r>
      <w:r w:rsidR="00AE59D0">
        <w:rPr>
          <w:rFonts w:ascii="Arial" w:hAnsi="Arial" w:cs="Arial"/>
          <w:sz w:val="18"/>
          <w:szCs w:val="18"/>
        </w:rPr>
        <w:t>debe</w:t>
      </w:r>
      <w:r w:rsidR="007F6C9C">
        <w:rPr>
          <w:rFonts w:ascii="Arial" w:hAnsi="Arial" w:cs="Arial"/>
          <w:sz w:val="18"/>
          <w:szCs w:val="18"/>
        </w:rPr>
        <w:t xml:space="preserve"> </w:t>
      </w:r>
      <w:r w:rsidR="00A2050E">
        <w:rPr>
          <w:rFonts w:ascii="Arial" w:hAnsi="Arial" w:cs="Arial"/>
          <w:sz w:val="18"/>
          <w:szCs w:val="18"/>
        </w:rPr>
        <w:t>ajustar</w:t>
      </w:r>
      <w:r w:rsidR="007F6C9C">
        <w:rPr>
          <w:rFonts w:ascii="Arial" w:hAnsi="Arial" w:cs="Arial"/>
          <w:sz w:val="18"/>
          <w:szCs w:val="18"/>
        </w:rPr>
        <w:t xml:space="preserve"> previamente </w:t>
      </w:r>
      <w:r w:rsidR="00A2050E">
        <w:rPr>
          <w:rFonts w:ascii="Arial" w:hAnsi="Arial" w:cs="Arial"/>
          <w:sz w:val="18"/>
          <w:szCs w:val="18"/>
        </w:rPr>
        <w:t xml:space="preserve">por </w:t>
      </w:r>
      <w:r>
        <w:rPr>
          <w:rFonts w:ascii="Arial" w:hAnsi="Arial" w:cs="Arial"/>
          <w:sz w:val="18"/>
          <w:szCs w:val="18"/>
        </w:rPr>
        <w:t>el Fg,</w:t>
      </w:r>
      <w:r w:rsidR="00311831">
        <w:rPr>
          <w:rFonts w:ascii="Arial" w:hAnsi="Arial" w:cs="Arial"/>
          <w:sz w:val="18"/>
          <w:szCs w:val="18"/>
        </w:rPr>
        <w:t xml:space="preserve"> </w:t>
      </w:r>
      <w:r w:rsidR="00B357D3">
        <w:rPr>
          <w:rFonts w:ascii="Arial" w:hAnsi="Arial" w:cs="Arial"/>
          <w:sz w:val="18"/>
          <w:szCs w:val="18"/>
        </w:rPr>
        <w:t xml:space="preserve">para lo cual se debe tomar </w:t>
      </w:r>
      <w:r w:rsidR="00A2050E">
        <w:rPr>
          <w:rFonts w:ascii="Arial" w:hAnsi="Arial" w:cs="Arial"/>
          <w:sz w:val="18"/>
          <w:szCs w:val="18"/>
        </w:rPr>
        <w:t xml:space="preserve">la </w:t>
      </w:r>
      <w:r w:rsidR="00EB66A7">
        <w:rPr>
          <w:rFonts w:ascii="Arial" w:hAnsi="Arial" w:cs="Arial"/>
          <w:sz w:val="18"/>
          <w:szCs w:val="18"/>
        </w:rPr>
        <w:t xml:space="preserve">Pérdida </w:t>
      </w:r>
      <w:r w:rsidR="009E7626">
        <w:rPr>
          <w:rFonts w:ascii="Arial" w:hAnsi="Arial" w:cs="Arial"/>
          <w:sz w:val="18"/>
          <w:szCs w:val="18"/>
        </w:rPr>
        <w:t>D</w:t>
      </w:r>
      <w:r w:rsidR="00EB66A7">
        <w:rPr>
          <w:rFonts w:ascii="Arial" w:hAnsi="Arial" w:cs="Arial"/>
          <w:sz w:val="18"/>
          <w:szCs w:val="18"/>
        </w:rPr>
        <w:t xml:space="preserve">ado el </w:t>
      </w:r>
      <w:r w:rsidR="00EB66A7" w:rsidRPr="00EB66A7">
        <w:rPr>
          <w:rFonts w:ascii="Arial" w:hAnsi="Arial" w:cs="Arial"/>
          <w:sz w:val="18"/>
          <w:szCs w:val="18"/>
        </w:rPr>
        <w:t>Incumplimiento (</w:t>
      </w:r>
      <w:r w:rsidR="00A2050E" w:rsidRPr="00EB66A7">
        <w:rPr>
          <w:rFonts w:ascii="Arial" w:hAnsi="Arial" w:cs="Arial"/>
          <w:sz w:val="18"/>
          <w:szCs w:val="18"/>
        </w:rPr>
        <w:t>PDI</w:t>
      </w:r>
      <w:r w:rsidR="00EB66A7" w:rsidRPr="00EB66A7">
        <w:rPr>
          <w:rFonts w:ascii="Arial" w:hAnsi="Arial" w:cs="Arial"/>
          <w:sz w:val="18"/>
          <w:szCs w:val="18"/>
        </w:rPr>
        <w:t>)</w:t>
      </w:r>
      <w:r w:rsidR="00A2050E" w:rsidRPr="00EB66A7">
        <w:rPr>
          <w:rFonts w:ascii="Arial" w:hAnsi="Arial" w:cs="Arial"/>
          <w:sz w:val="18"/>
          <w:szCs w:val="18"/>
        </w:rPr>
        <w:t xml:space="preserve"> que le corresponda</w:t>
      </w:r>
      <w:r>
        <w:rPr>
          <w:rFonts w:ascii="Arial" w:hAnsi="Arial" w:cs="Arial"/>
          <w:sz w:val="18"/>
          <w:szCs w:val="18"/>
        </w:rPr>
        <w:t>,</w:t>
      </w:r>
      <w:r w:rsidR="00A2050E" w:rsidRPr="00EB66A7">
        <w:rPr>
          <w:rFonts w:ascii="Arial" w:hAnsi="Arial" w:cs="Arial"/>
          <w:sz w:val="18"/>
          <w:szCs w:val="18"/>
        </w:rPr>
        <w:t xml:space="preserve"> según</w:t>
      </w:r>
      <w:r w:rsidR="007F6C9C" w:rsidRPr="00EB66A7">
        <w:rPr>
          <w:rFonts w:ascii="Arial" w:hAnsi="Arial" w:cs="Arial"/>
          <w:sz w:val="18"/>
          <w:szCs w:val="18"/>
        </w:rPr>
        <w:t xml:space="preserve"> </w:t>
      </w:r>
      <w:r w:rsidR="00AE59D0">
        <w:rPr>
          <w:rFonts w:ascii="Arial" w:hAnsi="Arial" w:cs="Arial"/>
          <w:sz w:val="18"/>
          <w:szCs w:val="18"/>
        </w:rPr>
        <w:t>las siguientes garantías:</w:t>
      </w:r>
      <w:r w:rsidR="00A2050E" w:rsidRPr="00EB66A7">
        <w:rPr>
          <w:rFonts w:ascii="Arial" w:hAnsi="Arial" w:cs="Arial"/>
          <w:sz w:val="18"/>
          <w:szCs w:val="18"/>
        </w:rPr>
        <w:t xml:space="preserve"> </w:t>
      </w:r>
      <w:r w:rsidR="00AE59D0">
        <w:rPr>
          <w:rFonts w:ascii="Arial" w:hAnsi="Arial" w:cs="Arial"/>
          <w:sz w:val="18"/>
          <w:szCs w:val="18"/>
          <w:lang w:val="es-ES"/>
        </w:rPr>
        <w:t>c</w:t>
      </w:r>
      <w:r w:rsidR="00AE59D0" w:rsidRPr="003E020F">
        <w:rPr>
          <w:rFonts w:ascii="Arial" w:hAnsi="Arial" w:cs="Arial"/>
          <w:sz w:val="18"/>
          <w:szCs w:val="18"/>
          <w:lang w:val="es-ES"/>
        </w:rPr>
        <w:t xml:space="preserve">olateral </w:t>
      </w:r>
      <w:r w:rsidR="00AE59D0">
        <w:rPr>
          <w:rFonts w:ascii="Arial" w:hAnsi="Arial" w:cs="Arial"/>
          <w:sz w:val="18"/>
          <w:szCs w:val="18"/>
          <w:lang w:val="es-ES"/>
        </w:rPr>
        <w:t>f</w:t>
      </w:r>
      <w:r w:rsidR="00AE59D0" w:rsidRPr="003E020F">
        <w:rPr>
          <w:rFonts w:ascii="Arial" w:hAnsi="Arial" w:cs="Arial"/>
          <w:sz w:val="18"/>
          <w:szCs w:val="18"/>
          <w:lang w:val="es-ES"/>
        </w:rPr>
        <w:t xml:space="preserve">inanciero </w:t>
      </w:r>
      <w:r w:rsidR="00AE59D0">
        <w:rPr>
          <w:rFonts w:ascii="Arial" w:hAnsi="Arial" w:cs="Arial"/>
          <w:sz w:val="18"/>
          <w:szCs w:val="18"/>
          <w:lang w:val="es-ES"/>
        </w:rPr>
        <w:t>a</w:t>
      </w:r>
      <w:r w:rsidR="00AE59D0" w:rsidRPr="003E020F">
        <w:rPr>
          <w:rFonts w:ascii="Arial" w:hAnsi="Arial" w:cs="Arial"/>
          <w:sz w:val="18"/>
          <w:szCs w:val="18"/>
          <w:lang w:val="es-ES"/>
        </w:rPr>
        <w:t>dmisible</w:t>
      </w:r>
      <w:r w:rsidR="00AE59D0">
        <w:rPr>
          <w:rFonts w:ascii="Arial" w:hAnsi="Arial" w:cs="Arial"/>
          <w:sz w:val="18"/>
          <w:szCs w:val="18"/>
          <w:lang w:val="es-ES"/>
        </w:rPr>
        <w:t>, derechos d</w:t>
      </w:r>
      <w:r>
        <w:rPr>
          <w:rFonts w:ascii="Arial" w:hAnsi="Arial" w:cs="Arial"/>
          <w:sz w:val="18"/>
          <w:szCs w:val="18"/>
          <w:lang w:val="es-ES"/>
        </w:rPr>
        <w:t>e cobro y garantías mobiliarias.</w:t>
      </w:r>
      <w:r w:rsidR="00AE59D0">
        <w:rPr>
          <w:rFonts w:ascii="Arial" w:hAnsi="Arial" w:cs="Arial"/>
          <w:sz w:val="18"/>
          <w:szCs w:val="18"/>
          <w:lang w:val="es-ES"/>
        </w:rPr>
        <w:t xml:space="preserve"> </w:t>
      </w:r>
      <w:r>
        <w:rPr>
          <w:rFonts w:ascii="Arial" w:hAnsi="Arial" w:cs="Arial"/>
          <w:sz w:val="18"/>
          <w:szCs w:val="18"/>
        </w:rPr>
        <w:t>P</w:t>
      </w:r>
      <w:r w:rsidR="00AE59D0">
        <w:rPr>
          <w:rFonts w:ascii="Arial" w:hAnsi="Arial" w:cs="Arial"/>
          <w:sz w:val="18"/>
          <w:szCs w:val="18"/>
        </w:rPr>
        <w:t xml:space="preserve">ara </w:t>
      </w:r>
      <w:r w:rsidR="00AE59D0" w:rsidRPr="00EB66A7">
        <w:rPr>
          <w:rFonts w:ascii="Arial" w:hAnsi="Arial" w:cs="Arial"/>
          <w:sz w:val="18"/>
          <w:szCs w:val="18"/>
        </w:rPr>
        <w:t>l</w:t>
      </w:r>
      <w:r w:rsidR="00AE59D0">
        <w:rPr>
          <w:rFonts w:ascii="Arial" w:hAnsi="Arial" w:cs="Arial"/>
          <w:sz w:val="18"/>
          <w:szCs w:val="18"/>
        </w:rPr>
        <w:t>a cartera comercial</w:t>
      </w:r>
      <w:r w:rsidR="00AE59D0" w:rsidRPr="00EB66A7">
        <w:rPr>
          <w:rFonts w:ascii="Arial" w:hAnsi="Arial" w:cs="Arial"/>
          <w:sz w:val="18"/>
          <w:szCs w:val="18"/>
        </w:rPr>
        <w:t xml:space="preserve"> </w:t>
      </w:r>
      <w:r w:rsidR="00AE59D0">
        <w:rPr>
          <w:rFonts w:ascii="Arial" w:hAnsi="Arial" w:cs="Arial"/>
          <w:sz w:val="18"/>
          <w:szCs w:val="18"/>
        </w:rPr>
        <w:t>la</w:t>
      </w:r>
      <w:r w:rsidR="00026682">
        <w:rPr>
          <w:rFonts w:ascii="Arial" w:hAnsi="Arial" w:cs="Arial"/>
          <w:sz w:val="18"/>
          <w:szCs w:val="18"/>
        </w:rPr>
        <w:t>s</w:t>
      </w:r>
      <w:r w:rsidR="00AE59D0">
        <w:rPr>
          <w:rFonts w:ascii="Arial" w:hAnsi="Arial" w:cs="Arial"/>
          <w:sz w:val="18"/>
          <w:szCs w:val="18"/>
        </w:rPr>
        <w:t xml:space="preserve"> PDI de dichas garantías </w:t>
      </w:r>
      <w:r w:rsidR="00026682">
        <w:rPr>
          <w:rFonts w:ascii="Arial" w:hAnsi="Arial" w:cs="Arial"/>
          <w:sz w:val="18"/>
          <w:szCs w:val="18"/>
        </w:rPr>
        <w:t>son</w:t>
      </w:r>
      <w:r w:rsidR="009E7626">
        <w:rPr>
          <w:rFonts w:ascii="Arial" w:hAnsi="Arial" w:cs="Arial"/>
          <w:sz w:val="18"/>
          <w:szCs w:val="18"/>
        </w:rPr>
        <w:t xml:space="preserve"> la</w:t>
      </w:r>
      <w:r w:rsidR="00026682">
        <w:rPr>
          <w:rFonts w:ascii="Arial" w:hAnsi="Arial" w:cs="Arial"/>
          <w:sz w:val="18"/>
          <w:szCs w:val="18"/>
        </w:rPr>
        <w:t>s</w:t>
      </w:r>
      <w:r w:rsidR="009E7626">
        <w:rPr>
          <w:rFonts w:ascii="Arial" w:hAnsi="Arial" w:cs="Arial"/>
          <w:sz w:val="18"/>
          <w:szCs w:val="18"/>
        </w:rPr>
        <w:t xml:space="preserve"> </w:t>
      </w:r>
      <w:r w:rsidR="00AE59D0">
        <w:rPr>
          <w:rFonts w:ascii="Arial" w:hAnsi="Arial" w:cs="Arial"/>
          <w:sz w:val="18"/>
          <w:szCs w:val="18"/>
        </w:rPr>
        <w:t xml:space="preserve">señaladas en </w:t>
      </w:r>
      <w:r w:rsidR="001E11BE">
        <w:rPr>
          <w:rFonts w:ascii="Arial" w:hAnsi="Arial" w:cs="Arial"/>
          <w:sz w:val="18"/>
          <w:szCs w:val="18"/>
        </w:rPr>
        <w:t xml:space="preserve">el </w:t>
      </w:r>
      <w:r>
        <w:rPr>
          <w:rFonts w:ascii="Arial" w:hAnsi="Arial" w:cs="Arial"/>
          <w:sz w:val="18"/>
          <w:szCs w:val="18"/>
        </w:rPr>
        <w:t>A</w:t>
      </w:r>
      <w:r w:rsidR="001E11BE">
        <w:rPr>
          <w:rFonts w:ascii="Arial" w:hAnsi="Arial" w:cs="Arial"/>
          <w:sz w:val="18"/>
          <w:szCs w:val="18"/>
        </w:rPr>
        <w:t xml:space="preserve">nexo </w:t>
      </w:r>
      <w:r w:rsidR="007F6C9C" w:rsidRPr="00EB66A7">
        <w:rPr>
          <w:rFonts w:ascii="Arial" w:hAnsi="Arial" w:cs="Arial"/>
          <w:sz w:val="18"/>
          <w:szCs w:val="18"/>
        </w:rPr>
        <w:t xml:space="preserve">3 </w:t>
      </w:r>
      <w:r w:rsidR="00C00FBE">
        <w:rPr>
          <w:rFonts w:ascii="Arial" w:hAnsi="Arial" w:cs="Arial"/>
          <w:sz w:val="18"/>
          <w:szCs w:val="18"/>
        </w:rPr>
        <w:t>del Capítulo II de la CBCF</w:t>
      </w:r>
      <w:r w:rsidR="00AE59D0">
        <w:rPr>
          <w:rFonts w:ascii="Arial" w:hAnsi="Arial" w:cs="Arial"/>
          <w:sz w:val="18"/>
          <w:szCs w:val="18"/>
        </w:rPr>
        <w:t xml:space="preserve"> y para la cartera de consumo y de microcrédito</w:t>
      </w:r>
      <w:r w:rsidR="00026682">
        <w:rPr>
          <w:rFonts w:ascii="Arial" w:hAnsi="Arial" w:cs="Arial"/>
          <w:sz w:val="18"/>
          <w:szCs w:val="18"/>
        </w:rPr>
        <w:t xml:space="preserve"> son</w:t>
      </w:r>
      <w:r w:rsidR="00AE59D0">
        <w:rPr>
          <w:rFonts w:ascii="Arial" w:hAnsi="Arial" w:cs="Arial"/>
          <w:sz w:val="18"/>
          <w:szCs w:val="18"/>
        </w:rPr>
        <w:t xml:space="preserve"> </w:t>
      </w:r>
      <w:r w:rsidR="009E7626">
        <w:rPr>
          <w:rFonts w:ascii="Arial" w:hAnsi="Arial" w:cs="Arial"/>
          <w:sz w:val="18"/>
          <w:szCs w:val="18"/>
        </w:rPr>
        <w:t xml:space="preserve">las señaladas </w:t>
      </w:r>
      <w:r w:rsidR="00AE59D0">
        <w:rPr>
          <w:rFonts w:ascii="Arial" w:hAnsi="Arial" w:cs="Arial"/>
          <w:sz w:val="18"/>
          <w:szCs w:val="18"/>
        </w:rPr>
        <w:t xml:space="preserve">en </w:t>
      </w:r>
      <w:r w:rsidR="001E11BE">
        <w:rPr>
          <w:rFonts w:ascii="Arial" w:hAnsi="Arial" w:cs="Arial"/>
          <w:sz w:val="18"/>
          <w:szCs w:val="18"/>
        </w:rPr>
        <w:t xml:space="preserve">el </w:t>
      </w:r>
      <w:r>
        <w:rPr>
          <w:rFonts w:ascii="Arial" w:hAnsi="Arial" w:cs="Arial"/>
          <w:sz w:val="18"/>
          <w:szCs w:val="18"/>
        </w:rPr>
        <w:t>A</w:t>
      </w:r>
      <w:r w:rsidR="001E11BE">
        <w:rPr>
          <w:rFonts w:ascii="Arial" w:hAnsi="Arial" w:cs="Arial"/>
          <w:sz w:val="18"/>
          <w:szCs w:val="18"/>
        </w:rPr>
        <w:t>nexo 5 del Capítulo II de la CBCF</w:t>
      </w:r>
      <w:r w:rsidR="00C00FBE">
        <w:rPr>
          <w:rFonts w:ascii="Arial" w:hAnsi="Arial" w:cs="Arial"/>
          <w:sz w:val="18"/>
          <w:szCs w:val="18"/>
          <w:lang w:val="es-ES"/>
        </w:rPr>
        <w:t>.</w:t>
      </w:r>
    </w:p>
    <w:p w:rsidR="00A2050E" w:rsidRDefault="00A2050E" w:rsidP="00CC4E0C">
      <w:pPr>
        <w:jc w:val="both"/>
        <w:rPr>
          <w:rFonts w:ascii="Arial" w:hAnsi="Arial" w:cs="Arial"/>
          <w:sz w:val="18"/>
          <w:szCs w:val="18"/>
        </w:rPr>
      </w:pPr>
    </w:p>
    <w:p w:rsidR="00CC4E0C" w:rsidRPr="00CC4E0C" w:rsidRDefault="00A0139D" w:rsidP="009D298D">
      <w:pPr>
        <w:pStyle w:val="Prrafodelista"/>
        <w:numPr>
          <w:ilvl w:val="3"/>
          <w:numId w:val="11"/>
        </w:numPr>
        <w:jc w:val="both"/>
        <w:outlineLvl w:val="2"/>
        <w:rPr>
          <w:rFonts w:ascii="Arial" w:hAnsi="Arial" w:cs="Arial"/>
          <w:sz w:val="18"/>
          <w:szCs w:val="18"/>
        </w:rPr>
      </w:pPr>
      <w:r w:rsidRPr="000A17D7">
        <w:rPr>
          <w:rFonts w:ascii="Arial" w:hAnsi="Arial" w:cs="Arial"/>
          <w:sz w:val="18"/>
          <w:szCs w:val="18"/>
        </w:rPr>
        <w:t xml:space="preserve">Factor de </w:t>
      </w:r>
      <w:r w:rsidR="00F33295">
        <w:rPr>
          <w:rFonts w:ascii="Arial" w:hAnsi="Arial" w:cs="Arial"/>
          <w:sz w:val="18"/>
          <w:szCs w:val="18"/>
        </w:rPr>
        <w:t>Ajuste C</w:t>
      </w:r>
      <w:r w:rsidR="00CC4E0C" w:rsidRPr="00CC4E0C">
        <w:rPr>
          <w:rFonts w:ascii="Arial" w:hAnsi="Arial" w:cs="Arial"/>
          <w:sz w:val="18"/>
          <w:szCs w:val="18"/>
        </w:rPr>
        <w:t>ambiario</w:t>
      </w:r>
      <w:r w:rsidR="0000491B">
        <w:rPr>
          <w:rFonts w:ascii="Arial" w:hAnsi="Arial" w:cs="Arial"/>
          <w:sz w:val="18"/>
          <w:szCs w:val="18"/>
        </w:rPr>
        <w:t xml:space="preserve"> (Fc)</w:t>
      </w:r>
    </w:p>
    <w:p w:rsidR="00CC4E0C" w:rsidRPr="000A17D7" w:rsidRDefault="00CC4E0C" w:rsidP="00CC4E0C">
      <w:pPr>
        <w:jc w:val="both"/>
        <w:rPr>
          <w:rFonts w:ascii="Arial" w:hAnsi="Arial" w:cs="Arial"/>
          <w:sz w:val="18"/>
          <w:szCs w:val="18"/>
        </w:rPr>
      </w:pPr>
    </w:p>
    <w:p w:rsidR="00CC4E0C" w:rsidRPr="000A17D7" w:rsidRDefault="00CC4E0C" w:rsidP="00D23E25">
      <w:pPr>
        <w:autoSpaceDE w:val="0"/>
        <w:autoSpaceDN w:val="0"/>
        <w:adjustRightInd w:val="0"/>
        <w:jc w:val="both"/>
        <w:rPr>
          <w:rFonts w:ascii="Arial" w:hAnsi="Arial" w:cs="Arial"/>
          <w:sz w:val="18"/>
          <w:szCs w:val="18"/>
        </w:rPr>
      </w:pPr>
      <w:r>
        <w:rPr>
          <w:rFonts w:ascii="Arial" w:hAnsi="Arial" w:cs="Arial"/>
          <w:sz w:val="18"/>
          <w:szCs w:val="18"/>
        </w:rPr>
        <w:t>C</w:t>
      </w:r>
      <w:r w:rsidRPr="000A17D7">
        <w:rPr>
          <w:rFonts w:ascii="Arial" w:hAnsi="Arial" w:cs="Arial"/>
          <w:sz w:val="18"/>
          <w:szCs w:val="18"/>
        </w:rPr>
        <w:t xml:space="preserve">uando la exposición y el colateral </w:t>
      </w:r>
      <w:r>
        <w:rPr>
          <w:rFonts w:ascii="Arial" w:hAnsi="Arial" w:cs="Arial"/>
          <w:sz w:val="18"/>
          <w:szCs w:val="18"/>
        </w:rPr>
        <w:t>financiero</w:t>
      </w:r>
      <w:r w:rsidR="007148E4">
        <w:rPr>
          <w:rFonts w:ascii="Arial" w:hAnsi="Arial" w:cs="Arial"/>
          <w:sz w:val="18"/>
          <w:szCs w:val="18"/>
        </w:rPr>
        <w:t xml:space="preserve"> definido</w:t>
      </w:r>
      <w:r w:rsidR="00A27FC3">
        <w:rPr>
          <w:rFonts w:ascii="Arial" w:hAnsi="Arial" w:cs="Arial"/>
          <w:sz w:val="18"/>
          <w:szCs w:val="18"/>
        </w:rPr>
        <w:t>s</w:t>
      </w:r>
      <w:r w:rsidR="007148E4">
        <w:rPr>
          <w:rFonts w:ascii="Arial" w:hAnsi="Arial" w:cs="Arial"/>
          <w:sz w:val="18"/>
          <w:szCs w:val="18"/>
        </w:rPr>
        <w:t xml:space="preserve"> en el </w:t>
      </w:r>
      <w:r w:rsidR="00D23E25">
        <w:rPr>
          <w:rFonts w:ascii="Arial" w:hAnsi="Arial" w:cs="Arial"/>
          <w:sz w:val="18"/>
          <w:szCs w:val="18"/>
        </w:rPr>
        <w:t xml:space="preserve">literal a) del </w:t>
      </w:r>
      <w:r w:rsidR="00F33295">
        <w:rPr>
          <w:rFonts w:ascii="Arial" w:hAnsi="Arial" w:cs="Arial"/>
          <w:sz w:val="18"/>
          <w:szCs w:val="18"/>
        </w:rPr>
        <w:t>sub</w:t>
      </w:r>
      <w:r w:rsidR="007148E4">
        <w:rPr>
          <w:rFonts w:ascii="Arial" w:hAnsi="Arial" w:cs="Arial"/>
          <w:sz w:val="18"/>
          <w:szCs w:val="18"/>
        </w:rPr>
        <w:t xml:space="preserve">numeral </w:t>
      </w:r>
      <w:r w:rsidR="00092666">
        <w:rPr>
          <w:rFonts w:ascii="Arial" w:hAnsi="Arial" w:cs="Arial"/>
          <w:sz w:val="18"/>
          <w:szCs w:val="18"/>
        </w:rPr>
        <w:t>anterior se</w:t>
      </w:r>
      <w:r w:rsidR="0048755B">
        <w:rPr>
          <w:rFonts w:ascii="Arial" w:hAnsi="Arial" w:cs="Arial"/>
          <w:sz w:val="18"/>
          <w:szCs w:val="18"/>
        </w:rPr>
        <w:t xml:space="preserve"> encuentre</w:t>
      </w:r>
      <w:r w:rsidRPr="000A17D7">
        <w:rPr>
          <w:rFonts w:ascii="Arial" w:hAnsi="Arial" w:cs="Arial"/>
          <w:sz w:val="18"/>
          <w:szCs w:val="18"/>
        </w:rPr>
        <w:t>n denominados en monedas</w:t>
      </w:r>
      <w:r w:rsidR="00D82E50">
        <w:rPr>
          <w:rFonts w:ascii="Arial" w:hAnsi="Arial" w:cs="Arial"/>
          <w:sz w:val="18"/>
          <w:szCs w:val="18"/>
        </w:rPr>
        <w:t xml:space="preserve"> </w:t>
      </w:r>
      <w:r w:rsidR="00D82E50" w:rsidRPr="000A17D7">
        <w:rPr>
          <w:rFonts w:ascii="Arial" w:hAnsi="Arial" w:cs="Arial"/>
          <w:sz w:val="18"/>
          <w:szCs w:val="18"/>
        </w:rPr>
        <w:t>diferentes</w:t>
      </w:r>
      <w:r>
        <w:rPr>
          <w:rFonts w:ascii="Arial" w:hAnsi="Arial" w:cs="Arial"/>
          <w:sz w:val="18"/>
          <w:szCs w:val="18"/>
        </w:rPr>
        <w:t xml:space="preserve"> e</w:t>
      </w:r>
      <w:r w:rsidRPr="000A17D7">
        <w:rPr>
          <w:rFonts w:ascii="Arial" w:hAnsi="Arial" w:cs="Arial"/>
          <w:sz w:val="18"/>
          <w:szCs w:val="18"/>
        </w:rPr>
        <w:t>l Fc</w:t>
      </w:r>
      <w:r>
        <w:rPr>
          <w:rFonts w:ascii="Arial" w:hAnsi="Arial" w:cs="Arial"/>
          <w:sz w:val="18"/>
          <w:szCs w:val="18"/>
        </w:rPr>
        <w:t xml:space="preserve"> </w:t>
      </w:r>
      <w:r w:rsidR="00026682">
        <w:rPr>
          <w:rFonts w:ascii="Arial" w:hAnsi="Arial" w:cs="Arial"/>
          <w:sz w:val="18"/>
          <w:szCs w:val="18"/>
        </w:rPr>
        <w:t>es</w:t>
      </w:r>
      <w:r>
        <w:rPr>
          <w:rFonts w:ascii="Arial" w:hAnsi="Arial" w:cs="Arial"/>
          <w:sz w:val="18"/>
          <w:szCs w:val="18"/>
        </w:rPr>
        <w:t xml:space="preserve"> </w:t>
      </w:r>
      <w:r w:rsidR="00026682">
        <w:rPr>
          <w:rFonts w:ascii="Arial" w:hAnsi="Arial" w:cs="Arial"/>
          <w:sz w:val="18"/>
          <w:szCs w:val="18"/>
        </w:rPr>
        <w:t>d</w:t>
      </w:r>
      <w:r w:rsidRPr="000A17D7">
        <w:rPr>
          <w:rFonts w:ascii="Arial" w:hAnsi="Arial" w:cs="Arial"/>
          <w:sz w:val="18"/>
          <w:szCs w:val="18"/>
        </w:rPr>
        <w:t>el 8%</w:t>
      </w:r>
      <w:r w:rsidR="005C1B47">
        <w:rPr>
          <w:rFonts w:ascii="Arial" w:hAnsi="Arial" w:cs="Arial"/>
          <w:sz w:val="18"/>
          <w:szCs w:val="18"/>
        </w:rPr>
        <w:t>,</w:t>
      </w:r>
      <w:r w:rsidR="00CC5604">
        <w:rPr>
          <w:rFonts w:ascii="Arial" w:hAnsi="Arial" w:cs="Arial"/>
          <w:sz w:val="18"/>
          <w:szCs w:val="18"/>
        </w:rPr>
        <w:t xml:space="preserve"> l</w:t>
      </w:r>
      <w:r>
        <w:rPr>
          <w:rFonts w:ascii="Arial" w:hAnsi="Arial" w:cs="Arial"/>
          <w:sz w:val="18"/>
          <w:szCs w:val="18"/>
        </w:rPr>
        <w:t>o anterior s</w:t>
      </w:r>
      <w:r w:rsidRPr="000A17D7">
        <w:rPr>
          <w:rFonts w:ascii="Arial" w:hAnsi="Arial" w:cs="Arial"/>
          <w:sz w:val="18"/>
          <w:szCs w:val="18"/>
        </w:rPr>
        <w:t>obre la base de un periodo de mantenimiento de 10 días hábiles y valoración diaria del activo a precios de mercado.</w:t>
      </w:r>
    </w:p>
    <w:p w:rsidR="00CC4E0C" w:rsidRDefault="00CC4E0C" w:rsidP="00D23E25">
      <w:pPr>
        <w:jc w:val="both"/>
        <w:rPr>
          <w:rFonts w:ascii="Arial" w:hAnsi="Arial" w:cs="Arial"/>
          <w:sz w:val="18"/>
          <w:szCs w:val="18"/>
        </w:rPr>
      </w:pPr>
    </w:p>
    <w:p w:rsidR="00CC4E0C" w:rsidRDefault="00CC4E0C" w:rsidP="00D23E25">
      <w:pPr>
        <w:autoSpaceDE w:val="0"/>
        <w:autoSpaceDN w:val="0"/>
        <w:adjustRightInd w:val="0"/>
        <w:jc w:val="both"/>
        <w:rPr>
          <w:rFonts w:ascii="Arial" w:hAnsi="Arial" w:cs="Arial"/>
          <w:sz w:val="18"/>
          <w:szCs w:val="18"/>
        </w:rPr>
      </w:pPr>
      <w:r w:rsidRPr="00786681">
        <w:rPr>
          <w:rFonts w:ascii="Arial" w:hAnsi="Arial" w:cs="Arial"/>
          <w:sz w:val="18"/>
          <w:szCs w:val="18"/>
        </w:rPr>
        <w:t>Cuando la exposición y la</w:t>
      </w:r>
      <w:r w:rsidR="0000491B" w:rsidRPr="00786681">
        <w:rPr>
          <w:rFonts w:ascii="Arial" w:hAnsi="Arial" w:cs="Arial"/>
          <w:sz w:val="18"/>
          <w:szCs w:val="18"/>
        </w:rPr>
        <w:t>s</w:t>
      </w:r>
      <w:r w:rsidRPr="00786681">
        <w:rPr>
          <w:rFonts w:ascii="Arial" w:hAnsi="Arial" w:cs="Arial"/>
          <w:sz w:val="18"/>
          <w:szCs w:val="18"/>
        </w:rPr>
        <w:t xml:space="preserve"> garantía</w:t>
      </w:r>
      <w:r w:rsidR="0000491B" w:rsidRPr="00786681">
        <w:rPr>
          <w:rFonts w:ascii="Arial" w:hAnsi="Arial" w:cs="Arial"/>
          <w:sz w:val="18"/>
          <w:szCs w:val="18"/>
        </w:rPr>
        <w:t>s</w:t>
      </w:r>
      <w:r w:rsidRPr="00786681">
        <w:rPr>
          <w:rFonts w:ascii="Arial" w:hAnsi="Arial" w:cs="Arial"/>
          <w:sz w:val="18"/>
          <w:szCs w:val="18"/>
        </w:rPr>
        <w:t xml:space="preserve"> diferente</w:t>
      </w:r>
      <w:r w:rsidR="0000491B" w:rsidRPr="00786681">
        <w:rPr>
          <w:rFonts w:ascii="Arial" w:hAnsi="Arial" w:cs="Arial"/>
          <w:sz w:val="18"/>
          <w:szCs w:val="18"/>
        </w:rPr>
        <w:t>s</w:t>
      </w:r>
      <w:r w:rsidRPr="00786681">
        <w:rPr>
          <w:rFonts w:ascii="Arial" w:hAnsi="Arial" w:cs="Arial"/>
          <w:sz w:val="18"/>
          <w:szCs w:val="18"/>
        </w:rPr>
        <w:t xml:space="preserve"> a las inmobiliarias </w:t>
      </w:r>
      <w:r w:rsidR="002562D1" w:rsidRPr="00786681">
        <w:rPr>
          <w:rFonts w:ascii="Arial" w:hAnsi="Arial" w:cs="Arial"/>
          <w:sz w:val="18"/>
          <w:szCs w:val="18"/>
        </w:rPr>
        <w:t xml:space="preserve">y </w:t>
      </w:r>
      <w:r w:rsidR="00A27FC3" w:rsidRPr="00786681">
        <w:rPr>
          <w:rFonts w:ascii="Arial" w:hAnsi="Arial" w:cs="Arial"/>
          <w:sz w:val="18"/>
          <w:szCs w:val="18"/>
        </w:rPr>
        <w:t xml:space="preserve">al </w:t>
      </w:r>
      <w:r w:rsidR="00D82E50" w:rsidRPr="00786681">
        <w:rPr>
          <w:rFonts w:ascii="Arial" w:hAnsi="Arial" w:cs="Arial"/>
          <w:sz w:val="18"/>
          <w:szCs w:val="18"/>
        </w:rPr>
        <w:t xml:space="preserve">colateral </w:t>
      </w:r>
      <w:r w:rsidRPr="00786681">
        <w:rPr>
          <w:rFonts w:ascii="Arial" w:hAnsi="Arial" w:cs="Arial"/>
          <w:sz w:val="18"/>
          <w:szCs w:val="18"/>
        </w:rPr>
        <w:t>financier</w:t>
      </w:r>
      <w:r w:rsidR="00D82E50" w:rsidRPr="00786681">
        <w:rPr>
          <w:rFonts w:ascii="Arial" w:hAnsi="Arial" w:cs="Arial"/>
          <w:sz w:val="18"/>
          <w:szCs w:val="18"/>
        </w:rPr>
        <w:t>o</w:t>
      </w:r>
      <w:r w:rsidR="00D754A0" w:rsidRPr="00786681">
        <w:rPr>
          <w:rFonts w:ascii="Arial" w:hAnsi="Arial" w:cs="Arial"/>
          <w:sz w:val="18"/>
          <w:szCs w:val="18"/>
        </w:rPr>
        <w:t xml:space="preserve"> admisible</w:t>
      </w:r>
      <w:r w:rsidR="00D82E50" w:rsidRPr="00786681">
        <w:rPr>
          <w:rFonts w:ascii="Arial" w:hAnsi="Arial" w:cs="Arial"/>
          <w:sz w:val="18"/>
          <w:szCs w:val="18"/>
        </w:rPr>
        <w:t xml:space="preserve"> se encuentre</w:t>
      </w:r>
      <w:r w:rsidRPr="00786681">
        <w:rPr>
          <w:rFonts w:ascii="Arial" w:hAnsi="Arial" w:cs="Arial"/>
          <w:sz w:val="18"/>
          <w:szCs w:val="18"/>
        </w:rPr>
        <w:t>n denominad</w:t>
      </w:r>
      <w:r w:rsidR="0000491B" w:rsidRPr="00786681">
        <w:rPr>
          <w:rFonts w:ascii="Arial" w:hAnsi="Arial" w:cs="Arial"/>
          <w:sz w:val="18"/>
          <w:szCs w:val="18"/>
        </w:rPr>
        <w:t>a</w:t>
      </w:r>
      <w:r w:rsidRPr="00786681">
        <w:rPr>
          <w:rFonts w:ascii="Arial" w:hAnsi="Arial" w:cs="Arial"/>
          <w:sz w:val="18"/>
          <w:szCs w:val="18"/>
        </w:rPr>
        <w:t>s en monedas</w:t>
      </w:r>
      <w:r w:rsidR="00D82E50" w:rsidRPr="00786681">
        <w:rPr>
          <w:rFonts w:ascii="Arial" w:hAnsi="Arial" w:cs="Arial"/>
          <w:sz w:val="18"/>
          <w:szCs w:val="18"/>
        </w:rPr>
        <w:t xml:space="preserve"> diferentes</w:t>
      </w:r>
      <w:r w:rsidRPr="00786681">
        <w:rPr>
          <w:rFonts w:ascii="Arial" w:hAnsi="Arial" w:cs="Arial"/>
          <w:sz w:val="18"/>
          <w:szCs w:val="18"/>
        </w:rPr>
        <w:t xml:space="preserve"> el factor de ajuste cambiario </w:t>
      </w:r>
      <w:r w:rsidR="002562D1" w:rsidRPr="00786681">
        <w:rPr>
          <w:rFonts w:ascii="Arial" w:hAnsi="Arial" w:cs="Arial"/>
          <w:sz w:val="18"/>
          <w:szCs w:val="18"/>
        </w:rPr>
        <w:t xml:space="preserve">debe </w:t>
      </w:r>
      <w:r w:rsidR="0000491B" w:rsidRPr="00786681">
        <w:rPr>
          <w:rFonts w:ascii="Arial" w:hAnsi="Arial" w:cs="Arial"/>
          <w:sz w:val="18"/>
          <w:szCs w:val="18"/>
        </w:rPr>
        <w:t>ser</w:t>
      </w:r>
      <w:r w:rsidR="002562D1" w:rsidRPr="00786681">
        <w:rPr>
          <w:rFonts w:ascii="Arial" w:hAnsi="Arial" w:cs="Arial"/>
          <w:sz w:val="18"/>
          <w:szCs w:val="18"/>
        </w:rPr>
        <w:t xml:space="preserve"> </w:t>
      </w:r>
      <w:r w:rsidRPr="00786681">
        <w:rPr>
          <w:rFonts w:ascii="Arial" w:hAnsi="Arial" w:cs="Arial"/>
          <w:sz w:val="18"/>
          <w:szCs w:val="18"/>
        </w:rPr>
        <w:t>el 30%.</w:t>
      </w:r>
    </w:p>
    <w:p w:rsidR="00EF089C" w:rsidRDefault="00EF089C" w:rsidP="00D23E25">
      <w:pPr>
        <w:autoSpaceDE w:val="0"/>
        <w:autoSpaceDN w:val="0"/>
        <w:adjustRightInd w:val="0"/>
        <w:jc w:val="both"/>
        <w:rPr>
          <w:rFonts w:ascii="Arial" w:hAnsi="Arial" w:cs="Arial"/>
          <w:sz w:val="18"/>
          <w:szCs w:val="18"/>
        </w:rPr>
      </w:pPr>
    </w:p>
    <w:p w:rsidR="00687DDF" w:rsidRPr="003B7160" w:rsidRDefault="00D14B36" w:rsidP="003B7160">
      <w:pPr>
        <w:pStyle w:val="Prrafodelista"/>
        <w:numPr>
          <w:ilvl w:val="2"/>
          <w:numId w:val="37"/>
        </w:numPr>
        <w:jc w:val="both"/>
        <w:outlineLvl w:val="2"/>
        <w:rPr>
          <w:rFonts w:ascii="Arial" w:hAnsi="Arial" w:cs="Arial"/>
          <w:sz w:val="18"/>
          <w:szCs w:val="18"/>
        </w:rPr>
      </w:pPr>
      <w:r w:rsidRPr="003B7160">
        <w:rPr>
          <w:rFonts w:ascii="Arial" w:hAnsi="Arial" w:cs="Arial"/>
          <w:sz w:val="18"/>
          <w:szCs w:val="18"/>
        </w:rPr>
        <w:t>Reconocimiento de las garantías inmobiliarias</w:t>
      </w:r>
    </w:p>
    <w:p w:rsidR="003E0B2C" w:rsidRDefault="003E0B2C" w:rsidP="009431D9">
      <w:pPr>
        <w:jc w:val="both"/>
        <w:rPr>
          <w:rFonts w:ascii="Arial" w:hAnsi="Arial" w:cs="Arial"/>
          <w:sz w:val="18"/>
          <w:szCs w:val="18"/>
        </w:rPr>
      </w:pPr>
    </w:p>
    <w:p w:rsidR="0021722A" w:rsidRDefault="0021722A" w:rsidP="0021722A">
      <w:pPr>
        <w:autoSpaceDE w:val="0"/>
        <w:autoSpaceDN w:val="0"/>
        <w:adjustRightInd w:val="0"/>
        <w:jc w:val="both"/>
        <w:rPr>
          <w:rFonts w:ascii="Arial" w:hAnsi="Arial" w:cs="Arial"/>
          <w:sz w:val="18"/>
          <w:szCs w:val="18"/>
        </w:rPr>
      </w:pPr>
      <w:r>
        <w:rPr>
          <w:rFonts w:ascii="Arial" w:hAnsi="Arial" w:cs="Arial"/>
          <w:sz w:val="18"/>
          <w:szCs w:val="18"/>
        </w:rPr>
        <w:t xml:space="preserve">En el caso de créditos para financiar </w:t>
      </w:r>
      <w:r w:rsidR="00701756">
        <w:rPr>
          <w:rFonts w:ascii="Arial" w:hAnsi="Arial" w:cs="Arial"/>
          <w:sz w:val="18"/>
          <w:szCs w:val="18"/>
        </w:rPr>
        <w:t xml:space="preserve">la </w:t>
      </w:r>
      <w:r>
        <w:rPr>
          <w:rFonts w:ascii="Arial" w:hAnsi="Arial" w:cs="Arial"/>
          <w:sz w:val="18"/>
          <w:szCs w:val="18"/>
        </w:rPr>
        <w:t>adquisición de vivienda cuya garantía sea la misma vivienda</w:t>
      </w:r>
      <w:r w:rsidR="00F33295">
        <w:rPr>
          <w:rFonts w:ascii="Arial" w:hAnsi="Arial" w:cs="Arial"/>
          <w:sz w:val="18"/>
          <w:szCs w:val="18"/>
        </w:rPr>
        <w:t>;</w:t>
      </w:r>
      <w:r>
        <w:rPr>
          <w:rFonts w:ascii="Arial" w:hAnsi="Arial" w:cs="Arial"/>
          <w:sz w:val="18"/>
          <w:szCs w:val="18"/>
        </w:rPr>
        <w:t xml:space="preserve"> de leasing inmobiliario</w:t>
      </w:r>
      <w:r w:rsidR="00F33295">
        <w:rPr>
          <w:rFonts w:ascii="Arial" w:hAnsi="Arial" w:cs="Arial"/>
          <w:sz w:val="18"/>
          <w:szCs w:val="18"/>
        </w:rPr>
        <w:t xml:space="preserve"> para vivienda; y de</w:t>
      </w:r>
      <w:r>
        <w:rPr>
          <w:rFonts w:ascii="Arial" w:hAnsi="Arial" w:cs="Arial"/>
          <w:sz w:val="18"/>
          <w:szCs w:val="18"/>
        </w:rPr>
        <w:t xml:space="preserve"> los activos, exposiciones y contingencias sujetos a riesgo de crédito frente a pequeñas y medianas empresas, microempresas o persona</w:t>
      </w:r>
      <w:r w:rsidR="00F33295">
        <w:rPr>
          <w:rFonts w:ascii="Arial" w:hAnsi="Arial" w:cs="Arial"/>
          <w:sz w:val="18"/>
          <w:szCs w:val="18"/>
        </w:rPr>
        <w:t>s</w:t>
      </w:r>
      <w:r>
        <w:rPr>
          <w:rFonts w:ascii="Arial" w:hAnsi="Arial" w:cs="Arial"/>
          <w:sz w:val="18"/>
          <w:szCs w:val="18"/>
        </w:rPr>
        <w:t xml:space="preserve"> natural</w:t>
      </w:r>
      <w:r w:rsidR="00F33295">
        <w:rPr>
          <w:rFonts w:ascii="Arial" w:hAnsi="Arial" w:cs="Arial"/>
          <w:sz w:val="18"/>
          <w:szCs w:val="18"/>
        </w:rPr>
        <w:t>es</w:t>
      </w:r>
      <w:r>
        <w:rPr>
          <w:rFonts w:ascii="Arial" w:hAnsi="Arial" w:cs="Arial"/>
          <w:sz w:val="18"/>
          <w:szCs w:val="18"/>
        </w:rPr>
        <w:t xml:space="preserve"> garantizados con inmuebles,</w:t>
      </w:r>
      <w:r w:rsidR="00F33295">
        <w:rPr>
          <w:rFonts w:ascii="Arial" w:hAnsi="Arial" w:cs="Arial"/>
          <w:sz w:val="18"/>
          <w:szCs w:val="18"/>
        </w:rPr>
        <w:t xml:space="preserve"> las entidades deben </w:t>
      </w:r>
      <w:r>
        <w:rPr>
          <w:rFonts w:ascii="Arial" w:hAnsi="Arial" w:cs="Arial"/>
          <w:sz w:val="18"/>
          <w:szCs w:val="18"/>
        </w:rPr>
        <w:t>aplicar la ponderación por riesgo de crédito conforme a las instrucciones del numeral 9</w:t>
      </w:r>
      <w:r w:rsidR="00F33295">
        <w:rPr>
          <w:rFonts w:ascii="Arial" w:hAnsi="Arial" w:cs="Arial"/>
          <w:sz w:val="18"/>
          <w:szCs w:val="18"/>
        </w:rPr>
        <w:t>)</w:t>
      </w:r>
      <w:r>
        <w:rPr>
          <w:rFonts w:ascii="Arial" w:hAnsi="Arial" w:cs="Arial"/>
          <w:sz w:val="18"/>
          <w:szCs w:val="18"/>
        </w:rPr>
        <w:t xml:space="preserve"> del artículo 2.1.1.3.2 del Decreto 2555 de 2010.</w:t>
      </w:r>
    </w:p>
    <w:p w:rsidR="0021722A" w:rsidRDefault="0021722A" w:rsidP="0021722A">
      <w:pPr>
        <w:autoSpaceDE w:val="0"/>
        <w:autoSpaceDN w:val="0"/>
        <w:adjustRightInd w:val="0"/>
        <w:jc w:val="both"/>
        <w:rPr>
          <w:rFonts w:ascii="Arial" w:hAnsi="Arial" w:cs="Arial"/>
          <w:sz w:val="18"/>
          <w:szCs w:val="18"/>
        </w:rPr>
      </w:pPr>
    </w:p>
    <w:p w:rsidR="00C9760D" w:rsidRDefault="00D4228D" w:rsidP="0021722A">
      <w:pPr>
        <w:autoSpaceDE w:val="0"/>
        <w:autoSpaceDN w:val="0"/>
        <w:adjustRightInd w:val="0"/>
        <w:jc w:val="both"/>
        <w:rPr>
          <w:rFonts w:ascii="Arial" w:hAnsi="Arial" w:cs="Arial"/>
          <w:sz w:val="18"/>
          <w:szCs w:val="18"/>
        </w:rPr>
      </w:pPr>
      <w:r>
        <w:rPr>
          <w:rFonts w:ascii="Arial" w:hAnsi="Arial" w:cs="Arial"/>
          <w:sz w:val="18"/>
          <w:szCs w:val="18"/>
        </w:rPr>
        <w:t xml:space="preserve">Para </w:t>
      </w:r>
      <w:r w:rsidR="00CE787B">
        <w:rPr>
          <w:rFonts w:ascii="Arial" w:hAnsi="Arial" w:cs="Arial"/>
          <w:sz w:val="18"/>
          <w:szCs w:val="18"/>
        </w:rPr>
        <w:t>el cálculo de la relación saldo / garantía</w:t>
      </w:r>
      <w:r>
        <w:rPr>
          <w:rFonts w:ascii="Arial" w:hAnsi="Arial" w:cs="Arial"/>
          <w:sz w:val="18"/>
          <w:szCs w:val="18"/>
        </w:rPr>
        <w:t xml:space="preserve"> </w:t>
      </w:r>
      <w:r w:rsidR="00597817">
        <w:rPr>
          <w:rFonts w:ascii="Arial" w:hAnsi="Arial" w:cs="Arial"/>
          <w:sz w:val="18"/>
          <w:szCs w:val="18"/>
        </w:rPr>
        <w:t>(</w:t>
      </w:r>
      <w:r w:rsidR="00A028F6">
        <w:rPr>
          <w:rFonts w:ascii="Arial" w:hAnsi="Arial" w:cs="Arial"/>
          <w:sz w:val="18"/>
          <w:szCs w:val="18"/>
        </w:rPr>
        <w:t>LTV</w:t>
      </w:r>
      <w:r w:rsidR="00597817">
        <w:rPr>
          <w:rFonts w:ascii="Arial" w:hAnsi="Arial" w:cs="Arial"/>
          <w:sz w:val="18"/>
          <w:szCs w:val="18"/>
        </w:rPr>
        <w:t>)</w:t>
      </w:r>
      <w:r w:rsidR="005F4B38">
        <w:rPr>
          <w:rFonts w:ascii="Arial" w:hAnsi="Arial" w:cs="Arial"/>
          <w:sz w:val="18"/>
          <w:szCs w:val="18"/>
        </w:rPr>
        <w:t>,</w:t>
      </w:r>
      <w:r w:rsidR="006F05B8">
        <w:rPr>
          <w:rFonts w:ascii="Arial" w:hAnsi="Arial" w:cs="Arial"/>
          <w:sz w:val="18"/>
          <w:szCs w:val="18"/>
        </w:rPr>
        <w:t xml:space="preserve"> el saldo </w:t>
      </w:r>
      <w:r w:rsidR="0021722A">
        <w:rPr>
          <w:rFonts w:ascii="Arial" w:hAnsi="Arial" w:cs="Arial"/>
          <w:sz w:val="18"/>
          <w:szCs w:val="18"/>
        </w:rPr>
        <w:t>(incluidas las cuentas por cobrar)</w:t>
      </w:r>
      <w:r w:rsidR="00F33295">
        <w:rPr>
          <w:rFonts w:ascii="Arial" w:hAnsi="Arial" w:cs="Arial"/>
          <w:sz w:val="18"/>
          <w:szCs w:val="18"/>
        </w:rPr>
        <w:t>,</w:t>
      </w:r>
      <w:r w:rsidR="0021722A">
        <w:rPr>
          <w:rFonts w:ascii="Arial" w:hAnsi="Arial" w:cs="Arial"/>
          <w:sz w:val="18"/>
          <w:szCs w:val="18"/>
        </w:rPr>
        <w:t xml:space="preserve"> </w:t>
      </w:r>
      <w:r w:rsidR="006F05B8">
        <w:rPr>
          <w:rFonts w:ascii="Arial" w:hAnsi="Arial" w:cs="Arial"/>
          <w:sz w:val="18"/>
          <w:szCs w:val="18"/>
        </w:rPr>
        <w:t xml:space="preserve">debe </w:t>
      </w:r>
      <w:r w:rsidR="0021722A" w:rsidRPr="002A1090">
        <w:rPr>
          <w:rFonts w:ascii="Arial" w:hAnsi="Arial" w:cs="Arial"/>
          <w:sz w:val="18"/>
          <w:szCs w:val="18"/>
        </w:rPr>
        <w:t>calcularse bruto de provision</w:t>
      </w:r>
      <w:r w:rsidR="00F33295">
        <w:rPr>
          <w:rFonts w:ascii="Arial" w:hAnsi="Arial" w:cs="Arial"/>
          <w:sz w:val="18"/>
          <w:szCs w:val="18"/>
        </w:rPr>
        <w:t>es y otros mitigantes de riesgo.</w:t>
      </w:r>
      <w:r w:rsidR="0021722A" w:rsidRPr="002A1090">
        <w:rPr>
          <w:rFonts w:ascii="Arial" w:hAnsi="Arial" w:cs="Arial"/>
          <w:sz w:val="18"/>
          <w:szCs w:val="18"/>
        </w:rPr>
        <w:t xml:space="preserve"> </w:t>
      </w:r>
      <w:r w:rsidR="00F33295">
        <w:rPr>
          <w:rFonts w:ascii="Arial" w:hAnsi="Arial" w:cs="Arial"/>
          <w:sz w:val="18"/>
          <w:szCs w:val="18"/>
        </w:rPr>
        <w:t>A</w:t>
      </w:r>
      <w:r w:rsidR="0046638C">
        <w:rPr>
          <w:rFonts w:ascii="Arial" w:hAnsi="Arial" w:cs="Arial"/>
          <w:sz w:val="18"/>
          <w:szCs w:val="18"/>
        </w:rPr>
        <w:t>dicionalmente,</w:t>
      </w:r>
      <w:r w:rsidR="00F33295" w:rsidRPr="00F33295">
        <w:rPr>
          <w:rFonts w:ascii="Arial" w:hAnsi="Arial" w:cs="Arial"/>
          <w:sz w:val="18"/>
          <w:szCs w:val="18"/>
        </w:rPr>
        <w:t xml:space="preserve"> </w:t>
      </w:r>
      <w:r w:rsidR="00F33295" w:rsidRPr="002A1090">
        <w:rPr>
          <w:rFonts w:ascii="Arial" w:hAnsi="Arial" w:cs="Arial"/>
          <w:sz w:val="18"/>
          <w:szCs w:val="18"/>
        </w:rPr>
        <w:t>para calcular la relación LTV</w:t>
      </w:r>
      <w:r w:rsidR="00C9760D" w:rsidRPr="00C9760D">
        <w:rPr>
          <w:rFonts w:ascii="Arial" w:hAnsi="Arial" w:cs="Arial"/>
          <w:sz w:val="18"/>
          <w:szCs w:val="18"/>
        </w:rPr>
        <w:t xml:space="preserve"> </w:t>
      </w:r>
      <w:r w:rsidR="0046638C">
        <w:rPr>
          <w:rFonts w:ascii="Arial" w:hAnsi="Arial" w:cs="Arial"/>
          <w:sz w:val="18"/>
          <w:szCs w:val="18"/>
        </w:rPr>
        <w:t>debe</w:t>
      </w:r>
      <w:r w:rsidR="0046638C" w:rsidRPr="002A1090">
        <w:rPr>
          <w:rFonts w:ascii="Arial" w:hAnsi="Arial" w:cs="Arial"/>
          <w:sz w:val="18"/>
          <w:szCs w:val="18"/>
        </w:rPr>
        <w:t xml:space="preserve"> sumarse </w:t>
      </w:r>
      <w:r w:rsidR="00C9760D" w:rsidRPr="00C9760D">
        <w:rPr>
          <w:rFonts w:ascii="Arial" w:hAnsi="Arial" w:cs="Arial"/>
          <w:sz w:val="18"/>
          <w:szCs w:val="18"/>
        </w:rPr>
        <w:t xml:space="preserve">cualquier compromiso </w:t>
      </w:r>
      <w:r w:rsidR="00010DD6">
        <w:rPr>
          <w:rFonts w:ascii="Arial" w:hAnsi="Arial" w:cs="Arial"/>
          <w:sz w:val="18"/>
          <w:szCs w:val="18"/>
        </w:rPr>
        <w:t>o contingencia</w:t>
      </w:r>
      <w:r w:rsidR="0021722A">
        <w:rPr>
          <w:rFonts w:ascii="Arial" w:hAnsi="Arial" w:cs="Arial"/>
          <w:sz w:val="18"/>
          <w:szCs w:val="18"/>
        </w:rPr>
        <w:t xml:space="preserve"> </w:t>
      </w:r>
      <w:r w:rsidR="0021722A" w:rsidRPr="002A1090">
        <w:rPr>
          <w:rFonts w:ascii="Arial" w:hAnsi="Arial" w:cs="Arial"/>
          <w:sz w:val="18"/>
          <w:szCs w:val="18"/>
        </w:rPr>
        <w:t xml:space="preserve">que corresponda a otros préstamos garantizados con la misma propiedad </w:t>
      </w:r>
      <w:r w:rsidR="00055BDE" w:rsidRPr="002A1090">
        <w:rPr>
          <w:rFonts w:ascii="Arial" w:hAnsi="Arial" w:cs="Arial"/>
          <w:sz w:val="18"/>
          <w:szCs w:val="18"/>
        </w:rPr>
        <w:t>inmobiliaria</w:t>
      </w:r>
      <w:r w:rsidR="00F33295">
        <w:rPr>
          <w:rFonts w:ascii="Arial" w:hAnsi="Arial" w:cs="Arial"/>
          <w:sz w:val="18"/>
          <w:szCs w:val="18"/>
        </w:rPr>
        <w:t>.</w:t>
      </w:r>
      <w:r w:rsidR="00055BDE" w:rsidRPr="002A1090">
        <w:rPr>
          <w:rFonts w:ascii="Arial" w:hAnsi="Arial" w:cs="Arial"/>
          <w:sz w:val="18"/>
          <w:szCs w:val="18"/>
        </w:rPr>
        <w:t xml:space="preserve"> </w:t>
      </w:r>
    </w:p>
    <w:p w:rsidR="0021722A" w:rsidRDefault="0021722A" w:rsidP="0021722A">
      <w:pPr>
        <w:autoSpaceDE w:val="0"/>
        <w:autoSpaceDN w:val="0"/>
        <w:adjustRightInd w:val="0"/>
        <w:jc w:val="both"/>
        <w:rPr>
          <w:rFonts w:ascii="Arial" w:hAnsi="Arial" w:cs="Arial"/>
          <w:sz w:val="18"/>
          <w:szCs w:val="18"/>
        </w:rPr>
      </w:pPr>
    </w:p>
    <w:p w:rsidR="00EF089C" w:rsidRPr="00537D2E" w:rsidRDefault="00EF089C" w:rsidP="003B7160">
      <w:pPr>
        <w:pStyle w:val="Prrafodelista"/>
        <w:numPr>
          <w:ilvl w:val="2"/>
          <w:numId w:val="37"/>
        </w:numPr>
        <w:jc w:val="both"/>
        <w:outlineLvl w:val="2"/>
        <w:rPr>
          <w:rFonts w:ascii="Arial" w:hAnsi="Arial" w:cs="Arial"/>
          <w:sz w:val="18"/>
          <w:szCs w:val="18"/>
        </w:rPr>
      </w:pPr>
      <w:r w:rsidRPr="00537D2E">
        <w:rPr>
          <w:rFonts w:ascii="Arial" w:hAnsi="Arial" w:cs="Arial"/>
          <w:sz w:val="18"/>
          <w:szCs w:val="18"/>
        </w:rPr>
        <w:t>Valoración de las garantías</w:t>
      </w:r>
    </w:p>
    <w:p w:rsidR="00EF089C" w:rsidRPr="002A1090" w:rsidRDefault="00EF089C" w:rsidP="00EF089C">
      <w:pPr>
        <w:jc w:val="both"/>
        <w:rPr>
          <w:rFonts w:ascii="Arial" w:hAnsi="Arial" w:cs="Arial"/>
          <w:sz w:val="18"/>
          <w:szCs w:val="18"/>
        </w:rPr>
      </w:pPr>
    </w:p>
    <w:p w:rsidR="00EF089C" w:rsidRPr="002A1090" w:rsidRDefault="00EF089C" w:rsidP="00EF089C">
      <w:pPr>
        <w:jc w:val="both"/>
        <w:rPr>
          <w:rFonts w:ascii="Arial" w:hAnsi="Arial" w:cs="Arial"/>
          <w:sz w:val="18"/>
          <w:szCs w:val="18"/>
        </w:rPr>
      </w:pPr>
      <w:r w:rsidRPr="002A1090">
        <w:rPr>
          <w:rFonts w:ascii="Arial" w:hAnsi="Arial" w:cs="Arial"/>
          <w:sz w:val="18"/>
          <w:szCs w:val="18"/>
        </w:rPr>
        <w:t xml:space="preserve">2.4.3.1. </w:t>
      </w:r>
      <w:r w:rsidRPr="007505AA">
        <w:rPr>
          <w:rFonts w:ascii="Arial" w:hAnsi="Arial" w:cs="Arial"/>
          <w:sz w:val="18"/>
          <w:szCs w:val="18"/>
        </w:rPr>
        <w:t>Garant</w:t>
      </w:r>
      <w:r>
        <w:rPr>
          <w:rFonts w:ascii="Arial" w:hAnsi="Arial" w:cs="Arial"/>
          <w:sz w:val="18"/>
          <w:szCs w:val="18"/>
        </w:rPr>
        <w:t>ías diferentes de las inmobiliarias y del colateral financiero admisible</w:t>
      </w:r>
    </w:p>
    <w:p w:rsidR="00EF089C" w:rsidRPr="002A1090" w:rsidRDefault="00EF089C" w:rsidP="00EF089C">
      <w:pPr>
        <w:jc w:val="both"/>
        <w:rPr>
          <w:rFonts w:ascii="Arial" w:hAnsi="Arial" w:cs="Arial"/>
          <w:sz w:val="18"/>
          <w:szCs w:val="18"/>
        </w:rPr>
      </w:pPr>
    </w:p>
    <w:p w:rsidR="00EF089C" w:rsidRDefault="00EF089C" w:rsidP="00EF089C">
      <w:pPr>
        <w:jc w:val="both"/>
        <w:rPr>
          <w:rFonts w:ascii="Arial" w:hAnsi="Arial" w:cs="Arial"/>
          <w:color w:val="000000"/>
          <w:sz w:val="18"/>
          <w:szCs w:val="18"/>
          <w:lang w:eastAsia="es-CO"/>
        </w:rPr>
      </w:pPr>
      <w:r>
        <w:rPr>
          <w:rFonts w:ascii="Arial" w:hAnsi="Arial" w:cs="Arial"/>
          <w:color w:val="000000"/>
          <w:sz w:val="18"/>
          <w:szCs w:val="18"/>
          <w:lang w:eastAsia="es-CO"/>
        </w:rPr>
        <w:t>Parar efectos del cálculo del valor de estas garantías</w:t>
      </w:r>
      <w:r w:rsidR="0046638C">
        <w:rPr>
          <w:rFonts w:ascii="Arial" w:hAnsi="Arial" w:cs="Arial"/>
          <w:color w:val="000000"/>
          <w:sz w:val="18"/>
          <w:szCs w:val="18"/>
          <w:lang w:eastAsia="es-CO"/>
        </w:rPr>
        <w:t>,</w:t>
      </w:r>
      <w:r w:rsidR="007B322A">
        <w:rPr>
          <w:rFonts w:ascii="Arial" w:hAnsi="Arial" w:cs="Arial"/>
          <w:color w:val="000000"/>
          <w:sz w:val="18"/>
          <w:szCs w:val="18"/>
          <w:lang w:eastAsia="es-CO"/>
        </w:rPr>
        <w:t xml:space="preserve"> las entidades</w:t>
      </w:r>
      <w:r>
        <w:rPr>
          <w:rFonts w:ascii="Arial" w:hAnsi="Arial" w:cs="Arial"/>
          <w:color w:val="000000"/>
          <w:sz w:val="18"/>
          <w:szCs w:val="18"/>
          <w:lang w:eastAsia="es-CO"/>
        </w:rPr>
        <w:t xml:space="preserve"> </w:t>
      </w:r>
      <w:r w:rsidR="007B322A">
        <w:rPr>
          <w:rFonts w:ascii="Arial" w:hAnsi="Arial" w:cs="Arial"/>
          <w:color w:val="000000"/>
          <w:sz w:val="18"/>
          <w:szCs w:val="18"/>
          <w:lang w:eastAsia="es-CO"/>
        </w:rPr>
        <w:t>deben aplicar</w:t>
      </w:r>
      <w:r>
        <w:rPr>
          <w:rFonts w:ascii="Arial" w:hAnsi="Arial" w:cs="Arial"/>
          <w:color w:val="000000"/>
          <w:sz w:val="18"/>
          <w:szCs w:val="18"/>
          <w:lang w:eastAsia="es-CO"/>
        </w:rPr>
        <w:t xml:space="preserve"> las instrucciones de valoración </w:t>
      </w:r>
      <w:r w:rsidRPr="002250D3">
        <w:rPr>
          <w:rFonts w:ascii="Arial" w:hAnsi="Arial" w:cs="Arial"/>
          <w:color w:val="000000"/>
          <w:sz w:val="18"/>
          <w:szCs w:val="18"/>
          <w:lang w:eastAsia="es-CO"/>
        </w:rPr>
        <w:t>del Capítulo II de la CBCF</w:t>
      </w:r>
      <w:r w:rsidR="007B322A">
        <w:rPr>
          <w:rFonts w:ascii="Arial" w:hAnsi="Arial" w:cs="Arial"/>
          <w:color w:val="000000"/>
          <w:sz w:val="18"/>
          <w:szCs w:val="18"/>
          <w:lang w:eastAsia="es-CO"/>
        </w:rPr>
        <w:t>.</w:t>
      </w:r>
      <w:r>
        <w:rPr>
          <w:rFonts w:ascii="Arial" w:hAnsi="Arial" w:cs="Arial"/>
          <w:color w:val="000000"/>
          <w:sz w:val="18"/>
          <w:szCs w:val="18"/>
          <w:lang w:eastAsia="es-CO"/>
        </w:rPr>
        <w:t xml:space="preserve"> </w:t>
      </w:r>
      <w:r w:rsidR="007B322A">
        <w:rPr>
          <w:rFonts w:ascii="Arial" w:hAnsi="Arial" w:cs="Arial"/>
          <w:color w:val="000000"/>
          <w:sz w:val="18"/>
          <w:szCs w:val="18"/>
          <w:lang w:eastAsia="es-CO"/>
        </w:rPr>
        <w:t>E</w:t>
      </w:r>
      <w:r>
        <w:rPr>
          <w:rFonts w:ascii="Arial" w:hAnsi="Arial" w:cs="Arial"/>
          <w:color w:val="000000"/>
          <w:sz w:val="18"/>
          <w:szCs w:val="18"/>
          <w:lang w:eastAsia="es-CO"/>
        </w:rPr>
        <w:t>n todo caso</w:t>
      </w:r>
      <w:r w:rsidR="007B322A">
        <w:rPr>
          <w:rFonts w:ascii="Arial" w:hAnsi="Arial" w:cs="Arial"/>
          <w:color w:val="000000"/>
          <w:sz w:val="18"/>
          <w:szCs w:val="18"/>
          <w:lang w:eastAsia="es-CO"/>
        </w:rPr>
        <w:t>,</w:t>
      </w:r>
      <w:r>
        <w:rPr>
          <w:rFonts w:ascii="Arial" w:hAnsi="Arial" w:cs="Arial"/>
          <w:color w:val="000000"/>
          <w:sz w:val="18"/>
          <w:szCs w:val="18"/>
          <w:lang w:eastAsia="es-CO"/>
        </w:rPr>
        <w:t xml:space="preserve"> para los efectos del presente Capítulo</w:t>
      </w:r>
      <w:r w:rsidR="007B322A">
        <w:rPr>
          <w:rFonts w:ascii="Arial" w:hAnsi="Arial" w:cs="Arial"/>
          <w:color w:val="000000"/>
          <w:sz w:val="18"/>
          <w:szCs w:val="18"/>
          <w:lang w:eastAsia="es-CO"/>
        </w:rPr>
        <w:t>,</w:t>
      </w:r>
      <w:r>
        <w:rPr>
          <w:rFonts w:ascii="Arial" w:hAnsi="Arial" w:cs="Arial"/>
          <w:color w:val="000000"/>
          <w:sz w:val="18"/>
          <w:szCs w:val="18"/>
          <w:lang w:eastAsia="es-CO"/>
        </w:rPr>
        <w:t xml:space="preserve"> dicho valor solo podrá actualizarse a la baja.</w:t>
      </w:r>
    </w:p>
    <w:p w:rsidR="00EF089C" w:rsidRDefault="00EF089C" w:rsidP="0021722A">
      <w:pPr>
        <w:autoSpaceDE w:val="0"/>
        <w:autoSpaceDN w:val="0"/>
        <w:adjustRightInd w:val="0"/>
        <w:jc w:val="both"/>
        <w:rPr>
          <w:rFonts w:ascii="Arial" w:hAnsi="Arial" w:cs="Arial"/>
          <w:sz w:val="18"/>
          <w:szCs w:val="18"/>
        </w:rPr>
      </w:pPr>
    </w:p>
    <w:p w:rsidR="003E0B2C" w:rsidRPr="002A1090" w:rsidRDefault="00FE559E" w:rsidP="002A1090">
      <w:pPr>
        <w:jc w:val="both"/>
        <w:outlineLvl w:val="2"/>
        <w:rPr>
          <w:rFonts w:ascii="Arial" w:hAnsi="Arial" w:cs="Arial"/>
          <w:sz w:val="18"/>
          <w:szCs w:val="18"/>
        </w:rPr>
      </w:pPr>
      <w:r>
        <w:rPr>
          <w:rFonts w:ascii="Arial" w:hAnsi="Arial" w:cs="Arial"/>
          <w:sz w:val="18"/>
          <w:szCs w:val="18"/>
        </w:rPr>
        <w:t>2.4.</w:t>
      </w:r>
      <w:r w:rsidR="009161F6">
        <w:rPr>
          <w:rFonts w:ascii="Arial" w:hAnsi="Arial" w:cs="Arial"/>
          <w:sz w:val="18"/>
          <w:szCs w:val="18"/>
        </w:rPr>
        <w:t>3</w:t>
      </w:r>
      <w:r w:rsidR="00EF089C">
        <w:rPr>
          <w:rFonts w:ascii="Arial" w:hAnsi="Arial" w:cs="Arial"/>
          <w:sz w:val="18"/>
          <w:szCs w:val="18"/>
        </w:rPr>
        <w:t>.2</w:t>
      </w:r>
      <w:r>
        <w:rPr>
          <w:rFonts w:ascii="Arial" w:hAnsi="Arial" w:cs="Arial"/>
          <w:sz w:val="18"/>
          <w:szCs w:val="18"/>
        </w:rPr>
        <w:t xml:space="preserve">. </w:t>
      </w:r>
      <w:r w:rsidR="00262766">
        <w:rPr>
          <w:rFonts w:ascii="Arial" w:hAnsi="Arial" w:cs="Arial"/>
          <w:sz w:val="18"/>
          <w:szCs w:val="18"/>
        </w:rPr>
        <w:t>G</w:t>
      </w:r>
      <w:r w:rsidR="003E0B2C" w:rsidRPr="002A1090">
        <w:rPr>
          <w:rFonts w:ascii="Arial" w:hAnsi="Arial" w:cs="Arial"/>
          <w:sz w:val="18"/>
          <w:szCs w:val="18"/>
        </w:rPr>
        <w:t>arantías</w:t>
      </w:r>
      <w:r w:rsidR="000058D1">
        <w:rPr>
          <w:rFonts w:ascii="Arial" w:hAnsi="Arial" w:cs="Arial"/>
          <w:sz w:val="18"/>
          <w:szCs w:val="18"/>
        </w:rPr>
        <w:t xml:space="preserve"> inmobiliarias</w:t>
      </w:r>
    </w:p>
    <w:p w:rsidR="00042078" w:rsidRPr="000A17D7" w:rsidRDefault="00042078" w:rsidP="009431D9">
      <w:pPr>
        <w:jc w:val="both"/>
        <w:rPr>
          <w:rFonts w:ascii="Arial" w:hAnsi="Arial" w:cs="Arial"/>
          <w:sz w:val="18"/>
          <w:szCs w:val="18"/>
        </w:rPr>
      </w:pPr>
    </w:p>
    <w:p w:rsidR="008F0F00" w:rsidRDefault="00262766" w:rsidP="008F0F00">
      <w:pPr>
        <w:jc w:val="both"/>
        <w:rPr>
          <w:rFonts w:ascii="Arial" w:hAnsi="Arial" w:cs="Arial"/>
          <w:color w:val="000000"/>
          <w:sz w:val="18"/>
          <w:szCs w:val="18"/>
          <w:lang w:eastAsia="es-CO"/>
        </w:rPr>
      </w:pPr>
      <w:r>
        <w:rPr>
          <w:rFonts w:ascii="Arial" w:hAnsi="Arial" w:cs="Arial"/>
          <w:color w:val="000000"/>
          <w:sz w:val="18"/>
          <w:szCs w:val="18"/>
          <w:lang w:eastAsia="es-CO"/>
        </w:rPr>
        <w:t>Para efectos del cálculo del valor de estas garantías</w:t>
      </w:r>
      <w:r w:rsidR="007B322A">
        <w:rPr>
          <w:rFonts w:ascii="Arial" w:hAnsi="Arial" w:cs="Arial"/>
          <w:color w:val="000000"/>
          <w:sz w:val="18"/>
          <w:szCs w:val="18"/>
          <w:lang w:eastAsia="es-CO"/>
        </w:rPr>
        <w:t>,</w:t>
      </w:r>
      <w:r>
        <w:rPr>
          <w:rFonts w:ascii="Arial" w:hAnsi="Arial" w:cs="Arial"/>
          <w:color w:val="000000"/>
          <w:sz w:val="18"/>
          <w:szCs w:val="18"/>
          <w:lang w:eastAsia="es-CO"/>
        </w:rPr>
        <w:t xml:space="preserve"> </w:t>
      </w:r>
      <w:r w:rsidR="00CF6B44">
        <w:rPr>
          <w:rFonts w:ascii="Arial" w:hAnsi="Arial" w:cs="Arial"/>
          <w:color w:val="000000"/>
          <w:sz w:val="18"/>
          <w:szCs w:val="18"/>
          <w:lang w:eastAsia="es-CO"/>
        </w:rPr>
        <w:t xml:space="preserve">las entidades deben tomar </w:t>
      </w:r>
      <w:r w:rsidR="00FF4CC1">
        <w:rPr>
          <w:rFonts w:ascii="Arial" w:hAnsi="Arial" w:cs="Arial"/>
          <w:color w:val="000000"/>
          <w:sz w:val="18"/>
          <w:szCs w:val="18"/>
          <w:lang w:eastAsia="es-CO"/>
        </w:rPr>
        <w:t>e</w:t>
      </w:r>
      <w:r w:rsidR="00AF3491">
        <w:rPr>
          <w:rFonts w:ascii="Arial" w:hAnsi="Arial" w:cs="Arial"/>
          <w:color w:val="000000"/>
          <w:sz w:val="18"/>
          <w:szCs w:val="18"/>
          <w:lang w:eastAsia="es-CO"/>
        </w:rPr>
        <w:t xml:space="preserve">l valor </w:t>
      </w:r>
      <w:r w:rsidR="002250D3" w:rsidRPr="002250D3">
        <w:rPr>
          <w:rFonts w:ascii="Arial" w:hAnsi="Arial" w:cs="Arial"/>
          <w:color w:val="000000"/>
          <w:sz w:val="18"/>
          <w:szCs w:val="18"/>
          <w:lang w:eastAsia="es-CO"/>
        </w:rPr>
        <w:t>establecido al momento de la originación</w:t>
      </w:r>
      <w:r w:rsidR="007B322A">
        <w:rPr>
          <w:rFonts w:ascii="Arial" w:hAnsi="Arial" w:cs="Arial"/>
          <w:color w:val="000000"/>
          <w:sz w:val="18"/>
          <w:szCs w:val="18"/>
          <w:lang w:eastAsia="es-CO"/>
        </w:rPr>
        <w:t>,</w:t>
      </w:r>
      <w:r w:rsidR="00481EAD">
        <w:rPr>
          <w:rFonts w:ascii="Arial" w:hAnsi="Arial" w:cs="Arial"/>
          <w:color w:val="000000"/>
          <w:sz w:val="18"/>
          <w:szCs w:val="18"/>
          <w:lang w:eastAsia="es-CO"/>
        </w:rPr>
        <w:t xml:space="preserve"> ajustado </w:t>
      </w:r>
      <w:r w:rsidR="00481EAD" w:rsidRPr="003F6D9C">
        <w:rPr>
          <w:rFonts w:ascii="Arial" w:hAnsi="Arial" w:cs="Arial"/>
          <w:color w:val="000000"/>
          <w:sz w:val="18"/>
          <w:szCs w:val="18"/>
          <w:lang w:eastAsia="es-CO"/>
        </w:rPr>
        <w:t xml:space="preserve">por </w:t>
      </w:r>
      <w:r w:rsidR="00D754A0" w:rsidRPr="003F6D9C">
        <w:rPr>
          <w:rFonts w:ascii="Arial" w:hAnsi="Arial" w:cs="Arial"/>
          <w:color w:val="000000"/>
          <w:sz w:val="18"/>
          <w:szCs w:val="18"/>
          <w:lang w:eastAsia="es-CO"/>
        </w:rPr>
        <w:t xml:space="preserve">el porcentaje de variación anual del </w:t>
      </w:r>
      <w:r w:rsidR="003E68A2" w:rsidRPr="003F6D9C">
        <w:rPr>
          <w:rFonts w:ascii="Arial" w:hAnsi="Arial" w:cs="Arial"/>
          <w:color w:val="000000"/>
          <w:sz w:val="18"/>
          <w:szCs w:val="18"/>
          <w:lang w:eastAsia="es-CO"/>
        </w:rPr>
        <w:t>Índice</w:t>
      </w:r>
      <w:r w:rsidR="00D754A0" w:rsidRPr="003F6D9C">
        <w:rPr>
          <w:rFonts w:ascii="Arial" w:hAnsi="Arial" w:cs="Arial"/>
          <w:color w:val="000000"/>
          <w:sz w:val="18"/>
          <w:szCs w:val="18"/>
          <w:lang w:eastAsia="es-CO"/>
        </w:rPr>
        <w:t xml:space="preserve"> de Precios al Consumidor (IPC) que suministre el DANE en Colombia</w:t>
      </w:r>
      <w:r w:rsidR="002250D3" w:rsidRPr="002250D3">
        <w:rPr>
          <w:rFonts w:ascii="Arial" w:hAnsi="Arial" w:cs="Arial"/>
          <w:color w:val="000000"/>
          <w:sz w:val="18"/>
          <w:szCs w:val="18"/>
          <w:lang w:eastAsia="es-CO"/>
        </w:rPr>
        <w:t>.</w:t>
      </w:r>
      <w:r w:rsidR="005B6A2D">
        <w:rPr>
          <w:rFonts w:ascii="Arial" w:hAnsi="Arial" w:cs="Arial"/>
          <w:color w:val="000000"/>
          <w:sz w:val="18"/>
          <w:szCs w:val="18"/>
          <w:lang w:eastAsia="es-CO"/>
        </w:rPr>
        <w:t xml:space="preserve"> Dicho valor solo podrá </w:t>
      </w:r>
      <w:r w:rsidR="00D05ED6">
        <w:rPr>
          <w:rFonts w:ascii="Arial" w:hAnsi="Arial" w:cs="Arial"/>
          <w:color w:val="000000"/>
          <w:sz w:val="18"/>
          <w:szCs w:val="18"/>
          <w:lang w:eastAsia="es-CO"/>
        </w:rPr>
        <w:t>actualizarse</w:t>
      </w:r>
      <w:r w:rsidR="005B6A2D">
        <w:rPr>
          <w:rFonts w:ascii="Arial" w:hAnsi="Arial" w:cs="Arial"/>
          <w:color w:val="000000"/>
          <w:sz w:val="18"/>
          <w:szCs w:val="18"/>
          <w:lang w:eastAsia="es-CO"/>
        </w:rPr>
        <w:t xml:space="preserve"> </w:t>
      </w:r>
      <w:r>
        <w:rPr>
          <w:rFonts w:ascii="Arial" w:hAnsi="Arial" w:cs="Arial"/>
          <w:color w:val="000000"/>
          <w:sz w:val="18"/>
          <w:szCs w:val="18"/>
          <w:lang w:eastAsia="es-CO"/>
        </w:rPr>
        <w:t>conforme a las instrucciones del Capítulo II de la CBCF y</w:t>
      </w:r>
      <w:r w:rsidR="00D1633C">
        <w:rPr>
          <w:rFonts w:ascii="Arial" w:hAnsi="Arial" w:cs="Arial"/>
          <w:color w:val="000000"/>
          <w:sz w:val="18"/>
          <w:szCs w:val="18"/>
          <w:lang w:eastAsia="es-CO"/>
        </w:rPr>
        <w:t xml:space="preserve"> </w:t>
      </w:r>
      <w:r w:rsidR="00D05ED6">
        <w:rPr>
          <w:rFonts w:ascii="Arial" w:hAnsi="Arial" w:cs="Arial"/>
          <w:color w:val="000000"/>
          <w:sz w:val="18"/>
          <w:szCs w:val="18"/>
          <w:lang w:eastAsia="es-CO"/>
        </w:rPr>
        <w:t xml:space="preserve">en ningún caso </w:t>
      </w:r>
      <w:r>
        <w:rPr>
          <w:rFonts w:ascii="Arial" w:hAnsi="Arial" w:cs="Arial"/>
          <w:color w:val="000000"/>
          <w:sz w:val="18"/>
          <w:szCs w:val="18"/>
          <w:lang w:eastAsia="es-CO"/>
        </w:rPr>
        <w:t xml:space="preserve">el valor de la garantía </w:t>
      </w:r>
      <w:r w:rsidR="00D05ED6">
        <w:rPr>
          <w:rFonts w:ascii="Arial" w:hAnsi="Arial" w:cs="Arial"/>
          <w:color w:val="000000"/>
          <w:sz w:val="18"/>
          <w:szCs w:val="18"/>
          <w:lang w:eastAsia="es-CO"/>
        </w:rPr>
        <w:t>podrá superar</w:t>
      </w:r>
      <w:r w:rsidR="005B6A2D" w:rsidRPr="002250D3">
        <w:rPr>
          <w:rFonts w:ascii="Arial" w:hAnsi="Arial" w:cs="Arial"/>
          <w:color w:val="000000"/>
          <w:sz w:val="18"/>
          <w:szCs w:val="18"/>
          <w:lang w:eastAsia="es-CO"/>
        </w:rPr>
        <w:t xml:space="preserve"> el valor de originación</w:t>
      </w:r>
      <w:r w:rsidR="00D754A0">
        <w:rPr>
          <w:rFonts w:ascii="Arial" w:hAnsi="Arial" w:cs="Arial"/>
          <w:color w:val="000000"/>
          <w:sz w:val="18"/>
          <w:szCs w:val="18"/>
          <w:lang w:eastAsia="es-CO"/>
        </w:rPr>
        <w:t xml:space="preserve">, descontado el ajuste </w:t>
      </w:r>
      <w:r>
        <w:rPr>
          <w:rFonts w:ascii="Arial" w:hAnsi="Arial" w:cs="Arial"/>
          <w:color w:val="000000"/>
          <w:sz w:val="18"/>
          <w:szCs w:val="18"/>
          <w:lang w:eastAsia="es-CO"/>
        </w:rPr>
        <w:t>por IPC.</w:t>
      </w:r>
    </w:p>
    <w:p w:rsidR="00592022" w:rsidRDefault="00592022" w:rsidP="008F0F00">
      <w:pPr>
        <w:jc w:val="both"/>
        <w:rPr>
          <w:rFonts w:ascii="Arial" w:hAnsi="Arial" w:cs="Arial"/>
          <w:color w:val="000000"/>
          <w:sz w:val="18"/>
          <w:szCs w:val="18"/>
          <w:lang w:eastAsia="es-CO"/>
        </w:rPr>
      </w:pPr>
    </w:p>
    <w:p w:rsidR="00187F01" w:rsidRDefault="00187F01" w:rsidP="008F0F00">
      <w:pPr>
        <w:jc w:val="both"/>
        <w:rPr>
          <w:rFonts w:ascii="Arial" w:hAnsi="Arial" w:cs="Arial"/>
          <w:color w:val="000000"/>
          <w:sz w:val="18"/>
          <w:szCs w:val="18"/>
          <w:lang w:eastAsia="es-CO"/>
        </w:rPr>
      </w:pPr>
      <w:r>
        <w:rPr>
          <w:rFonts w:ascii="Arial" w:hAnsi="Arial" w:cs="Arial"/>
          <w:color w:val="000000"/>
          <w:sz w:val="18"/>
          <w:szCs w:val="18"/>
          <w:lang w:eastAsia="es-CO"/>
        </w:rPr>
        <w:t>Para el caso de la valoración de las garantías inmobiliarias de los créditos otorgados por las sub</w:t>
      </w:r>
      <w:r w:rsidR="0046638C">
        <w:rPr>
          <w:rFonts w:ascii="Arial" w:hAnsi="Arial" w:cs="Arial"/>
          <w:color w:val="000000"/>
          <w:sz w:val="18"/>
          <w:szCs w:val="18"/>
          <w:lang w:eastAsia="es-CO"/>
        </w:rPr>
        <w:t>ordinadas del exterior, se debe aplicar la instrucción anterior</w:t>
      </w:r>
      <w:r>
        <w:rPr>
          <w:rFonts w:ascii="Arial" w:hAnsi="Arial" w:cs="Arial"/>
          <w:color w:val="000000"/>
          <w:sz w:val="18"/>
          <w:szCs w:val="18"/>
          <w:lang w:eastAsia="es-CO"/>
        </w:rPr>
        <w:t xml:space="preserve">, y el ajuste en la valoración por IPC corresponderá al equivalente </w:t>
      </w:r>
      <w:r w:rsidR="00CF6537">
        <w:rPr>
          <w:rFonts w:ascii="Arial" w:hAnsi="Arial" w:cs="Arial"/>
          <w:color w:val="000000"/>
          <w:sz w:val="18"/>
          <w:szCs w:val="18"/>
          <w:lang w:eastAsia="es-CO"/>
        </w:rPr>
        <w:t>de la variación anual del índice de precios al consumidor,</w:t>
      </w:r>
      <w:r w:rsidR="00CF6537" w:rsidRPr="002A1090">
        <w:rPr>
          <w:rFonts w:ascii="Arial" w:hAnsi="Arial" w:cs="Arial"/>
          <w:color w:val="000000"/>
          <w:sz w:val="18"/>
          <w:szCs w:val="18"/>
          <w:lang w:eastAsia="es-CO"/>
        </w:rPr>
        <w:t xml:space="preserve"> </w:t>
      </w:r>
      <w:r w:rsidRPr="002A1090">
        <w:rPr>
          <w:rFonts w:ascii="Arial" w:hAnsi="Arial" w:cs="Arial"/>
          <w:color w:val="000000"/>
          <w:sz w:val="18"/>
          <w:szCs w:val="18"/>
          <w:lang w:eastAsia="es-CO"/>
        </w:rPr>
        <w:t>en la respectiva jurisdicción.</w:t>
      </w:r>
    </w:p>
    <w:p w:rsidR="00187F01" w:rsidRDefault="00187F01" w:rsidP="008F0F00">
      <w:pPr>
        <w:jc w:val="both"/>
        <w:rPr>
          <w:rFonts w:ascii="Arial" w:hAnsi="Arial" w:cs="Arial"/>
          <w:color w:val="000000"/>
          <w:sz w:val="18"/>
          <w:szCs w:val="18"/>
          <w:lang w:eastAsia="es-CO"/>
        </w:rPr>
      </w:pPr>
    </w:p>
    <w:p w:rsidR="000058D1" w:rsidRDefault="00DF7F7E" w:rsidP="008F0F00">
      <w:pPr>
        <w:jc w:val="both"/>
        <w:rPr>
          <w:rFonts w:ascii="Arial" w:hAnsi="Arial" w:cs="Arial"/>
          <w:color w:val="000000"/>
          <w:sz w:val="18"/>
          <w:szCs w:val="18"/>
          <w:lang w:eastAsia="es-CO"/>
        </w:rPr>
      </w:pPr>
      <w:r>
        <w:rPr>
          <w:rFonts w:ascii="Arial" w:hAnsi="Arial" w:cs="Arial"/>
          <w:color w:val="000000"/>
          <w:sz w:val="18"/>
          <w:szCs w:val="18"/>
          <w:lang w:eastAsia="es-CO"/>
        </w:rPr>
        <w:t>Sin perjuicio de lo anterior, l</w:t>
      </w:r>
      <w:r w:rsidR="00262766">
        <w:rPr>
          <w:rFonts w:ascii="Arial" w:hAnsi="Arial" w:cs="Arial"/>
          <w:color w:val="000000"/>
          <w:sz w:val="18"/>
          <w:szCs w:val="18"/>
          <w:lang w:eastAsia="es-CO"/>
        </w:rPr>
        <w:t xml:space="preserve">as entidades </w:t>
      </w:r>
      <w:r w:rsidR="00D872A4">
        <w:rPr>
          <w:rFonts w:ascii="Arial" w:hAnsi="Arial" w:cs="Arial"/>
          <w:color w:val="000000"/>
          <w:sz w:val="18"/>
          <w:szCs w:val="18"/>
          <w:lang w:eastAsia="es-CO"/>
        </w:rPr>
        <w:t xml:space="preserve">vigiladas </w:t>
      </w:r>
      <w:r w:rsidR="00262766">
        <w:rPr>
          <w:rFonts w:ascii="Arial" w:hAnsi="Arial" w:cs="Arial"/>
          <w:color w:val="000000"/>
          <w:sz w:val="18"/>
          <w:szCs w:val="18"/>
          <w:lang w:eastAsia="es-CO"/>
        </w:rPr>
        <w:t xml:space="preserve">que al momento de la entrada en vigencia del presente Capítulo </w:t>
      </w:r>
      <w:r w:rsidR="000058D1">
        <w:rPr>
          <w:rFonts w:ascii="Arial" w:hAnsi="Arial" w:cs="Arial"/>
          <w:color w:val="000000"/>
          <w:sz w:val="18"/>
          <w:szCs w:val="18"/>
          <w:lang w:eastAsia="es-CO"/>
        </w:rPr>
        <w:t xml:space="preserve">no cuenten con </w:t>
      </w:r>
      <w:r w:rsidR="00262766">
        <w:rPr>
          <w:rFonts w:ascii="Arial" w:hAnsi="Arial" w:cs="Arial"/>
          <w:color w:val="000000"/>
          <w:sz w:val="18"/>
          <w:szCs w:val="18"/>
          <w:lang w:eastAsia="es-CO"/>
        </w:rPr>
        <w:t xml:space="preserve">el </w:t>
      </w:r>
      <w:r w:rsidR="000058D1">
        <w:rPr>
          <w:rFonts w:ascii="Arial" w:hAnsi="Arial" w:cs="Arial"/>
          <w:color w:val="000000"/>
          <w:sz w:val="18"/>
          <w:szCs w:val="18"/>
          <w:lang w:eastAsia="es-CO"/>
        </w:rPr>
        <w:t>valor de originación</w:t>
      </w:r>
      <w:r w:rsidR="00262766">
        <w:rPr>
          <w:rFonts w:ascii="Arial" w:hAnsi="Arial" w:cs="Arial"/>
          <w:color w:val="000000"/>
          <w:sz w:val="18"/>
          <w:szCs w:val="18"/>
          <w:lang w:eastAsia="es-CO"/>
        </w:rPr>
        <w:t xml:space="preserve"> de </w:t>
      </w:r>
      <w:r>
        <w:rPr>
          <w:rFonts w:ascii="Arial" w:hAnsi="Arial" w:cs="Arial"/>
          <w:color w:val="000000"/>
          <w:sz w:val="18"/>
          <w:szCs w:val="18"/>
          <w:lang w:eastAsia="es-CO"/>
        </w:rPr>
        <w:t xml:space="preserve">las </w:t>
      </w:r>
      <w:r w:rsidR="00262766">
        <w:rPr>
          <w:rFonts w:ascii="Arial" w:hAnsi="Arial" w:cs="Arial"/>
          <w:color w:val="000000"/>
          <w:sz w:val="18"/>
          <w:szCs w:val="18"/>
          <w:lang w:eastAsia="es-CO"/>
        </w:rPr>
        <w:t>garantías</w:t>
      </w:r>
      <w:r>
        <w:rPr>
          <w:rFonts w:ascii="Arial" w:hAnsi="Arial" w:cs="Arial"/>
          <w:color w:val="000000"/>
          <w:sz w:val="18"/>
          <w:szCs w:val="18"/>
          <w:lang w:eastAsia="es-CO"/>
        </w:rPr>
        <w:t xml:space="preserve"> otorgadas en Colombia</w:t>
      </w:r>
      <w:r w:rsidR="007B322A">
        <w:rPr>
          <w:rFonts w:ascii="Arial" w:hAnsi="Arial" w:cs="Arial"/>
          <w:color w:val="000000"/>
          <w:sz w:val="18"/>
          <w:szCs w:val="18"/>
          <w:lang w:eastAsia="es-CO"/>
        </w:rPr>
        <w:t>,</w:t>
      </w:r>
      <w:r w:rsidR="00262766">
        <w:rPr>
          <w:rFonts w:ascii="Arial" w:hAnsi="Arial" w:cs="Arial"/>
          <w:color w:val="000000"/>
          <w:sz w:val="18"/>
          <w:szCs w:val="18"/>
          <w:lang w:eastAsia="es-CO"/>
        </w:rPr>
        <w:t xml:space="preserve"> </w:t>
      </w:r>
      <w:r w:rsidR="00676E81">
        <w:rPr>
          <w:rFonts w:ascii="Arial" w:hAnsi="Arial" w:cs="Arial"/>
          <w:color w:val="000000"/>
          <w:sz w:val="18"/>
          <w:szCs w:val="18"/>
          <w:lang w:eastAsia="es-CO"/>
        </w:rPr>
        <w:t xml:space="preserve">deben atender </w:t>
      </w:r>
      <w:r w:rsidR="00262766">
        <w:rPr>
          <w:rFonts w:ascii="Arial" w:hAnsi="Arial" w:cs="Arial"/>
          <w:color w:val="000000"/>
          <w:sz w:val="18"/>
          <w:szCs w:val="18"/>
          <w:lang w:eastAsia="es-CO"/>
        </w:rPr>
        <w:t>las siguientes reglas: i) para los créditos otorgados antes de la entrada en vigencia de la Ley 546 de 1999</w:t>
      </w:r>
      <w:r w:rsidR="00CF6537">
        <w:rPr>
          <w:rFonts w:ascii="Arial" w:hAnsi="Arial" w:cs="Arial"/>
          <w:color w:val="000000"/>
          <w:sz w:val="18"/>
          <w:szCs w:val="18"/>
          <w:lang w:eastAsia="es-CO"/>
        </w:rPr>
        <w:t>,</w:t>
      </w:r>
      <w:r w:rsidR="00262766">
        <w:rPr>
          <w:rFonts w:ascii="Arial" w:hAnsi="Arial" w:cs="Arial"/>
          <w:color w:val="000000"/>
          <w:sz w:val="18"/>
          <w:szCs w:val="18"/>
          <w:lang w:eastAsia="es-CO"/>
        </w:rPr>
        <w:t xml:space="preserve"> el valor de la garantía debe ser </w:t>
      </w:r>
      <w:r w:rsidR="00262766">
        <w:rPr>
          <w:rFonts w:ascii="Arial" w:hAnsi="Arial" w:cs="Arial"/>
          <w:color w:val="000000"/>
          <w:sz w:val="18"/>
          <w:szCs w:val="18"/>
          <w:lang w:eastAsia="es-CO"/>
        </w:rPr>
        <w:lastRenderedPageBreak/>
        <w:t>igual al valor del crédito en la fecha del desembolso</w:t>
      </w:r>
      <w:r w:rsidR="00CF6537">
        <w:rPr>
          <w:rFonts w:ascii="Arial" w:hAnsi="Arial" w:cs="Arial"/>
          <w:color w:val="000000"/>
          <w:sz w:val="18"/>
          <w:szCs w:val="18"/>
          <w:lang w:eastAsia="es-CO"/>
        </w:rPr>
        <w:t>;</w:t>
      </w:r>
      <w:r w:rsidR="00262766">
        <w:rPr>
          <w:rFonts w:ascii="Arial" w:hAnsi="Arial" w:cs="Arial"/>
          <w:color w:val="000000"/>
          <w:sz w:val="18"/>
          <w:szCs w:val="18"/>
          <w:lang w:eastAsia="es-CO"/>
        </w:rPr>
        <w:t xml:space="preserve"> y ii) para los créditos otorgados después de la entrada en vigencia de la Ley 546 de 1999</w:t>
      </w:r>
      <w:r w:rsidR="00CF6537">
        <w:rPr>
          <w:rFonts w:ascii="Arial" w:hAnsi="Arial" w:cs="Arial"/>
          <w:color w:val="000000"/>
          <w:sz w:val="18"/>
          <w:szCs w:val="18"/>
          <w:lang w:eastAsia="es-CO"/>
        </w:rPr>
        <w:t>,</w:t>
      </w:r>
      <w:r w:rsidR="00262766">
        <w:rPr>
          <w:rFonts w:ascii="Arial" w:hAnsi="Arial" w:cs="Arial"/>
          <w:color w:val="000000"/>
          <w:sz w:val="18"/>
          <w:szCs w:val="18"/>
          <w:lang w:eastAsia="es-CO"/>
        </w:rPr>
        <w:t xml:space="preserve"> el </w:t>
      </w:r>
      <w:r w:rsidR="000058D1">
        <w:rPr>
          <w:rFonts w:ascii="Arial" w:hAnsi="Arial" w:cs="Arial"/>
          <w:color w:val="000000"/>
          <w:sz w:val="18"/>
          <w:szCs w:val="18"/>
          <w:lang w:eastAsia="es-CO"/>
        </w:rPr>
        <w:t>valor</w:t>
      </w:r>
      <w:r w:rsidR="00262766">
        <w:rPr>
          <w:rFonts w:ascii="Arial" w:hAnsi="Arial" w:cs="Arial"/>
          <w:color w:val="000000"/>
          <w:sz w:val="18"/>
          <w:szCs w:val="18"/>
          <w:lang w:eastAsia="es-CO"/>
        </w:rPr>
        <w:t xml:space="preserve"> de la garantía debe ser el que resulte de dividir el monto del crédito al momento del desembolso</w:t>
      </w:r>
      <w:r w:rsidR="0046638C">
        <w:rPr>
          <w:rFonts w:ascii="Arial" w:hAnsi="Arial" w:cs="Arial"/>
          <w:color w:val="000000"/>
          <w:sz w:val="18"/>
          <w:szCs w:val="18"/>
          <w:lang w:eastAsia="es-CO"/>
        </w:rPr>
        <w:t>,</w:t>
      </w:r>
      <w:r w:rsidR="00262766">
        <w:rPr>
          <w:rFonts w:ascii="Arial" w:hAnsi="Arial" w:cs="Arial"/>
          <w:color w:val="000000"/>
          <w:sz w:val="18"/>
          <w:szCs w:val="18"/>
          <w:lang w:eastAsia="es-CO"/>
        </w:rPr>
        <w:t xml:space="preserve"> sobre el porcentaje de financiación correspondiente </w:t>
      </w:r>
      <w:r w:rsidR="000058D1">
        <w:rPr>
          <w:rFonts w:ascii="Arial" w:hAnsi="Arial" w:cs="Arial"/>
          <w:color w:val="000000"/>
          <w:sz w:val="18"/>
          <w:szCs w:val="18"/>
          <w:lang w:eastAsia="es-CO"/>
        </w:rPr>
        <w:t xml:space="preserve">a la relación </w:t>
      </w:r>
      <w:r w:rsidR="00CA0BC2">
        <w:rPr>
          <w:rFonts w:ascii="Arial" w:hAnsi="Arial" w:cs="Arial"/>
          <w:color w:val="000000"/>
          <w:sz w:val="18"/>
          <w:szCs w:val="18"/>
          <w:lang w:eastAsia="es-CO"/>
        </w:rPr>
        <w:t>saldo / garantía</w:t>
      </w:r>
      <w:r w:rsidR="00ED3AD0">
        <w:rPr>
          <w:rFonts w:ascii="Arial" w:hAnsi="Arial" w:cs="Arial"/>
          <w:color w:val="000000"/>
          <w:sz w:val="18"/>
          <w:szCs w:val="18"/>
          <w:lang w:eastAsia="es-CO"/>
        </w:rPr>
        <w:t xml:space="preserve"> </w:t>
      </w:r>
      <w:r w:rsidR="00262766">
        <w:rPr>
          <w:rFonts w:ascii="Arial" w:hAnsi="Arial" w:cs="Arial"/>
          <w:color w:val="000000"/>
          <w:sz w:val="18"/>
          <w:szCs w:val="18"/>
          <w:lang w:eastAsia="es-CO"/>
        </w:rPr>
        <w:t xml:space="preserve">conforme a la </w:t>
      </w:r>
      <w:r w:rsidR="000058D1">
        <w:rPr>
          <w:rFonts w:ascii="Arial" w:hAnsi="Arial" w:cs="Arial"/>
          <w:color w:val="000000"/>
          <w:sz w:val="18"/>
          <w:szCs w:val="18"/>
          <w:lang w:eastAsia="es-CO"/>
        </w:rPr>
        <w:t xml:space="preserve">Ley </w:t>
      </w:r>
      <w:r w:rsidR="00CA0BC2">
        <w:rPr>
          <w:rFonts w:ascii="Arial" w:hAnsi="Arial" w:cs="Arial"/>
          <w:color w:val="000000"/>
          <w:sz w:val="18"/>
          <w:szCs w:val="18"/>
          <w:lang w:eastAsia="es-CO"/>
        </w:rPr>
        <w:t>546 de 1999</w:t>
      </w:r>
      <w:r w:rsidR="00676E81">
        <w:rPr>
          <w:rFonts w:ascii="Arial" w:hAnsi="Arial" w:cs="Arial"/>
          <w:color w:val="000000"/>
          <w:sz w:val="18"/>
          <w:szCs w:val="18"/>
          <w:lang w:eastAsia="es-CO"/>
        </w:rPr>
        <w:t xml:space="preserve"> y su correspondiente reglamentación</w:t>
      </w:r>
      <w:r w:rsidR="000058D1">
        <w:rPr>
          <w:rFonts w:ascii="Arial" w:hAnsi="Arial" w:cs="Arial"/>
          <w:color w:val="000000"/>
          <w:sz w:val="18"/>
          <w:szCs w:val="18"/>
          <w:lang w:eastAsia="es-CO"/>
        </w:rPr>
        <w:t>.</w:t>
      </w:r>
    </w:p>
    <w:p w:rsidR="000058D1" w:rsidRPr="00BC28E9" w:rsidRDefault="000058D1" w:rsidP="008F0F00">
      <w:pPr>
        <w:jc w:val="both"/>
        <w:rPr>
          <w:rFonts w:ascii="Arial" w:hAnsi="Arial" w:cs="Arial"/>
          <w:color w:val="000000"/>
          <w:sz w:val="14"/>
          <w:szCs w:val="18"/>
          <w:lang w:eastAsia="es-CO"/>
        </w:rPr>
      </w:pPr>
    </w:p>
    <w:p w:rsidR="008F0F00" w:rsidRPr="000571A2" w:rsidRDefault="0054550C" w:rsidP="00D60BAC">
      <w:pPr>
        <w:pStyle w:val="Prrafodelista"/>
        <w:numPr>
          <w:ilvl w:val="2"/>
          <w:numId w:val="37"/>
        </w:numPr>
        <w:jc w:val="both"/>
        <w:outlineLvl w:val="2"/>
        <w:rPr>
          <w:rFonts w:ascii="Arial" w:hAnsi="Arial" w:cs="Arial"/>
          <w:sz w:val="18"/>
          <w:szCs w:val="18"/>
        </w:rPr>
      </w:pPr>
      <w:r w:rsidRPr="000571A2">
        <w:rPr>
          <w:rFonts w:ascii="Arial" w:hAnsi="Arial" w:cs="Arial"/>
          <w:sz w:val="18"/>
          <w:szCs w:val="18"/>
        </w:rPr>
        <w:t>Calificaciones de riesgo</w:t>
      </w:r>
      <w:r w:rsidR="00B14CF3" w:rsidRPr="000571A2">
        <w:rPr>
          <w:rFonts w:ascii="Arial" w:hAnsi="Arial" w:cs="Arial"/>
          <w:sz w:val="18"/>
          <w:szCs w:val="18"/>
        </w:rPr>
        <w:t xml:space="preserve"> </w:t>
      </w:r>
      <w:r w:rsidR="00370843" w:rsidRPr="000571A2">
        <w:rPr>
          <w:rFonts w:ascii="Arial" w:hAnsi="Arial" w:cs="Arial"/>
          <w:sz w:val="18"/>
          <w:szCs w:val="18"/>
        </w:rPr>
        <w:t xml:space="preserve">otorgadas por una </w:t>
      </w:r>
      <w:r w:rsidR="00B14CF3" w:rsidRPr="000571A2">
        <w:rPr>
          <w:rFonts w:ascii="Arial" w:hAnsi="Arial" w:cs="Arial"/>
          <w:sz w:val="18"/>
          <w:szCs w:val="18"/>
        </w:rPr>
        <w:t>sociedad</w:t>
      </w:r>
      <w:r w:rsidR="00370843" w:rsidRPr="000571A2">
        <w:rPr>
          <w:rFonts w:ascii="Arial" w:hAnsi="Arial" w:cs="Arial"/>
          <w:sz w:val="18"/>
          <w:szCs w:val="18"/>
        </w:rPr>
        <w:t xml:space="preserve"> </w:t>
      </w:r>
      <w:r w:rsidR="00B14CF3" w:rsidRPr="000571A2">
        <w:rPr>
          <w:rFonts w:ascii="Arial" w:hAnsi="Arial" w:cs="Arial"/>
          <w:sz w:val="18"/>
          <w:szCs w:val="18"/>
        </w:rPr>
        <w:t>calificadora de riesgo</w:t>
      </w:r>
    </w:p>
    <w:p w:rsidR="008F0F00" w:rsidRPr="00BC28E9" w:rsidRDefault="008F0F00" w:rsidP="00D41C7E">
      <w:pPr>
        <w:jc w:val="both"/>
        <w:rPr>
          <w:rFonts w:ascii="Arial" w:hAnsi="Arial" w:cs="Arial"/>
          <w:sz w:val="14"/>
          <w:szCs w:val="18"/>
        </w:rPr>
      </w:pPr>
    </w:p>
    <w:p w:rsidR="00BE3B6B" w:rsidRPr="002A1090" w:rsidRDefault="008F0F00" w:rsidP="00BE3B6B">
      <w:pPr>
        <w:jc w:val="both"/>
        <w:rPr>
          <w:rFonts w:ascii="Arial" w:hAnsi="Arial" w:cs="Arial"/>
          <w:sz w:val="18"/>
          <w:szCs w:val="18"/>
        </w:rPr>
      </w:pPr>
      <w:r w:rsidRPr="000A17D7">
        <w:rPr>
          <w:rFonts w:ascii="Arial" w:hAnsi="Arial" w:cs="Arial"/>
          <w:sz w:val="18"/>
          <w:szCs w:val="18"/>
        </w:rPr>
        <w:t xml:space="preserve">Las calificaciones de riesgo a las que hace referencia el presente </w:t>
      </w:r>
      <w:r w:rsidR="00A31789">
        <w:rPr>
          <w:rFonts w:ascii="Arial" w:hAnsi="Arial" w:cs="Arial"/>
          <w:sz w:val="18"/>
          <w:szCs w:val="18"/>
        </w:rPr>
        <w:t>C</w:t>
      </w:r>
      <w:r w:rsidRPr="000A17D7">
        <w:rPr>
          <w:rFonts w:ascii="Arial" w:hAnsi="Arial" w:cs="Arial"/>
          <w:sz w:val="18"/>
          <w:szCs w:val="18"/>
        </w:rPr>
        <w:t>apítulo</w:t>
      </w:r>
      <w:r w:rsidR="00A652D7">
        <w:rPr>
          <w:rFonts w:ascii="Arial" w:hAnsi="Arial" w:cs="Arial"/>
          <w:sz w:val="18"/>
          <w:szCs w:val="18"/>
        </w:rPr>
        <w:t xml:space="preserve"> </w:t>
      </w:r>
      <w:r w:rsidR="00E57020">
        <w:rPr>
          <w:rFonts w:ascii="Arial" w:hAnsi="Arial" w:cs="Arial"/>
          <w:sz w:val="18"/>
          <w:szCs w:val="18"/>
        </w:rPr>
        <w:t xml:space="preserve">deben </w:t>
      </w:r>
      <w:r w:rsidR="007B322A">
        <w:rPr>
          <w:rFonts w:ascii="Arial" w:hAnsi="Arial" w:cs="Arial"/>
          <w:sz w:val="18"/>
          <w:szCs w:val="18"/>
        </w:rPr>
        <w:t>cumplir los requisitos</w:t>
      </w:r>
      <w:r w:rsidR="00E57020">
        <w:rPr>
          <w:rFonts w:ascii="Arial" w:hAnsi="Arial" w:cs="Arial"/>
          <w:sz w:val="18"/>
          <w:szCs w:val="18"/>
        </w:rPr>
        <w:t xml:space="preserve"> </w:t>
      </w:r>
      <w:r w:rsidR="00D32268">
        <w:rPr>
          <w:rFonts w:ascii="Arial" w:hAnsi="Arial" w:cs="Arial"/>
          <w:sz w:val="18"/>
          <w:szCs w:val="18"/>
        </w:rPr>
        <w:t>del</w:t>
      </w:r>
      <w:r w:rsidR="00E57020">
        <w:rPr>
          <w:rFonts w:ascii="Arial" w:hAnsi="Arial" w:cs="Arial"/>
          <w:sz w:val="18"/>
          <w:szCs w:val="18"/>
        </w:rPr>
        <w:t xml:space="preserve"> artículo 2.1.1.3.</w:t>
      </w:r>
      <w:r w:rsidR="00A652D7">
        <w:rPr>
          <w:rFonts w:ascii="Arial" w:hAnsi="Arial" w:cs="Arial"/>
          <w:sz w:val="18"/>
          <w:szCs w:val="18"/>
        </w:rPr>
        <w:t>7 del Decreto 2555 de 2010</w:t>
      </w:r>
      <w:r w:rsidR="00A52853">
        <w:rPr>
          <w:rFonts w:ascii="Arial" w:hAnsi="Arial" w:cs="Arial"/>
          <w:sz w:val="18"/>
          <w:szCs w:val="18"/>
        </w:rPr>
        <w:t xml:space="preserve"> y l</w:t>
      </w:r>
      <w:r w:rsidR="007B322A">
        <w:rPr>
          <w:rFonts w:ascii="Arial" w:hAnsi="Arial" w:cs="Arial"/>
          <w:sz w:val="18"/>
          <w:szCs w:val="18"/>
        </w:rPr>
        <w:t>o</w:t>
      </w:r>
      <w:r w:rsidR="00A52853">
        <w:rPr>
          <w:rFonts w:ascii="Arial" w:hAnsi="Arial" w:cs="Arial"/>
          <w:sz w:val="18"/>
          <w:szCs w:val="18"/>
        </w:rPr>
        <w:t xml:space="preserve">s que se indican </w:t>
      </w:r>
      <w:r w:rsidR="00BC05ED">
        <w:rPr>
          <w:rFonts w:ascii="Arial" w:hAnsi="Arial" w:cs="Arial"/>
          <w:sz w:val="18"/>
          <w:szCs w:val="18"/>
        </w:rPr>
        <w:t>a continuación</w:t>
      </w:r>
      <w:r w:rsidR="0000491B">
        <w:rPr>
          <w:rFonts w:ascii="Arial" w:hAnsi="Arial" w:cs="Arial"/>
          <w:sz w:val="18"/>
          <w:szCs w:val="18"/>
        </w:rPr>
        <w:t>.</w:t>
      </w:r>
      <w:r w:rsidR="00C83058">
        <w:rPr>
          <w:rFonts w:ascii="Arial" w:hAnsi="Arial" w:cs="Arial"/>
          <w:sz w:val="18"/>
          <w:szCs w:val="18"/>
        </w:rPr>
        <w:t xml:space="preserve"> </w:t>
      </w:r>
      <w:r w:rsidR="0000491B" w:rsidRPr="007505AA">
        <w:rPr>
          <w:rFonts w:ascii="Arial" w:hAnsi="Arial" w:cs="Arial"/>
          <w:sz w:val="18"/>
          <w:szCs w:val="18"/>
        </w:rPr>
        <w:t>L</w:t>
      </w:r>
      <w:r w:rsidR="00A652D7" w:rsidRPr="007505AA">
        <w:rPr>
          <w:rFonts w:ascii="Arial" w:hAnsi="Arial" w:cs="Arial"/>
          <w:sz w:val="18"/>
          <w:szCs w:val="18"/>
        </w:rPr>
        <w:t xml:space="preserve">as </w:t>
      </w:r>
      <w:r w:rsidR="00A652D7" w:rsidRPr="005C5498">
        <w:rPr>
          <w:rFonts w:ascii="Arial" w:hAnsi="Arial" w:cs="Arial"/>
          <w:sz w:val="18"/>
          <w:szCs w:val="18"/>
        </w:rPr>
        <w:t xml:space="preserve">tablas de calificación y su correspondiente ponderación por riesgo se </w:t>
      </w:r>
      <w:r w:rsidR="0083323C" w:rsidRPr="005C5498">
        <w:rPr>
          <w:rFonts w:ascii="Arial" w:hAnsi="Arial" w:cs="Arial"/>
          <w:sz w:val="18"/>
          <w:szCs w:val="18"/>
        </w:rPr>
        <w:t xml:space="preserve">deben </w:t>
      </w:r>
      <w:r w:rsidR="00A652D7" w:rsidRPr="005C5498">
        <w:rPr>
          <w:rFonts w:ascii="Arial" w:hAnsi="Arial" w:cs="Arial"/>
          <w:sz w:val="18"/>
          <w:szCs w:val="18"/>
        </w:rPr>
        <w:t>aplicar</w:t>
      </w:r>
      <w:r w:rsidR="0083323C" w:rsidRPr="005C5498">
        <w:rPr>
          <w:rFonts w:ascii="Arial" w:hAnsi="Arial" w:cs="Arial"/>
          <w:sz w:val="18"/>
          <w:szCs w:val="18"/>
        </w:rPr>
        <w:t xml:space="preserve"> </w:t>
      </w:r>
      <w:r w:rsidR="00A652D7" w:rsidRPr="005C5498">
        <w:rPr>
          <w:rFonts w:ascii="Arial" w:hAnsi="Arial" w:cs="Arial"/>
          <w:sz w:val="18"/>
          <w:szCs w:val="18"/>
        </w:rPr>
        <w:t xml:space="preserve">considerando el plazo </w:t>
      </w:r>
      <w:r w:rsidR="00C83058" w:rsidRPr="002A1090">
        <w:rPr>
          <w:rFonts w:ascii="Arial" w:hAnsi="Arial" w:cs="Arial"/>
          <w:sz w:val="18"/>
          <w:szCs w:val="18"/>
        </w:rPr>
        <w:t xml:space="preserve">contado a partir </w:t>
      </w:r>
      <w:r w:rsidR="00A652D7" w:rsidRPr="007505AA">
        <w:rPr>
          <w:rFonts w:ascii="Arial" w:hAnsi="Arial" w:cs="Arial"/>
          <w:sz w:val="18"/>
          <w:szCs w:val="18"/>
        </w:rPr>
        <w:t>de la fecha de emisión del activo</w:t>
      </w:r>
      <w:r w:rsidR="00BE3B6B" w:rsidRPr="007505AA">
        <w:rPr>
          <w:rFonts w:ascii="Arial" w:hAnsi="Arial" w:cs="Arial"/>
          <w:sz w:val="18"/>
          <w:szCs w:val="18"/>
        </w:rPr>
        <w:t>.</w:t>
      </w:r>
    </w:p>
    <w:p w:rsidR="00136471" w:rsidRPr="00BC28E9" w:rsidRDefault="00136471" w:rsidP="007B683C">
      <w:pPr>
        <w:jc w:val="both"/>
        <w:rPr>
          <w:rFonts w:ascii="Arial" w:hAnsi="Arial" w:cs="Arial"/>
          <w:sz w:val="14"/>
          <w:szCs w:val="18"/>
          <w:lang w:val="es-CO"/>
        </w:rPr>
      </w:pPr>
    </w:p>
    <w:p w:rsidR="00E14E9A" w:rsidRPr="002A1090" w:rsidRDefault="00BC05ED">
      <w:pPr>
        <w:jc w:val="both"/>
        <w:rPr>
          <w:rFonts w:ascii="Arial" w:hAnsi="Arial" w:cs="Arial"/>
          <w:sz w:val="18"/>
          <w:szCs w:val="18"/>
        </w:rPr>
      </w:pPr>
      <w:r>
        <w:rPr>
          <w:rFonts w:ascii="Arial" w:hAnsi="Arial" w:cs="Arial"/>
          <w:sz w:val="18"/>
          <w:szCs w:val="18"/>
        </w:rPr>
        <w:t>Siempre que exista una calificación d</w:t>
      </w:r>
      <w:r w:rsidR="00AB634A">
        <w:rPr>
          <w:rFonts w:ascii="Arial" w:hAnsi="Arial" w:cs="Arial"/>
          <w:sz w:val="18"/>
          <w:szCs w:val="18"/>
        </w:rPr>
        <w:t xml:space="preserve">e riesgo específica del activo, de </w:t>
      </w:r>
      <w:r>
        <w:rPr>
          <w:rFonts w:ascii="Arial" w:hAnsi="Arial" w:cs="Arial"/>
          <w:sz w:val="18"/>
          <w:szCs w:val="18"/>
        </w:rPr>
        <w:t xml:space="preserve">la exposición o </w:t>
      </w:r>
      <w:r w:rsidR="00AB634A">
        <w:rPr>
          <w:rFonts w:ascii="Arial" w:hAnsi="Arial" w:cs="Arial"/>
          <w:sz w:val="18"/>
          <w:szCs w:val="18"/>
        </w:rPr>
        <w:t xml:space="preserve">de </w:t>
      </w:r>
      <w:r>
        <w:rPr>
          <w:rFonts w:ascii="Arial" w:hAnsi="Arial" w:cs="Arial"/>
          <w:sz w:val="18"/>
          <w:szCs w:val="18"/>
        </w:rPr>
        <w:t xml:space="preserve">la contingencia </w:t>
      </w:r>
      <w:r w:rsidR="002A2885">
        <w:rPr>
          <w:rFonts w:ascii="Arial" w:hAnsi="Arial" w:cs="Arial"/>
          <w:sz w:val="18"/>
          <w:szCs w:val="18"/>
        </w:rPr>
        <w:t>se</w:t>
      </w:r>
      <w:r>
        <w:rPr>
          <w:rFonts w:ascii="Arial" w:hAnsi="Arial" w:cs="Arial"/>
          <w:sz w:val="18"/>
          <w:szCs w:val="18"/>
        </w:rPr>
        <w:t xml:space="preserve"> </w:t>
      </w:r>
      <w:r w:rsidRPr="002A1090">
        <w:rPr>
          <w:rFonts w:ascii="Arial" w:hAnsi="Arial" w:cs="Arial"/>
          <w:sz w:val="18"/>
          <w:szCs w:val="18"/>
        </w:rPr>
        <w:t>debe tomar la calificación a escala nacional efectuada por una sociedad calificadora de riesgos autorizada por la SFC</w:t>
      </w:r>
      <w:r>
        <w:rPr>
          <w:rFonts w:ascii="Arial" w:hAnsi="Arial" w:cs="Arial"/>
          <w:sz w:val="18"/>
          <w:szCs w:val="18"/>
        </w:rPr>
        <w:t xml:space="preserve">. </w:t>
      </w:r>
      <w:r w:rsidRPr="002A1090">
        <w:rPr>
          <w:rFonts w:ascii="Arial" w:hAnsi="Arial" w:cs="Arial"/>
          <w:sz w:val="18"/>
          <w:szCs w:val="18"/>
        </w:rPr>
        <w:t>P</w:t>
      </w:r>
      <w:r w:rsidR="00D06E98" w:rsidRPr="002A1090">
        <w:rPr>
          <w:rFonts w:ascii="Arial" w:hAnsi="Arial" w:cs="Arial"/>
          <w:sz w:val="18"/>
          <w:szCs w:val="18"/>
        </w:rPr>
        <w:t>ara las entidad</w:t>
      </w:r>
      <w:r w:rsidRPr="002A1090">
        <w:rPr>
          <w:rFonts w:ascii="Arial" w:hAnsi="Arial" w:cs="Arial"/>
          <w:sz w:val="18"/>
          <w:szCs w:val="18"/>
        </w:rPr>
        <w:t xml:space="preserve">es ubicadas en el exterior y </w:t>
      </w:r>
      <w:r w:rsidR="00D06E98" w:rsidRPr="002A1090">
        <w:rPr>
          <w:rFonts w:ascii="Arial" w:hAnsi="Arial" w:cs="Arial"/>
          <w:sz w:val="18"/>
          <w:szCs w:val="18"/>
        </w:rPr>
        <w:t>los títulos emitidos y colo</w:t>
      </w:r>
      <w:r w:rsidR="00E14E9A" w:rsidRPr="007505AA">
        <w:rPr>
          <w:rFonts w:ascii="Arial" w:hAnsi="Arial" w:cs="Arial"/>
          <w:sz w:val="18"/>
          <w:szCs w:val="18"/>
        </w:rPr>
        <w:t>cados en el exterior por ellas</w:t>
      </w:r>
      <w:r w:rsidR="00E14E9A">
        <w:rPr>
          <w:rFonts w:ascii="Arial" w:hAnsi="Arial" w:cs="Arial"/>
          <w:sz w:val="18"/>
          <w:szCs w:val="18"/>
        </w:rPr>
        <w:t>,</w:t>
      </w:r>
      <w:r w:rsidR="00E14E9A" w:rsidRPr="007505AA">
        <w:rPr>
          <w:rFonts w:ascii="Arial" w:hAnsi="Arial" w:cs="Arial"/>
          <w:sz w:val="18"/>
          <w:szCs w:val="18"/>
        </w:rPr>
        <w:t xml:space="preserve"> </w:t>
      </w:r>
      <w:r w:rsidR="00AB634A">
        <w:rPr>
          <w:rFonts w:ascii="Arial" w:hAnsi="Arial" w:cs="Arial"/>
          <w:sz w:val="18"/>
          <w:szCs w:val="18"/>
        </w:rPr>
        <w:t xml:space="preserve">se </w:t>
      </w:r>
      <w:r w:rsidR="00D06E98" w:rsidRPr="002A1090">
        <w:rPr>
          <w:rFonts w:ascii="Arial" w:hAnsi="Arial" w:cs="Arial"/>
          <w:sz w:val="18"/>
          <w:szCs w:val="18"/>
        </w:rPr>
        <w:t>debe</w:t>
      </w:r>
      <w:r w:rsidRPr="002A1090">
        <w:rPr>
          <w:rFonts w:ascii="Arial" w:hAnsi="Arial" w:cs="Arial"/>
          <w:sz w:val="18"/>
          <w:szCs w:val="18"/>
        </w:rPr>
        <w:t xml:space="preserve"> utilizar</w:t>
      </w:r>
      <w:r w:rsidR="00D06E98" w:rsidRPr="002A1090">
        <w:rPr>
          <w:rFonts w:ascii="Arial" w:hAnsi="Arial" w:cs="Arial"/>
          <w:sz w:val="18"/>
          <w:szCs w:val="18"/>
        </w:rPr>
        <w:t xml:space="preserve"> </w:t>
      </w:r>
      <w:r w:rsidR="00136471" w:rsidRPr="002A1090">
        <w:rPr>
          <w:rFonts w:ascii="Arial" w:hAnsi="Arial" w:cs="Arial"/>
          <w:sz w:val="18"/>
          <w:szCs w:val="18"/>
        </w:rPr>
        <w:t xml:space="preserve">la calificación internacional efectuada por una </w:t>
      </w:r>
      <w:r w:rsidR="00740529">
        <w:rPr>
          <w:rFonts w:ascii="Arial" w:hAnsi="Arial" w:cs="Arial"/>
          <w:sz w:val="18"/>
          <w:szCs w:val="18"/>
        </w:rPr>
        <w:t xml:space="preserve">sociedad </w:t>
      </w:r>
      <w:r w:rsidR="00136471" w:rsidRPr="002A1090">
        <w:rPr>
          <w:rFonts w:ascii="Arial" w:hAnsi="Arial" w:cs="Arial"/>
          <w:sz w:val="18"/>
          <w:szCs w:val="18"/>
        </w:rPr>
        <w:t>calificadora de riesgos internacionalmente reconocida</w:t>
      </w:r>
      <w:r w:rsidR="00E14E9A" w:rsidRPr="002A1090">
        <w:rPr>
          <w:rFonts w:ascii="Arial" w:hAnsi="Arial" w:cs="Arial"/>
          <w:sz w:val="18"/>
          <w:szCs w:val="18"/>
        </w:rPr>
        <w:t>.</w:t>
      </w:r>
    </w:p>
    <w:p w:rsidR="00E14E9A" w:rsidRPr="00BC28E9" w:rsidRDefault="00E14E9A">
      <w:pPr>
        <w:jc w:val="both"/>
        <w:rPr>
          <w:rFonts w:ascii="Arial" w:hAnsi="Arial" w:cs="Arial"/>
          <w:sz w:val="14"/>
          <w:szCs w:val="18"/>
        </w:rPr>
      </w:pPr>
    </w:p>
    <w:p w:rsidR="005322E0" w:rsidRDefault="005322E0" w:rsidP="005322E0">
      <w:pPr>
        <w:jc w:val="both"/>
        <w:rPr>
          <w:rFonts w:ascii="Arial" w:hAnsi="Arial" w:cs="Arial"/>
          <w:sz w:val="18"/>
          <w:szCs w:val="18"/>
        </w:rPr>
      </w:pPr>
      <w:r w:rsidRPr="002A5D07">
        <w:rPr>
          <w:rFonts w:ascii="Arial" w:hAnsi="Arial" w:cs="Arial"/>
          <w:sz w:val="18"/>
          <w:szCs w:val="18"/>
        </w:rPr>
        <w:t xml:space="preserve">Tanto las calificaciones </w:t>
      </w:r>
      <w:r>
        <w:rPr>
          <w:rFonts w:ascii="Arial" w:hAnsi="Arial" w:cs="Arial"/>
          <w:sz w:val="18"/>
          <w:szCs w:val="18"/>
        </w:rPr>
        <w:t xml:space="preserve">de riesgo </w:t>
      </w:r>
      <w:r w:rsidRPr="002A5D07">
        <w:rPr>
          <w:rFonts w:ascii="Arial" w:hAnsi="Arial" w:cs="Arial"/>
          <w:sz w:val="18"/>
          <w:szCs w:val="18"/>
        </w:rPr>
        <w:t>a escala nacional como las internacionales deben cumplir con los requisitos de revisión periódica y extraordinaria.</w:t>
      </w:r>
    </w:p>
    <w:p w:rsidR="005322E0" w:rsidRPr="00BC28E9" w:rsidRDefault="005322E0" w:rsidP="005322E0">
      <w:pPr>
        <w:jc w:val="both"/>
        <w:rPr>
          <w:rFonts w:ascii="Arial" w:hAnsi="Arial" w:cs="Arial"/>
          <w:sz w:val="14"/>
          <w:szCs w:val="18"/>
        </w:rPr>
      </w:pPr>
    </w:p>
    <w:p w:rsidR="00A623A8" w:rsidRPr="002A1090" w:rsidRDefault="00A623A8">
      <w:pPr>
        <w:jc w:val="both"/>
        <w:rPr>
          <w:rFonts w:ascii="Arial" w:hAnsi="Arial" w:cs="Arial"/>
          <w:sz w:val="18"/>
          <w:szCs w:val="18"/>
        </w:rPr>
      </w:pPr>
      <w:r w:rsidRPr="00A03405">
        <w:rPr>
          <w:rFonts w:ascii="Arial" w:hAnsi="Arial" w:cs="Arial"/>
          <w:sz w:val="18"/>
          <w:szCs w:val="18"/>
        </w:rPr>
        <w:t xml:space="preserve">Para las </w:t>
      </w:r>
      <w:r w:rsidR="005322E0" w:rsidRPr="00A03405">
        <w:rPr>
          <w:rFonts w:ascii="Arial" w:hAnsi="Arial" w:cs="Arial"/>
          <w:sz w:val="18"/>
          <w:szCs w:val="18"/>
        </w:rPr>
        <w:t xml:space="preserve">contrapartes </w:t>
      </w:r>
      <w:r w:rsidRPr="00A03405">
        <w:rPr>
          <w:rFonts w:ascii="Arial" w:hAnsi="Arial" w:cs="Arial"/>
          <w:sz w:val="18"/>
          <w:szCs w:val="18"/>
        </w:rPr>
        <w:t xml:space="preserve">ubicadas en Colombia y con </w:t>
      </w:r>
      <w:r w:rsidR="005322E0" w:rsidRPr="00A03405">
        <w:rPr>
          <w:rFonts w:ascii="Arial" w:hAnsi="Arial" w:cs="Arial"/>
          <w:sz w:val="18"/>
          <w:szCs w:val="18"/>
        </w:rPr>
        <w:t xml:space="preserve">títulos </w:t>
      </w:r>
      <w:r w:rsidRPr="00A03405">
        <w:rPr>
          <w:rFonts w:ascii="Arial" w:hAnsi="Arial" w:cs="Arial"/>
          <w:sz w:val="18"/>
          <w:szCs w:val="18"/>
        </w:rPr>
        <w:t>emitidos y colocados</w:t>
      </w:r>
      <w:r w:rsidR="005322E0" w:rsidRPr="00A03405">
        <w:rPr>
          <w:rFonts w:ascii="Arial" w:hAnsi="Arial" w:cs="Arial"/>
          <w:sz w:val="18"/>
          <w:szCs w:val="18"/>
        </w:rPr>
        <w:t xml:space="preserve"> en el exterior por ellas</w:t>
      </w:r>
      <w:r w:rsidR="00CF6537">
        <w:rPr>
          <w:rFonts w:ascii="Arial" w:hAnsi="Arial" w:cs="Arial"/>
          <w:sz w:val="18"/>
          <w:szCs w:val="18"/>
        </w:rPr>
        <w:t>,</w:t>
      </w:r>
      <w:r w:rsidR="002A2885" w:rsidRPr="00A03405">
        <w:rPr>
          <w:rFonts w:ascii="Arial" w:hAnsi="Arial" w:cs="Arial"/>
          <w:sz w:val="18"/>
          <w:szCs w:val="18"/>
        </w:rPr>
        <w:t xml:space="preserve"> se</w:t>
      </w:r>
      <w:r w:rsidRPr="00A03405">
        <w:rPr>
          <w:rFonts w:ascii="Arial" w:hAnsi="Arial" w:cs="Arial"/>
          <w:sz w:val="18"/>
          <w:szCs w:val="18"/>
        </w:rPr>
        <w:t xml:space="preserve"> debe utilizar la calificación de ries</w:t>
      </w:r>
      <w:r w:rsidR="0046638C">
        <w:rPr>
          <w:rFonts w:ascii="Arial" w:hAnsi="Arial" w:cs="Arial"/>
          <w:sz w:val="18"/>
          <w:szCs w:val="18"/>
        </w:rPr>
        <w:t xml:space="preserve">go del emisor a escala nacional, </w:t>
      </w:r>
      <w:r w:rsidRPr="00A03405">
        <w:rPr>
          <w:rFonts w:ascii="Arial" w:hAnsi="Arial" w:cs="Arial"/>
          <w:sz w:val="18"/>
          <w:szCs w:val="18"/>
        </w:rPr>
        <w:t xml:space="preserve">efectuada por una sociedad calificadora de riesgos autorizada por la </w:t>
      </w:r>
      <w:r w:rsidRPr="00E51F8C">
        <w:rPr>
          <w:rFonts w:ascii="Arial" w:hAnsi="Arial" w:cs="Arial"/>
          <w:sz w:val="18"/>
          <w:szCs w:val="18"/>
        </w:rPr>
        <w:t>SFC</w:t>
      </w:r>
      <w:r w:rsidR="0046638C" w:rsidRPr="00E51F8C">
        <w:rPr>
          <w:rFonts w:ascii="Arial" w:hAnsi="Arial" w:cs="Arial"/>
          <w:sz w:val="18"/>
          <w:szCs w:val="18"/>
        </w:rPr>
        <w:t>. E</w:t>
      </w:r>
      <w:r w:rsidR="00804FBD" w:rsidRPr="00E51F8C">
        <w:rPr>
          <w:rFonts w:ascii="Arial" w:hAnsi="Arial" w:cs="Arial"/>
          <w:sz w:val="18"/>
          <w:szCs w:val="18"/>
        </w:rPr>
        <w:t>n el caso de la deuda subordinada</w:t>
      </w:r>
      <w:r w:rsidR="0046638C" w:rsidRPr="00E51F8C">
        <w:rPr>
          <w:rFonts w:ascii="Arial" w:hAnsi="Arial" w:cs="Arial"/>
          <w:sz w:val="18"/>
          <w:szCs w:val="18"/>
        </w:rPr>
        <w:t xml:space="preserve"> de dichas contrapartes</w:t>
      </w:r>
      <w:r w:rsidR="00CF6537">
        <w:rPr>
          <w:rFonts w:ascii="Arial" w:hAnsi="Arial" w:cs="Arial"/>
          <w:sz w:val="18"/>
          <w:szCs w:val="18"/>
        </w:rPr>
        <w:t>,</w:t>
      </w:r>
      <w:r w:rsidR="0046638C" w:rsidRPr="00E51F8C">
        <w:rPr>
          <w:rFonts w:ascii="Arial" w:hAnsi="Arial" w:cs="Arial"/>
          <w:sz w:val="18"/>
          <w:szCs w:val="18"/>
        </w:rPr>
        <w:t xml:space="preserve"> </w:t>
      </w:r>
      <w:r w:rsidR="00F53F3E" w:rsidRPr="00E51F8C">
        <w:rPr>
          <w:rFonts w:ascii="Arial" w:hAnsi="Arial" w:cs="Arial"/>
          <w:sz w:val="18"/>
          <w:szCs w:val="18"/>
        </w:rPr>
        <w:t>se debe utilizar</w:t>
      </w:r>
      <w:r w:rsidR="0046638C" w:rsidRPr="00E51F8C">
        <w:rPr>
          <w:rFonts w:ascii="Arial" w:hAnsi="Arial" w:cs="Arial"/>
          <w:sz w:val="18"/>
          <w:szCs w:val="18"/>
        </w:rPr>
        <w:t xml:space="preserve"> la</w:t>
      </w:r>
      <w:r w:rsidR="008C3735" w:rsidRPr="00E51F8C">
        <w:rPr>
          <w:rFonts w:ascii="Arial" w:hAnsi="Arial" w:cs="Arial"/>
          <w:sz w:val="18"/>
          <w:szCs w:val="18"/>
        </w:rPr>
        <w:t xml:space="preserve"> referida</w:t>
      </w:r>
      <w:r w:rsidR="0046638C" w:rsidRPr="00E51F8C">
        <w:rPr>
          <w:rFonts w:ascii="Arial" w:hAnsi="Arial" w:cs="Arial"/>
          <w:sz w:val="18"/>
          <w:szCs w:val="18"/>
        </w:rPr>
        <w:t xml:space="preserve"> calificación de riesgo del emisor a escala nacional, </w:t>
      </w:r>
      <w:r w:rsidR="00F53F3E" w:rsidRPr="00E51F8C">
        <w:rPr>
          <w:rFonts w:ascii="Arial" w:hAnsi="Arial" w:cs="Arial"/>
          <w:sz w:val="18"/>
          <w:szCs w:val="18"/>
        </w:rPr>
        <w:t>deteriorada en la misma cantidad de escalas que exista entre la calificación internacional del emisor y la calificación internacional del instrumento</w:t>
      </w:r>
      <w:r w:rsidR="00804FBD" w:rsidRPr="00E51F8C">
        <w:rPr>
          <w:rFonts w:ascii="Arial" w:hAnsi="Arial" w:cs="Arial"/>
          <w:sz w:val="18"/>
          <w:szCs w:val="18"/>
        </w:rPr>
        <w:t xml:space="preserve"> </w:t>
      </w:r>
      <w:r w:rsidR="00067842">
        <w:rPr>
          <w:rFonts w:ascii="Arial" w:hAnsi="Arial" w:cs="Arial"/>
          <w:sz w:val="18"/>
          <w:szCs w:val="18"/>
        </w:rPr>
        <w:t xml:space="preserve">de deuda subordinada </w:t>
      </w:r>
      <w:r w:rsidR="00804FBD" w:rsidRPr="00E51F8C">
        <w:rPr>
          <w:rFonts w:ascii="Arial" w:hAnsi="Arial" w:cs="Arial"/>
          <w:sz w:val="18"/>
          <w:szCs w:val="18"/>
        </w:rPr>
        <w:t xml:space="preserve">efectuada por una </w:t>
      </w:r>
      <w:r w:rsidR="0046638C" w:rsidRPr="00E51F8C">
        <w:rPr>
          <w:rFonts w:ascii="Arial" w:hAnsi="Arial" w:cs="Arial"/>
          <w:sz w:val="18"/>
          <w:szCs w:val="18"/>
        </w:rPr>
        <w:t xml:space="preserve">sociedad </w:t>
      </w:r>
      <w:r w:rsidR="00804FBD" w:rsidRPr="00E51F8C">
        <w:rPr>
          <w:rFonts w:ascii="Arial" w:hAnsi="Arial" w:cs="Arial"/>
          <w:sz w:val="18"/>
          <w:szCs w:val="18"/>
        </w:rPr>
        <w:t>calificadora internacionalmente reconocida.</w:t>
      </w:r>
    </w:p>
    <w:p w:rsidR="007B683C" w:rsidRPr="00BC28E9" w:rsidRDefault="007B683C" w:rsidP="007B683C">
      <w:pPr>
        <w:jc w:val="both"/>
        <w:rPr>
          <w:rFonts w:ascii="Arial" w:hAnsi="Arial" w:cs="Arial"/>
          <w:sz w:val="14"/>
          <w:szCs w:val="18"/>
        </w:rPr>
      </w:pPr>
    </w:p>
    <w:p w:rsidR="007B683C" w:rsidRPr="001B6743" w:rsidRDefault="007B683C" w:rsidP="007B683C">
      <w:pPr>
        <w:pStyle w:val="Textoindependiente3"/>
        <w:tabs>
          <w:tab w:val="left" w:pos="-720"/>
        </w:tabs>
        <w:suppressAutoHyphens/>
        <w:spacing w:after="0"/>
        <w:jc w:val="both"/>
        <w:rPr>
          <w:rFonts w:ascii="Arial" w:hAnsi="Arial" w:cs="Arial"/>
          <w:sz w:val="18"/>
          <w:szCs w:val="18"/>
        </w:rPr>
      </w:pPr>
      <w:r w:rsidRPr="001B6743">
        <w:rPr>
          <w:rFonts w:ascii="Arial" w:hAnsi="Arial" w:cs="Arial"/>
          <w:sz w:val="18"/>
          <w:szCs w:val="18"/>
        </w:rPr>
        <w:t xml:space="preserve">Para </w:t>
      </w:r>
      <w:r w:rsidR="005322E0" w:rsidRPr="001B6743">
        <w:rPr>
          <w:rFonts w:ascii="Arial" w:hAnsi="Arial" w:cs="Arial"/>
          <w:sz w:val="18"/>
          <w:szCs w:val="18"/>
        </w:rPr>
        <w:t xml:space="preserve">los </w:t>
      </w:r>
      <w:r w:rsidR="00B7075C">
        <w:rPr>
          <w:rFonts w:ascii="Arial" w:hAnsi="Arial" w:cs="Arial"/>
          <w:sz w:val="18"/>
          <w:szCs w:val="18"/>
        </w:rPr>
        <w:t>créditos</w:t>
      </w:r>
      <w:r w:rsidR="00385D39">
        <w:rPr>
          <w:rFonts w:ascii="Arial" w:hAnsi="Arial" w:cs="Arial"/>
          <w:sz w:val="18"/>
          <w:szCs w:val="18"/>
        </w:rPr>
        <w:t xml:space="preserve">, </w:t>
      </w:r>
      <w:r w:rsidR="00B7075C">
        <w:rPr>
          <w:rFonts w:ascii="Arial" w:hAnsi="Arial" w:cs="Arial"/>
          <w:sz w:val="18"/>
          <w:szCs w:val="18"/>
        </w:rPr>
        <w:t>inversiones</w:t>
      </w:r>
      <w:r w:rsidR="00B7075C" w:rsidRPr="001B6743">
        <w:rPr>
          <w:rFonts w:ascii="Arial" w:hAnsi="Arial" w:cs="Arial"/>
          <w:sz w:val="18"/>
          <w:szCs w:val="18"/>
        </w:rPr>
        <w:t xml:space="preserve"> </w:t>
      </w:r>
      <w:r w:rsidR="00385D39">
        <w:rPr>
          <w:rFonts w:ascii="Arial" w:hAnsi="Arial" w:cs="Arial"/>
          <w:sz w:val="18"/>
          <w:szCs w:val="18"/>
        </w:rPr>
        <w:t xml:space="preserve">y contingencias </w:t>
      </w:r>
      <w:r w:rsidR="005322E0">
        <w:rPr>
          <w:rFonts w:ascii="Arial" w:hAnsi="Arial" w:cs="Arial"/>
          <w:sz w:val="18"/>
          <w:szCs w:val="18"/>
        </w:rPr>
        <w:t xml:space="preserve">de contrapartes </w:t>
      </w:r>
      <w:r w:rsidR="0012160B">
        <w:rPr>
          <w:rFonts w:ascii="Arial" w:hAnsi="Arial" w:cs="Arial"/>
          <w:sz w:val="18"/>
          <w:szCs w:val="18"/>
        </w:rPr>
        <w:t>ubicadas en</w:t>
      </w:r>
      <w:r w:rsidR="005322E0">
        <w:rPr>
          <w:rFonts w:ascii="Arial" w:hAnsi="Arial" w:cs="Arial"/>
          <w:sz w:val="18"/>
          <w:szCs w:val="18"/>
        </w:rPr>
        <w:t xml:space="preserve"> Colombia</w:t>
      </w:r>
      <w:r w:rsidR="00740529">
        <w:rPr>
          <w:rFonts w:ascii="Arial" w:hAnsi="Arial" w:cs="Arial"/>
          <w:sz w:val="18"/>
          <w:szCs w:val="18"/>
        </w:rPr>
        <w:t>,</w:t>
      </w:r>
      <w:r w:rsidR="0012160B">
        <w:rPr>
          <w:rFonts w:ascii="Arial" w:hAnsi="Arial" w:cs="Arial"/>
          <w:sz w:val="18"/>
          <w:szCs w:val="18"/>
        </w:rPr>
        <w:t xml:space="preserve"> </w:t>
      </w:r>
      <w:r w:rsidR="00B7075C">
        <w:rPr>
          <w:rFonts w:ascii="Arial" w:hAnsi="Arial" w:cs="Arial"/>
          <w:sz w:val="18"/>
          <w:szCs w:val="18"/>
        </w:rPr>
        <w:t xml:space="preserve">realizados </w:t>
      </w:r>
      <w:r w:rsidR="00E07409">
        <w:rPr>
          <w:rFonts w:ascii="Arial" w:hAnsi="Arial" w:cs="Arial"/>
          <w:sz w:val="18"/>
          <w:szCs w:val="18"/>
        </w:rPr>
        <w:t xml:space="preserve">por </w:t>
      </w:r>
      <w:r w:rsidRPr="001B6743">
        <w:rPr>
          <w:rFonts w:ascii="Arial" w:hAnsi="Arial" w:cs="Arial"/>
          <w:sz w:val="18"/>
          <w:szCs w:val="18"/>
        </w:rPr>
        <w:t>las sucursales</w:t>
      </w:r>
      <w:r w:rsidR="005322E0">
        <w:rPr>
          <w:rFonts w:ascii="Arial" w:hAnsi="Arial" w:cs="Arial"/>
          <w:sz w:val="18"/>
          <w:szCs w:val="18"/>
        </w:rPr>
        <w:t xml:space="preserve"> </w:t>
      </w:r>
      <w:r w:rsidR="00B7075C">
        <w:rPr>
          <w:rFonts w:ascii="Arial" w:hAnsi="Arial" w:cs="Arial"/>
          <w:sz w:val="18"/>
          <w:szCs w:val="18"/>
        </w:rPr>
        <w:t>o subordinadas</w:t>
      </w:r>
      <w:r w:rsidRPr="001B6743">
        <w:rPr>
          <w:rFonts w:ascii="Arial" w:hAnsi="Arial" w:cs="Arial"/>
          <w:sz w:val="18"/>
          <w:szCs w:val="18"/>
        </w:rPr>
        <w:t xml:space="preserve"> del exterior</w:t>
      </w:r>
      <w:r w:rsidR="00740529">
        <w:rPr>
          <w:rFonts w:ascii="Arial" w:hAnsi="Arial" w:cs="Arial"/>
          <w:sz w:val="18"/>
          <w:szCs w:val="18"/>
        </w:rPr>
        <w:t>,</w:t>
      </w:r>
      <w:r w:rsidRPr="001B6743">
        <w:rPr>
          <w:rFonts w:ascii="Arial" w:hAnsi="Arial" w:cs="Arial"/>
          <w:sz w:val="18"/>
          <w:szCs w:val="18"/>
        </w:rPr>
        <w:t xml:space="preserve"> </w:t>
      </w:r>
      <w:r w:rsidR="005322E0">
        <w:rPr>
          <w:rFonts w:ascii="Arial" w:hAnsi="Arial" w:cs="Arial"/>
          <w:sz w:val="18"/>
          <w:szCs w:val="18"/>
        </w:rPr>
        <w:t xml:space="preserve">se </w:t>
      </w:r>
      <w:r w:rsidR="00740529">
        <w:rPr>
          <w:rFonts w:ascii="Arial" w:hAnsi="Arial" w:cs="Arial"/>
          <w:sz w:val="18"/>
          <w:szCs w:val="18"/>
        </w:rPr>
        <w:t>debe</w:t>
      </w:r>
      <w:r w:rsidRPr="001B6743">
        <w:rPr>
          <w:rFonts w:ascii="Arial" w:hAnsi="Arial" w:cs="Arial"/>
          <w:sz w:val="18"/>
          <w:szCs w:val="18"/>
        </w:rPr>
        <w:t xml:space="preserve"> </w:t>
      </w:r>
      <w:r w:rsidR="00E07409">
        <w:rPr>
          <w:rFonts w:ascii="Arial" w:hAnsi="Arial" w:cs="Arial"/>
          <w:sz w:val="18"/>
          <w:szCs w:val="18"/>
        </w:rPr>
        <w:t xml:space="preserve">tomar </w:t>
      </w:r>
      <w:r w:rsidR="00450E98" w:rsidRPr="001B6743">
        <w:rPr>
          <w:rFonts w:ascii="Arial" w:hAnsi="Arial" w:cs="Arial"/>
          <w:sz w:val="18"/>
          <w:szCs w:val="18"/>
        </w:rPr>
        <w:t>la calificación a escala nacional otorgada por una sociedad calificadora autorizada por la SFC</w:t>
      </w:r>
      <w:r w:rsidR="005322E0">
        <w:rPr>
          <w:rFonts w:ascii="Arial" w:hAnsi="Arial" w:cs="Arial"/>
          <w:sz w:val="18"/>
          <w:szCs w:val="18"/>
        </w:rPr>
        <w:t xml:space="preserve">. </w:t>
      </w:r>
      <w:r w:rsidR="00E51F8C">
        <w:rPr>
          <w:rFonts w:ascii="Arial" w:hAnsi="Arial" w:cs="Arial"/>
          <w:sz w:val="18"/>
          <w:szCs w:val="18"/>
        </w:rPr>
        <w:t>C</w:t>
      </w:r>
      <w:r w:rsidR="00740529">
        <w:rPr>
          <w:rFonts w:ascii="Arial" w:hAnsi="Arial" w:cs="Arial"/>
          <w:sz w:val="18"/>
          <w:szCs w:val="18"/>
        </w:rPr>
        <w:t>uando las contrapartes</w:t>
      </w:r>
      <w:r w:rsidR="00E07409">
        <w:rPr>
          <w:rFonts w:ascii="Arial" w:hAnsi="Arial" w:cs="Arial"/>
          <w:sz w:val="18"/>
          <w:szCs w:val="18"/>
        </w:rPr>
        <w:t xml:space="preserve"> </w:t>
      </w:r>
      <w:r w:rsidR="005322E0">
        <w:rPr>
          <w:rFonts w:ascii="Arial" w:hAnsi="Arial" w:cs="Arial"/>
          <w:sz w:val="18"/>
          <w:szCs w:val="18"/>
        </w:rPr>
        <w:t>no estén ubicada</w:t>
      </w:r>
      <w:r w:rsidR="00E07409">
        <w:rPr>
          <w:rFonts w:ascii="Arial" w:hAnsi="Arial" w:cs="Arial"/>
          <w:sz w:val="18"/>
          <w:szCs w:val="18"/>
        </w:rPr>
        <w:t>s</w:t>
      </w:r>
      <w:r w:rsidR="005322E0">
        <w:rPr>
          <w:rFonts w:ascii="Arial" w:hAnsi="Arial" w:cs="Arial"/>
          <w:sz w:val="18"/>
          <w:szCs w:val="18"/>
        </w:rPr>
        <w:t xml:space="preserve"> </w:t>
      </w:r>
      <w:r w:rsidR="00E07409">
        <w:rPr>
          <w:rFonts w:ascii="Arial" w:hAnsi="Arial" w:cs="Arial"/>
          <w:sz w:val="18"/>
          <w:szCs w:val="18"/>
        </w:rPr>
        <w:t xml:space="preserve">en Colombia </w:t>
      </w:r>
      <w:r w:rsidRPr="001B6743">
        <w:rPr>
          <w:rFonts w:ascii="Arial" w:hAnsi="Arial" w:cs="Arial"/>
          <w:sz w:val="18"/>
          <w:szCs w:val="18"/>
        </w:rPr>
        <w:t>se debe</w:t>
      </w:r>
      <w:r w:rsidR="00E51F8C">
        <w:rPr>
          <w:rFonts w:ascii="Arial" w:hAnsi="Arial" w:cs="Arial"/>
          <w:sz w:val="18"/>
          <w:szCs w:val="18"/>
        </w:rPr>
        <w:t>: i)</w:t>
      </w:r>
      <w:r w:rsidRPr="001B6743">
        <w:rPr>
          <w:rFonts w:ascii="Arial" w:hAnsi="Arial" w:cs="Arial"/>
          <w:sz w:val="18"/>
          <w:szCs w:val="18"/>
        </w:rPr>
        <w:t xml:space="preserve"> </w:t>
      </w:r>
      <w:r w:rsidR="0012160B">
        <w:rPr>
          <w:rFonts w:ascii="Arial" w:hAnsi="Arial" w:cs="Arial"/>
          <w:sz w:val="18"/>
          <w:szCs w:val="18"/>
        </w:rPr>
        <w:t>utilizar</w:t>
      </w:r>
      <w:r w:rsidR="00740529">
        <w:rPr>
          <w:rFonts w:ascii="Arial" w:hAnsi="Arial" w:cs="Arial"/>
          <w:sz w:val="18"/>
          <w:szCs w:val="18"/>
        </w:rPr>
        <w:t xml:space="preserve"> la calificación internacional</w:t>
      </w:r>
      <w:r w:rsidRPr="001B6743">
        <w:rPr>
          <w:rFonts w:ascii="Arial" w:hAnsi="Arial" w:cs="Arial"/>
          <w:sz w:val="18"/>
          <w:szCs w:val="18"/>
        </w:rPr>
        <w:t xml:space="preserve"> otorgada por una </w:t>
      </w:r>
      <w:r w:rsidR="00740529">
        <w:rPr>
          <w:rFonts w:ascii="Arial" w:hAnsi="Arial" w:cs="Arial"/>
          <w:sz w:val="18"/>
          <w:szCs w:val="18"/>
        </w:rPr>
        <w:t xml:space="preserve">sociedad </w:t>
      </w:r>
      <w:r w:rsidRPr="001B6743">
        <w:rPr>
          <w:rFonts w:ascii="Arial" w:hAnsi="Arial" w:cs="Arial"/>
          <w:sz w:val="18"/>
          <w:szCs w:val="18"/>
        </w:rPr>
        <w:t>calificadora internacionalmente reconocida</w:t>
      </w:r>
      <w:r w:rsidR="00E51F8C">
        <w:rPr>
          <w:rFonts w:ascii="Arial" w:hAnsi="Arial" w:cs="Arial"/>
          <w:sz w:val="18"/>
          <w:szCs w:val="18"/>
        </w:rPr>
        <w:t xml:space="preserve"> en los casos en que sea a través</w:t>
      </w:r>
      <w:r w:rsidR="00CF6537">
        <w:rPr>
          <w:rFonts w:ascii="Arial" w:hAnsi="Arial" w:cs="Arial"/>
          <w:sz w:val="18"/>
          <w:szCs w:val="18"/>
        </w:rPr>
        <w:t xml:space="preserve"> de</w:t>
      </w:r>
      <w:r w:rsidR="00E51F8C">
        <w:rPr>
          <w:rFonts w:ascii="Arial" w:hAnsi="Arial" w:cs="Arial"/>
          <w:sz w:val="18"/>
          <w:szCs w:val="18"/>
        </w:rPr>
        <w:t xml:space="preserve"> las sucursales, o ii) dar cumplimiento a las instrucciones señaladas en el subnumeral 2.4.4.1 del presente Capítulo.</w:t>
      </w:r>
    </w:p>
    <w:p w:rsidR="00D754A0" w:rsidRPr="00BC28E9" w:rsidRDefault="00D754A0" w:rsidP="00450E98">
      <w:pPr>
        <w:pStyle w:val="Textoindependiente3"/>
        <w:tabs>
          <w:tab w:val="left" w:pos="-720"/>
        </w:tabs>
        <w:suppressAutoHyphens/>
        <w:spacing w:after="0"/>
        <w:jc w:val="both"/>
        <w:rPr>
          <w:rFonts w:ascii="Arial" w:hAnsi="Arial" w:cs="Arial"/>
          <w:sz w:val="14"/>
          <w:szCs w:val="18"/>
        </w:rPr>
      </w:pPr>
    </w:p>
    <w:p w:rsidR="00450E98" w:rsidRDefault="002A2885" w:rsidP="00450E98">
      <w:pPr>
        <w:pStyle w:val="Textoindependiente3"/>
        <w:tabs>
          <w:tab w:val="left" w:pos="-720"/>
        </w:tabs>
        <w:suppressAutoHyphens/>
        <w:spacing w:after="0"/>
        <w:jc w:val="both"/>
        <w:rPr>
          <w:rFonts w:ascii="Arial" w:hAnsi="Arial" w:cs="Arial"/>
          <w:sz w:val="18"/>
          <w:szCs w:val="18"/>
        </w:rPr>
      </w:pPr>
      <w:r>
        <w:rPr>
          <w:rFonts w:ascii="Arial" w:hAnsi="Arial" w:cs="Arial"/>
          <w:sz w:val="18"/>
          <w:szCs w:val="18"/>
        </w:rPr>
        <w:t>Para los</w:t>
      </w:r>
      <w:r w:rsidRPr="001B6743">
        <w:rPr>
          <w:rFonts w:ascii="Arial" w:hAnsi="Arial" w:cs="Arial"/>
          <w:sz w:val="18"/>
          <w:szCs w:val="18"/>
        </w:rPr>
        <w:t xml:space="preserve"> activos, exposiciones y contingencias</w:t>
      </w:r>
      <w:r>
        <w:rPr>
          <w:rFonts w:ascii="Arial" w:hAnsi="Arial" w:cs="Arial"/>
          <w:sz w:val="18"/>
          <w:szCs w:val="18"/>
        </w:rPr>
        <w:t xml:space="preserve"> de las </w:t>
      </w:r>
      <w:r w:rsidR="00450E98" w:rsidRPr="001B6743">
        <w:rPr>
          <w:rFonts w:ascii="Arial" w:hAnsi="Arial" w:cs="Arial"/>
          <w:sz w:val="18"/>
          <w:szCs w:val="18"/>
        </w:rPr>
        <w:t xml:space="preserve">entidades extranjeras </w:t>
      </w:r>
      <w:r w:rsidR="001A7FDD">
        <w:rPr>
          <w:rFonts w:ascii="Arial" w:hAnsi="Arial" w:cs="Arial"/>
          <w:sz w:val="18"/>
          <w:szCs w:val="18"/>
        </w:rPr>
        <w:t xml:space="preserve">se debe utilizar la calificación internacional </w:t>
      </w:r>
      <w:proofErr w:type="gramStart"/>
      <w:r w:rsidR="001A7FDD">
        <w:rPr>
          <w:rFonts w:ascii="Arial" w:hAnsi="Arial" w:cs="Arial"/>
          <w:sz w:val="18"/>
          <w:szCs w:val="18"/>
        </w:rPr>
        <w:t>efectuada</w:t>
      </w:r>
      <w:proofErr w:type="gramEnd"/>
      <w:r w:rsidR="001A7FDD">
        <w:rPr>
          <w:rFonts w:ascii="Arial" w:hAnsi="Arial" w:cs="Arial"/>
          <w:sz w:val="18"/>
          <w:szCs w:val="18"/>
        </w:rPr>
        <w:t xml:space="preserve"> por una </w:t>
      </w:r>
      <w:r w:rsidR="00740529">
        <w:rPr>
          <w:rFonts w:ascii="Arial" w:hAnsi="Arial" w:cs="Arial"/>
          <w:sz w:val="18"/>
          <w:szCs w:val="18"/>
        </w:rPr>
        <w:t xml:space="preserve">sociedad </w:t>
      </w:r>
      <w:r w:rsidR="001A7FDD">
        <w:rPr>
          <w:rFonts w:ascii="Arial" w:hAnsi="Arial" w:cs="Arial"/>
          <w:sz w:val="18"/>
          <w:szCs w:val="18"/>
        </w:rPr>
        <w:t>calificadora de riesgos internacionalmente reconocida</w:t>
      </w:r>
      <w:r w:rsidR="005C5718">
        <w:rPr>
          <w:rFonts w:ascii="Arial" w:hAnsi="Arial" w:cs="Arial"/>
          <w:sz w:val="18"/>
          <w:szCs w:val="18"/>
        </w:rPr>
        <w:t>, incluidas a</w:t>
      </w:r>
      <w:r w:rsidR="001A7FDD">
        <w:rPr>
          <w:rFonts w:ascii="Arial" w:hAnsi="Arial" w:cs="Arial"/>
          <w:sz w:val="18"/>
          <w:szCs w:val="18"/>
        </w:rPr>
        <w:t xml:space="preserve">quellas entidades que estén </w:t>
      </w:r>
      <w:r w:rsidR="00450E98" w:rsidRPr="001B6743">
        <w:rPr>
          <w:rFonts w:ascii="Arial" w:hAnsi="Arial" w:cs="Arial"/>
          <w:sz w:val="18"/>
          <w:szCs w:val="18"/>
        </w:rPr>
        <w:t>inscritas en el Registro Nacional de Valores y Emisores (RNVE) cuyos valores se negocien en el mercado nacional</w:t>
      </w:r>
      <w:r w:rsidR="001A7FDD">
        <w:rPr>
          <w:rFonts w:ascii="Arial" w:hAnsi="Arial" w:cs="Arial"/>
          <w:sz w:val="18"/>
          <w:szCs w:val="18"/>
        </w:rPr>
        <w:t>.</w:t>
      </w:r>
    </w:p>
    <w:p w:rsidR="004101A5" w:rsidRDefault="004101A5" w:rsidP="00011189">
      <w:pPr>
        <w:jc w:val="both"/>
        <w:rPr>
          <w:rFonts w:ascii="Arial" w:hAnsi="Arial" w:cs="Arial"/>
          <w:sz w:val="18"/>
          <w:szCs w:val="18"/>
        </w:rPr>
      </w:pPr>
    </w:p>
    <w:p w:rsidR="0012160B" w:rsidRDefault="0012160B" w:rsidP="00011189">
      <w:pPr>
        <w:jc w:val="both"/>
        <w:rPr>
          <w:rFonts w:ascii="Arial" w:hAnsi="Arial" w:cs="Arial"/>
          <w:sz w:val="18"/>
          <w:szCs w:val="18"/>
        </w:rPr>
      </w:pPr>
      <w:r>
        <w:rPr>
          <w:rFonts w:ascii="Arial" w:hAnsi="Arial" w:cs="Arial"/>
          <w:sz w:val="18"/>
          <w:szCs w:val="18"/>
        </w:rPr>
        <w:t xml:space="preserve">En </w:t>
      </w:r>
      <w:r w:rsidR="00865C80">
        <w:rPr>
          <w:rFonts w:ascii="Arial" w:hAnsi="Arial" w:cs="Arial"/>
          <w:sz w:val="18"/>
          <w:szCs w:val="18"/>
        </w:rPr>
        <w:t xml:space="preserve">el caso </w:t>
      </w:r>
      <w:r>
        <w:rPr>
          <w:rFonts w:ascii="Arial" w:hAnsi="Arial" w:cs="Arial"/>
          <w:sz w:val="18"/>
          <w:szCs w:val="18"/>
        </w:rPr>
        <w:t>e</w:t>
      </w:r>
      <w:r w:rsidR="00865C80">
        <w:rPr>
          <w:rFonts w:ascii="Arial" w:hAnsi="Arial" w:cs="Arial"/>
          <w:sz w:val="18"/>
          <w:szCs w:val="18"/>
        </w:rPr>
        <w:t>n</w:t>
      </w:r>
      <w:r>
        <w:rPr>
          <w:rFonts w:ascii="Arial" w:hAnsi="Arial" w:cs="Arial"/>
          <w:sz w:val="18"/>
          <w:szCs w:val="18"/>
        </w:rPr>
        <w:t xml:space="preserve"> que no exista una calificación de riesgo específica de </w:t>
      </w:r>
      <w:r w:rsidRPr="001B6743">
        <w:rPr>
          <w:rFonts w:ascii="Arial" w:hAnsi="Arial" w:cs="Arial"/>
          <w:sz w:val="18"/>
          <w:szCs w:val="18"/>
        </w:rPr>
        <w:t>los activos, exposiciones y contingencias</w:t>
      </w:r>
      <w:r w:rsidR="007B322A">
        <w:rPr>
          <w:rFonts w:ascii="Arial" w:hAnsi="Arial" w:cs="Arial"/>
          <w:sz w:val="18"/>
          <w:szCs w:val="18"/>
        </w:rPr>
        <w:t>, la entidad</w:t>
      </w:r>
      <w:r>
        <w:rPr>
          <w:rFonts w:ascii="Arial" w:hAnsi="Arial" w:cs="Arial"/>
          <w:sz w:val="18"/>
          <w:szCs w:val="18"/>
        </w:rPr>
        <w:t xml:space="preserve"> podrá utilizar el porcentaje de ponderación correspondiente a otro activo, exposición o contingencia del mismo emisor o contraparte o la calificación del emisor o contraparte, siempre que cumpla las siguientes condiciones:</w:t>
      </w:r>
    </w:p>
    <w:p w:rsidR="007B322A" w:rsidRDefault="007B322A" w:rsidP="00011189">
      <w:pPr>
        <w:jc w:val="both"/>
        <w:rPr>
          <w:rFonts w:ascii="Arial" w:hAnsi="Arial" w:cs="Arial"/>
          <w:sz w:val="18"/>
          <w:szCs w:val="18"/>
        </w:rPr>
      </w:pPr>
    </w:p>
    <w:p w:rsidR="0012160B" w:rsidRDefault="0012160B" w:rsidP="002A1090">
      <w:pPr>
        <w:pStyle w:val="Prrafodelista"/>
        <w:numPr>
          <w:ilvl w:val="0"/>
          <w:numId w:val="36"/>
        </w:numPr>
        <w:jc w:val="both"/>
        <w:rPr>
          <w:rFonts w:ascii="Arial" w:hAnsi="Arial" w:cs="Arial"/>
          <w:sz w:val="18"/>
          <w:szCs w:val="18"/>
        </w:rPr>
      </w:pPr>
      <w:r>
        <w:rPr>
          <w:rFonts w:ascii="Arial" w:hAnsi="Arial" w:cs="Arial"/>
          <w:sz w:val="18"/>
          <w:szCs w:val="18"/>
        </w:rPr>
        <w:t xml:space="preserve">Que </w:t>
      </w:r>
      <w:r w:rsidR="007B322A">
        <w:rPr>
          <w:rFonts w:ascii="Arial" w:hAnsi="Arial" w:cs="Arial"/>
          <w:sz w:val="18"/>
          <w:szCs w:val="18"/>
        </w:rPr>
        <w:t>el activo, exposici</w:t>
      </w:r>
      <w:r w:rsidR="00A03405">
        <w:rPr>
          <w:rFonts w:ascii="Arial" w:hAnsi="Arial" w:cs="Arial"/>
          <w:sz w:val="18"/>
          <w:szCs w:val="18"/>
        </w:rPr>
        <w:t>ó</w:t>
      </w:r>
      <w:r w:rsidR="007B322A">
        <w:rPr>
          <w:rFonts w:ascii="Arial" w:hAnsi="Arial" w:cs="Arial"/>
          <w:sz w:val="18"/>
          <w:szCs w:val="18"/>
        </w:rPr>
        <w:t xml:space="preserve">n </w:t>
      </w:r>
      <w:r w:rsidR="00A03405">
        <w:rPr>
          <w:rFonts w:ascii="Arial" w:hAnsi="Arial" w:cs="Arial"/>
          <w:sz w:val="18"/>
          <w:szCs w:val="18"/>
        </w:rPr>
        <w:t>y</w:t>
      </w:r>
      <w:r w:rsidR="007B322A">
        <w:rPr>
          <w:rFonts w:ascii="Arial" w:hAnsi="Arial" w:cs="Arial"/>
          <w:sz w:val="18"/>
          <w:szCs w:val="18"/>
        </w:rPr>
        <w:t xml:space="preserve"> contingencia</w:t>
      </w:r>
      <w:r>
        <w:rPr>
          <w:rFonts w:ascii="Arial" w:hAnsi="Arial" w:cs="Arial"/>
          <w:sz w:val="18"/>
          <w:szCs w:val="18"/>
        </w:rPr>
        <w:t xml:space="preserve"> no calificado no sea subordinado y esté denominado en la moneda legal en curso del domicilio del emisor. </w:t>
      </w:r>
    </w:p>
    <w:p w:rsidR="0012160B" w:rsidRPr="002A1090" w:rsidRDefault="0012160B" w:rsidP="002A1090">
      <w:pPr>
        <w:pStyle w:val="Prrafodelista"/>
        <w:numPr>
          <w:ilvl w:val="0"/>
          <w:numId w:val="36"/>
        </w:numPr>
        <w:jc w:val="both"/>
        <w:rPr>
          <w:rFonts w:ascii="Arial" w:hAnsi="Arial" w:cs="Arial"/>
          <w:sz w:val="18"/>
          <w:szCs w:val="18"/>
        </w:rPr>
      </w:pPr>
      <w:r>
        <w:rPr>
          <w:rFonts w:ascii="Arial" w:hAnsi="Arial" w:cs="Arial"/>
          <w:sz w:val="18"/>
          <w:szCs w:val="18"/>
        </w:rPr>
        <w:t xml:space="preserve">Que la calificación de riesgo específica no corresponda a un activo o contingencia de corto plazo. </w:t>
      </w:r>
    </w:p>
    <w:p w:rsidR="0059221D" w:rsidRDefault="0059221D" w:rsidP="00450E98">
      <w:pPr>
        <w:jc w:val="both"/>
        <w:rPr>
          <w:rFonts w:ascii="Arial" w:hAnsi="Arial" w:cs="Arial"/>
          <w:sz w:val="18"/>
          <w:szCs w:val="18"/>
        </w:rPr>
      </w:pPr>
    </w:p>
    <w:p w:rsidR="00D92D87" w:rsidRDefault="00D92D87" w:rsidP="002A1090">
      <w:pPr>
        <w:jc w:val="both"/>
        <w:outlineLvl w:val="2"/>
        <w:rPr>
          <w:rFonts w:ascii="Arial" w:hAnsi="Arial" w:cs="Arial"/>
          <w:sz w:val="18"/>
          <w:szCs w:val="18"/>
        </w:rPr>
      </w:pPr>
      <w:r>
        <w:rPr>
          <w:rFonts w:ascii="Arial" w:hAnsi="Arial" w:cs="Arial"/>
          <w:sz w:val="18"/>
          <w:szCs w:val="18"/>
        </w:rPr>
        <w:t>En el ca</w:t>
      </w:r>
      <w:r w:rsidR="003A48EE">
        <w:rPr>
          <w:rFonts w:ascii="Arial" w:hAnsi="Arial" w:cs="Arial"/>
          <w:sz w:val="18"/>
          <w:szCs w:val="18"/>
        </w:rPr>
        <w:t>so en que no se cumpla con</w:t>
      </w:r>
      <w:r>
        <w:rPr>
          <w:rFonts w:ascii="Arial" w:hAnsi="Arial" w:cs="Arial"/>
          <w:sz w:val="18"/>
          <w:szCs w:val="18"/>
        </w:rPr>
        <w:t xml:space="preserve"> </w:t>
      </w:r>
      <w:r w:rsidR="007B322A">
        <w:rPr>
          <w:rFonts w:ascii="Arial" w:hAnsi="Arial" w:cs="Arial"/>
          <w:sz w:val="18"/>
          <w:szCs w:val="18"/>
        </w:rPr>
        <w:t>los dos requisitos antes</w:t>
      </w:r>
      <w:r>
        <w:rPr>
          <w:rFonts w:ascii="Arial" w:hAnsi="Arial" w:cs="Arial"/>
          <w:sz w:val="18"/>
          <w:szCs w:val="18"/>
        </w:rPr>
        <w:t xml:space="preserve"> señalados</w:t>
      </w:r>
      <w:r w:rsidR="007B322A">
        <w:rPr>
          <w:rFonts w:ascii="Arial" w:hAnsi="Arial" w:cs="Arial"/>
          <w:sz w:val="18"/>
          <w:szCs w:val="18"/>
        </w:rPr>
        <w:t>, las entidades</w:t>
      </w:r>
      <w:r>
        <w:rPr>
          <w:rFonts w:ascii="Arial" w:hAnsi="Arial" w:cs="Arial"/>
          <w:sz w:val="18"/>
          <w:szCs w:val="18"/>
        </w:rPr>
        <w:t xml:space="preserve"> deben utilizar los porcentajes de ponderación sin calificación a que haya lugar</w:t>
      </w:r>
      <w:r w:rsidR="00740529">
        <w:rPr>
          <w:rFonts w:ascii="Arial" w:hAnsi="Arial" w:cs="Arial"/>
          <w:sz w:val="18"/>
          <w:szCs w:val="18"/>
        </w:rPr>
        <w:t xml:space="preserve">, conforme a lo establecido en </w:t>
      </w:r>
      <w:r w:rsidR="007B322A">
        <w:rPr>
          <w:rFonts w:ascii="Arial" w:hAnsi="Arial" w:cs="Arial"/>
          <w:sz w:val="18"/>
          <w:szCs w:val="18"/>
        </w:rPr>
        <w:t>el artículo 2.1.1</w:t>
      </w:r>
      <w:r w:rsidR="00865C80">
        <w:rPr>
          <w:rFonts w:ascii="Arial" w:hAnsi="Arial" w:cs="Arial"/>
          <w:sz w:val="18"/>
          <w:szCs w:val="18"/>
        </w:rPr>
        <w:t>.</w:t>
      </w:r>
      <w:r w:rsidR="007B322A">
        <w:rPr>
          <w:rFonts w:ascii="Arial" w:hAnsi="Arial" w:cs="Arial"/>
          <w:sz w:val="18"/>
          <w:szCs w:val="18"/>
        </w:rPr>
        <w:t>3.2. del D</w:t>
      </w:r>
      <w:r>
        <w:rPr>
          <w:rFonts w:ascii="Arial" w:hAnsi="Arial" w:cs="Arial"/>
          <w:sz w:val="18"/>
          <w:szCs w:val="18"/>
        </w:rPr>
        <w:t xml:space="preserve">ecreto 2555 de 2010. </w:t>
      </w:r>
    </w:p>
    <w:p w:rsidR="00D92D87" w:rsidRPr="002A1090" w:rsidRDefault="00D92D87" w:rsidP="002A1090">
      <w:pPr>
        <w:jc w:val="both"/>
        <w:outlineLvl w:val="2"/>
        <w:rPr>
          <w:rFonts w:ascii="Arial" w:hAnsi="Arial" w:cs="Arial"/>
          <w:sz w:val="18"/>
          <w:szCs w:val="18"/>
        </w:rPr>
      </w:pPr>
    </w:p>
    <w:p w:rsidR="004D729D" w:rsidRPr="00E343EE" w:rsidRDefault="004D729D" w:rsidP="00E343EE">
      <w:pPr>
        <w:pStyle w:val="Prrafodelista"/>
        <w:numPr>
          <w:ilvl w:val="3"/>
          <w:numId w:val="38"/>
        </w:numPr>
        <w:jc w:val="both"/>
        <w:outlineLvl w:val="2"/>
        <w:rPr>
          <w:rFonts w:ascii="Arial" w:hAnsi="Arial" w:cs="Arial"/>
          <w:sz w:val="18"/>
          <w:szCs w:val="18"/>
        </w:rPr>
      </w:pPr>
      <w:r w:rsidRPr="00E343EE">
        <w:rPr>
          <w:rFonts w:ascii="Arial" w:hAnsi="Arial" w:cs="Arial"/>
          <w:sz w:val="18"/>
          <w:szCs w:val="18"/>
        </w:rPr>
        <w:t xml:space="preserve">Calificación de </w:t>
      </w:r>
      <w:r w:rsidR="00994EFF" w:rsidRPr="00E343EE">
        <w:rPr>
          <w:rFonts w:ascii="Arial" w:hAnsi="Arial" w:cs="Arial"/>
          <w:sz w:val="18"/>
          <w:szCs w:val="18"/>
        </w:rPr>
        <w:t xml:space="preserve">los activos, exposiciones y contingencias </w:t>
      </w:r>
      <w:r w:rsidR="001A7FDD" w:rsidRPr="00E343EE">
        <w:rPr>
          <w:rFonts w:ascii="Arial" w:hAnsi="Arial" w:cs="Arial"/>
          <w:sz w:val="18"/>
          <w:szCs w:val="18"/>
        </w:rPr>
        <w:t xml:space="preserve">de las subordinadas en </w:t>
      </w:r>
      <w:r w:rsidRPr="00E343EE">
        <w:rPr>
          <w:rFonts w:ascii="Arial" w:hAnsi="Arial" w:cs="Arial"/>
          <w:sz w:val="18"/>
          <w:szCs w:val="18"/>
        </w:rPr>
        <w:t>el exterior</w:t>
      </w:r>
    </w:p>
    <w:p w:rsidR="004D729D" w:rsidRDefault="004D729D" w:rsidP="004D729D">
      <w:pPr>
        <w:jc w:val="both"/>
        <w:rPr>
          <w:rFonts w:ascii="Arial" w:hAnsi="Arial" w:cs="Arial"/>
          <w:sz w:val="18"/>
          <w:szCs w:val="18"/>
        </w:rPr>
      </w:pPr>
    </w:p>
    <w:p w:rsidR="009E37AA" w:rsidRDefault="004D729D" w:rsidP="004D729D">
      <w:pPr>
        <w:jc w:val="both"/>
        <w:rPr>
          <w:rFonts w:ascii="Arial" w:hAnsi="Arial" w:cs="Arial"/>
          <w:sz w:val="18"/>
          <w:szCs w:val="18"/>
        </w:rPr>
      </w:pPr>
      <w:r>
        <w:rPr>
          <w:rFonts w:ascii="Arial" w:hAnsi="Arial" w:cs="Arial"/>
          <w:sz w:val="18"/>
          <w:szCs w:val="18"/>
        </w:rPr>
        <w:t xml:space="preserve">Cuando se trate de </w:t>
      </w:r>
      <w:r w:rsidR="009E37AA">
        <w:rPr>
          <w:rFonts w:ascii="Arial" w:hAnsi="Arial" w:cs="Arial"/>
          <w:sz w:val="18"/>
          <w:szCs w:val="18"/>
        </w:rPr>
        <w:t xml:space="preserve">activos, exposiciones o contingencias de las subordinadas </w:t>
      </w:r>
      <w:r>
        <w:rPr>
          <w:rFonts w:ascii="Arial" w:hAnsi="Arial" w:cs="Arial"/>
          <w:sz w:val="18"/>
          <w:szCs w:val="18"/>
        </w:rPr>
        <w:t xml:space="preserve">en el exterior </w:t>
      </w:r>
      <w:r w:rsidR="00740529">
        <w:rPr>
          <w:rFonts w:ascii="Arial" w:hAnsi="Arial" w:cs="Arial"/>
          <w:sz w:val="18"/>
          <w:szCs w:val="18"/>
        </w:rPr>
        <w:t xml:space="preserve">se </w:t>
      </w:r>
      <w:r w:rsidR="009E37AA">
        <w:rPr>
          <w:rFonts w:ascii="Arial" w:hAnsi="Arial" w:cs="Arial"/>
          <w:sz w:val="18"/>
          <w:szCs w:val="18"/>
        </w:rPr>
        <w:t xml:space="preserve">deben </w:t>
      </w:r>
      <w:r w:rsidR="00740529">
        <w:rPr>
          <w:rFonts w:ascii="Arial" w:hAnsi="Arial" w:cs="Arial"/>
          <w:sz w:val="18"/>
          <w:szCs w:val="18"/>
        </w:rPr>
        <w:t>aplicar</w:t>
      </w:r>
      <w:r w:rsidR="009E37AA">
        <w:rPr>
          <w:rFonts w:ascii="Arial" w:hAnsi="Arial" w:cs="Arial"/>
          <w:sz w:val="18"/>
          <w:szCs w:val="18"/>
        </w:rPr>
        <w:t xml:space="preserve"> las siguientes instrucciones:</w:t>
      </w:r>
    </w:p>
    <w:p w:rsidR="009E37AA" w:rsidRDefault="009E37AA" w:rsidP="004D729D">
      <w:pPr>
        <w:jc w:val="both"/>
        <w:rPr>
          <w:rFonts w:ascii="Arial" w:hAnsi="Arial" w:cs="Arial"/>
          <w:sz w:val="18"/>
          <w:szCs w:val="18"/>
        </w:rPr>
      </w:pPr>
    </w:p>
    <w:p w:rsidR="00994EFF" w:rsidRPr="00C54243" w:rsidRDefault="00994EFF" w:rsidP="00994EFF">
      <w:pPr>
        <w:pStyle w:val="Prrafodelista"/>
        <w:numPr>
          <w:ilvl w:val="0"/>
          <w:numId w:val="18"/>
        </w:numPr>
        <w:jc w:val="both"/>
        <w:rPr>
          <w:rFonts w:ascii="Arial" w:hAnsi="Arial" w:cs="Arial"/>
          <w:sz w:val="18"/>
          <w:szCs w:val="18"/>
        </w:rPr>
      </w:pPr>
      <w:r>
        <w:rPr>
          <w:rFonts w:ascii="Arial" w:hAnsi="Arial" w:cs="Arial"/>
          <w:color w:val="000000" w:themeColor="text1"/>
          <w:sz w:val="18"/>
          <w:szCs w:val="18"/>
        </w:rPr>
        <w:t xml:space="preserve">Se deben utilizar </w:t>
      </w:r>
      <w:r w:rsidRPr="00EF0B24">
        <w:rPr>
          <w:rFonts w:ascii="Arial" w:hAnsi="Arial" w:cs="Arial"/>
          <w:color w:val="000000" w:themeColor="text1"/>
          <w:sz w:val="18"/>
          <w:szCs w:val="18"/>
        </w:rPr>
        <w:t xml:space="preserve">las calificadoras internacionalmente reconocidas. </w:t>
      </w:r>
    </w:p>
    <w:p w:rsidR="00994EFF" w:rsidRDefault="00994EFF" w:rsidP="00994EFF">
      <w:pPr>
        <w:pStyle w:val="Prrafodelista"/>
        <w:numPr>
          <w:ilvl w:val="0"/>
          <w:numId w:val="18"/>
        </w:numPr>
        <w:jc w:val="both"/>
        <w:rPr>
          <w:rFonts w:ascii="Arial" w:hAnsi="Arial" w:cs="Arial"/>
          <w:sz w:val="18"/>
          <w:szCs w:val="18"/>
        </w:rPr>
      </w:pPr>
      <w:r>
        <w:rPr>
          <w:rFonts w:ascii="Arial" w:hAnsi="Arial" w:cs="Arial"/>
          <w:color w:val="000000" w:themeColor="text1"/>
          <w:sz w:val="18"/>
          <w:szCs w:val="18"/>
        </w:rPr>
        <w:t xml:space="preserve">Se deben homologar </w:t>
      </w:r>
      <w:r w:rsidRPr="0042444B">
        <w:rPr>
          <w:rFonts w:ascii="Arial" w:hAnsi="Arial" w:cs="Arial"/>
          <w:color w:val="000000" w:themeColor="text1"/>
          <w:sz w:val="18"/>
          <w:szCs w:val="18"/>
        </w:rPr>
        <w:t>las referencias a:</w:t>
      </w:r>
      <w:r w:rsidRPr="00483E0D">
        <w:rPr>
          <w:rFonts w:ascii="Arial" w:hAnsi="Arial" w:cs="Arial"/>
          <w:color w:val="000000" w:themeColor="text1"/>
          <w:sz w:val="18"/>
          <w:szCs w:val="18"/>
        </w:rPr>
        <w:t xml:space="preserve"> Nación, S</w:t>
      </w:r>
      <w:r>
        <w:rPr>
          <w:rFonts w:ascii="Arial" w:hAnsi="Arial" w:cs="Arial"/>
          <w:color w:val="000000" w:themeColor="text1"/>
          <w:sz w:val="18"/>
          <w:szCs w:val="18"/>
        </w:rPr>
        <w:t>FC</w:t>
      </w:r>
      <w:r w:rsidRPr="0042444B">
        <w:rPr>
          <w:rFonts w:ascii="Arial" w:hAnsi="Arial" w:cs="Arial"/>
          <w:color w:val="000000" w:themeColor="text1"/>
          <w:sz w:val="18"/>
          <w:szCs w:val="18"/>
        </w:rPr>
        <w:t xml:space="preserve">, Banco de la República, </w:t>
      </w:r>
      <w:r w:rsidR="00B73499">
        <w:rPr>
          <w:rFonts w:ascii="Arial" w:hAnsi="Arial" w:cs="Arial"/>
          <w:color w:val="000000" w:themeColor="text1"/>
          <w:sz w:val="18"/>
          <w:szCs w:val="18"/>
        </w:rPr>
        <w:t>Fondo de Garantías de Instituciones Financieras (</w:t>
      </w:r>
      <w:r w:rsidR="00DF4CC3" w:rsidRPr="0042444B">
        <w:rPr>
          <w:rFonts w:ascii="Arial" w:hAnsi="Arial" w:cs="Arial"/>
          <w:color w:val="000000" w:themeColor="text1"/>
          <w:sz w:val="18"/>
          <w:szCs w:val="18"/>
        </w:rPr>
        <w:t>Fogafin</w:t>
      </w:r>
      <w:r w:rsidR="00B73499">
        <w:rPr>
          <w:rFonts w:ascii="Arial" w:hAnsi="Arial" w:cs="Arial"/>
          <w:color w:val="000000" w:themeColor="text1"/>
          <w:sz w:val="18"/>
          <w:szCs w:val="18"/>
        </w:rPr>
        <w:t>)</w:t>
      </w:r>
      <w:r w:rsidRPr="0042444B">
        <w:rPr>
          <w:rFonts w:ascii="Arial" w:hAnsi="Arial" w:cs="Arial"/>
          <w:color w:val="000000" w:themeColor="text1"/>
          <w:sz w:val="18"/>
          <w:szCs w:val="18"/>
        </w:rPr>
        <w:t xml:space="preserve">, </w:t>
      </w:r>
      <w:r w:rsidR="00B73499">
        <w:rPr>
          <w:rFonts w:ascii="Arial" w:hAnsi="Arial" w:cs="Arial"/>
          <w:color w:val="000000" w:themeColor="text1"/>
          <w:sz w:val="18"/>
          <w:szCs w:val="18"/>
        </w:rPr>
        <w:t>Fondo de Garantías de Entidades Cooperativas (</w:t>
      </w:r>
      <w:r w:rsidRPr="0042444B">
        <w:rPr>
          <w:rFonts w:ascii="Arial" w:hAnsi="Arial" w:cs="Arial"/>
          <w:color w:val="000000" w:themeColor="text1"/>
          <w:sz w:val="18"/>
          <w:szCs w:val="18"/>
        </w:rPr>
        <w:t>Fogacoop</w:t>
      </w:r>
      <w:r w:rsidR="00B73499">
        <w:rPr>
          <w:rFonts w:ascii="Arial" w:hAnsi="Arial" w:cs="Arial"/>
          <w:color w:val="000000" w:themeColor="text1"/>
          <w:sz w:val="18"/>
          <w:szCs w:val="18"/>
        </w:rPr>
        <w:t>)</w:t>
      </w:r>
      <w:r w:rsidRPr="0042444B">
        <w:rPr>
          <w:rFonts w:ascii="Arial" w:hAnsi="Arial" w:cs="Arial"/>
          <w:color w:val="000000" w:themeColor="text1"/>
          <w:sz w:val="18"/>
          <w:szCs w:val="18"/>
        </w:rPr>
        <w:t xml:space="preserve"> y Cámara de Riesgo Central de Contraparte (CRCC), por su equivalente en el país correspondiente</w:t>
      </w:r>
      <w:r w:rsidR="00B73499">
        <w:rPr>
          <w:rFonts w:ascii="Arial" w:hAnsi="Arial" w:cs="Arial"/>
          <w:color w:val="000000" w:themeColor="text1"/>
          <w:sz w:val="18"/>
          <w:szCs w:val="18"/>
        </w:rPr>
        <w:t>.</w:t>
      </w:r>
    </w:p>
    <w:p w:rsidR="009E37AA" w:rsidRDefault="009E37AA" w:rsidP="00513595">
      <w:pPr>
        <w:pStyle w:val="Prrafodelista"/>
        <w:numPr>
          <w:ilvl w:val="0"/>
          <w:numId w:val="18"/>
        </w:numPr>
        <w:jc w:val="both"/>
        <w:rPr>
          <w:rFonts w:ascii="Arial" w:hAnsi="Arial" w:cs="Arial"/>
          <w:sz w:val="18"/>
          <w:szCs w:val="18"/>
        </w:rPr>
      </w:pPr>
      <w:r w:rsidRPr="00E90926">
        <w:rPr>
          <w:rFonts w:ascii="Arial" w:hAnsi="Arial" w:cs="Arial"/>
          <w:sz w:val="18"/>
          <w:szCs w:val="18"/>
        </w:rPr>
        <w:t xml:space="preserve">Tratándose de países con calificación soberana de largo plazo en la categoría </w:t>
      </w:r>
      <w:r>
        <w:rPr>
          <w:rFonts w:ascii="Arial" w:hAnsi="Arial" w:cs="Arial"/>
          <w:sz w:val="18"/>
          <w:szCs w:val="18"/>
        </w:rPr>
        <w:t>grado de inversión</w:t>
      </w:r>
      <w:r w:rsidR="00740529">
        <w:rPr>
          <w:rFonts w:ascii="Arial" w:hAnsi="Arial" w:cs="Arial"/>
          <w:sz w:val="18"/>
          <w:szCs w:val="18"/>
        </w:rPr>
        <w:t xml:space="preserve"> se</w:t>
      </w:r>
      <w:r w:rsidRPr="00E90926">
        <w:rPr>
          <w:rFonts w:ascii="Arial" w:hAnsi="Arial" w:cs="Arial"/>
          <w:sz w:val="18"/>
          <w:szCs w:val="18"/>
        </w:rPr>
        <w:t xml:space="preserve"> debe utilizar la escala de ponderación de riesgo asignada a la contraparte en </w:t>
      </w:r>
      <w:r w:rsidR="00994EFF">
        <w:rPr>
          <w:rFonts w:ascii="Arial" w:hAnsi="Arial" w:cs="Arial"/>
          <w:sz w:val="18"/>
          <w:szCs w:val="18"/>
        </w:rPr>
        <w:t xml:space="preserve">la escala </w:t>
      </w:r>
      <w:r w:rsidRPr="00E90926">
        <w:rPr>
          <w:rFonts w:ascii="Arial" w:hAnsi="Arial" w:cs="Arial"/>
          <w:sz w:val="18"/>
          <w:szCs w:val="18"/>
        </w:rPr>
        <w:t xml:space="preserve">de calificación establecida </w:t>
      </w:r>
      <w:r w:rsidR="00957753">
        <w:rPr>
          <w:rFonts w:ascii="Arial" w:hAnsi="Arial" w:cs="Arial"/>
          <w:sz w:val="18"/>
          <w:szCs w:val="18"/>
        </w:rPr>
        <w:t xml:space="preserve">en </w:t>
      </w:r>
      <w:r w:rsidR="00994EFF">
        <w:rPr>
          <w:rFonts w:ascii="Arial" w:hAnsi="Arial" w:cs="Arial"/>
          <w:sz w:val="18"/>
          <w:szCs w:val="18"/>
        </w:rPr>
        <w:t xml:space="preserve">el </w:t>
      </w:r>
      <w:r w:rsidR="00957753">
        <w:rPr>
          <w:rFonts w:ascii="Arial" w:hAnsi="Arial" w:cs="Arial"/>
          <w:sz w:val="18"/>
          <w:szCs w:val="18"/>
        </w:rPr>
        <w:t>artículo 2</w:t>
      </w:r>
      <w:r w:rsidR="00611938">
        <w:rPr>
          <w:rFonts w:ascii="Arial" w:hAnsi="Arial" w:cs="Arial"/>
          <w:sz w:val="18"/>
          <w:szCs w:val="18"/>
        </w:rPr>
        <w:t>.</w:t>
      </w:r>
      <w:r w:rsidR="00957753">
        <w:rPr>
          <w:rFonts w:ascii="Arial" w:hAnsi="Arial" w:cs="Arial"/>
          <w:sz w:val="18"/>
          <w:szCs w:val="18"/>
        </w:rPr>
        <w:t>1.1.3.2 del Decreto 2555 de 2010</w:t>
      </w:r>
      <w:r>
        <w:rPr>
          <w:rFonts w:ascii="Arial" w:hAnsi="Arial" w:cs="Arial"/>
          <w:sz w:val="18"/>
          <w:szCs w:val="18"/>
        </w:rPr>
        <w:t>.</w:t>
      </w:r>
    </w:p>
    <w:p w:rsidR="00740529" w:rsidRDefault="00BF044E" w:rsidP="00513595">
      <w:pPr>
        <w:pStyle w:val="Prrafodelista"/>
        <w:numPr>
          <w:ilvl w:val="0"/>
          <w:numId w:val="18"/>
        </w:numPr>
        <w:jc w:val="both"/>
        <w:rPr>
          <w:rFonts w:ascii="Arial" w:hAnsi="Arial" w:cs="Arial"/>
          <w:sz w:val="18"/>
          <w:szCs w:val="18"/>
        </w:rPr>
      </w:pPr>
      <w:r w:rsidRPr="00E90926">
        <w:rPr>
          <w:rFonts w:ascii="Arial" w:hAnsi="Arial" w:cs="Arial"/>
          <w:sz w:val="18"/>
          <w:szCs w:val="18"/>
        </w:rPr>
        <w:t xml:space="preserve">Tratándose de países con calificación soberana de largo plazo </w:t>
      </w:r>
      <w:r w:rsidR="001A74C2">
        <w:rPr>
          <w:rFonts w:ascii="Arial" w:hAnsi="Arial" w:cs="Arial"/>
          <w:sz w:val="18"/>
          <w:szCs w:val="18"/>
        </w:rPr>
        <w:t xml:space="preserve">entre </w:t>
      </w:r>
      <w:r w:rsidRPr="00E90926">
        <w:rPr>
          <w:rFonts w:ascii="Arial" w:hAnsi="Arial" w:cs="Arial"/>
          <w:sz w:val="18"/>
          <w:szCs w:val="18"/>
        </w:rPr>
        <w:t xml:space="preserve">BB+ </w:t>
      </w:r>
      <w:r w:rsidR="001A74C2">
        <w:rPr>
          <w:rFonts w:ascii="Arial" w:hAnsi="Arial" w:cs="Arial"/>
          <w:sz w:val="18"/>
          <w:szCs w:val="18"/>
        </w:rPr>
        <w:t>y</w:t>
      </w:r>
      <w:r w:rsidRPr="00E90926">
        <w:rPr>
          <w:rFonts w:ascii="Arial" w:hAnsi="Arial" w:cs="Arial"/>
          <w:sz w:val="18"/>
          <w:szCs w:val="18"/>
        </w:rPr>
        <w:t xml:space="preserve"> B- </w:t>
      </w:r>
      <w:r w:rsidR="00740529">
        <w:rPr>
          <w:rFonts w:ascii="Arial" w:hAnsi="Arial" w:cs="Arial"/>
          <w:sz w:val="18"/>
          <w:szCs w:val="18"/>
        </w:rPr>
        <w:t xml:space="preserve">se </w:t>
      </w:r>
      <w:r w:rsidRPr="00E90926">
        <w:rPr>
          <w:rFonts w:ascii="Arial" w:hAnsi="Arial" w:cs="Arial"/>
          <w:sz w:val="18"/>
          <w:szCs w:val="18"/>
        </w:rPr>
        <w:t xml:space="preserve">debe </w:t>
      </w:r>
      <w:r w:rsidR="004D729D" w:rsidRPr="00E90926">
        <w:rPr>
          <w:rFonts w:ascii="Arial" w:hAnsi="Arial" w:cs="Arial"/>
          <w:sz w:val="18"/>
          <w:szCs w:val="18"/>
        </w:rPr>
        <w:t xml:space="preserve">utilizar </w:t>
      </w:r>
      <w:r w:rsidR="008250BC">
        <w:rPr>
          <w:rFonts w:ascii="Arial" w:hAnsi="Arial" w:cs="Arial"/>
          <w:sz w:val="18"/>
          <w:szCs w:val="18"/>
        </w:rPr>
        <w:t>l</w:t>
      </w:r>
      <w:r w:rsidR="001B6743">
        <w:rPr>
          <w:rFonts w:ascii="Arial" w:hAnsi="Arial" w:cs="Arial"/>
          <w:sz w:val="18"/>
          <w:szCs w:val="18"/>
        </w:rPr>
        <w:t>a</w:t>
      </w:r>
      <w:r w:rsidR="008250BC">
        <w:rPr>
          <w:rFonts w:ascii="Arial" w:hAnsi="Arial" w:cs="Arial"/>
          <w:sz w:val="18"/>
          <w:szCs w:val="18"/>
        </w:rPr>
        <w:t xml:space="preserve"> </w:t>
      </w:r>
      <w:r w:rsidR="004D729D" w:rsidRPr="00E90926">
        <w:rPr>
          <w:rFonts w:ascii="Arial" w:hAnsi="Arial" w:cs="Arial"/>
          <w:sz w:val="18"/>
          <w:szCs w:val="18"/>
        </w:rPr>
        <w:t xml:space="preserve">ponderación de </w:t>
      </w:r>
      <w:r w:rsidRPr="00E90926">
        <w:rPr>
          <w:rFonts w:ascii="Arial" w:hAnsi="Arial" w:cs="Arial"/>
          <w:sz w:val="18"/>
          <w:szCs w:val="18"/>
        </w:rPr>
        <w:t xml:space="preserve">riesgo </w:t>
      </w:r>
      <w:r w:rsidR="005C68E5">
        <w:rPr>
          <w:rFonts w:ascii="Arial" w:hAnsi="Arial" w:cs="Arial"/>
          <w:sz w:val="18"/>
          <w:szCs w:val="18"/>
        </w:rPr>
        <w:t>deteriorando</w:t>
      </w:r>
      <w:r w:rsidR="0016608E">
        <w:rPr>
          <w:rFonts w:ascii="Arial" w:hAnsi="Arial" w:cs="Arial"/>
          <w:sz w:val="18"/>
          <w:szCs w:val="18"/>
        </w:rPr>
        <w:t xml:space="preserve"> </w:t>
      </w:r>
      <w:r w:rsidR="00FC78EA">
        <w:rPr>
          <w:rFonts w:ascii="Arial" w:hAnsi="Arial" w:cs="Arial"/>
          <w:sz w:val="18"/>
          <w:szCs w:val="18"/>
        </w:rPr>
        <w:t xml:space="preserve">una </w:t>
      </w:r>
      <w:r w:rsidR="008250BC">
        <w:rPr>
          <w:rFonts w:ascii="Arial" w:hAnsi="Arial" w:cs="Arial"/>
          <w:sz w:val="18"/>
          <w:szCs w:val="18"/>
        </w:rPr>
        <w:t>escala de ponderación</w:t>
      </w:r>
      <w:r w:rsidR="0016608E">
        <w:rPr>
          <w:rFonts w:ascii="Arial" w:hAnsi="Arial" w:cs="Arial"/>
          <w:sz w:val="18"/>
          <w:szCs w:val="18"/>
        </w:rPr>
        <w:t xml:space="preserve"> </w:t>
      </w:r>
      <w:r w:rsidR="00FC78EA">
        <w:rPr>
          <w:rFonts w:ascii="Arial" w:hAnsi="Arial" w:cs="Arial"/>
          <w:sz w:val="18"/>
          <w:szCs w:val="18"/>
        </w:rPr>
        <w:t>a la que resulte aplicable</w:t>
      </w:r>
      <w:r w:rsidR="002A38EB">
        <w:rPr>
          <w:rFonts w:ascii="Arial" w:hAnsi="Arial" w:cs="Arial"/>
          <w:sz w:val="18"/>
          <w:szCs w:val="18"/>
        </w:rPr>
        <w:t xml:space="preserve"> a la contraparte</w:t>
      </w:r>
      <w:r w:rsidR="00740529">
        <w:rPr>
          <w:rFonts w:ascii="Arial" w:hAnsi="Arial" w:cs="Arial"/>
          <w:sz w:val="18"/>
          <w:szCs w:val="18"/>
        </w:rPr>
        <w:t>,</w:t>
      </w:r>
      <w:r w:rsidR="00FC78EA">
        <w:rPr>
          <w:rFonts w:ascii="Arial" w:hAnsi="Arial" w:cs="Arial"/>
          <w:sz w:val="18"/>
          <w:szCs w:val="18"/>
        </w:rPr>
        <w:t xml:space="preserve"> </w:t>
      </w:r>
      <w:r w:rsidR="00F46398">
        <w:rPr>
          <w:rFonts w:ascii="Arial" w:hAnsi="Arial" w:cs="Arial"/>
          <w:sz w:val="18"/>
          <w:szCs w:val="18"/>
        </w:rPr>
        <w:t xml:space="preserve">de </w:t>
      </w:r>
      <w:r w:rsidR="002A38EB">
        <w:rPr>
          <w:rFonts w:ascii="Arial" w:hAnsi="Arial" w:cs="Arial"/>
          <w:sz w:val="18"/>
          <w:szCs w:val="18"/>
        </w:rPr>
        <w:t>conformidad</w:t>
      </w:r>
      <w:r w:rsidR="00F46398">
        <w:rPr>
          <w:rFonts w:ascii="Arial" w:hAnsi="Arial" w:cs="Arial"/>
          <w:sz w:val="18"/>
          <w:szCs w:val="18"/>
        </w:rPr>
        <w:t xml:space="preserve"> con el artículo 2</w:t>
      </w:r>
      <w:r w:rsidR="00611938">
        <w:rPr>
          <w:rFonts w:ascii="Arial" w:hAnsi="Arial" w:cs="Arial"/>
          <w:sz w:val="18"/>
          <w:szCs w:val="18"/>
        </w:rPr>
        <w:t>.</w:t>
      </w:r>
      <w:r w:rsidR="00F46398">
        <w:rPr>
          <w:rFonts w:ascii="Arial" w:hAnsi="Arial" w:cs="Arial"/>
          <w:sz w:val="18"/>
          <w:szCs w:val="18"/>
        </w:rPr>
        <w:t>1.</w:t>
      </w:r>
      <w:r w:rsidR="006361C8">
        <w:rPr>
          <w:rFonts w:ascii="Arial" w:hAnsi="Arial" w:cs="Arial"/>
          <w:sz w:val="18"/>
          <w:szCs w:val="18"/>
        </w:rPr>
        <w:t>1.3.2 del Decreto 2555 de 2010</w:t>
      </w:r>
      <w:r w:rsidR="004D729D" w:rsidRPr="00E90926">
        <w:rPr>
          <w:rFonts w:ascii="Arial" w:hAnsi="Arial" w:cs="Arial"/>
          <w:sz w:val="18"/>
          <w:szCs w:val="18"/>
        </w:rPr>
        <w:t>.</w:t>
      </w:r>
      <w:r w:rsidR="00C5387E">
        <w:rPr>
          <w:rFonts w:ascii="Arial" w:hAnsi="Arial" w:cs="Arial"/>
          <w:sz w:val="18"/>
          <w:szCs w:val="18"/>
        </w:rPr>
        <w:t xml:space="preserve"> </w:t>
      </w:r>
    </w:p>
    <w:p w:rsidR="00740529" w:rsidRDefault="00740529" w:rsidP="00740529">
      <w:pPr>
        <w:pStyle w:val="Prrafodelista"/>
        <w:ind w:left="360"/>
        <w:jc w:val="both"/>
        <w:rPr>
          <w:rFonts w:ascii="Arial" w:hAnsi="Arial" w:cs="Arial"/>
          <w:sz w:val="18"/>
          <w:szCs w:val="18"/>
        </w:rPr>
      </w:pPr>
    </w:p>
    <w:p w:rsidR="004D729D" w:rsidRDefault="00740529" w:rsidP="00740529">
      <w:pPr>
        <w:pStyle w:val="Prrafodelista"/>
        <w:ind w:left="360"/>
        <w:jc w:val="both"/>
        <w:rPr>
          <w:rFonts w:ascii="Arial" w:hAnsi="Arial" w:cs="Arial"/>
          <w:sz w:val="18"/>
          <w:szCs w:val="18"/>
        </w:rPr>
      </w:pPr>
      <w:r>
        <w:rPr>
          <w:rFonts w:ascii="Arial" w:hAnsi="Arial" w:cs="Arial"/>
          <w:noProof/>
          <w:snapToGrid/>
          <w:sz w:val="18"/>
          <w:szCs w:val="18"/>
          <w:lang w:val="es-CO" w:eastAsia="es-CO"/>
        </w:rPr>
        <mc:AlternateContent>
          <mc:Choice Requires="wps">
            <w:drawing>
              <wp:anchor distT="0" distB="0" distL="114300" distR="114300" simplePos="0" relativeHeight="251660288" behindDoc="0" locked="0" layoutInCell="1" allowOverlap="1">
                <wp:simplePos x="0" y="0"/>
                <wp:positionH relativeFrom="column">
                  <wp:posOffset>3131396</wp:posOffset>
                </wp:positionH>
                <wp:positionV relativeFrom="paragraph">
                  <wp:posOffset>233468</wp:posOffset>
                </wp:positionV>
                <wp:extent cx="1707515" cy="195689"/>
                <wp:effectExtent l="0" t="0" r="26035" b="28575"/>
                <wp:wrapNone/>
                <wp:docPr id="3" name="Cuadro de texto 3"/>
                <wp:cNvGraphicFramePr/>
                <a:graphic xmlns:a="http://schemas.openxmlformats.org/drawingml/2006/main">
                  <a:graphicData uri="http://schemas.microsoft.com/office/word/2010/wordprocessingShape">
                    <wps:wsp>
                      <wps:cNvSpPr txBox="1"/>
                      <wps:spPr>
                        <a:xfrm>
                          <a:off x="0" y="0"/>
                          <a:ext cx="1707515" cy="195689"/>
                        </a:xfrm>
                        <a:prstGeom prst="rect">
                          <a:avLst/>
                        </a:prstGeom>
                        <a:noFill/>
                        <a:ln w="6350">
                          <a:solidFill>
                            <a:schemeClr val="bg1"/>
                          </a:solidFill>
                        </a:ln>
                      </wps:spPr>
                      <wps:txbx>
                        <w:txbxContent>
                          <w:p w:rsidR="00096FAB" w:rsidRPr="00045A0B" w:rsidRDefault="00096FAB">
                            <w:pPr>
                              <w:rPr>
                                <w:rFonts w:ascii="Arial" w:hAnsi="Arial" w:cs="Arial"/>
                                <w:sz w:val="12"/>
                                <w:szCs w:val="18"/>
                              </w:rPr>
                            </w:pPr>
                            <w:r w:rsidRPr="00045A0B">
                              <w:rPr>
                                <w:rFonts w:ascii="Arial" w:hAnsi="Arial" w:cs="Arial"/>
                                <w:sz w:val="12"/>
                                <w:szCs w:val="18"/>
                              </w:rPr>
                              <w:t>Deterioro de 1 escala de ponderación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id="_x0000_t202" coordsize="21600,21600" o:spt="202" path="m,l,21600r21600,l21600,xe">
                <v:stroke joinstyle="miter"/>
                <v:path gradientshapeok="t" o:connecttype="rect"/>
              </v:shapetype>
              <v:shape id="Cuadro de texto 3" o:spid="_x0000_s1026" type="#_x0000_t202" style="position:absolute;left:0;text-align:left;margin-left:246.55pt;margin-top:18.4pt;width:134.45pt;height:1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" filled="f" strokecolor="white [3212]" strokeweight=".5pt">
                <v:textbox>
                  <w:txbxContent>
                    <w:p w:rsidR="00096FAB" w:rsidRPr="00045A0B" w:rsidRDefault="00096FAB">
                      <w:pPr>
                        <w:rPr>
                          <w:rFonts w:ascii="Arial" w:hAnsi="Arial" w:cs="Arial"/>
                          <w:sz w:val="12"/>
                          <w:szCs w:val="18"/>
                        </w:rPr>
                      </w:pPr>
                      <w:r w:rsidRPr="00045A0B">
                        <w:rPr>
                          <w:rFonts w:ascii="Arial" w:hAnsi="Arial" w:cs="Arial"/>
                          <w:sz w:val="12"/>
                          <w:szCs w:val="18"/>
                        </w:rPr>
                        <w:t>Deterioro de 1 escala de ponderación</w:t>
                      </w:r>
                    </w:p>
                  </w:txbxContent>
                </v:textbox>
              </v:shape>
            </w:pict>
          </mc:Fallback>
        </mc:AlternateContent>
      </w:r>
      <w:r w:rsidR="00C5387E">
        <w:rPr>
          <w:rFonts w:ascii="Arial" w:hAnsi="Arial" w:cs="Arial"/>
          <w:sz w:val="18"/>
          <w:szCs w:val="18"/>
        </w:rPr>
        <w:t xml:space="preserve">A continuación, se presenta </w:t>
      </w:r>
      <w:r w:rsidR="00CF6537">
        <w:rPr>
          <w:rFonts w:ascii="Arial" w:hAnsi="Arial" w:cs="Arial"/>
          <w:sz w:val="18"/>
          <w:szCs w:val="18"/>
        </w:rPr>
        <w:t>una ilustración de cómo sería</w:t>
      </w:r>
      <w:r w:rsidR="00C5387E">
        <w:rPr>
          <w:rFonts w:ascii="Arial" w:hAnsi="Arial" w:cs="Arial"/>
          <w:sz w:val="18"/>
          <w:szCs w:val="18"/>
        </w:rPr>
        <w:t xml:space="preserve"> el caso en </w:t>
      </w:r>
      <w:r w:rsidR="00CF6537">
        <w:rPr>
          <w:rFonts w:ascii="Arial" w:hAnsi="Arial" w:cs="Arial"/>
          <w:sz w:val="18"/>
          <w:szCs w:val="18"/>
        </w:rPr>
        <w:t xml:space="preserve">el </w:t>
      </w:r>
      <w:r w:rsidR="00C5387E">
        <w:rPr>
          <w:rFonts w:ascii="Arial" w:hAnsi="Arial" w:cs="Arial"/>
          <w:sz w:val="18"/>
          <w:szCs w:val="18"/>
        </w:rPr>
        <w:t>que una contraparte estuviera calificada por riesgo en AAA.</w:t>
      </w:r>
    </w:p>
    <w:p w:rsidR="00D5376F" w:rsidRDefault="00D5376F" w:rsidP="00045A0B">
      <w:pPr>
        <w:pStyle w:val="Prrafodelista"/>
        <w:ind w:left="360"/>
        <w:jc w:val="both"/>
        <w:rPr>
          <w:rFonts w:ascii="Arial" w:hAnsi="Arial" w:cs="Arial"/>
          <w:sz w:val="18"/>
          <w:szCs w:val="18"/>
        </w:rPr>
      </w:pPr>
    </w:p>
    <w:p w:rsidR="00D5376F" w:rsidRDefault="00D5376F" w:rsidP="00045A0B">
      <w:pPr>
        <w:pStyle w:val="Prrafodelista"/>
        <w:ind w:left="360"/>
        <w:jc w:val="both"/>
        <w:rPr>
          <w:rFonts w:ascii="Arial" w:hAnsi="Arial" w:cs="Arial"/>
          <w:sz w:val="18"/>
          <w:szCs w:val="18"/>
        </w:rPr>
      </w:pPr>
      <w:r>
        <w:rPr>
          <w:rFonts w:ascii="Arial" w:hAnsi="Arial" w:cs="Arial"/>
          <w:noProof/>
          <w:snapToGrid/>
          <w:sz w:val="18"/>
          <w:szCs w:val="18"/>
          <w:lang w:val="es-CO" w:eastAsia="es-CO"/>
        </w:rPr>
        <mc:AlternateContent>
          <mc:Choice Requires="wps">
            <w:drawing>
              <wp:anchor distT="0" distB="0" distL="114300" distR="114300" simplePos="0" relativeHeight="251661312" behindDoc="0" locked="0" layoutInCell="1" allowOverlap="1">
                <wp:simplePos x="0" y="0"/>
                <wp:positionH relativeFrom="column">
                  <wp:posOffset>3079141</wp:posOffset>
                </wp:positionH>
                <wp:positionV relativeFrom="paragraph">
                  <wp:posOffset>6145</wp:posOffset>
                </wp:positionV>
                <wp:extent cx="1739850" cy="113413"/>
                <wp:effectExtent l="0" t="0" r="0" b="20320"/>
                <wp:wrapNone/>
                <wp:docPr id="2" name="Flecha curvada hacia abajo 2"/>
                <wp:cNvGraphicFramePr/>
                <a:graphic xmlns:a="http://schemas.openxmlformats.org/drawingml/2006/main">
                  <a:graphicData uri="http://schemas.microsoft.com/office/word/2010/wordprocessingShape">
                    <wps:wsp>
                      <wps:cNvSpPr/>
                      <wps:spPr>
                        <a:xfrm>
                          <a:off x="0" y="0"/>
                          <a:ext cx="1739850" cy="113413"/>
                        </a:xfrm>
                        <a:prstGeom prst="curvedDownArrow">
                          <a:avLst>
                            <a:gd name="adj1" fmla="val 9837"/>
                            <a:gd name="adj2" fmla="val 50000"/>
                            <a:gd name="adj3" fmla="val 25000"/>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108A7E59"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Flecha curvada hacia abajo 2" o:spid="_x0000_s1026" type="#_x0000_t105" style="position:absolute;margin-left:242.45pt;margin-top:.5pt;width:137pt;height: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" adj="20896,21317,16200" fillcolor="black [3213]" strokecolor="black [3213]" strokeweight=".25pt"/>
            </w:pict>
          </mc:Fallback>
        </mc:AlternateContent>
      </w:r>
    </w:p>
    <w:tbl>
      <w:tblPr>
        <w:tblStyle w:val="Tablaconcuadrcula"/>
        <w:tblW w:w="0" w:type="auto"/>
        <w:tblInd w:w="846" w:type="dxa"/>
        <w:tblLook w:val="04A0" w:firstRow="1" w:lastRow="0" w:firstColumn="1" w:lastColumn="0" w:noHBand="0" w:noVBand="1"/>
      </w:tblPr>
      <w:tblGrid>
        <w:gridCol w:w="2525"/>
        <w:gridCol w:w="3012"/>
        <w:gridCol w:w="2401"/>
      </w:tblGrid>
      <w:tr w:rsidR="00D5376F" w:rsidTr="00045A0B">
        <w:tc>
          <w:tcPr>
            <w:tcW w:w="2525" w:type="dxa"/>
          </w:tcPr>
          <w:p w:rsidR="00D5376F" w:rsidRPr="009A0B12" w:rsidRDefault="00D5376F" w:rsidP="00045A0B">
            <w:pPr>
              <w:pStyle w:val="Prrafodelista"/>
              <w:ind w:left="0"/>
              <w:jc w:val="center"/>
              <w:rPr>
                <w:rFonts w:ascii="Arial" w:hAnsi="Arial" w:cs="Arial"/>
                <w:b/>
                <w:sz w:val="18"/>
                <w:szCs w:val="18"/>
              </w:rPr>
            </w:pPr>
            <w:r w:rsidRPr="009A0B12">
              <w:rPr>
                <w:rFonts w:ascii="Arial" w:hAnsi="Arial" w:cs="Arial"/>
                <w:b/>
                <w:sz w:val="18"/>
                <w:szCs w:val="18"/>
              </w:rPr>
              <w:t xml:space="preserve">Calificación de riesgo </w:t>
            </w:r>
            <w:r w:rsidR="00C5387E">
              <w:rPr>
                <w:rFonts w:ascii="Arial" w:hAnsi="Arial" w:cs="Arial"/>
                <w:b/>
                <w:sz w:val="18"/>
                <w:szCs w:val="18"/>
              </w:rPr>
              <w:t>de la contraparte</w:t>
            </w:r>
          </w:p>
        </w:tc>
        <w:tc>
          <w:tcPr>
            <w:tcW w:w="3012" w:type="dxa"/>
          </w:tcPr>
          <w:p w:rsidR="00D5376F" w:rsidRDefault="00D5376F" w:rsidP="00045A0B">
            <w:pPr>
              <w:pStyle w:val="Prrafodelista"/>
              <w:ind w:left="0"/>
              <w:jc w:val="center"/>
              <w:rPr>
                <w:rFonts w:ascii="Arial" w:hAnsi="Arial" w:cs="Arial"/>
                <w:b/>
                <w:sz w:val="18"/>
                <w:szCs w:val="18"/>
              </w:rPr>
            </w:pPr>
            <w:r w:rsidRPr="009A0B12">
              <w:rPr>
                <w:rFonts w:ascii="Arial" w:hAnsi="Arial" w:cs="Arial"/>
                <w:b/>
                <w:sz w:val="18"/>
                <w:szCs w:val="18"/>
              </w:rPr>
              <w:t xml:space="preserve">AAA </w:t>
            </w:r>
          </w:p>
          <w:p w:rsidR="00D5376F" w:rsidRPr="009A0B12" w:rsidRDefault="00D5376F" w:rsidP="00045A0B">
            <w:pPr>
              <w:pStyle w:val="Prrafodelista"/>
              <w:ind w:left="0"/>
              <w:jc w:val="center"/>
              <w:rPr>
                <w:rFonts w:ascii="Arial" w:hAnsi="Arial" w:cs="Arial"/>
                <w:b/>
                <w:sz w:val="18"/>
                <w:szCs w:val="18"/>
              </w:rPr>
            </w:pPr>
            <w:r w:rsidRPr="009A0B12">
              <w:rPr>
                <w:rFonts w:ascii="Arial" w:hAnsi="Arial" w:cs="Arial"/>
                <w:b/>
                <w:sz w:val="18"/>
                <w:szCs w:val="18"/>
              </w:rPr>
              <w:t>a AA-</w:t>
            </w:r>
          </w:p>
        </w:tc>
        <w:tc>
          <w:tcPr>
            <w:tcW w:w="2401" w:type="dxa"/>
          </w:tcPr>
          <w:p w:rsidR="00D5376F" w:rsidRDefault="00D5376F" w:rsidP="00045A0B">
            <w:pPr>
              <w:pStyle w:val="Prrafodelista"/>
              <w:ind w:left="0"/>
              <w:jc w:val="center"/>
              <w:rPr>
                <w:rFonts w:ascii="Arial" w:hAnsi="Arial" w:cs="Arial"/>
                <w:b/>
                <w:sz w:val="18"/>
                <w:szCs w:val="18"/>
              </w:rPr>
            </w:pPr>
            <w:r w:rsidRPr="009A0B12">
              <w:rPr>
                <w:rFonts w:ascii="Arial" w:hAnsi="Arial" w:cs="Arial"/>
                <w:b/>
                <w:sz w:val="18"/>
                <w:szCs w:val="18"/>
              </w:rPr>
              <w:t>A+</w:t>
            </w:r>
          </w:p>
          <w:p w:rsidR="00D5376F" w:rsidRPr="009A0B12" w:rsidRDefault="00D5376F" w:rsidP="00045A0B">
            <w:pPr>
              <w:pStyle w:val="Prrafodelista"/>
              <w:ind w:left="0"/>
              <w:jc w:val="center"/>
              <w:rPr>
                <w:rFonts w:ascii="Arial" w:hAnsi="Arial" w:cs="Arial"/>
                <w:b/>
                <w:sz w:val="18"/>
                <w:szCs w:val="18"/>
              </w:rPr>
            </w:pPr>
            <w:r w:rsidRPr="009A0B12">
              <w:rPr>
                <w:rFonts w:ascii="Arial" w:hAnsi="Arial" w:cs="Arial"/>
                <w:b/>
                <w:sz w:val="18"/>
                <w:szCs w:val="18"/>
              </w:rPr>
              <w:t xml:space="preserve">a </w:t>
            </w:r>
            <w:proofErr w:type="spellStart"/>
            <w:r w:rsidRPr="009A0B12">
              <w:rPr>
                <w:rFonts w:ascii="Arial" w:hAnsi="Arial" w:cs="Arial"/>
                <w:b/>
                <w:sz w:val="18"/>
                <w:szCs w:val="18"/>
              </w:rPr>
              <w:t>A</w:t>
            </w:r>
            <w:proofErr w:type="spellEnd"/>
            <w:r w:rsidRPr="009A0B12">
              <w:rPr>
                <w:rFonts w:ascii="Arial" w:hAnsi="Arial" w:cs="Arial"/>
                <w:b/>
                <w:sz w:val="18"/>
                <w:szCs w:val="18"/>
              </w:rPr>
              <w:t>-</w:t>
            </w:r>
          </w:p>
        </w:tc>
      </w:tr>
      <w:tr w:rsidR="00D5376F" w:rsidTr="00045A0B">
        <w:tc>
          <w:tcPr>
            <w:tcW w:w="2525" w:type="dxa"/>
          </w:tcPr>
          <w:p w:rsidR="00C66F3F" w:rsidRDefault="00C66F3F" w:rsidP="00045A0B">
            <w:pPr>
              <w:pStyle w:val="Prrafodelista"/>
              <w:ind w:left="0"/>
              <w:jc w:val="center"/>
              <w:rPr>
                <w:rFonts w:ascii="Arial" w:hAnsi="Arial" w:cs="Arial"/>
                <w:sz w:val="18"/>
                <w:szCs w:val="18"/>
              </w:rPr>
            </w:pPr>
          </w:p>
          <w:p w:rsidR="00D5376F" w:rsidRDefault="00D5376F" w:rsidP="00045A0B">
            <w:pPr>
              <w:pStyle w:val="Prrafodelista"/>
              <w:ind w:left="0"/>
              <w:jc w:val="center"/>
              <w:rPr>
                <w:rFonts w:ascii="Arial" w:hAnsi="Arial" w:cs="Arial"/>
                <w:sz w:val="18"/>
                <w:szCs w:val="18"/>
              </w:rPr>
            </w:pPr>
            <w:r>
              <w:rPr>
                <w:rFonts w:ascii="Arial" w:hAnsi="Arial" w:cs="Arial"/>
                <w:sz w:val="18"/>
                <w:szCs w:val="18"/>
              </w:rPr>
              <w:t>Ponderaci</w:t>
            </w:r>
            <w:r w:rsidR="00C5387E">
              <w:rPr>
                <w:rFonts w:ascii="Arial" w:hAnsi="Arial" w:cs="Arial"/>
                <w:sz w:val="18"/>
                <w:szCs w:val="18"/>
              </w:rPr>
              <w:t>ón</w:t>
            </w:r>
          </w:p>
        </w:tc>
        <w:tc>
          <w:tcPr>
            <w:tcW w:w="3012" w:type="dxa"/>
          </w:tcPr>
          <w:p w:rsidR="00C66F3F" w:rsidRDefault="00C66F3F" w:rsidP="00096FAB">
            <w:pPr>
              <w:pStyle w:val="Prrafodelista"/>
              <w:ind w:left="0"/>
              <w:jc w:val="both"/>
              <w:rPr>
                <w:rFonts w:ascii="Arial" w:hAnsi="Arial" w:cs="Arial"/>
                <w:sz w:val="18"/>
                <w:szCs w:val="18"/>
              </w:rPr>
            </w:pPr>
          </w:p>
          <w:p w:rsidR="00D5376F" w:rsidRDefault="00D5376F" w:rsidP="00096FAB">
            <w:pPr>
              <w:pStyle w:val="Prrafodelista"/>
              <w:ind w:left="0"/>
              <w:jc w:val="both"/>
              <w:rPr>
                <w:rFonts w:ascii="Arial" w:hAnsi="Arial" w:cs="Arial"/>
                <w:sz w:val="18"/>
                <w:szCs w:val="18"/>
              </w:rPr>
            </w:pPr>
            <w:r>
              <w:rPr>
                <w:rFonts w:ascii="Arial" w:hAnsi="Arial" w:cs="Arial"/>
                <w:sz w:val="18"/>
                <w:szCs w:val="18"/>
              </w:rPr>
              <w:t>Ponderación inicial del emisor</w:t>
            </w:r>
          </w:p>
        </w:tc>
        <w:tc>
          <w:tcPr>
            <w:tcW w:w="2401" w:type="dxa"/>
          </w:tcPr>
          <w:p w:rsidR="00D5376F" w:rsidRDefault="00D5376F" w:rsidP="00096FAB">
            <w:pPr>
              <w:pStyle w:val="Prrafodelista"/>
              <w:ind w:left="0"/>
              <w:jc w:val="both"/>
              <w:rPr>
                <w:rFonts w:ascii="Arial" w:hAnsi="Arial" w:cs="Arial"/>
                <w:sz w:val="18"/>
                <w:szCs w:val="18"/>
              </w:rPr>
            </w:pPr>
            <w:r>
              <w:rPr>
                <w:rFonts w:ascii="Arial" w:hAnsi="Arial" w:cs="Arial"/>
                <w:sz w:val="18"/>
                <w:szCs w:val="18"/>
              </w:rPr>
              <w:t>Ponderación que se debe utilizar después de aplicar el deterior</w:t>
            </w:r>
            <w:r w:rsidR="003F7520">
              <w:rPr>
                <w:rFonts w:ascii="Arial" w:hAnsi="Arial" w:cs="Arial"/>
                <w:sz w:val="18"/>
                <w:szCs w:val="18"/>
              </w:rPr>
              <w:t>o</w:t>
            </w:r>
          </w:p>
        </w:tc>
      </w:tr>
    </w:tbl>
    <w:p w:rsidR="00D5376F" w:rsidRPr="00E90926" w:rsidRDefault="00D5376F" w:rsidP="00045A0B">
      <w:pPr>
        <w:pStyle w:val="Prrafodelista"/>
        <w:ind w:left="360"/>
        <w:jc w:val="both"/>
        <w:rPr>
          <w:rFonts w:ascii="Arial" w:hAnsi="Arial" w:cs="Arial"/>
          <w:sz w:val="18"/>
          <w:szCs w:val="18"/>
        </w:rPr>
      </w:pPr>
    </w:p>
    <w:p w:rsidR="00BF044E" w:rsidRPr="00E90926" w:rsidRDefault="00BF044E" w:rsidP="00513595">
      <w:pPr>
        <w:pStyle w:val="Prrafodelista"/>
        <w:numPr>
          <w:ilvl w:val="0"/>
          <w:numId w:val="18"/>
        </w:numPr>
        <w:jc w:val="both"/>
        <w:rPr>
          <w:rFonts w:ascii="Arial" w:hAnsi="Arial" w:cs="Arial"/>
          <w:sz w:val="18"/>
          <w:szCs w:val="18"/>
        </w:rPr>
      </w:pPr>
      <w:r w:rsidRPr="00E90926">
        <w:rPr>
          <w:rFonts w:ascii="Arial" w:hAnsi="Arial" w:cs="Arial"/>
          <w:sz w:val="18"/>
          <w:szCs w:val="18"/>
        </w:rPr>
        <w:lastRenderedPageBreak/>
        <w:t xml:space="preserve">Tratándose de países con calificación soberana de largo plazo </w:t>
      </w:r>
      <w:r w:rsidR="004D729D" w:rsidRPr="00E90926">
        <w:rPr>
          <w:rFonts w:ascii="Arial" w:hAnsi="Arial" w:cs="Arial"/>
          <w:sz w:val="18"/>
          <w:szCs w:val="18"/>
        </w:rPr>
        <w:t xml:space="preserve">en la categoría </w:t>
      </w:r>
      <w:r w:rsidRPr="00E90926">
        <w:rPr>
          <w:rFonts w:ascii="Arial" w:hAnsi="Arial" w:cs="Arial"/>
          <w:sz w:val="18"/>
          <w:szCs w:val="18"/>
        </w:rPr>
        <w:t xml:space="preserve">menor a </w:t>
      </w:r>
      <w:r w:rsidR="004D729D" w:rsidRPr="00E90926">
        <w:rPr>
          <w:rFonts w:ascii="Arial" w:hAnsi="Arial" w:cs="Arial"/>
          <w:sz w:val="18"/>
          <w:szCs w:val="18"/>
        </w:rPr>
        <w:t xml:space="preserve">B- </w:t>
      </w:r>
      <w:r w:rsidRPr="00E90926">
        <w:rPr>
          <w:rFonts w:ascii="Arial" w:hAnsi="Arial" w:cs="Arial"/>
          <w:sz w:val="18"/>
          <w:szCs w:val="18"/>
        </w:rPr>
        <w:t xml:space="preserve">y hasta </w:t>
      </w:r>
      <w:r w:rsidR="004D729D" w:rsidRPr="00E90926">
        <w:rPr>
          <w:rFonts w:ascii="Arial" w:hAnsi="Arial" w:cs="Arial"/>
          <w:sz w:val="18"/>
          <w:szCs w:val="18"/>
        </w:rPr>
        <w:t>C</w:t>
      </w:r>
      <w:r w:rsidR="00367BEF">
        <w:rPr>
          <w:rFonts w:ascii="Arial" w:hAnsi="Arial" w:cs="Arial"/>
          <w:sz w:val="18"/>
          <w:szCs w:val="18"/>
        </w:rPr>
        <w:t>CC</w:t>
      </w:r>
      <w:r w:rsidR="004D729D" w:rsidRPr="00E90926">
        <w:rPr>
          <w:rFonts w:ascii="Arial" w:hAnsi="Arial" w:cs="Arial"/>
          <w:sz w:val="18"/>
          <w:szCs w:val="18"/>
        </w:rPr>
        <w:t xml:space="preserve"> </w:t>
      </w:r>
      <w:r w:rsidR="00740529">
        <w:rPr>
          <w:rFonts w:ascii="Arial" w:hAnsi="Arial" w:cs="Arial"/>
          <w:sz w:val="18"/>
          <w:szCs w:val="18"/>
        </w:rPr>
        <w:t xml:space="preserve">se </w:t>
      </w:r>
      <w:r w:rsidR="00CA3B49" w:rsidRPr="00E90926">
        <w:rPr>
          <w:rFonts w:ascii="Arial" w:hAnsi="Arial" w:cs="Arial"/>
          <w:sz w:val="18"/>
          <w:szCs w:val="18"/>
        </w:rPr>
        <w:t xml:space="preserve">debe utilizar </w:t>
      </w:r>
      <w:r w:rsidR="00CA3B49">
        <w:rPr>
          <w:rFonts w:ascii="Arial" w:hAnsi="Arial" w:cs="Arial"/>
          <w:sz w:val="18"/>
          <w:szCs w:val="18"/>
        </w:rPr>
        <w:t>l</w:t>
      </w:r>
      <w:r w:rsidR="001B6743">
        <w:rPr>
          <w:rFonts w:ascii="Arial" w:hAnsi="Arial" w:cs="Arial"/>
          <w:sz w:val="18"/>
          <w:szCs w:val="18"/>
        </w:rPr>
        <w:t>a</w:t>
      </w:r>
      <w:r w:rsidR="00CA3B49">
        <w:rPr>
          <w:rFonts w:ascii="Arial" w:hAnsi="Arial" w:cs="Arial"/>
          <w:sz w:val="18"/>
          <w:szCs w:val="18"/>
        </w:rPr>
        <w:t xml:space="preserve"> </w:t>
      </w:r>
      <w:r w:rsidR="00CA3B49" w:rsidRPr="00E90926">
        <w:rPr>
          <w:rFonts w:ascii="Arial" w:hAnsi="Arial" w:cs="Arial"/>
          <w:sz w:val="18"/>
          <w:szCs w:val="18"/>
        </w:rPr>
        <w:t xml:space="preserve">ponderación de riesgo </w:t>
      </w:r>
      <w:r w:rsidR="00CA3B49">
        <w:rPr>
          <w:rFonts w:ascii="Arial" w:hAnsi="Arial" w:cs="Arial"/>
          <w:sz w:val="18"/>
          <w:szCs w:val="18"/>
        </w:rPr>
        <w:t>deteriorando dos escalas de ponderación a la que resulte aplicable a la contraparte de conformidad con el artículo 2</w:t>
      </w:r>
      <w:r w:rsidR="00611938">
        <w:rPr>
          <w:rFonts w:ascii="Arial" w:hAnsi="Arial" w:cs="Arial"/>
          <w:sz w:val="18"/>
          <w:szCs w:val="18"/>
        </w:rPr>
        <w:t>.</w:t>
      </w:r>
      <w:r w:rsidR="00CA3B49">
        <w:rPr>
          <w:rFonts w:ascii="Arial" w:hAnsi="Arial" w:cs="Arial"/>
          <w:sz w:val="18"/>
          <w:szCs w:val="18"/>
        </w:rPr>
        <w:t>1.1.3.2 del Decreto 2555 de 2010</w:t>
      </w:r>
      <w:r w:rsidRPr="00E90926">
        <w:rPr>
          <w:rFonts w:ascii="Arial" w:hAnsi="Arial" w:cs="Arial"/>
          <w:sz w:val="18"/>
          <w:szCs w:val="18"/>
        </w:rPr>
        <w:t>.</w:t>
      </w:r>
    </w:p>
    <w:p w:rsidR="00EF0B24" w:rsidRDefault="00BF044E" w:rsidP="009E37AA">
      <w:pPr>
        <w:pStyle w:val="Prrafodelista"/>
        <w:numPr>
          <w:ilvl w:val="0"/>
          <w:numId w:val="18"/>
        </w:numPr>
        <w:jc w:val="both"/>
        <w:rPr>
          <w:rFonts w:ascii="Arial" w:hAnsi="Arial" w:cs="Arial"/>
          <w:sz w:val="18"/>
          <w:szCs w:val="18"/>
        </w:rPr>
      </w:pPr>
      <w:r w:rsidRPr="00E90926">
        <w:rPr>
          <w:rFonts w:ascii="Arial" w:hAnsi="Arial" w:cs="Arial"/>
          <w:sz w:val="18"/>
          <w:szCs w:val="18"/>
        </w:rPr>
        <w:t xml:space="preserve">Tratándose de países con calificación soberana de largo plazo menor a </w:t>
      </w:r>
      <w:r w:rsidR="00A52853" w:rsidRPr="00E90926">
        <w:rPr>
          <w:rFonts w:ascii="Arial" w:hAnsi="Arial" w:cs="Arial"/>
          <w:sz w:val="18"/>
          <w:szCs w:val="18"/>
        </w:rPr>
        <w:t>C</w:t>
      </w:r>
      <w:r w:rsidRPr="00E90926">
        <w:rPr>
          <w:rFonts w:ascii="Arial" w:hAnsi="Arial" w:cs="Arial"/>
          <w:sz w:val="18"/>
          <w:szCs w:val="18"/>
        </w:rPr>
        <w:t xml:space="preserve"> </w:t>
      </w:r>
      <w:r w:rsidR="00740529">
        <w:rPr>
          <w:rFonts w:ascii="Arial" w:hAnsi="Arial" w:cs="Arial"/>
          <w:sz w:val="18"/>
          <w:szCs w:val="18"/>
        </w:rPr>
        <w:t xml:space="preserve">se </w:t>
      </w:r>
      <w:r w:rsidR="00CA3B49" w:rsidRPr="00E90926">
        <w:rPr>
          <w:rFonts w:ascii="Arial" w:hAnsi="Arial" w:cs="Arial"/>
          <w:sz w:val="18"/>
          <w:szCs w:val="18"/>
        </w:rPr>
        <w:t xml:space="preserve">debe utilizar </w:t>
      </w:r>
      <w:r w:rsidR="00CA3B49">
        <w:rPr>
          <w:rFonts w:ascii="Arial" w:hAnsi="Arial" w:cs="Arial"/>
          <w:sz w:val="18"/>
          <w:szCs w:val="18"/>
        </w:rPr>
        <w:t>l</w:t>
      </w:r>
      <w:r w:rsidR="001B6743">
        <w:rPr>
          <w:rFonts w:ascii="Arial" w:hAnsi="Arial" w:cs="Arial"/>
          <w:sz w:val="18"/>
          <w:szCs w:val="18"/>
        </w:rPr>
        <w:t>a</w:t>
      </w:r>
      <w:r w:rsidR="00CA3B49">
        <w:rPr>
          <w:rFonts w:ascii="Arial" w:hAnsi="Arial" w:cs="Arial"/>
          <w:sz w:val="18"/>
          <w:szCs w:val="18"/>
        </w:rPr>
        <w:t xml:space="preserve"> </w:t>
      </w:r>
      <w:r w:rsidR="00CA3B49" w:rsidRPr="00E90926">
        <w:rPr>
          <w:rFonts w:ascii="Arial" w:hAnsi="Arial" w:cs="Arial"/>
          <w:sz w:val="18"/>
          <w:szCs w:val="18"/>
        </w:rPr>
        <w:t xml:space="preserve">ponderación de riesgo </w:t>
      </w:r>
      <w:r w:rsidR="00CA3B49">
        <w:rPr>
          <w:rFonts w:ascii="Arial" w:hAnsi="Arial" w:cs="Arial"/>
          <w:sz w:val="18"/>
          <w:szCs w:val="18"/>
        </w:rPr>
        <w:t>deteriorando tres escalas de ponderación a la que resulte aplicable a la contraparte de conformidad con el artículo 2</w:t>
      </w:r>
      <w:r w:rsidR="00611938">
        <w:rPr>
          <w:rFonts w:ascii="Arial" w:hAnsi="Arial" w:cs="Arial"/>
          <w:sz w:val="18"/>
          <w:szCs w:val="18"/>
        </w:rPr>
        <w:t>.</w:t>
      </w:r>
      <w:r w:rsidR="00CA3B49">
        <w:rPr>
          <w:rFonts w:ascii="Arial" w:hAnsi="Arial" w:cs="Arial"/>
          <w:sz w:val="18"/>
          <w:szCs w:val="18"/>
        </w:rPr>
        <w:t>1.1.3.2 del Decreto 2555 de 2010</w:t>
      </w:r>
      <w:r w:rsidRPr="00E90926">
        <w:rPr>
          <w:rFonts w:ascii="Arial" w:hAnsi="Arial" w:cs="Arial"/>
          <w:sz w:val="18"/>
          <w:szCs w:val="18"/>
        </w:rPr>
        <w:t>.</w:t>
      </w:r>
    </w:p>
    <w:p w:rsidR="001E11BE" w:rsidRDefault="001E11BE" w:rsidP="00E51F8C">
      <w:pPr>
        <w:jc w:val="both"/>
        <w:outlineLvl w:val="0"/>
        <w:rPr>
          <w:rFonts w:ascii="Arial" w:hAnsi="Arial" w:cs="Arial"/>
          <w:sz w:val="18"/>
          <w:szCs w:val="18"/>
        </w:rPr>
      </w:pPr>
    </w:p>
    <w:p w:rsidR="00E51F8C" w:rsidRPr="00C26AF4" w:rsidRDefault="00E51F8C" w:rsidP="00E343EE">
      <w:pPr>
        <w:pStyle w:val="Prrafodelista"/>
        <w:numPr>
          <w:ilvl w:val="3"/>
          <w:numId w:val="38"/>
        </w:numPr>
        <w:jc w:val="both"/>
        <w:outlineLvl w:val="2"/>
        <w:rPr>
          <w:rFonts w:ascii="Arial" w:hAnsi="Arial" w:cs="Arial"/>
          <w:sz w:val="18"/>
          <w:szCs w:val="18"/>
        </w:rPr>
      </w:pPr>
      <w:r w:rsidRPr="00C26AF4">
        <w:rPr>
          <w:rFonts w:ascii="Arial" w:hAnsi="Arial" w:cs="Arial"/>
          <w:sz w:val="18"/>
          <w:szCs w:val="18"/>
        </w:rPr>
        <w:t>Correspondencia entre las calificaciones de riesgo de las sociedades calificadoras de riesgo</w:t>
      </w:r>
    </w:p>
    <w:p w:rsidR="00E51F8C" w:rsidRPr="000A17D7" w:rsidRDefault="00E51F8C" w:rsidP="00E51F8C">
      <w:pPr>
        <w:jc w:val="both"/>
        <w:rPr>
          <w:rFonts w:ascii="Arial" w:hAnsi="Arial" w:cs="Arial"/>
          <w:sz w:val="18"/>
          <w:szCs w:val="18"/>
        </w:rPr>
      </w:pPr>
    </w:p>
    <w:p w:rsidR="005E4CD3" w:rsidRDefault="00E51F8C" w:rsidP="00E51F8C">
      <w:pPr>
        <w:jc w:val="both"/>
        <w:outlineLvl w:val="0"/>
        <w:rPr>
          <w:rFonts w:ascii="Arial" w:hAnsi="Arial" w:cs="Arial"/>
          <w:sz w:val="18"/>
          <w:szCs w:val="18"/>
        </w:rPr>
      </w:pPr>
      <w:r w:rsidRPr="000A17D7">
        <w:rPr>
          <w:rFonts w:ascii="Arial" w:hAnsi="Arial" w:cs="Arial"/>
          <w:sz w:val="18"/>
          <w:szCs w:val="18"/>
        </w:rPr>
        <w:t>A efectos de establecer la correspondenci</w:t>
      </w:r>
      <w:r>
        <w:rPr>
          <w:rFonts w:ascii="Arial" w:hAnsi="Arial" w:cs="Arial"/>
          <w:sz w:val="18"/>
          <w:szCs w:val="18"/>
        </w:rPr>
        <w:t>a</w:t>
      </w:r>
      <w:r w:rsidRPr="000A17D7">
        <w:rPr>
          <w:rFonts w:ascii="Arial" w:hAnsi="Arial" w:cs="Arial"/>
          <w:sz w:val="18"/>
          <w:szCs w:val="18"/>
        </w:rPr>
        <w:t xml:space="preserve"> entre las categorías de ponderación a que se refiere el artículo 2.1.1.3.2 del Decreto 2555 de 2010 y las calificaciones de riesgo de las sociedades calificadoras de riesgo, se </w:t>
      </w:r>
      <w:r>
        <w:rPr>
          <w:rFonts w:ascii="Arial" w:hAnsi="Arial" w:cs="Arial"/>
          <w:sz w:val="18"/>
          <w:szCs w:val="18"/>
        </w:rPr>
        <w:t>debe tener</w:t>
      </w:r>
      <w:r w:rsidRPr="000A17D7">
        <w:rPr>
          <w:rFonts w:ascii="Arial" w:hAnsi="Arial" w:cs="Arial"/>
          <w:sz w:val="18"/>
          <w:szCs w:val="18"/>
        </w:rPr>
        <w:t xml:space="preserve"> en </w:t>
      </w:r>
      <w:r w:rsidRPr="003F6D9C">
        <w:rPr>
          <w:rFonts w:ascii="Arial" w:hAnsi="Arial" w:cs="Arial"/>
          <w:sz w:val="18"/>
          <w:szCs w:val="18"/>
        </w:rPr>
        <w:t xml:space="preserve">cuenta la información publicada en la página web de esta Superintendencia a través del vínculo </w:t>
      </w:r>
      <w:hyperlink r:id="rId11" w:history="1">
        <w:r w:rsidR="0057441B" w:rsidRPr="00F50480">
          <w:rPr>
            <w:rStyle w:val="Hipervnculo"/>
            <w:rFonts w:ascii="Arial" w:hAnsi="Arial" w:cs="Arial"/>
            <w:sz w:val="18"/>
            <w:szCs w:val="18"/>
          </w:rPr>
          <w:t>https://www.superfinanciera.gov.co/descargas?com=institucional&amp;name=pubFile13093&amp;downloadname=codigoscalificaciones.xls</w:t>
        </w:r>
      </w:hyperlink>
      <w:r w:rsidR="0057441B">
        <w:rPr>
          <w:rFonts w:ascii="Arial" w:hAnsi="Arial" w:cs="Arial"/>
          <w:sz w:val="18"/>
          <w:szCs w:val="18"/>
        </w:rPr>
        <w:t xml:space="preserve"> o en el link</w:t>
      </w:r>
      <w:r w:rsidR="00430C52">
        <w:rPr>
          <w:rFonts w:ascii="Arial" w:hAnsi="Arial" w:cs="Arial"/>
          <w:sz w:val="18"/>
          <w:szCs w:val="18"/>
        </w:rPr>
        <w:t xml:space="preserve"> “Códigos calificaciones</w:t>
      </w:r>
      <w:r w:rsidR="00DF5978">
        <w:rPr>
          <w:rFonts w:ascii="Arial" w:hAnsi="Arial" w:cs="Arial"/>
          <w:sz w:val="18"/>
          <w:szCs w:val="18"/>
        </w:rPr>
        <w:t>” que se encuentra</w:t>
      </w:r>
      <w:r w:rsidR="00430C52">
        <w:rPr>
          <w:rFonts w:ascii="Arial" w:hAnsi="Arial" w:cs="Arial"/>
          <w:sz w:val="18"/>
          <w:szCs w:val="18"/>
        </w:rPr>
        <w:t xml:space="preserve"> en el vínculo </w:t>
      </w:r>
      <w:hyperlink r:id="rId12" w:history="1">
        <w:r w:rsidR="00430C52" w:rsidRPr="00F50480">
          <w:rPr>
            <w:rStyle w:val="Hipervnculo"/>
            <w:rFonts w:ascii="Arial" w:hAnsi="Arial" w:cs="Arial"/>
            <w:sz w:val="18"/>
            <w:szCs w:val="18"/>
          </w:rPr>
          <w:t>https://www.superfinanciera.gov.co/jsp/15017</w:t>
        </w:r>
      </w:hyperlink>
      <w:r w:rsidR="00430C52">
        <w:rPr>
          <w:rStyle w:val="Hipervnculo"/>
          <w:rFonts w:ascii="Arial" w:hAnsi="Arial" w:cs="Arial"/>
          <w:sz w:val="18"/>
          <w:szCs w:val="18"/>
        </w:rPr>
        <w:t>.</w:t>
      </w:r>
    </w:p>
    <w:p w:rsidR="00E51F8C" w:rsidRDefault="00E51F8C" w:rsidP="00E51F8C">
      <w:pPr>
        <w:jc w:val="both"/>
        <w:outlineLvl w:val="0"/>
        <w:rPr>
          <w:rFonts w:ascii="Arial" w:hAnsi="Arial" w:cs="Arial"/>
          <w:sz w:val="18"/>
          <w:szCs w:val="18"/>
        </w:rPr>
      </w:pPr>
    </w:p>
    <w:p w:rsidR="00E51F8C" w:rsidRPr="003B589C" w:rsidRDefault="00E51F8C" w:rsidP="009A2EAC">
      <w:pPr>
        <w:pStyle w:val="Prrafodelista"/>
        <w:numPr>
          <w:ilvl w:val="3"/>
          <w:numId w:val="38"/>
        </w:numPr>
        <w:jc w:val="both"/>
        <w:outlineLvl w:val="2"/>
        <w:rPr>
          <w:rFonts w:ascii="Arial" w:hAnsi="Arial" w:cs="Arial"/>
          <w:sz w:val="18"/>
          <w:szCs w:val="18"/>
        </w:rPr>
      </w:pPr>
      <w:r w:rsidRPr="003B589C">
        <w:rPr>
          <w:rFonts w:ascii="Arial" w:hAnsi="Arial" w:cs="Arial"/>
          <w:sz w:val="18"/>
          <w:szCs w:val="18"/>
        </w:rPr>
        <w:t xml:space="preserve">Calificación a utilizar </w:t>
      </w:r>
      <w:r>
        <w:rPr>
          <w:rFonts w:ascii="Arial" w:hAnsi="Arial" w:cs="Arial"/>
          <w:sz w:val="18"/>
          <w:szCs w:val="18"/>
        </w:rPr>
        <w:t>cuando</w:t>
      </w:r>
      <w:r w:rsidRPr="003B589C">
        <w:rPr>
          <w:rFonts w:ascii="Arial" w:hAnsi="Arial" w:cs="Arial"/>
          <w:sz w:val="18"/>
          <w:szCs w:val="18"/>
        </w:rPr>
        <w:t xml:space="preserve"> exista más de una calificación vigente</w:t>
      </w:r>
      <w:r>
        <w:rPr>
          <w:rFonts w:ascii="Arial" w:hAnsi="Arial" w:cs="Arial"/>
          <w:sz w:val="18"/>
          <w:szCs w:val="18"/>
        </w:rPr>
        <w:t xml:space="preserve"> otorgada por diferentes sociedades calificadoras de riesgo</w:t>
      </w:r>
    </w:p>
    <w:p w:rsidR="00E51F8C" w:rsidRPr="000A17D7" w:rsidRDefault="00E51F8C" w:rsidP="00E51F8C">
      <w:pPr>
        <w:jc w:val="both"/>
        <w:outlineLvl w:val="0"/>
        <w:rPr>
          <w:rFonts w:ascii="Arial" w:hAnsi="Arial" w:cs="Arial"/>
          <w:sz w:val="18"/>
          <w:szCs w:val="18"/>
          <w:highlight w:val="yellow"/>
        </w:rPr>
      </w:pPr>
    </w:p>
    <w:p w:rsidR="00E51F8C" w:rsidRDefault="00E51F8C" w:rsidP="00E51F8C">
      <w:pPr>
        <w:jc w:val="both"/>
        <w:outlineLvl w:val="0"/>
        <w:rPr>
          <w:rFonts w:ascii="Arial" w:hAnsi="Arial" w:cs="Arial"/>
          <w:sz w:val="18"/>
          <w:szCs w:val="18"/>
        </w:rPr>
      </w:pPr>
      <w:r w:rsidRPr="000A17D7">
        <w:rPr>
          <w:rFonts w:ascii="Arial" w:hAnsi="Arial" w:cs="Arial"/>
          <w:sz w:val="18"/>
          <w:szCs w:val="18"/>
        </w:rPr>
        <w:t xml:space="preserve">Cuando </w:t>
      </w:r>
      <w:r>
        <w:rPr>
          <w:rFonts w:ascii="Arial" w:hAnsi="Arial" w:cs="Arial"/>
          <w:sz w:val="18"/>
          <w:szCs w:val="18"/>
        </w:rPr>
        <w:t xml:space="preserve">un activo, exposición o contingencia tenga </w:t>
      </w:r>
      <w:r w:rsidRPr="000A17D7">
        <w:rPr>
          <w:rFonts w:ascii="Arial" w:hAnsi="Arial" w:cs="Arial"/>
          <w:sz w:val="18"/>
          <w:szCs w:val="18"/>
        </w:rPr>
        <w:t xml:space="preserve">dos calificaciones vigentes </w:t>
      </w:r>
      <w:r>
        <w:rPr>
          <w:rFonts w:ascii="Arial" w:hAnsi="Arial" w:cs="Arial"/>
          <w:sz w:val="18"/>
          <w:szCs w:val="18"/>
        </w:rPr>
        <w:t xml:space="preserve">otorgadas por diferentes calificadoras de riesgo </w:t>
      </w:r>
      <w:r w:rsidRPr="000A17D7">
        <w:rPr>
          <w:rFonts w:ascii="Arial" w:hAnsi="Arial" w:cs="Arial"/>
          <w:sz w:val="18"/>
          <w:szCs w:val="18"/>
        </w:rPr>
        <w:t xml:space="preserve">asociadas a ponderaciones por riesgo diferentes, se aplicará la ponderación por riesgo más alta. Si existieran tres o más calificaciones con distintas ponderaciones por riesgo, </w:t>
      </w:r>
      <w:r>
        <w:rPr>
          <w:rFonts w:ascii="Arial" w:hAnsi="Arial" w:cs="Arial"/>
          <w:sz w:val="18"/>
          <w:szCs w:val="18"/>
        </w:rPr>
        <w:t xml:space="preserve">se </w:t>
      </w:r>
      <w:r w:rsidRPr="000A17D7">
        <w:rPr>
          <w:rFonts w:ascii="Arial" w:hAnsi="Arial" w:cs="Arial"/>
          <w:sz w:val="18"/>
          <w:szCs w:val="18"/>
        </w:rPr>
        <w:t>debe</w:t>
      </w:r>
      <w:r>
        <w:rPr>
          <w:rFonts w:ascii="Arial" w:hAnsi="Arial" w:cs="Arial"/>
          <w:sz w:val="18"/>
          <w:szCs w:val="18"/>
        </w:rPr>
        <w:t>n considerar</w:t>
      </w:r>
      <w:r w:rsidRPr="000A17D7">
        <w:rPr>
          <w:rFonts w:ascii="Arial" w:hAnsi="Arial" w:cs="Arial"/>
          <w:sz w:val="18"/>
          <w:szCs w:val="18"/>
        </w:rPr>
        <w:t xml:space="preserve"> las dos calificaciones con las ponderaciones por riesgo más bajas</w:t>
      </w:r>
      <w:r>
        <w:rPr>
          <w:rFonts w:ascii="Arial" w:hAnsi="Arial" w:cs="Arial"/>
          <w:sz w:val="18"/>
          <w:szCs w:val="18"/>
        </w:rPr>
        <w:t>, s</w:t>
      </w:r>
      <w:r w:rsidRPr="000A17D7">
        <w:rPr>
          <w:rFonts w:ascii="Arial" w:hAnsi="Arial" w:cs="Arial"/>
          <w:sz w:val="18"/>
          <w:szCs w:val="18"/>
        </w:rPr>
        <w:t>i</w:t>
      </w:r>
      <w:r>
        <w:rPr>
          <w:rFonts w:ascii="Arial" w:hAnsi="Arial" w:cs="Arial"/>
          <w:sz w:val="18"/>
          <w:szCs w:val="18"/>
        </w:rPr>
        <w:t xml:space="preserve"> éstas</w:t>
      </w:r>
      <w:r w:rsidRPr="000A17D7">
        <w:rPr>
          <w:rFonts w:ascii="Arial" w:hAnsi="Arial" w:cs="Arial"/>
          <w:sz w:val="18"/>
          <w:szCs w:val="18"/>
        </w:rPr>
        <w:t xml:space="preserve"> arrojaran la misma ponderación por riesgo, debe aplicarse dicha ponderación</w:t>
      </w:r>
      <w:r>
        <w:rPr>
          <w:rFonts w:ascii="Arial" w:hAnsi="Arial" w:cs="Arial"/>
          <w:sz w:val="18"/>
          <w:szCs w:val="18"/>
        </w:rPr>
        <w:t>; s</w:t>
      </w:r>
      <w:r w:rsidRPr="000A17D7">
        <w:rPr>
          <w:rFonts w:ascii="Arial" w:hAnsi="Arial" w:cs="Arial"/>
          <w:sz w:val="18"/>
          <w:szCs w:val="18"/>
        </w:rPr>
        <w:t xml:space="preserve">i la ponderación </w:t>
      </w:r>
      <w:r>
        <w:rPr>
          <w:rFonts w:ascii="Arial" w:hAnsi="Arial" w:cs="Arial"/>
          <w:sz w:val="18"/>
          <w:szCs w:val="18"/>
        </w:rPr>
        <w:t>es</w:t>
      </w:r>
      <w:r w:rsidRPr="000A17D7">
        <w:rPr>
          <w:rFonts w:ascii="Arial" w:hAnsi="Arial" w:cs="Arial"/>
          <w:sz w:val="18"/>
          <w:szCs w:val="18"/>
        </w:rPr>
        <w:t xml:space="preserve"> diferente, debe aplicarse la más alta.</w:t>
      </w:r>
    </w:p>
    <w:p w:rsidR="00E51F8C" w:rsidRPr="00E51F8C" w:rsidRDefault="00E51F8C" w:rsidP="00E51F8C">
      <w:pPr>
        <w:jc w:val="both"/>
        <w:outlineLvl w:val="0"/>
        <w:rPr>
          <w:rFonts w:ascii="Arial" w:hAnsi="Arial" w:cs="Arial"/>
          <w:sz w:val="18"/>
          <w:szCs w:val="18"/>
        </w:rPr>
      </w:pPr>
    </w:p>
    <w:p w:rsidR="0000491B" w:rsidRPr="00995E42" w:rsidRDefault="0000491B" w:rsidP="00E343EE">
      <w:pPr>
        <w:pStyle w:val="Prrafodelista"/>
        <w:numPr>
          <w:ilvl w:val="2"/>
          <w:numId w:val="38"/>
        </w:numPr>
        <w:jc w:val="both"/>
        <w:outlineLvl w:val="2"/>
        <w:rPr>
          <w:rFonts w:ascii="Arial" w:hAnsi="Arial" w:cs="Arial"/>
          <w:sz w:val="18"/>
          <w:szCs w:val="18"/>
        </w:rPr>
      </w:pPr>
      <w:r w:rsidRPr="00995E42">
        <w:rPr>
          <w:rFonts w:ascii="Arial" w:hAnsi="Arial" w:cs="Arial"/>
          <w:sz w:val="18"/>
          <w:szCs w:val="18"/>
        </w:rPr>
        <w:t>Otras agencias y organismos que ponderan al 0%</w:t>
      </w:r>
    </w:p>
    <w:p w:rsidR="0000491B" w:rsidRDefault="0000491B" w:rsidP="004554D2">
      <w:pPr>
        <w:jc w:val="both"/>
        <w:rPr>
          <w:rFonts w:ascii="Arial" w:hAnsi="Arial" w:cs="Arial"/>
          <w:sz w:val="18"/>
          <w:szCs w:val="18"/>
        </w:rPr>
      </w:pPr>
    </w:p>
    <w:p w:rsidR="00B45B52" w:rsidRDefault="0000491B" w:rsidP="00D42423">
      <w:pPr>
        <w:jc w:val="both"/>
        <w:rPr>
          <w:rFonts w:ascii="Arial" w:hAnsi="Arial" w:cs="Arial"/>
          <w:sz w:val="18"/>
          <w:szCs w:val="18"/>
        </w:rPr>
      </w:pPr>
      <w:r>
        <w:rPr>
          <w:rFonts w:ascii="Arial" w:hAnsi="Arial" w:cs="Arial"/>
          <w:sz w:val="18"/>
          <w:szCs w:val="18"/>
        </w:rPr>
        <w:t>Para efectos de lo</w:t>
      </w:r>
      <w:r w:rsidR="00B45B52">
        <w:rPr>
          <w:rFonts w:ascii="Arial" w:hAnsi="Arial" w:cs="Arial"/>
          <w:sz w:val="18"/>
          <w:szCs w:val="18"/>
        </w:rPr>
        <w:t xml:space="preserve"> señalado</w:t>
      </w:r>
      <w:r>
        <w:rPr>
          <w:rFonts w:ascii="Arial" w:hAnsi="Arial" w:cs="Arial"/>
          <w:sz w:val="18"/>
          <w:szCs w:val="18"/>
        </w:rPr>
        <w:t xml:space="preserve"> en el literal d) numeral 1 del artículo 2.1.1.3.2. </w:t>
      </w:r>
      <w:proofErr w:type="gramStart"/>
      <w:r>
        <w:rPr>
          <w:rFonts w:ascii="Arial" w:hAnsi="Arial" w:cs="Arial"/>
          <w:sz w:val="18"/>
          <w:szCs w:val="18"/>
        </w:rPr>
        <w:t>del</w:t>
      </w:r>
      <w:proofErr w:type="gramEnd"/>
      <w:r>
        <w:rPr>
          <w:rFonts w:ascii="Arial" w:hAnsi="Arial" w:cs="Arial"/>
          <w:sz w:val="18"/>
          <w:szCs w:val="18"/>
        </w:rPr>
        <w:t xml:space="preserve"> Decreto 2555 de 2010</w:t>
      </w:r>
      <w:r w:rsidR="00CF6537">
        <w:rPr>
          <w:rFonts w:ascii="Arial" w:hAnsi="Arial" w:cs="Arial"/>
          <w:sz w:val="18"/>
          <w:szCs w:val="18"/>
        </w:rPr>
        <w:t>,</w:t>
      </w:r>
      <w:r w:rsidR="00B45B52">
        <w:rPr>
          <w:rFonts w:ascii="Arial" w:hAnsi="Arial" w:cs="Arial"/>
          <w:sz w:val="18"/>
          <w:szCs w:val="18"/>
        </w:rPr>
        <w:t xml:space="preserve"> las entidades </w:t>
      </w:r>
      <w:r w:rsidR="004932A8">
        <w:rPr>
          <w:rFonts w:ascii="Arial" w:hAnsi="Arial" w:cs="Arial"/>
          <w:sz w:val="18"/>
          <w:szCs w:val="18"/>
        </w:rPr>
        <w:t>deben presentar</w:t>
      </w:r>
      <w:r w:rsidR="00B45B52" w:rsidRPr="000A17D7">
        <w:rPr>
          <w:rFonts w:ascii="Arial" w:hAnsi="Arial" w:cs="Arial"/>
          <w:sz w:val="18"/>
          <w:szCs w:val="18"/>
        </w:rPr>
        <w:t xml:space="preserve"> para no objeción de la SFC</w:t>
      </w:r>
      <w:r w:rsidR="00B45B52">
        <w:rPr>
          <w:rFonts w:ascii="Arial" w:hAnsi="Arial" w:cs="Arial"/>
          <w:sz w:val="18"/>
          <w:szCs w:val="18"/>
        </w:rPr>
        <w:t xml:space="preserve"> </w:t>
      </w:r>
      <w:r>
        <w:rPr>
          <w:rFonts w:ascii="Arial" w:hAnsi="Arial" w:cs="Arial"/>
          <w:sz w:val="18"/>
          <w:szCs w:val="18"/>
        </w:rPr>
        <w:t xml:space="preserve">los </w:t>
      </w:r>
      <w:r w:rsidR="00BD1269">
        <w:rPr>
          <w:rFonts w:ascii="Arial" w:hAnsi="Arial" w:cs="Arial"/>
          <w:sz w:val="18"/>
          <w:szCs w:val="18"/>
        </w:rPr>
        <w:t>otros</w:t>
      </w:r>
      <w:r w:rsidR="00B45B52">
        <w:rPr>
          <w:rFonts w:ascii="Arial" w:hAnsi="Arial" w:cs="Arial"/>
          <w:sz w:val="18"/>
          <w:szCs w:val="18"/>
        </w:rPr>
        <w:t xml:space="preserve"> organismos,</w:t>
      </w:r>
      <w:r>
        <w:rPr>
          <w:rFonts w:ascii="Arial" w:hAnsi="Arial" w:cs="Arial"/>
          <w:sz w:val="18"/>
          <w:szCs w:val="18"/>
        </w:rPr>
        <w:t xml:space="preserve"> </w:t>
      </w:r>
      <w:r w:rsidR="004554D2" w:rsidRPr="00933C7B">
        <w:rPr>
          <w:rFonts w:ascii="Arial" w:hAnsi="Arial" w:cs="Arial"/>
          <w:sz w:val="18"/>
          <w:szCs w:val="18"/>
        </w:rPr>
        <w:t>agencias</w:t>
      </w:r>
      <w:r w:rsidR="00B45B52" w:rsidRPr="00B45B52">
        <w:rPr>
          <w:rFonts w:ascii="Arial" w:hAnsi="Arial" w:cs="Arial"/>
          <w:sz w:val="18"/>
          <w:szCs w:val="18"/>
        </w:rPr>
        <w:t xml:space="preserve"> </w:t>
      </w:r>
      <w:r w:rsidR="00B45B52">
        <w:rPr>
          <w:rFonts w:ascii="Arial" w:hAnsi="Arial" w:cs="Arial"/>
          <w:sz w:val="18"/>
          <w:szCs w:val="18"/>
        </w:rPr>
        <w:t xml:space="preserve">y </w:t>
      </w:r>
      <w:r w:rsidR="00B45B52" w:rsidRPr="00933C7B">
        <w:rPr>
          <w:rFonts w:ascii="Arial" w:hAnsi="Arial" w:cs="Arial"/>
          <w:sz w:val="18"/>
          <w:szCs w:val="18"/>
        </w:rPr>
        <w:t xml:space="preserve">vehículos de inversión que hagan parte </w:t>
      </w:r>
      <w:r w:rsidR="00740529">
        <w:rPr>
          <w:rFonts w:ascii="Arial" w:hAnsi="Arial" w:cs="Arial"/>
          <w:sz w:val="18"/>
          <w:szCs w:val="18"/>
        </w:rPr>
        <w:t xml:space="preserve">de las entidades </w:t>
      </w:r>
      <w:r w:rsidR="006544BB">
        <w:rPr>
          <w:rFonts w:ascii="Arial" w:hAnsi="Arial" w:cs="Arial"/>
          <w:sz w:val="18"/>
          <w:szCs w:val="18"/>
        </w:rPr>
        <w:t xml:space="preserve">allí referidas </w:t>
      </w:r>
      <w:r w:rsidR="00B45B52" w:rsidRPr="00933C7B">
        <w:rPr>
          <w:rFonts w:ascii="Arial" w:hAnsi="Arial" w:cs="Arial"/>
          <w:sz w:val="18"/>
          <w:szCs w:val="18"/>
        </w:rPr>
        <w:t xml:space="preserve">o </w:t>
      </w:r>
      <w:r w:rsidR="00740529">
        <w:rPr>
          <w:rFonts w:ascii="Arial" w:hAnsi="Arial" w:cs="Arial"/>
          <w:sz w:val="18"/>
          <w:szCs w:val="18"/>
        </w:rPr>
        <w:t xml:space="preserve">que </w:t>
      </w:r>
      <w:r w:rsidR="00B45B52" w:rsidRPr="00933C7B">
        <w:rPr>
          <w:rFonts w:ascii="Arial" w:hAnsi="Arial" w:cs="Arial"/>
          <w:sz w:val="18"/>
          <w:szCs w:val="18"/>
        </w:rPr>
        <w:t>sean administrado</w:t>
      </w:r>
      <w:r w:rsidR="00B45B52">
        <w:rPr>
          <w:rFonts w:ascii="Arial" w:hAnsi="Arial" w:cs="Arial"/>
          <w:sz w:val="18"/>
          <w:szCs w:val="18"/>
        </w:rPr>
        <w:t>s</w:t>
      </w:r>
      <w:r w:rsidR="00B45B52" w:rsidRPr="00933C7B">
        <w:rPr>
          <w:rFonts w:ascii="Arial" w:hAnsi="Arial" w:cs="Arial"/>
          <w:sz w:val="18"/>
          <w:szCs w:val="18"/>
        </w:rPr>
        <w:t xml:space="preserve"> por </w:t>
      </w:r>
      <w:r w:rsidR="00DA435F">
        <w:rPr>
          <w:rFonts w:ascii="Arial" w:hAnsi="Arial" w:cs="Arial"/>
          <w:sz w:val="18"/>
          <w:szCs w:val="18"/>
        </w:rPr>
        <w:t>é</w:t>
      </w:r>
      <w:r w:rsidR="006544BB">
        <w:rPr>
          <w:rFonts w:ascii="Arial" w:hAnsi="Arial" w:cs="Arial"/>
          <w:sz w:val="18"/>
          <w:szCs w:val="18"/>
        </w:rPr>
        <w:t>sta</w:t>
      </w:r>
      <w:r w:rsidR="00B45B52" w:rsidRPr="00933C7B">
        <w:rPr>
          <w:rFonts w:ascii="Arial" w:hAnsi="Arial" w:cs="Arial"/>
          <w:sz w:val="18"/>
          <w:szCs w:val="18"/>
        </w:rPr>
        <w:t>s,</w:t>
      </w:r>
      <w:r w:rsidR="00FE7213">
        <w:rPr>
          <w:rFonts w:ascii="Arial" w:hAnsi="Arial" w:cs="Arial"/>
          <w:sz w:val="18"/>
          <w:szCs w:val="18"/>
        </w:rPr>
        <w:t xml:space="preserve"> a fin de que lo</w:t>
      </w:r>
      <w:r w:rsidR="00B45B52">
        <w:rPr>
          <w:rFonts w:ascii="Arial" w:hAnsi="Arial" w:cs="Arial"/>
          <w:sz w:val="18"/>
          <w:szCs w:val="18"/>
        </w:rPr>
        <w:t xml:space="preserve">s activos, exposiciones y contingencias sujetos a riesgo de crédito con ellos puedan </w:t>
      </w:r>
      <w:r w:rsidR="00B45B52" w:rsidRPr="00933C7B">
        <w:rPr>
          <w:rFonts w:ascii="Arial" w:hAnsi="Arial" w:cs="Arial"/>
          <w:sz w:val="18"/>
          <w:szCs w:val="18"/>
        </w:rPr>
        <w:t>ponderar al 0%</w:t>
      </w:r>
      <w:r w:rsidR="00B45B52">
        <w:rPr>
          <w:rFonts w:ascii="Arial" w:hAnsi="Arial" w:cs="Arial"/>
          <w:sz w:val="18"/>
          <w:szCs w:val="18"/>
        </w:rPr>
        <w:t xml:space="preserve">. </w:t>
      </w:r>
    </w:p>
    <w:p w:rsidR="00182CEB" w:rsidRDefault="00182CEB" w:rsidP="001A0E4B">
      <w:pPr>
        <w:jc w:val="both"/>
        <w:rPr>
          <w:rFonts w:ascii="Arial" w:hAnsi="Arial" w:cs="Arial"/>
          <w:sz w:val="18"/>
          <w:szCs w:val="18"/>
        </w:rPr>
      </w:pPr>
    </w:p>
    <w:p w:rsidR="004554D2" w:rsidRPr="000A17D7" w:rsidRDefault="00182CEB" w:rsidP="001A0E4B">
      <w:pPr>
        <w:jc w:val="both"/>
        <w:rPr>
          <w:rFonts w:ascii="Arial" w:hAnsi="Arial" w:cs="Arial"/>
          <w:sz w:val="18"/>
          <w:szCs w:val="18"/>
        </w:rPr>
      </w:pPr>
      <w:r>
        <w:rPr>
          <w:rFonts w:ascii="Arial" w:hAnsi="Arial" w:cs="Arial"/>
          <w:sz w:val="18"/>
          <w:szCs w:val="18"/>
        </w:rPr>
        <w:t>E</w:t>
      </w:r>
      <w:r w:rsidR="00FE7213">
        <w:rPr>
          <w:rFonts w:ascii="Arial" w:hAnsi="Arial" w:cs="Arial"/>
          <w:sz w:val="18"/>
          <w:szCs w:val="18"/>
        </w:rPr>
        <w:t>n todo caso, dichos</w:t>
      </w:r>
      <w:r>
        <w:rPr>
          <w:rFonts w:ascii="Arial" w:hAnsi="Arial" w:cs="Arial"/>
          <w:sz w:val="18"/>
          <w:szCs w:val="18"/>
        </w:rPr>
        <w:t xml:space="preserve"> </w:t>
      </w:r>
      <w:r w:rsidR="00B45B52">
        <w:rPr>
          <w:rFonts w:ascii="Arial" w:hAnsi="Arial" w:cs="Arial"/>
          <w:sz w:val="18"/>
          <w:szCs w:val="18"/>
        </w:rPr>
        <w:t>organismos, agencias y vehículos de inversi</w:t>
      </w:r>
      <w:r w:rsidR="00D42423">
        <w:rPr>
          <w:rFonts w:ascii="Arial" w:hAnsi="Arial" w:cs="Arial"/>
          <w:sz w:val="18"/>
          <w:szCs w:val="18"/>
        </w:rPr>
        <w:t>ón</w:t>
      </w:r>
      <w:r w:rsidR="003F7520">
        <w:rPr>
          <w:rFonts w:ascii="Arial" w:hAnsi="Arial" w:cs="Arial"/>
          <w:sz w:val="18"/>
          <w:szCs w:val="18"/>
        </w:rPr>
        <w:t xml:space="preserve"> </w:t>
      </w:r>
      <w:r w:rsidR="00D42423">
        <w:rPr>
          <w:rFonts w:ascii="Arial" w:hAnsi="Arial" w:cs="Arial"/>
          <w:sz w:val="18"/>
          <w:szCs w:val="18"/>
        </w:rPr>
        <w:t>de</w:t>
      </w:r>
      <w:r w:rsidR="003F7520">
        <w:rPr>
          <w:rFonts w:ascii="Arial" w:hAnsi="Arial" w:cs="Arial"/>
          <w:sz w:val="18"/>
          <w:szCs w:val="18"/>
        </w:rPr>
        <w:t>ben</w:t>
      </w:r>
      <w:r w:rsidR="00B45B52">
        <w:rPr>
          <w:rFonts w:ascii="Arial" w:hAnsi="Arial" w:cs="Arial"/>
          <w:sz w:val="18"/>
          <w:szCs w:val="18"/>
        </w:rPr>
        <w:t xml:space="preserve"> cumplir con los </w:t>
      </w:r>
      <w:r w:rsidR="00D42423">
        <w:rPr>
          <w:rFonts w:ascii="Arial" w:hAnsi="Arial" w:cs="Arial"/>
          <w:sz w:val="18"/>
          <w:szCs w:val="18"/>
        </w:rPr>
        <w:t>requisitos</w:t>
      </w:r>
      <w:r w:rsidR="00B45B52">
        <w:rPr>
          <w:rFonts w:ascii="Arial" w:hAnsi="Arial" w:cs="Arial"/>
          <w:sz w:val="18"/>
          <w:szCs w:val="18"/>
        </w:rPr>
        <w:t xml:space="preserve"> de alta calificación, respaldo patrimonial y liquidez</w:t>
      </w:r>
      <w:r w:rsidR="003F7520">
        <w:rPr>
          <w:rFonts w:ascii="Arial" w:hAnsi="Arial" w:cs="Arial"/>
          <w:sz w:val="18"/>
          <w:szCs w:val="18"/>
        </w:rPr>
        <w:t xml:space="preserve"> conforme a lo </w:t>
      </w:r>
      <w:r w:rsidR="00D42423">
        <w:rPr>
          <w:rFonts w:ascii="Arial" w:hAnsi="Arial" w:cs="Arial"/>
          <w:sz w:val="18"/>
          <w:szCs w:val="18"/>
        </w:rPr>
        <w:t>siguiente:</w:t>
      </w:r>
    </w:p>
    <w:p w:rsidR="004554D2" w:rsidRPr="000A17D7" w:rsidRDefault="004554D2" w:rsidP="004554D2">
      <w:pPr>
        <w:jc w:val="both"/>
        <w:rPr>
          <w:rFonts w:ascii="Arial" w:hAnsi="Arial" w:cs="Arial"/>
          <w:sz w:val="18"/>
          <w:szCs w:val="18"/>
        </w:rPr>
      </w:pPr>
    </w:p>
    <w:p w:rsidR="004554D2" w:rsidRDefault="004554D2" w:rsidP="00513595">
      <w:pPr>
        <w:pStyle w:val="Prrafodelista"/>
        <w:numPr>
          <w:ilvl w:val="0"/>
          <w:numId w:val="6"/>
        </w:numPr>
        <w:ind w:left="360"/>
        <w:jc w:val="both"/>
        <w:rPr>
          <w:rFonts w:ascii="Arial" w:hAnsi="Arial" w:cs="Arial"/>
          <w:sz w:val="18"/>
          <w:szCs w:val="18"/>
        </w:rPr>
      </w:pPr>
      <w:r w:rsidRPr="000A17D7">
        <w:rPr>
          <w:rFonts w:ascii="Arial" w:hAnsi="Arial" w:cs="Arial"/>
          <w:sz w:val="18"/>
          <w:szCs w:val="18"/>
        </w:rPr>
        <w:t xml:space="preserve">Tener una calificación </w:t>
      </w:r>
      <w:r w:rsidRPr="0054130D">
        <w:rPr>
          <w:rFonts w:ascii="Arial" w:hAnsi="Arial" w:cs="Arial"/>
          <w:sz w:val="18"/>
          <w:szCs w:val="18"/>
        </w:rPr>
        <w:t xml:space="preserve">externa AAA </w:t>
      </w:r>
      <w:r w:rsidR="00494538">
        <w:rPr>
          <w:rFonts w:ascii="Arial" w:hAnsi="Arial" w:cs="Arial"/>
          <w:sz w:val="18"/>
          <w:szCs w:val="18"/>
        </w:rPr>
        <w:t xml:space="preserve">en escala internacional </w:t>
      </w:r>
      <w:r w:rsidRPr="0054130D">
        <w:rPr>
          <w:rFonts w:ascii="Arial" w:hAnsi="Arial" w:cs="Arial"/>
          <w:sz w:val="18"/>
          <w:szCs w:val="18"/>
        </w:rPr>
        <w:t xml:space="preserve">al momento de la solicitud. </w:t>
      </w:r>
      <w:r w:rsidR="00BD1269" w:rsidRPr="0054130D">
        <w:rPr>
          <w:rFonts w:ascii="Arial" w:hAnsi="Arial" w:cs="Arial"/>
          <w:sz w:val="18"/>
          <w:szCs w:val="18"/>
        </w:rPr>
        <w:t>En todo caso, los organismos, agencias y vehículos de inversión no objetados por la SFC no</w:t>
      </w:r>
      <w:r w:rsidRPr="0054130D">
        <w:rPr>
          <w:rFonts w:ascii="Arial" w:hAnsi="Arial" w:cs="Arial"/>
          <w:sz w:val="18"/>
          <w:szCs w:val="18"/>
        </w:rPr>
        <w:t xml:space="preserve"> podrá</w:t>
      </w:r>
      <w:r w:rsidR="00450E98">
        <w:rPr>
          <w:rFonts w:ascii="Arial" w:hAnsi="Arial" w:cs="Arial"/>
          <w:sz w:val="18"/>
          <w:szCs w:val="18"/>
        </w:rPr>
        <w:t>n</w:t>
      </w:r>
      <w:r w:rsidRPr="0054130D">
        <w:rPr>
          <w:rFonts w:ascii="Arial" w:hAnsi="Arial" w:cs="Arial"/>
          <w:sz w:val="18"/>
          <w:szCs w:val="18"/>
        </w:rPr>
        <w:t xml:space="preserve"> tener una calificación </w:t>
      </w:r>
      <w:r w:rsidR="000635E2">
        <w:rPr>
          <w:rFonts w:ascii="Arial" w:hAnsi="Arial" w:cs="Arial"/>
          <w:sz w:val="18"/>
          <w:szCs w:val="18"/>
        </w:rPr>
        <w:t xml:space="preserve">posterior </w:t>
      </w:r>
      <w:r w:rsidRPr="0054130D">
        <w:rPr>
          <w:rFonts w:ascii="Arial" w:hAnsi="Arial" w:cs="Arial"/>
          <w:sz w:val="18"/>
          <w:szCs w:val="18"/>
        </w:rPr>
        <w:t>por debajo de AA-</w:t>
      </w:r>
      <w:r w:rsidR="00BD1269" w:rsidRPr="0054130D">
        <w:rPr>
          <w:rFonts w:ascii="Arial" w:hAnsi="Arial" w:cs="Arial"/>
          <w:sz w:val="18"/>
          <w:szCs w:val="18"/>
        </w:rPr>
        <w:t xml:space="preserve"> para que </w:t>
      </w:r>
      <w:r w:rsidR="00450E98">
        <w:rPr>
          <w:rFonts w:ascii="Arial" w:hAnsi="Arial" w:cs="Arial"/>
          <w:sz w:val="18"/>
          <w:szCs w:val="18"/>
        </w:rPr>
        <w:t xml:space="preserve">puedan </w:t>
      </w:r>
      <w:r w:rsidR="00BD1269" w:rsidRPr="0054130D">
        <w:rPr>
          <w:rFonts w:ascii="Arial" w:hAnsi="Arial" w:cs="Arial"/>
          <w:sz w:val="18"/>
          <w:szCs w:val="18"/>
        </w:rPr>
        <w:t>ponder</w:t>
      </w:r>
      <w:r w:rsidR="00450E98">
        <w:rPr>
          <w:rFonts w:ascii="Arial" w:hAnsi="Arial" w:cs="Arial"/>
          <w:sz w:val="18"/>
          <w:szCs w:val="18"/>
        </w:rPr>
        <w:t xml:space="preserve">ar </w:t>
      </w:r>
      <w:r w:rsidR="00BD1269" w:rsidRPr="0054130D">
        <w:rPr>
          <w:rFonts w:ascii="Arial" w:hAnsi="Arial" w:cs="Arial"/>
          <w:sz w:val="18"/>
          <w:szCs w:val="18"/>
        </w:rPr>
        <w:t>al 0%</w:t>
      </w:r>
      <w:r w:rsidRPr="0054130D">
        <w:rPr>
          <w:rFonts w:ascii="Arial" w:hAnsi="Arial" w:cs="Arial"/>
          <w:sz w:val="18"/>
          <w:szCs w:val="18"/>
        </w:rPr>
        <w:t>.</w:t>
      </w:r>
      <w:r w:rsidRPr="000A17D7">
        <w:rPr>
          <w:rFonts w:ascii="Arial" w:hAnsi="Arial" w:cs="Arial"/>
          <w:sz w:val="18"/>
          <w:szCs w:val="18"/>
        </w:rPr>
        <w:t xml:space="preserve"> En el caso en que el deterioro de la calificación sea superior a esta última, dichas entidades estarán sujetas al tratamiento descrito en el numeral 5</w:t>
      </w:r>
      <w:r w:rsidR="00F33295">
        <w:rPr>
          <w:rFonts w:ascii="Arial" w:hAnsi="Arial" w:cs="Arial"/>
          <w:sz w:val="18"/>
          <w:szCs w:val="18"/>
        </w:rPr>
        <w:t>)</w:t>
      </w:r>
      <w:r w:rsidRPr="000A17D7">
        <w:rPr>
          <w:rFonts w:ascii="Arial" w:hAnsi="Arial" w:cs="Arial"/>
          <w:sz w:val="18"/>
          <w:szCs w:val="18"/>
        </w:rPr>
        <w:t xml:space="preserve"> del artículo 2.1.1.3.2. del Decreto 2555 de 2010.</w:t>
      </w:r>
    </w:p>
    <w:p w:rsidR="00AB799F" w:rsidRDefault="00AB799F" w:rsidP="00AB799F">
      <w:pPr>
        <w:pStyle w:val="Prrafodelista"/>
        <w:ind w:left="360"/>
        <w:jc w:val="both"/>
        <w:rPr>
          <w:rFonts w:ascii="Arial" w:hAnsi="Arial" w:cs="Arial"/>
          <w:sz w:val="18"/>
          <w:szCs w:val="18"/>
        </w:rPr>
      </w:pPr>
    </w:p>
    <w:p w:rsidR="00CF6537" w:rsidRDefault="00AB799F" w:rsidP="00AB799F">
      <w:pPr>
        <w:pStyle w:val="Prrafodelista"/>
        <w:numPr>
          <w:ilvl w:val="0"/>
          <w:numId w:val="6"/>
        </w:numPr>
        <w:ind w:left="360"/>
        <w:jc w:val="both"/>
        <w:rPr>
          <w:rFonts w:ascii="Arial" w:hAnsi="Arial" w:cs="Arial"/>
          <w:sz w:val="18"/>
          <w:szCs w:val="18"/>
        </w:rPr>
      </w:pPr>
      <w:r w:rsidRPr="00AB799F">
        <w:rPr>
          <w:rFonts w:ascii="Arial" w:hAnsi="Arial" w:cs="Arial"/>
          <w:sz w:val="18"/>
          <w:szCs w:val="18"/>
        </w:rPr>
        <w:t>Contar con niveles suficientes de capital y liquidez. En relación con el capital se deben tener en cuenta los niveles de capital de la entidad frente a los riesgos a los cuales está expuesta y la relación de apalancamiento, así como el volumen de capital desembolsado por los a</w:t>
      </w:r>
      <w:r w:rsidR="00CF6537">
        <w:rPr>
          <w:rFonts w:ascii="Arial" w:hAnsi="Arial" w:cs="Arial"/>
          <w:sz w:val="18"/>
          <w:szCs w:val="18"/>
        </w:rPr>
        <w:t xml:space="preserve">ccionistas y la frecuencia y </w:t>
      </w:r>
      <w:r w:rsidRPr="00AB799F">
        <w:rPr>
          <w:rFonts w:ascii="Arial" w:hAnsi="Arial" w:cs="Arial"/>
          <w:sz w:val="18"/>
          <w:szCs w:val="18"/>
        </w:rPr>
        <w:t xml:space="preserve">cumplimiento de los compromisos de aportes por parte de los accionistas soberanos. En cuanto a la liquidez, se debe analizar su capacidad para manejar los requerimientos de liquidez en condiciones económicas y de mercado adversas. </w:t>
      </w:r>
    </w:p>
    <w:p w:rsidR="00CF6537" w:rsidRDefault="00CF6537" w:rsidP="00CF6537">
      <w:pPr>
        <w:pStyle w:val="Prrafodelista"/>
        <w:ind w:left="360"/>
        <w:jc w:val="both"/>
        <w:rPr>
          <w:rFonts w:ascii="Arial" w:hAnsi="Arial" w:cs="Arial"/>
          <w:sz w:val="18"/>
          <w:szCs w:val="18"/>
        </w:rPr>
      </w:pPr>
    </w:p>
    <w:p w:rsidR="00AB799F" w:rsidRPr="00CF6537" w:rsidRDefault="00AB799F" w:rsidP="00CF6537">
      <w:pPr>
        <w:pStyle w:val="Prrafodelista"/>
        <w:ind w:left="360"/>
        <w:jc w:val="both"/>
        <w:rPr>
          <w:rFonts w:ascii="Arial" w:hAnsi="Arial" w:cs="Arial"/>
          <w:sz w:val="18"/>
          <w:szCs w:val="18"/>
        </w:rPr>
      </w:pPr>
      <w:r w:rsidRPr="00CF6537">
        <w:rPr>
          <w:rFonts w:ascii="Arial" w:hAnsi="Arial" w:cs="Arial"/>
          <w:sz w:val="18"/>
          <w:szCs w:val="18"/>
        </w:rPr>
        <w:t>Para lo anterior se debe evaluar: i) que las fuentes de fondeo sean lo suficientemente estables en relación con la composición y las características de riesgo de liquidez de sus activos; y ii) que la entidad cuente con los activos líquidos suficientes para cumplir con sus requerimientos de liquidez contract</w:t>
      </w:r>
      <w:r w:rsidR="00995E42" w:rsidRPr="00CF6537">
        <w:rPr>
          <w:rFonts w:ascii="Arial" w:hAnsi="Arial" w:cs="Arial"/>
          <w:sz w:val="18"/>
          <w:szCs w:val="18"/>
        </w:rPr>
        <w:t>uales y no contractuales</w:t>
      </w:r>
      <w:r w:rsidRPr="00CF6537">
        <w:rPr>
          <w:rFonts w:ascii="Arial" w:hAnsi="Arial" w:cs="Arial"/>
          <w:sz w:val="18"/>
          <w:szCs w:val="18"/>
        </w:rPr>
        <w:t>.</w:t>
      </w:r>
    </w:p>
    <w:p w:rsidR="00D05741" w:rsidRPr="00507D2E" w:rsidRDefault="00D05741" w:rsidP="00507D2E">
      <w:pPr>
        <w:rPr>
          <w:rFonts w:ascii="Arial" w:hAnsi="Arial" w:cs="Arial"/>
          <w:sz w:val="18"/>
          <w:szCs w:val="18"/>
        </w:rPr>
      </w:pPr>
    </w:p>
    <w:p w:rsidR="00E93366" w:rsidRPr="000571A2" w:rsidRDefault="00F61E02" w:rsidP="00E343EE">
      <w:pPr>
        <w:pStyle w:val="Prrafodelista"/>
        <w:numPr>
          <w:ilvl w:val="2"/>
          <w:numId w:val="38"/>
        </w:numPr>
        <w:jc w:val="both"/>
        <w:outlineLvl w:val="2"/>
        <w:rPr>
          <w:rFonts w:ascii="Arial" w:hAnsi="Arial" w:cs="Arial"/>
          <w:sz w:val="18"/>
          <w:szCs w:val="18"/>
        </w:rPr>
      </w:pPr>
      <w:r w:rsidRPr="000571A2">
        <w:rPr>
          <w:rFonts w:ascii="Arial" w:hAnsi="Arial" w:cs="Arial"/>
          <w:sz w:val="18"/>
          <w:szCs w:val="18"/>
        </w:rPr>
        <w:t>Clas</w:t>
      </w:r>
      <w:r w:rsidR="00377227" w:rsidRPr="000571A2">
        <w:rPr>
          <w:rFonts w:ascii="Arial" w:hAnsi="Arial" w:cs="Arial"/>
          <w:sz w:val="18"/>
          <w:szCs w:val="18"/>
        </w:rPr>
        <w:t xml:space="preserve">ificación </w:t>
      </w:r>
      <w:r w:rsidR="00D42423" w:rsidRPr="000571A2">
        <w:rPr>
          <w:rFonts w:ascii="Arial" w:hAnsi="Arial" w:cs="Arial"/>
          <w:sz w:val="18"/>
          <w:szCs w:val="18"/>
        </w:rPr>
        <w:t>y ponderación de la</w:t>
      </w:r>
      <w:r w:rsidR="009D66A4">
        <w:rPr>
          <w:rFonts w:ascii="Arial" w:hAnsi="Arial" w:cs="Arial"/>
          <w:sz w:val="18"/>
          <w:szCs w:val="18"/>
        </w:rPr>
        <w:t xml:space="preserve"> exposición de la</w:t>
      </w:r>
      <w:r w:rsidR="00D42423" w:rsidRPr="000571A2">
        <w:rPr>
          <w:rFonts w:ascii="Arial" w:hAnsi="Arial" w:cs="Arial"/>
          <w:sz w:val="18"/>
          <w:szCs w:val="18"/>
        </w:rPr>
        <w:t>s contingencias</w:t>
      </w:r>
    </w:p>
    <w:p w:rsidR="00F61E02" w:rsidRPr="000A17D7" w:rsidRDefault="00F61E02" w:rsidP="00F61E02">
      <w:pPr>
        <w:jc w:val="both"/>
        <w:rPr>
          <w:rFonts w:ascii="Arial" w:hAnsi="Arial" w:cs="Arial"/>
          <w:sz w:val="18"/>
          <w:szCs w:val="18"/>
        </w:rPr>
      </w:pPr>
    </w:p>
    <w:p w:rsidR="00D1078B" w:rsidRPr="000A17D7" w:rsidRDefault="00504CD2" w:rsidP="00D1078B">
      <w:pPr>
        <w:pStyle w:val="Prrafodelista"/>
        <w:ind w:left="0"/>
        <w:jc w:val="both"/>
        <w:rPr>
          <w:rFonts w:ascii="Arial" w:hAnsi="Arial" w:cs="Arial"/>
          <w:sz w:val="18"/>
          <w:szCs w:val="18"/>
          <w:lang w:val="es-CO"/>
        </w:rPr>
      </w:pPr>
      <w:r>
        <w:rPr>
          <w:rFonts w:ascii="Arial" w:hAnsi="Arial" w:cs="Arial"/>
          <w:sz w:val="18"/>
          <w:szCs w:val="18"/>
          <w:lang w:val="es-CO"/>
        </w:rPr>
        <w:t>De conformidad con lo establecido en el artículo 2.1.1.3.5</w:t>
      </w:r>
      <w:r w:rsidR="00995E42">
        <w:rPr>
          <w:rFonts w:ascii="Arial" w:hAnsi="Arial" w:cs="Arial"/>
          <w:sz w:val="18"/>
          <w:szCs w:val="18"/>
          <w:lang w:val="es-CO"/>
        </w:rPr>
        <w:t xml:space="preserve"> del Decreto 2555 de 2010</w:t>
      </w:r>
      <w:r>
        <w:rPr>
          <w:rFonts w:ascii="Arial" w:hAnsi="Arial" w:cs="Arial"/>
          <w:sz w:val="18"/>
          <w:szCs w:val="18"/>
          <w:lang w:val="es-CO"/>
        </w:rPr>
        <w:t xml:space="preserve"> </w:t>
      </w:r>
      <w:r w:rsidR="00A33DB2">
        <w:rPr>
          <w:rFonts w:ascii="Arial" w:hAnsi="Arial" w:cs="Arial"/>
          <w:sz w:val="18"/>
          <w:szCs w:val="18"/>
          <w:lang w:val="es-CO"/>
        </w:rPr>
        <w:t xml:space="preserve">la </w:t>
      </w:r>
      <w:r w:rsidR="00D1078B" w:rsidRPr="000A17D7">
        <w:rPr>
          <w:rFonts w:ascii="Arial" w:hAnsi="Arial" w:cs="Arial"/>
          <w:sz w:val="18"/>
          <w:szCs w:val="18"/>
          <w:lang w:val="es-CO"/>
        </w:rPr>
        <w:t>exposición de las contingencias se</w:t>
      </w:r>
      <w:r w:rsidR="003B278E">
        <w:rPr>
          <w:rFonts w:ascii="Arial" w:hAnsi="Arial" w:cs="Arial"/>
          <w:sz w:val="18"/>
          <w:szCs w:val="18"/>
          <w:lang w:val="es-CO"/>
        </w:rPr>
        <w:t xml:space="preserve"> debe</w:t>
      </w:r>
      <w:r w:rsidR="00D1078B" w:rsidRPr="000A17D7">
        <w:rPr>
          <w:rFonts w:ascii="Arial" w:hAnsi="Arial" w:cs="Arial"/>
          <w:sz w:val="18"/>
          <w:szCs w:val="18"/>
          <w:lang w:val="es-CO"/>
        </w:rPr>
        <w:t xml:space="preserve"> determinar multiplica</w:t>
      </w:r>
      <w:r>
        <w:rPr>
          <w:rFonts w:ascii="Arial" w:hAnsi="Arial" w:cs="Arial"/>
          <w:sz w:val="18"/>
          <w:szCs w:val="18"/>
          <w:lang w:val="es-CO"/>
        </w:rPr>
        <w:t>ndo</w:t>
      </w:r>
      <w:r w:rsidR="00D1078B" w:rsidRPr="000A17D7">
        <w:rPr>
          <w:rFonts w:ascii="Arial" w:hAnsi="Arial" w:cs="Arial"/>
          <w:sz w:val="18"/>
          <w:szCs w:val="18"/>
          <w:lang w:val="es-CO"/>
        </w:rPr>
        <w:t xml:space="preserve"> el </w:t>
      </w:r>
      <w:r w:rsidR="00BD6AB4">
        <w:rPr>
          <w:rFonts w:ascii="Arial" w:hAnsi="Arial" w:cs="Arial"/>
          <w:sz w:val="18"/>
          <w:szCs w:val="18"/>
          <w:lang w:val="es-CO"/>
        </w:rPr>
        <w:t xml:space="preserve">monto </w:t>
      </w:r>
      <w:r w:rsidR="00D1078B" w:rsidRPr="000A17D7">
        <w:rPr>
          <w:rFonts w:ascii="Arial" w:hAnsi="Arial" w:cs="Arial"/>
          <w:sz w:val="18"/>
          <w:szCs w:val="18"/>
          <w:lang w:val="es-CO"/>
        </w:rPr>
        <w:t>nominal de las contingencias neto de provisiones</w:t>
      </w:r>
      <w:r>
        <w:rPr>
          <w:rFonts w:ascii="Arial" w:hAnsi="Arial" w:cs="Arial"/>
          <w:sz w:val="18"/>
          <w:szCs w:val="18"/>
          <w:lang w:val="es-CO"/>
        </w:rPr>
        <w:t>,</w:t>
      </w:r>
      <w:r w:rsidR="00D1078B" w:rsidRPr="000A17D7">
        <w:rPr>
          <w:rFonts w:ascii="Arial" w:hAnsi="Arial" w:cs="Arial"/>
          <w:sz w:val="18"/>
          <w:szCs w:val="18"/>
          <w:lang w:val="es-CO"/>
        </w:rPr>
        <w:t xml:space="preserve"> por el factor de conversión crediticio correspondiente a </w:t>
      </w:r>
      <w:r w:rsidR="003F7520">
        <w:rPr>
          <w:rFonts w:ascii="Arial" w:hAnsi="Arial" w:cs="Arial"/>
          <w:sz w:val="18"/>
          <w:szCs w:val="18"/>
          <w:lang w:val="es-CO"/>
        </w:rPr>
        <w:t xml:space="preserve">cada </w:t>
      </w:r>
      <w:r w:rsidR="00D1078B" w:rsidRPr="000A17D7">
        <w:rPr>
          <w:rFonts w:ascii="Arial" w:hAnsi="Arial" w:cs="Arial"/>
          <w:sz w:val="18"/>
          <w:szCs w:val="18"/>
          <w:lang w:val="es-CO"/>
        </w:rPr>
        <w:t>operación</w:t>
      </w:r>
      <w:r w:rsidR="00D42423">
        <w:rPr>
          <w:rFonts w:ascii="Arial" w:hAnsi="Arial" w:cs="Arial"/>
          <w:sz w:val="18"/>
          <w:szCs w:val="18"/>
          <w:lang w:val="es-CO"/>
        </w:rPr>
        <w:t>, conforme a la siguiente fórmula</w:t>
      </w:r>
      <w:r w:rsidR="00182CEB">
        <w:rPr>
          <w:rFonts w:ascii="Arial" w:hAnsi="Arial" w:cs="Arial"/>
          <w:sz w:val="18"/>
          <w:szCs w:val="18"/>
          <w:lang w:val="es-CO"/>
        </w:rPr>
        <w:t>:</w:t>
      </w:r>
    </w:p>
    <w:p w:rsidR="004932A8" w:rsidRPr="000A17D7" w:rsidRDefault="004932A8" w:rsidP="00D1078B">
      <w:pPr>
        <w:pStyle w:val="Prrafodelista"/>
        <w:ind w:left="0"/>
        <w:jc w:val="center"/>
        <w:rPr>
          <w:rFonts w:ascii="Arial" w:hAnsi="Arial" w:cs="Arial"/>
          <w:sz w:val="18"/>
          <w:szCs w:val="18"/>
          <w:lang w:val="es-CO"/>
        </w:rPr>
      </w:pPr>
    </w:p>
    <w:p w:rsidR="00D1078B" w:rsidRPr="000A17D7" w:rsidRDefault="001F1923" w:rsidP="00D1078B">
      <w:pPr>
        <w:pStyle w:val="Prrafodelista"/>
        <w:ind w:left="0"/>
        <w:jc w:val="center"/>
        <w:rPr>
          <w:rFonts w:ascii="Arial" w:hAnsi="Arial"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Exposición ponderada de las Contingencias</m:t>
              </m:r>
            </m:e>
            <m:sub>
              <m:r>
                <w:rPr>
                  <w:rFonts w:ascii="Cambria Math" w:hAnsi="Cambria Math" w:cs="Arial"/>
                  <w:sz w:val="18"/>
                  <w:szCs w:val="18"/>
                </w:rPr>
                <m:t>i</m:t>
              </m:r>
            </m:sub>
          </m:sSub>
          <m:r>
            <w:rPr>
              <w:rFonts w:ascii="Cambria Math" w:hAnsi="Cambria Math" w:cs="Arial"/>
              <w:sz w:val="18"/>
              <w:szCs w:val="18"/>
            </w:rPr>
            <m:t xml:space="preserve">= </m:t>
          </m:r>
        </m:oMath>
      </m:oMathPara>
    </w:p>
    <w:p w:rsidR="00D1078B" w:rsidRPr="000A17D7" w:rsidRDefault="00D1078B" w:rsidP="00D1078B">
      <w:pPr>
        <w:pStyle w:val="Prrafodelista"/>
        <w:ind w:left="0"/>
        <w:jc w:val="center"/>
        <w:rPr>
          <w:rFonts w:ascii="Arial" w:hAnsi="Arial" w:cs="Arial"/>
          <w:sz w:val="18"/>
          <w:szCs w:val="18"/>
        </w:rPr>
      </w:pPr>
    </w:p>
    <w:p w:rsidR="00D1078B" w:rsidRPr="000A17D7" w:rsidRDefault="00D1078B" w:rsidP="00D1078B">
      <w:pPr>
        <w:pStyle w:val="Prrafodelista"/>
        <w:ind w:left="0"/>
        <w:jc w:val="center"/>
        <w:rPr>
          <w:rFonts w:ascii="Arial" w:hAnsi="Arial" w:cs="Arial"/>
          <w:sz w:val="18"/>
          <w:szCs w:val="18"/>
          <w:lang w:val="es-CO"/>
        </w:rPr>
      </w:pPr>
      <m:oMathPara>
        <m:oMath>
          <m:r>
            <w:rPr>
              <w:rFonts w:ascii="Cambria Math" w:hAnsi="Cambria Math" w:cs="Arial"/>
              <w:sz w:val="18"/>
              <w:szCs w:val="18"/>
            </w:rPr>
            <m:t xml:space="preserve"> </m:t>
          </m:r>
          <m:d>
            <m:dPr>
              <m:ctrlPr>
                <w:rPr>
                  <w:rFonts w:ascii="Cambria Math" w:hAnsi="Cambria Math" w:cs="Arial"/>
                  <w:i/>
                  <w:sz w:val="18"/>
                  <w:szCs w:val="18"/>
                </w:rPr>
              </m:ctrlPr>
            </m:dPr>
            <m:e>
              <m:sSub>
                <m:sSubPr>
                  <m:ctrlPr>
                    <w:rPr>
                      <w:rFonts w:ascii="Cambria Math" w:hAnsi="Cambria Math" w:cs="Arial"/>
                      <w:i/>
                      <w:sz w:val="18"/>
                      <w:szCs w:val="18"/>
                    </w:rPr>
                  </m:ctrlPr>
                </m:sSubPr>
                <m:e>
                  <m:eqArr>
                    <m:eqArrPr>
                      <m:ctrlPr>
                        <w:rPr>
                          <w:rFonts w:ascii="Cambria Math" w:hAnsi="Cambria Math" w:cs="Arial"/>
                          <w:i/>
                          <w:sz w:val="18"/>
                          <w:szCs w:val="18"/>
                        </w:rPr>
                      </m:ctrlPr>
                    </m:eqArrPr>
                    <m:e>
                      <m:r>
                        <w:rPr>
                          <w:rFonts w:ascii="Cambria Math" w:hAnsi="Cambria Math" w:cs="Arial"/>
                          <w:sz w:val="18"/>
                          <w:szCs w:val="18"/>
                        </w:rPr>
                        <m:t xml:space="preserve">  </m:t>
                      </m:r>
                    </m:e>
                    <m:e>
                      <m:r>
                        <w:rPr>
                          <w:rFonts w:ascii="Cambria Math" w:hAnsi="Cambria Math" w:cs="Arial"/>
                          <w:sz w:val="18"/>
                          <w:szCs w:val="18"/>
                        </w:rPr>
                        <m:t>Monto Nominal de las contingencias,</m:t>
                      </m:r>
                      <m:ctrlPr>
                        <w:rPr>
                          <w:rFonts w:ascii="Cambria Math" w:eastAsia="Cambria Math" w:hAnsi="Cambria Math" w:cs="Cambria Math"/>
                          <w:i/>
                          <w:sz w:val="18"/>
                          <w:szCs w:val="18"/>
                        </w:rPr>
                      </m:ctrlPr>
                    </m:e>
                    <m:e>
                      <m:r>
                        <w:rPr>
                          <w:rFonts w:ascii="Cambria Math" w:hAnsi="Cambria Math" w:cs="Arial"/>
                          <w:sz w:val="18"/>
                          <w:szCs w:val="18"/>
                        </w:rPr>
                        <m:t>neto de provisiones</m:t>
                      </m:r>
                    </m:e>
                  </m:eqArr>
                </m:e>
                <m:sub>
                  <m:r>
                    <w:rPr>
                      <w:rFonts w:ascii="Cambria Math" w:hAnsi="Cambria Math" w:cs="Arial"/>
                      <w:sz w:val="18"/>
                      <w:szCs w:val="18"/>
                    </w:rPr>
                    <m:t>i</m:t>
                  </m:r>
                </m:sub>
              </m:sSub>
            </m:e>
          </m:d>
          <m:r>
            <w:rPr>
              <w:rFonts w:ascii="Cambria Math" w:hAnsi="Cambria Math" w:cs="Arial"/>
              <w:sz w:val="18"/>
              <w:szCs w:val="18"/>
            </w:rPr>
            <m:t>*</m:t>
          </m:r>
          <m:d>
            <m:dPr>
              <m:ctrlPr>
                <w:rPr>
                  <w:rFonts w:ascii="Cambria Math" w:hAnsi="Cambria Math" w:cs="Arial"/>
                  <w:i/>
                  <w:sz w:val="18"/>
                  <w:szCs w:val="18"/>
                </w:rPr>
              </m:ctrlPr>
            </m:dPr>
            <m:e>
              <m:sSub>
                <m:sSubPr>
                  <m:ctrlPr>
                    <w:rPr>
                      <w:rFonts w:ascii="Cambria Math" w:hAnsi="Cambria Math" w:cs="Arial"/>
                      <w:i/>
                      <w:sz w:val="18"/>
                      <w:szCs w:val="18"/>
                    </w:rPr>
                  </m:ctrlPr>
                </m:sSubPr>
                <m:e>
                  <m:eqArr>
                    <m:eqArrPr>
                      <m:ctrlPr>
                        <w:rPr>
                          <w:rFonts w:ascii="Cambria Math" w:hAnsi="Cambria Math" w:cs="Arial"/>
                          <w:i/>
                          <w:sz w:val="18"/>
                          <w:szCs w:val="18"/>
                        </w:rPr>
                      </m:ctrlPr>
                    </m:eqArrPr>
                    <m:e>
                      <m:r>
                        <w:rPr>
                          <w:rFonts w:ascii="Cambria Math" w:hAnsi="Cambria Math" w:cs="Arial"/>
                          <w:sz w:val="18"/>
                          <w:szCs w:val="18"/>
                        </w:rPr>
                        <m:t xml:space="preserve">Factor de </m:t>
                      </m:r>
                    </m:e>
                    <m:e>
                      <m:r>
                        <w:rPr>
                          <w:rFonts w:ascii="Cambria Math" w:hAnsi="Cambria Math" w:cs="Arial"/>
                          <w:sz w:val="18"/>
                          <w:szCs w:val="18"/>
                        </w:rPr>
                        <m:t>conversión crediticio</m:t>
                      </m:r>
                    </m:e>
                  </m:eqArr>
                </m:e>
                <m:sub>
                  <m:r>
                    <w:rPr>
                      <w:rFonts w:ascii="Cambria Math" w:hAnsi="Cambria Math" w:cs="Arial"/>
                      <w:sz w:val="18"/>
                      <w:szCs w:val="18"/>
                    </w:rPr>
                    <m:t xml:space="preserve"> i</m:t>
                  </m:r>
                </m:sub>
              </m:sSub>
            </m:e>
          </m:d>
          <m:r>
            <w:rPr>
              <w:rFonts w:ascii="Cambria Math" w:hAnsi="Cambria Math" w:cs="Arial"/>
              <w:sz w:val="18"/>
              <w:szCs w:val="18"/>
            </w:rPr>
            <m:t>*</m:t>
          </m:r>
          <m:d>
            <m:dPr>
              <m:ctrlPr>
                <w:rPr>
                  <w:rFonts w:ascii="Cambria Math" w:hAnsi="Cambria Math" w:cs="Arial"/>
                  <w:i/>
                  <w:sz w:val="18"/>
                  <w:szCs w:val="18"/>
                </w:rPr>
              </m:ctrlPr>
            </m:dPr>
            <m:e>
              <m:sSub>
                <m:sSubPr>
                  <m:ctrlPr>
                    <w:rPr>
                      <w:rFonts w:ascii="Cambria Math" w:hAnsi="Cambria Math" w:cs="Arial"/>
                      <w:i/>
                      <w:sz w:val="18"/>
                      <w:szCs w:val="18"/>
                    </w:rPr>
                  </m:ctrlPr>
                </m:sSubPr>
                <m:e>
                  <m:eqArr>
                    <m:eqArrPr>
                      <m:ctrlPr>
                        <w:rPr>
                          <w:rFonts w:ascii="Cambria Math" w:hAnsi="Cambria Math" w:cs="Arial"/>
                          <w:i/>
                          <w:sz w:val="18"/>
                          <w:szCs w:val="18"/>
                        </w:rPr>
                      </m:ctrlPr>
                    </m:eqArrPr>
                    <m:e>
                      <m:r>
                        <w:rPr>
                          <w:rFonts w:ascii="Cambria Math" w:hAnsi="Cambria Math" w:cs="Arial"/>
                          <w:sz w:val="18"/>
                          <w:szCs w:val="18"/>
                        </w:rPr>
                        <m:t xml:space="preserve">Ponderación </m:t>
                      </m:r>
                    </m:e>
                    <m:e>
                      <m:r>
                        <w:rPr>
                          <w:rFonts w:ascii="Cambria Math" w:hAnsi="Cambria Math" w:cs="Arial"/>
                          <w:sz w:val="18"/>
                          <w:szCs w:val="18"/>
                        </w:rPr>
                        <m:t>por riesgo de créditicio de la contraparte</m:t>
                      </m:r>
                    </m:e>
                  </m:eqArr>
                </m:e>
                <m:sub>
                  <m:r>
                    <w:rPr>
                      <w:rFonts w:ascii="Cambria Math" w:hAnsi="Cambria Math" w:cs="Arial"/>
                      <w:sz w:val="18"/>
                      <w:szCs w:val="18"/>
                    </w:rPr>
                    <m:t>i</m:t>
                  </m:r>
                </m:sub>
              </m:sSub>
            </m:e>
          </m:d>
        </m:oMath>
      </m:oMathPara>
    </w:p>
    <w:p w:rsidR="00246FDE" w:rsidRDefault="00246FDE" w:rsidP="00246FDE">
      <w:pPr>
        <w:rPr>
          <w:rFonts w:ascii="Arial" w:hAnsi="Arial" w:cs="Arial"/>
          <w:color w:val="000000"/>
          <w:sz w:val="18"/>
          <w:szCs w:val="18"/>
          <w:lang w:eastAsia="es-CO"/>
        </w:rPr>
      </w:pPr>
    </w:p>
    <w:p w:rsidR="00E3129A" w:rsidRPr="00E15717" w:rsidRDefault="00E3129A" w:rsidP="00344D76">
      <w:pPr>
        <w:jc w:val="both"/>
        <w:rPr>
          <w:rFonts w:ascii="Arial" w:hAnsi="Arial" w:cs="Arial"/>
          <w:sz w:val="18"/>
          <w:szCs w:val="18"/>
          <w:lang w:val="es-CO"/>
        </w:rPr>
      </w:pPr>
      <w:r w:rsidRPr="00E15717">
        <w:rPr>
          <w:rFonts w:ascii="Arial" w:hAnsi="Arial" w:cs="Arial"/>
          <w:sz w:val="18"/>
          <w:szCs w:val="18"/>
          <w:lang w:val="es-CO"/>
        </w:rPr>
        <w:t xml:space="preserve">La ponderación de la contraparte </w:t>
      </w:r>
      <w:r w:rsidR="00450E98">
        <w:rPr>
          <w:rFonts w:ascii="Arial" w:hAnsi="Arial" w:cs="Arial"/>
          <w:sz w:val="18"/>
          <w:szCs w:val="18"/>
          <w:lang w:val="es-CO"/>
        </w:rPr>
        <w:t xml:space="preserve">se </w:t>
      </w:r>
      <w:r w:rsidRPr="00E15717">
        <w:rPr>
          <w:rFonts w:ascii="Arial" w:hAnsi="Arial" w:cs="Arial"/>
          <w:sz w:val="18"/>
          <w:szCs w:val="18"/>
          <w:lang w:val="es-CO"/>
        </w:rPr>
        <w:t>debe realizar en los términos del artículo 2.1.1.3.2 del Decreto 2555 de 2010</w:t>
      </w:r>
      <w:r w:rsidR="00344D76" w:rsidRPr="00E15717">
        <w:rPr>
          <w:rFonts w:ascii="Arial" w:hAnsi="Arial" w:cs="Arial"/>
          <w:sz w:val="18"/>
          <w:szCs w:val="18"/>
          <w:lang w:val="es-CO"/>
        </w:rPr>
        <w:t xml:space="preserve"> y las instrucciones sobre la ponderación de los APNR del </w:t>
      </w:r>
      <w:r w:rsidR="00B4263B" w:rsidRPr="00B4263B">
        <w:rPr>
          <w:rFonts w:ascii="Arial" w:hAnsi="Arial" w:cs="Arial"/>
          <w:sz w:val="18"/>
          <w:szCs w:val="18"/>
          <w:lang w:val="es-CO"/>
        </w:rPr>
        <w:t>Formato 239 (Proforma F.1000-141</w:t>
      </w:r>
      <w:r w:rsidR="00CF6537">
        <w:rPr>
          <w:rFonts w:ascii="Arial" w:hAnsi="Arial" w:cs="Arial"/>
          <w:sz w:val="18"/>
          <w:szCs w:val="18"/>
          <w:lang w:val="es-CO"/>
        </w:rPr>
        <w:t>)</w:t>
      </w:r>
      <w:r w:rsidR="00B4263B" w:rsidRPr="00B4263B">
        <w:rPr>
          <w:rFonts w:ascii="Arial" w:hAnsi="Arial" w:cs="Arial"/>
          <w:sz w:val="18"/>
          <w:szCs w:val="18"/>
          <w:lang w:val="es-CO"/>
        </w:rPr>
        <w:t xml:space="preserve"> “Reporte de Información de Margen de Solvencia y Otros Requerimientos de Patrimonio y Declaración del Control de Ley Margen de Solvencia”</w:t>
      </w:r>
      <w:r w:rsidR="00B4263B">
        <w:rPr>
          <w:rFonts w:ascii="Arial" w:hAnsi="Arial" w:cs="Arial"/>
          <w:sz w:val="18"/>
          <w:szCs w:val="18"/>
          <w:lang w:val="es-CO"/>
        </w:rPr>
        <w:t xml:space="preserve"> y </w:t>
      </w:r>
      <w:r w:rsidR="00344D76" w:rsidRPr="00E15717">
        <w:rPr>
          <w:rFonts w:ascii="Arial" w:hAnsi="Arial" w:cs="Arial"/>
          <w:sz w:val="18"/>
          <w:szCs w:val="18"/>
          <w:lang w:val="es-CO"/>
        </w:rPr>
        <w:t>su correspondiente instructivo</w:t>
      </w:r>
      <w:r w:rsidRPr="00E15717">
        <w:rPr>
          <w:rFonts w:ascii="Arial" w:hAnsi="Arial" w:cs="Arial"/>
          <w:sz w:val="18"/>
          <w:szCs w:val="18"/>
          <w:lang w:val="es-CO"/>
        </w:rPr>
        <w:t>.</w:t>
      </w:r>
    </w:p>
    <w:p w:rsidR="00CF6537" w:rsidRDefault="00CF6537" w:rsidP="00246FDE">
      <w:pPr>
        <w:rPr>
          <w:rFonts w:ascii="Arial" w:hAnsi="Arial" w:cs="Arial"/>
          <w:color w:val="000000"/>
          <w:sz w:val="18"/>
          <w:szCs w:val="18"/>
          <w:lang w:eastAsia="es-CO"/>
        </w:rPr>
      </w:pPr>
    </w:p>
    <w:p w:rsidR="0013684A" w:rsidRPr="000571A2" w:rsidRDefault="0013684A" w:rsidP="00E343EE">
      <w:pPr>
        <w:pStyle w:val="Prrafodelista"/>
        <w:numPr>
          <w:ilvl w:val="2"/>
          <w:numId w:val="38"/>
        </w:numPr>
        <w:jc w:val="both"/>
        <w:outlineLvl w:val="2"/>
        <w:rPr>
          <w:rFonts w:ascii="Arial" w:hAnsi="Arial" w:cs="Arial"/>
          <w:sz w:val="18"/>
          <w:szCs w:val="18"/>
        </w:rPr>
      </w:pPr>
      <w:r w:rsidRPr="000571A2">
        <w:rPr>
          <w:rFonts w:ascii="Arial" w:hAnsi="Arial" w:cs="Arial"/>
          <w:sz w:val="18"/>
          <w:szCs w:val="18"/>
        </w:rPr>
        <w:t>P</w:t>
      </w:r>
      <w:r w:rsidR="009C34BD" w:rsidRPr="000571A2">
        <w:rPr>
          <w:rFonts w:ascii="Arial" w:hAnsi="Arial" w:cs="Arial"/>
          <w:sz w:val="18"/>
          <w:szCs w:val="18"/>
        </w:rPr>
        <w:t>onderación de l</w:t>
      </w:r>
      <w:r w:rsidR="004A3BDA" w:rsidRPr="000571A2">
        <w:rPr>
          <w:rFonts w:ascii="Arial" w:hAnsi="Arial" w:cs="Arial"/>
          <w:sz w:val="18"/>
          <w:szCs w:val="18"/>
        </w:rPr>
        <w:t xml:space="preserve">a exposición crediticia de los </w:t>
      </w:r>
      <w:r w:rsidR="00032F13" w:rsidRPr="000571A2">
        <w:rPr>
          <w:rFonts w:ascii="Arial" w:hAnsi="Arial" w:cs="Arial"/>
          <w:sz w:val="18"/>
          <w:szCs w:val="18"/>
        </w:rPr>
        <w:t>instrumentos</w:t>
      </w:r>
      <w:r w:rsidR="004A3BDA" w:rsidRPr="000571A2">
        <w:rPr>
          <w:rFonts w:ascii="Arial" w:hAnsi="Arial" w:cs="Arial"/>
          <w:sz w:val="18"/>
          <w:szCs w:val="18"/>
        </w:rPr>
        <w:t xml:space="preserve"> financieros derivados</w:t>
      </w:r>
    </w:p>
    <w:p w:rsidR="0013684A" w:rsidRPr="009D298D" w:rsidRDefault="0013684A" w:rsidP="0013684A">
      <w:pPr>
        <w:jc w:val="both"/>
        <w:rPr>
          <w:rFonts w:ascii="Arial" w:hAnsi="Arial" w:cs="Arial"/>
          <w:sz w:val="18"/>
          <w:szCs w:val="18"/>
        </w:rPr>
      </w:pPr>
    </w:p>
    <w:p w:rsidR="00451A75" w:rsidRPr="000571A2" w:rsidRDefault="00372D2C" w:rsidP="001E18FA">
      <w:pPr>
        <w:jc w:val="both"/>
        <w:rPr>
          <w:rFonts w:ascii="Arial" w:hAnsi="Arial" w:cs="Arial"/>
          <w:sz w:val="18"/>
          <w:szCs w:val="18"/>
        </w:rPr>
      </w:pPr>
      <w:r w:rsidRPr="000571A2">
        <w:rPr>
          <w:rFonts w:ascii="Arial" w:hAnsi="Arial" w:cs="Arial"/>
          <w:sz w:val="18"/>
          <w:szCs w:val="18"/>
        </w:rPr>
        <w:t xml:space="preserve">La exposición con instrumentos financieros derivados corresponde a la multiplicación de la Exposición Crediticia </w:t>
      </w:r>
      <w:r w:rsidR="003B278E">
        <w:rPr>
          <w:rFonts w:ascii="Arial" w:hAnsi="Arial" w:cs="Arial"/>
          <w:sz w:val="18"/>
          <w:szCs w:val="18"/>
        </w:rPr>
        <w:t>(</w:t>
      </w:r>
      <w:r w:rsidR="00450E98" w:rsidRPr="000571A2">
        <w:rPr>
          <w:rFonts w:ascii="Arial" w:hAnsi="Arial" w:cs="Arial"/>
          <w:sz w:val="18"/>
          <w:szCs w:val="18"/>
        </w:rPr>
        <w:t>EC</w:t>
      </w:r>
      <w:r w:rsidR="003B278E">
        <w:rPr>
          <w:rFonts w:ascii="Arial" w:hAnsi="Arial" w:cs="Arial"/>
          <w:sz w:val="18"/>
          <w:szCs w:val="18"/>
        </w:rPr>
        <w:t>)</w:t>
      </w:r>
      <w:r w:rsidR="00450E98" w:rsidRPr="000571A2">
        <w:rPr>
          <w:rFonts w:ascii="Arial" w:hAnsi="Arial" w:cs="Arial"/>
          <w:sz w:val="18"/>
          <w:szCs w:val="18"/>
        </w:rPr>
        <w:t xml:space="preserve"> </w:t>
      </w:r>
      <w:r w:rsidRPr="000571A2">
        <w:rPr>
          <w:rFonts w:ascii="Arial" w:hAnsi="Arial" w:cs="Arial"/>
          <w:sz w:val="18"/>
          <w:szCs w:val="18"/>
        </w:rPr>
        <w:t xml:space="preserve">por el factor de ponderación que le corresponda a cada contraparte. </w:t>
      </w:r>
      <w:r w:rsidR="00552AEE" w:rsidRPr="000571A2">
        <w:rPr>
          <w:rFonts w:ascii="Arial" w:hAnsi="Arial" w:cs="Arial"/>
          <w:sz w:val="18"/>
          <w:szCs w:val="18"/>
        </w:rPr>
        <w:t>El valor de la exposición crediticia</w:t>
      </w:r>
      <w:r w:rsidR="004A3BDA" w:rsidRPr="000571A2">
        <w:rPr>
          <w:rFonts w:ascii="Arial" w:hAnsi="Arial" w:cs="Arial"/>
          <w:sz w:val="18"/>
          <w:szCs w:val="18"/>
        </w:rPr>
        <w:t xml:space="preserve"> de </w:t>
      </w:r>
      <w:r w:rsidR="00DC2ADE" w:rsidRPr="000571A2">
        <w:rPr>
          <w:rFonts w:ascii="Arial" w:hAnsi="Arial" w:cs="Arial"/>
          <w:sz w:val="18"/>
          <w:szCs w:val="18"/>
        </w:rPr>
        <w:t xml:space="preserve">los </w:t>
      </w:r>
      <w:r w:rsidR="004A3BDA" w:rsidRPr="000571A2">
        <w:rPr>
          <w:rFonts w:ascii="Arial" w:hAnsi="Arial" w:cs="Arial"/>
          <w:sz w:val="18"/>
          <w:szCs w:val="18"/>
        </w:rPr>
        <w:t xml:space="preserve">instrumentos </w:t>
      </w:r>
      <w:r w:rsidR="00DC2ADE" w:rsidRPr="000571A2">
        <w:rPr>
          <w:rFonts w:ascii="Arial" w:hAnsi="Arial" w:cs="Arial"/>
          <w:sz w:val="18"/>
          <w:szCs w:val="18"/>
        </w:rPr>
        <w:t xml:space="preserve">financieros derivados </w:t>
      </w:r>
      <w:r w:rsidR="009F03CD" w:rsidRPr="000571A2">
        <w:rPr>
          <w:rFonts w:ascii="Arial" w:hAnsi="Arial" w:cs="Arial"/>
          <w:sz w:val="18"/>
          <w:szCs w:val="18"/>
        </w:rPr>
        <w:t>se</w:t>
      </w:r>
      <w:r w:rsidR="00552AEE" w:rsidRPr="000571A2">
        <w:rPr>
          <w:rFonts w:ascii="Arial" w:hAnsi="Arial" w:cs="Arial"/>
          <w:sz w:val="18"/>
          <w:szCs w:val="18"/>
        </w:rPr>
        <w:t xml:space="preserve"> de</w:t>
      </w:r>
      <w:r w:rsidR="001E3E48" w:rsidRPr="000571A2">
        <w:rPr>
          <w:rFonts w:ascii="Arial" w:hAnsi="Arial" w:cs="Arial"/>
          <w:sz w:val="18"/>
          <w:szCs w:val="18"/>
        </w:rPr>
        <w:t xml:space="preserve">be calcular conforme a </w:t>
      </w:r>
      <w:r w:rsidR="00552AEE" w:rsidRPr="000571A2">
        <w:rPr>
          <w:rFonts w:ascii="Arial" w:hAnsi="Arial" w:cs="Arial"/>
          <w:sz w:val="18"/>
          <w:szCs w:val="18"/>
        </w:rPr>
        <w:t xml:space="preserve">lo dispuesto </w:t>
      </w:r>
      <w:r w:rsidR="00451A75" w:rsidRPr="000571A2">
        <w:rPr>
          <w:rFonts w:ascii="Arial" w:hAnsi="Arial" w:cs="Arial"/>
          <w:sz w:val="18"/>
          <w:szCs w:val="18"/>
        </w:rPr>
        <w:t>en el Anexo 3 del Capítulo XVIII de la CBCF.</w:t>
      </w:r>
    </w:p>
    <w:p w:rsidR="00CB7D44" w:rsidRPr="000571A2" w:rsidRDefault="00CB7D44" w:rsidP="00E343EE">
      <w:pPr>
        <w:pStyle w:val="Prrafodelista"/>
        <w:numPr>
          <w:ilvl w:val="2"/>
          <w:numId w:val="38"/>
        </w:numPr>
        <w:jc w:val="both"/>
        <w:outlineLvl w:val="2"/>
        <w:rPr>
          <w:rFonts w:ascii="Arial" w:hAnsi="Arial" w:cs="Arial"/>
          <w:sz w:val="18"/>
          <w:szCs w:val="18"/>
        </w:rPr>
      </w:pPr>
      <w:r w:rsidRPr="000571A2">
        <w:rPr>
          <w:rFonts w:ascii="Arial" w:hAnsi="Arial" w:cs="Arial"/>
          <w:sz w:val="18"/>
          <w:szCs w:val="18"/>
        </w:rPr>
        <w:lastRenderedPageBreak/>
        <w:t>Ponderación de l</w:t>
      </w:r>
      <w:r w:rsidR="009D66A4">
        <w:rPr>
          <w:rFonts w:ascii="Arial" w:hAnsi="Arial" w:cs="Arial"/>
          <w:sz w:val="18"/>
          <w:szCs w:val="18"/>
        </w:rPr>
        <w:t>a exposición de l</w:t>
      </w:r>
      <w:r w:rsidRPr="000571A2">
        <w:rPr>
          <w:rFonts w:ascii="Arial" w:hAnsi="Arial" w:cs="Arial"/>
          <w:sz w:val="18"/>
          <w:szCs w:val="18"/>
        </w:rPr>
        <w:t>os productos estructurados</w:t>
      </w:r>
    </w:p>
    <w:p w:rsidR="00CB7D44" w:rsidRPr="0045466F" w:rsidRDefault="00CB7D44" w:rsidP="00CB7D44">
      <w:pPr>
        <w:jc w:val="both"/>
        <w:rPr>
          <w:rFonts w:ascii="Arial" w:hAnsi="Arial" w:cs="Arial"/>
          <w:sz w:val="18"/>
          <w:szCs w:val="18"/>
        </w:rPr>
      </w:pPr>
    </w:p>
    <w:p w:rsidR="00182CEB" w:rsidRDefault="00CB7D44" w:rsidP="00CB7D44">
      <w:pPr>
        <w:jc w:val="both"/>
        <w:rPr>
          <w:rFonts w:ascii="Arial" w:hAnsi="Arial" w:cs="Arial"/>
          <w:sz w:val="18"/>
          <w:szCs w:val="18"/>
        </w:rPr>
      </w:pPr>
      <w:r w:rsidRPr="0045466F">
        <w:rPr>
          <w:rFonts w:ascii="Arial" w:hAnsi="Arial" w:cs="Arial"/>
          <w:sz w:val="18"/>
          <w:szCs w:val="18"/>
        </w:rPr>
        <w:t xml:space="preserve">Los productos estructurados </w:t>
      </w:r>
      <w:r w:rsidR="00182CEB">
        <w:rPr>
          <w:rFonts w:ascii="Arial" w:hAnsi="Arial" w:cs="Arial"/>
          <w:sz w:val="18"/>
          <w:szCs w:val="18"/>
        </w:rPr>
        <w:t>ponderan de la siguiente forma:</w:t>
      </w:r>
    </w:p>
    <w:p w:rsidR="008D297D" w:rsidRDefault="008D297D" w:rsidP="00CB7D44">
      <w:pPr>
        <w:jc w:val="both"/>
        <w:rPr>
          <w:rFonts w:ascii="Arial" w:hAnsi="Arial" w:cs="Arial"/>
          <w:sz w:val="18"/>
          <w:szCs w:val="18"/>
        </w:rPr>
      </w:pPr>
    </w:p>
    <w:p w:rsidR="00E56DF5" w:rsidRDefault="008365D5">
      <w:pPr>
        <w:pStyle w:val="Prrafodelista"/>
        <w:numPr>
          <w:ilvl w:val="0"/>
          <w:numId w:val="21"/>
        </w:numPr>
        <w:jc w:val="both"/>
        <w:rPr>
          <w:rFonts w:ascii="Arial" w:hAnsi="Arial" w:cs="Arial"/>
          <w:sz w:val="18"/>
          <w:szCs w:val="18"/>
        </w:rPr>
      </w:pPr>
      <w:r>
        <w:rPr>
          <w:rFonts w:ascii="Arial" w:hAnsi="Arial" w:cs="Arial"/>
          <w:sz w:val="18"/>
          <w:szCs w:val="18"/>
        </w:rPr>
        <w:t>C</w:t>
      </w:r>
      <w:r w:rsidR="00E56DF5" w:rsidRPr="00182CEB">
        <w:rPr>
          <w:rFonts w:ascii="Arial" w:hAnsi="Arial" w:cs="Arial"/>
          <w:sz w:val="18"/>
          <w:szCs w:val="18"/>
        </w:rPr>
        <w:t>uando se realicen inversiones en producto</w:t>
      </w:r>
      <w:r w:rsidR="00450E98">
        <w:rPr>
          <w:rFonts w:ascii="Arial" w:hAnsi="Arial" w:cs="Arial"/>
          <w:sz w:val="18"/>
          <w:szCs w:val="18"/>
        </w:rPr>
        <w:t>s</w:t>
      </w:r>
      <w:r w:rsidR="00E56DF5" w:rsidRPr="00182CEB">
        <w:rPr>
          <w:rFonts w:ascii="Arial" w:hAnsi="Arial" w:cs="Arial"/>
          <w:sz w:val="18"/>
          <w:szCs w:val="18"/>
        </w:rPr>
        <w:t xml:space="preserve"> estructurado</w:t>
      </w:r>
      <w:r w:rsidR="00450E98">
        <w:rPr>
          <w:rFonts w:ascii="Arial" w:hAnsi="Arial" w:cs="Arial"/>
          <w:sz w:val="18"/>
          <w:szCs w:val="18"/>
        </w:rPr>
        <w:t>s</w:t>
      </w:r>
      <w:r w:rsidR="00E56DF5" w:rsidRPr="00182CEB">
        <w:rPr>
          <w:rFonts w:ascii="Arial" w:hAnsi="Arial" w:cs="Arial"/>
          <w:sz w:val="18"/>
          <w:szCs w:val="18"/>
        </w:rPr>
        <w:t xml:space="preserve"> cuyos componentes provengan de distintas contrapartes y el vendedor no sea responsable de su pago, dicho producto estructurado</w:t>
      </w:r>
      <w:r w:rsidR="00247FF1">
        <w:rPr>
          <w:rFonts w:ascii="Arial" w:hAnsi="Arial" w:cs="Arial"/>
          <w:sz w:val="18"/>
          <w:szCs w:val="18"/>
        </w:rPr>
        <w:t xml:space="preserve"> debe</w:t>
      </w:r>
      <w:r w:rsidR="00E56DF5" w:rsidRPr="00182CEB">
        <w:rPr>
          <w:rFonts w:ascii="Arial" w:hAnsi="Arial" w:cs="Arial"/>
          <w:sz w:val="18"/>
          <w:szCs w:val="18"/>
        </w:rPr>
        <w:t xml:space="preserve"> computa</w:t>
      </w:r>
      <w:r w:rsidR="00247FF1">
        <w:rPr>
          <w:rFonts w:ascii="Arial" w:hAnsi="Arial" w:cs="Arial"/>
          <w:sz w:val="18"/>
          <w:szCs w:val="18"/>
        </w:rPr>
        <w:t>r</w:t>
      </w:r>
      <w:r w:rsidR="00E56DF5" w:rsidRPr="00182CEB">
        <w:rPr>
          <w:rFonts w:ascii="Arial" w:hAnsi="Arial" w:cs="Arial"/>
          <w:sz w:val="18"/>
          <w:szCs w:val="18"/>
        </w:rPr>
        <w:t xml:space="preserve"> </w:t>
      </w:r>
      <w:r w:rsidR="00C96168">
        <w:rPr>
          <w:rFonts w:ascii="Arial" w:hAnsi="Arial" w:cs="Arial"/>
          <w:sz w:val="18"/>
          <w:szCs w:val="18"/>
        </w:rPr>
        <w:t>según las instrucciones del parágrafo 2 del artículo 2.1.1.3.2 del Decreto 2555 de 2010, considerando</w:t>
      </w:r>
      <w:r w:rsidR="00E56DF5" w:rsidRPr="00182CEB">
        <w:rPr>
          <w:rFonts w:ascii="Arial" w:hAnsi="Arial" w:cs="Arial"/>
          <w:sz w:val="18"/>
          <w:szCs w:val="18"/>
        </w:rPr>
        <w:t xml:space="preserve"> la suma de los siguientes dos factores:</w:t>
      </w:r>
    </w:p>
    <w:p w:rsidR="00995E42" w:rsidRPr="00182CEB" w:rsidRDefault="00995E42" w:rsidP="00995E42">
      <w:pPr>
        <w:pStyle w:val="Prrafodelista"/>
        <w:ind w:left="360"/>
        <w:jc w:val="both"/>
        <w:rPr>
          <w:rFonts w:ascii="Arial" w:hAnsi="Arial" w:cs="Arial"/>
          <w:sz w:val="18"/>
          <w:szCs w:val="18"/>
        </w:rPr>
      </w:pPr>
    </w:p>
    <w:p w:rsidR="00B4263B" w:rsidRDefault="00E56DF5" w:rsidP="003E797C">
      <w:pPr>
        <w:pStyle w:val="Prrafodelista"/>
        <w:numPr>
          <w:ilvl w:val="0"/>
          <w:numId w:val="35"/>
        </w:numPr>
        <w:ind w:left="567" w:hanging="207"/>
        <w:jc w:val="both"/>
        <w:rPr>
          <w:rFonts w:ascii="Arial" w:hAnsi="Arial" w:cs="Arial"/>
          <w:sz w:val="18"/>
          <w:szCs w:val="18"/>
        </w:rPr>
      </w:pPr>
      <w:r w:rsidRPr="00B4263B">
        <w:rPr>
          <w:rFonts w:ascii="Arial" w:hAnsi="Arial" w:cs="Arial"/>
          <w:sz w:val="18"/>
          <w:szCs w:val="18"/>
        </w:rPr>
        <w:t xml:space="preserve">La multiplicación del precio justo de intercambio de mercado </w:t>
      </w:r>
      <w:r w:rsidR="00775D7F" w:rsidRPr="00B4263B">
        <w:rPr>
          <w:rFonts w:ascii="Arial" w:hAnsi="Arial" w:cs="Arial"/>
          <w:sz w:val="18"/>
          <w:szCs w:val="18"/>
        </w:rPr>
        <w:t>(</w:t>
      </w:r>
      <w:r w:rsidR="00247FF1" w:rsidRPr="00B4263B">
        <w:rPr>
          <w:rFonts w:ascii="Arial" w:hAnsi="Arial" w:cs="Arial"/>
          <w:sz w:val="18"/>
          <w:szCs w:val="18"/>
        </w:rPr>
        <w:t>v</w:t>
      </w:r>
      <w:r w:rsidR="00775D7F" w:rsidRPr="00B4263B">
        <w:rPr>
          <w:rFonts w:ascii="Arial" w:hAnsi="Arial" w:cs="Arial"/>
          <w:sz w:val="18"/>
          <w:szCs w:val="18"/>
        </w:rPr>
        <w:t xml:space="preserve">alor </w:t>
      </w:r>
      <w:r w:rsidR="00247FF1" w:rsidRPr="00B4263B">
        <w:rPr>
          <w:rFonts w:ascii="Arial" w:hAnsi="Arial" w:cs="Arial"/>
          <w:sz w:val="18"/>
          <w:szCs w:val="18"/>
        </w:rPr>
        <w:t>r</w:t>
      </w:r>
      <w:r w:rsidR="00775D7F" w:rsidRPr="00B4263B">
        <w:rPr>
          <w:rFonts w:ascii="Arial" w:hAnsi="Arial" w:cs="Arial"/>
          <w:sz w:val="18"/>
          <w:szCs w:val="18"/>
        </w:rPr>
        <w:t xml:space="preserve">azonable) </w:t>
      </w:r>
      <w:r w:rsidRPr="00B4263B">
        <w:rPr>
          <w:rFonts w:ascii="Arial" w:hAnsi="Arial" w:cs="Arial"/>
          <w:sz w:val="18"/>
          <w:szCs w:val="18"/>
        </w:rPr>
        <w:t>del componente no derivado por el porcentaje de ponderación que aplique al respectiv</w:t>
      </w:r>
      <w:r w:rsidR="008365D5" w:rsidRPr="00B4263B">
        <w:rPr>
          <w:rFonts w:ascii="Arial" w:hAnsi="Arial" w:cs="Arial"/>
          <w:sz w:val="18"/>
          <w:szCs w:val="18"/>
        </w:rPr>
        <w:t>o emisor</w:t>
      </w:r>
      <w:r w:rsidR="003A67F8">
        <w:rPr>
          <w:rFonts w:ascii="Arial" w:hAnsi="Arial" w:cs="Arial"/>
          <w:sz w:val="18"/>
          <w:szCs w:val="18"/>
        </w:rPr>
        <w:t>,</w:t>
      </w:r>
      <w:r w:rsidR="008365D5" w:rsidRPr="00B4263B">
        <w:rPr>
          <w:rFonts w:ascii="Arial" w:hAnsi="Arial" w:cs="Arial"/>
          <w:sz w:val="18"/>
          <w:szCs w:val="18"/>
        </w:rPr>
        <w:t xml:space="preserve"> </w:t>
      </w:r>
      <w:r w:rsidRPr="00B4263B">
        <w:rPr>
          <w:rFonts w:ascii="Arial" w:hAnsi="Arial" w:cs="Arial"/>
          <w:sz w:val="18"/>
          <w:szCs w:val="18"/>
        </w:rPr>
        <w:t>de conformidad con lo previsto en artículo 2.1.1.3.2.</w:t>
      </w:r>
      <w:r w:rsidR="003362C9" w:rsidRPr="00B4263B">
        <w:rPr>
          <w:rFonts w:ascii="Arial" w:hAnsi="Arial" w:cs="Arial"/>
          <w:sz w:val="18"/>
          <w:szCs w:val="18"/>
        </w:rPr>
        <w:t xml:space="preserve"> </w:t>
      </w:r>
      <w:r w:rsidR="007F0A12" w:rsidRPr="00B4263B">
        <w:rPr>
          <w:rFonts w:ascii="Arial" w:hAnsi="Arial" w:cs="Arial"/>
          <w:sz w:val="18"/>
          <w:szCs w:val="18"/>
        </w:rPr>
        <w:t>del Decreto 2555 de 2010</w:t>
      </w:r>
      <w:r w:rsidRPr="00B4263B">
        <w:rPr>
          <w:rFonts w:ascii="Arial" w:hAnsi="Arial" w:cs="Arial"/>
          <w:sz w:val="18"/>
          <w:szCs w:val="18"/>
        </w:rPr>
        <w:t xml:space="preserve"> y en el </w:t>
      </w:r>
      <w:r w:rsidR="00B4263B" w:rsidRPr="00B4263B">
        <w:rPr>
          <w:rFonts w:ascii="Arial" w:hAnsi="Arial" w:cs="Arial"/>
          <w:sz w:val="18"/>
          <w:szCs w:val="18"/>
        </w:rPr>
        <w:t>Formato 239 (Proforma F.1000-141</w:t>
      </w:r>
      <w:r w:rsidR="003A67F8">
        <w:rPr>
          <w:rFonts w:ascii="Arial" w:hAnsi="Arial" w:cs="Arial"/>
          <w:sz w:val="18"/>
          <w:szCs w:val="18"/>
        </w:rPr>
        <w:t>)</w:t>
      </w:r>
      <w:r w:rsidR="00B4263B" w:rsidRPr="00B4263B">
        <w:rPr>
          <w:rFonts w:ascii="Arial" w:hAnsi="Arial" w:cs="Arial"/>
          <w:sz w:val="18"/>
          <w:szCs w:val="18"/>
        </w:rPr>
        <w:t xml:space="preserve"> “Reporte de Información de Margen de Solvencia y Otros Requerimientos de Patrimonio y Declaración del Control de Ley Margen de Solvencia”. </w:t>
      </w:r>
    </w:p>
    <w:p w:rsidR="00E56DF5" w:rsidRPr="00B4263B" w:rsidRDefault="00DA435F" w:rsidP="00B4263B">
      <w:pPr>
        <w:pStyle w:val="Prrafodelista"/>
        <w:numPr>
          <w:ilvl w:val="0"/>
          <w:numId w:val="35"/>
        </w:numPr>
        <w:ind w:left="567" w:hanging="207"/>
        <w:jc w:val="both"/>
        <w:rPr>
          <w:rFonts w:ascii="Arial" w:hAnsi="Arial" w:cs="Arial"/>
          <w:sz w:val="18"/>
          <w:szCs w:val="18"/>
        </w:rPr>
      </w:pPr>
      <w:r w:rsidRPr="00B4263B">
        <w:rPr>
          <w:rFonts w:ascii="Arial" w:hAnsi="Arial" w:cs="Arial"/>
          <w:sz w:val="18"/>
          <w:szCs w:val="18"/>
        </w:rPr>
        <w:t>L</w:t>
      </w:r>
      <w:r w:rsidR="00E56DF5" w:rsidRPr="00B4263B">
        <w:rPr>
          <w:rFonts w:ascii="Arial" w:hAnsi="Arial" w:cs="Arial"/>
          <w:sz w:val="18"/>
          <w:szCs w:val="18"/>
        </w:rPr>
        <w:t>a multiplicación del costo de reposición d</w:t>
      </w:r>
      <w:r w:rsidR="00AA66E7" w:rsidRPr="00B4263B">
        <w:rPr>
          <w:rFonts w:ascii="Arial" w:hAnsi="Arial" w:cs="Arial"/>
          <w:sz w:val="18"/>
          <w:szCs w:val="18"/>
        </w:rPr>
        <w:t xml:space="preserve">e </w:t>
      </w:r>
      <w:r w:rsidR="00775D7F" w:rsidRPr="00B4263B">
        <w:rPr>
          <w:rFonts w:ascii="Arial" w:hAnsi="Arial" w:cs="Arial"/>
          <w:sz w:val="18"/>
          <w:szCs w:val="18"/>
        </w:rPr>
        <w:t>l</w:t>
      </w:r>
      <w:r w:rsidR="00AA66E7" w:rsidRPr="00B4263B">
        <w:rPr>
          <w:rFonts w:ascii="Arial" w:hAnsi="Arial" w:cs="Arial"/>
          <w:sz w:val="18"/>
          <w:szCs w:val="18"/>
        </w:rPr>
        <w:t>os</w:t>
      </w:r>
      <w:r w:rsidR="00775D7F" w:rsidRPr="00B4263B">
        <w:rPr>
          <w:rFonts w:ascii="Arial" w:hAnsi="Arial" w:cs="Arial"/>
          <w:sz w:val="18"/>
          <w:szCs w:val="18"/>
        </w:rPr>
        <w:t xml:space="preserve"> componente</w:t>
      </w:r>
      <w:r w:rsidR="00AA66E7" w:rsidRPr="00B4263B">
        <w:rPr>
          <w:rFonts w:ascii="Arial" w:hAnsi="Arial" w:cs="Arial"/>
          <w:sz w:val="18"/>
          <w:szCs w:val="18"/>
        </w:rPr>
        <w:t>s</w:t>
      </w:r>
      <w:r w:rsidR="00775D7F" w:rsidRPr="00B4263B">
        <w:rPr>
          <w:rFonts w:ascii="Arial" w:hAnsi="Arial" w:cs="Arial"/>
          <w:sz w:val="18"/>
          <w:szCs w:val="18"/>
        </w:rPr>
        <w:t xml:space="preserve"> </w:t>
      </w:r>
      <w:r w:rsidR="00E56DF5" w:rsidRPr="00B4263B">
        <w:rPr>
          <w:rFonts w:ascii="Arial" w:hAnsi="Arial" w:cs="Arial"/>
          <w:sz w:val="18"/>
          <w:szCs w:val="18"/>
        </w:rPr>
        <w:t>derivado</w:t>
      </w:r>
      <w:r w:rsidR="00AA66E7" w:rsidRPr="00B4263B">
        <w:rPr>
          <w:rFonts w:ascii="Arial" w:hAnsi="Arial" w:cs="Arial"/>
          <w:sz w:val="18"/>
          <w:szCs w:val="18"/>
        </w:rPr>
        <w:t>s</w:t>
      </w:r>
      <w:r w:rsidR="00E56DF5" w:rsidRPr="00B4263B">
        <w:rPr>
          <w:rFonts w:ascii="Arial" w:hAnsi="Arial" w:cs="Arial"/>
          <w:sz w:val="18"/>
          <w:szCs w:val="18"/>
        </w:rPr>
        <w:t xml:space="preserve"> por el porcentaje de ponderación que aplique a la respectiva contraparte de conformidad con lo previsto en artículo </w:t>
      </w:r>
      <w:r w:rsidR="004932A8" w:rsidRPr="00B4263B">
        <w:rPr>
          <w:rFonts w:ascii="Arial" w:hAnsi="Arial" w:cs="Arial"/>
          <w:sz w:val="18"/>
          <w:szCs w:val="18"/>
        </w:rPr>
        <w:t>2.1.1.3.2</w:t>
      </w:r>
      <w:r w:rsidR="003362C9" w:rsidRPr="00B4263B">
        <w:rPr>
          <w:rFonts w:ascii="Arial" w:hAnsi="Arial" w:cs="Arial"/>
          <w:sz w:val="18"/>
          <w:szCs w:val="18"/>
        </w:rPr>
        <w:t xml:space="preserve"> </w:t>
      </w:r>
      <w:r w:rsidR="007F0A12" w:rsidRPr="00B4263B">
        <w:rPr>
          <w:rFonts w:ascii="Arial" w:hAnsi="Arial" w:cs="Arial"/>
          <w:sz w:val="18"/>
          <w:szCs w:val="18"/>
        </w:rPr>
        <w:t xml:space="preserve">del Decreto 2555 de 2010 </w:t>
      </w:r>
      <w:r w:rsidR="004932A8" w:rsidRPr="00B4263B">
        <w:rPr>
          <w:rFonts w:ascii="Arial" w:hAnsi="Arial" w:cs="Arial"/>
          <w:sz w:val="18"/>
          <w:szCs w:val="18"/>
        </w:rPr>
        <w:t>y</w:t>
      </w:r>
      <w:r w:rsidR="00E56DF5" w:rsidRPr="00B4263B">
        <w:rPr>
          <w:rFonts w:ascii="Arial" w:hAnsi="Arial" w:cs="Arial"/>
          <w:sz w:val="18"/>
          <w:szCs w:val="18"/>
        </w:rPr>
        <w:t xml:space="preserve"> en el</w:t>
      </w:r>
      <w:r w:rsidR="00B4263B" w:rsidRPr="00B4263B">
        <w:rPr>
          <w:rFonts w:ascii="Arial" w:hAnsi="Arial" w:cs="Arial"/>
          <w:sz w:val="18"/>
          <w:szCs w:val="18"/>
        </w:rPr>
        <w:t xml:space="preserve"> Formato 239 (Proforma F.1000-141</w:t>
      </w:r>
      <w:r w:rsidR="003A67F8">
        <w:rPr>
          <w:rFonts w:ascii="Arial" w:hAnsi="Arial" w:cs="Arial"/>
          <w:sz w:val="18"/>
          <w:szCs w:val="18"/>
        </w:rPr>
        <w:t>)</w:t>
      </w:r>
      <w:r w:rsidR="00B4263B" w:rsidRPr="00B4263B">
        <w:rPr>
          <w:rFonts w:ascii="Arial" w:hAnsi="Arial" w:cs="Arial"/>
          <w:sz w:val="18"/>
          <w:szCs w:val="18"/>
        </w:rPr>
        <w:t xml:space="preserve"> “Reporte de Información de Margen de Solvencia y Otros Requerimientos de Patrimonio y Declaración del Control de Ley Margen de Solvencia”</w:t>
      </w:r>
      <w:r w:rsidR="00E56DF5" w:rsidRPr="00B4263B">
        <w:rPr>
          <w:rFonts w:ascii="Arial" w:hAnsi="Arial" w:cs="Arial"/>
          <w:sz w:val="18"/>
          <w:szCs w:val="18"/>
        </w:rPr>
        <w:t>.</w:t>
      </w:r>
    </w:p>
    <w:p w:rsidR="00995E42" w:rsidRDefault="00995E42" w:rsidP="00995E42">
      <w:pPr>
        <w:pStyle w:val="Prrafodelista"/>
        <w:ind w:left="567"/>
        <w:jc w:val="both"/>
        <w:rPr>
          <w:rFonts w:ascii="Arial" w:hAnsi="Arial" w:cs="Arial"/>
          <w:sz w:val="18"/>
          <w:szCs w:val="18"/>
        </w:rPr>
      </w:pPr>
    </w:p>
    <w:p w:rsidR="004B1891" w:rsidRPr="004B1891" w:rsidRDefault="004B1891" w:rsidP="004B1891">
      <w:pPr>
        <w:pStyle w:val="Prrafodelista"/>
        <w:numPr>
          <w:ilvl w:val="0"/>
          <w:numId w:val="21"/>
        </w:numPr>
        <w:jc w:val="both"/>
        <w:rPr>
          <w:rFonts w:ascii="Arial" w:hAnsi="Arial" w:cs="Arial"/>
          <w:sz w:val="18"/>
          <w:szCs w:val="18"/>
        </w:rPr>
      </w:pPr>
      <w:r>
        <w:rPr>
          <w:rFonts w:ascii="Arial" w:hAnsi="Arial" w:cs="Arial"/>
          <w:sz w:val="18"/>
          <w:szCs w:val="18"/>
        </w:rPr>
        <w:t>Los demás productos estructurados deben ponderar de conformidad con las i</w:t>
      </w:r>
      <w:r w:rsidR="00BE2219">
        <w:rPr>
          <w:rFonts w:ascii="Arial" w:hAnsi="Arial" w:cs="Arial"/>
          <w:sz w:val="18"/>
          <w:szCs w:val="18"/>
        </w:rPr>
        <w:t>nstrucciones del numeral 6</w:t>
      </w:r>
      <w:r w:rsidR="00F33295">
        <w:rPr>
          <w:rFonts w:ascii="Arial" w:hAnsi="Arial" w:cs="Arial"/>
          <w:sz w:val="18"/>
          <w:szCs w:val="18"/>
        </w:rPr>
        <w:t>)</w:t>
      </w:r>
      <w:r w:rsidR="00BE2219">
        <w:rPr>
          <w:rFonts w:ascii="Arial" w:hAnsi="Arial" w:cs="Arial"/>
          <w:sz w:val="18"/>
          <w:szCs w:val="18"/>
        </w:rPr>
        <w:t xml:space="preserve"> del a</w:t>
      </w:r>
      <w:r>
        <w:rPr>
          <w:rFonts w:ascii="Arial" w:hAnsi="Arial" w:cs="Arial"/>
          <w:sz w:val="18"/>
          <w:szCs w:val="18"/>
        </w:rPr>
        <w:t>rtículo 2.35.1.1.1 del Decreto 2555 de 2010.</w:t>
      </w:r>
    </w:p>
    <w:p w:rsidR="00E56DF5" w:rsidRDefault="00E56DF5" w:rsidP="0013684A">
      <w:pPr>
        <w:jc w:val="both"/>
        <w:rPr>
          <w:rFonts w:ascii="Arial" w:hAnsi="Arial" w:cs="Arial"/>
          <w:sz w:val="18"/>
          <w:szCs w:val="18"/>
          <w:highlight w:val="yellow"/>
        </w:rPr>
      </w:pPr>
    </w:p>
    <w:p w:rsidR="009A2449" w:rsidRPr="009D298D" w:rsidRDefault="009A2449" w:rsidP="00E343EE">
      <w:pPr>
        <w:pStyle w:val="Prrafodelista"/>
        <w:numPr>
          <w:ilvl w:val="2"/>
          <w:numId w:val="38"/>
        </w:numPr>
        <w:jc w:val="both"/>
        <w:outlineLvl w:val="2"/>
        <w:rPr>
          <w:rFonts w:ascii="Arial" w:hAnsi="Arial" w:cs="Arial"/>
          <w:sz w:val="18"/>
          <w:szCs w:val="18"/>
        </w:rPr>
      </w:pPr>
      <w:r w:rsidRPr="000571A2">
        <w:rPr>
          <w:rFonts w:ascii="Arial" w:hAnsi="Arial" w:cs="Arial"/>
          <w:sz w:val="18"/>
          <w:szCs w:val="18"/>
        </w:rPr>
        <w:t>Ponderación de la</w:t>
      </w:r>
      <w:r w:rsidR="009D66A4">
        <w:rPr>
          <w:rFonts w:ascii="Arial" w:hAnsi="Arial" w:cs="Arial"/>
          <w:sz w:val="18"/>
          <w:szCs w:val="18"/>
        </w:rPr>
        <w:t xml:space="preserve"> exposición de la</w:t>
      </w:r>
      <w:r w:rsidRPr="000571A2">
        <w:rPr>
          <w:rFonts w:ascii="Arial" w:hAnsi="Arial" w:cs="Arial"/>
          <w:sz w:val="18"/>
          <w:szCs w:val="18"/>
        </w:rPr>
        <w:t>s operaciones del mercado monetario</w:t>
      </w:r>
    </w:p>
    <w:p w:rsidR="009A2449" w:rsidRDefault="009A2449" w:rsidP="009A2449">
      <w:pPr>
        <w:jc w:val="both"/>
        <w:rPr>
          <w:rFonts w:ascii="Arial" w:hAnsi="Arial" w:cs="Arial"/>
          <w:sz w:val="18"/>
          <w:szCs w:val="18"/>
          <w:highlight w:val="yellow"/>
        </w:rPr>
      </w:pPr>
    </w:p>
    <w:p w:rsidR="009A2449" w:rsidRDefault="009A2449" w:rsidP="009A2449">
      <w:pPr>
        <w:jc w:val="both"/>
        <w:rPr>
          <w:rFonts w:ascii="Arial" w:hAnsi="Arial" w:cs="Arial"/>
          <w:sz w:val="18"/>
          <w:szCs w:val="18"/>
        </w:rPr>
      </w:pPr>
      <w:r>
        <w:rPr>
          <w:rFonts w:ascii="Arial" w:hAnsi="Arial" w:cs="Arial"/>
          <w:sz w:val="18"/>
          <w:szCs w:val="18"/>
        </w:rPr>
        <w:t>En las operaciones de reporto o repo, simultáneas y de transferencia temporal de valores</w:t>
      </w:r>
      <w:r w:rsidR="003A67F8">
        <w:rPr>
          <w:rFonts w:ascii="Arial" w:hAnsi="Arial" w:cs="Arial"/>
          <w:sz w:val="18"/>
          <w:szCs w:val="18"/>
        </w:rPr>
        <w:t>,</w:t>
      </w:r>
      <w:r>
        <w:rPr>
          <w:rFonts w:ascii="Arial" w:hAnsi="Arial" w:cs="Arial"/>
          <w:sz w:val="18"/>
          <w:szCs w:val="18"/>
        </w:rPr>
        <w:t xml:space="preserve"> se debe multiplicar la exposición neta de cada operación por el factor de ponderación que corresponda.</w:t>
      </w:r>
    </w:p>
    <w:p w:rsidR="009A2449" w:rsidRDefault="009A2449" w:rsidP="009A2449">
      <w:pPr>
        <w:jc w:val="both"/>
        <w:rPr>
          <w:rFonts w:ascii="Arial" w:hAnsi="Arial" w:cs="Arial"/>
          <w:sz w:val="18"/>
          <w:szCs w:val="18"/>
        </w:rPr>
      </w:pPr>
    </w:p>
    <w:p w:rsidR="009A2449" w:rsidRDefault="00995E42" w:rsidP="00473418">
      <w:pPr>
        <w:pStyle w:val="Prrafodelista"/>
        <w:numPr>
          <w:ilvl w:val="0"/>
          <w:numId w:val="20"/>
        </w:numPr>
        <w:tabs>
          <w:tab w:val="left" w:pos="851"/>
          <w:tab w:val="left" w:pos="1418"/>
          <w:tab w:val="left" w:pos="1701"/>
        </w:tabs>
        <w:snapToGrid w:val="0"/>
        <w:ind w:left="360"/>
        <w:jc w:val="both"/>
        <w:rPr>
          <w:rFonts w:ascii="Arial" w:hAnsi="Arial" w:cs="Arial"/>
          <w:sz w:val="18"/>
          <w:szCs w:val="18"/>
        </w:rPr>
      </w:pPr>
      <w:r>
        <w:rPr>
          <w:rFonts w:ascii="Arial" w:hAnsi="Arial" w:cs="Arial"/>
          <w:sz w:val="18"/>
          <w:szCs w:val="18"/>
        </w:rPr>
        <w:t>Exposición N</w:t>
      </w:r>
      <w:r w:rsidR="009A2449">
        <w:rPr>
          <w:rFonts w:ascii="Arial" w:hAnsi="Arial" w:cs="Arial"/>
          <w:sz w:val="18"/>
          <w:szCs w:val="18"/>
        </w:rPr>
        <w:t xml:space="preserve">eta (EN): </w:t>
      </w:r>
      <w:r w:rsidR="009A2449" w:rsidRPr="009A2449">
        <w:rPr>
          <w:rFonts w:ascii="Arial" w:hAnsi="Arial" w:cs="Arial"/>
          <w:sz w:val="18"/>
          <w:szCs w:val="18"/>
        </w:rPr>
        <w:t xml:space="preserve">Se entiende como exposición neta en una operación de reporto o repo, simultánea o transferencia temporal de valores el monto que resulte de restar la posición deudora de la posición acreedora que ostenta la entidad en la respectiva operación realizada, siempre que dicho monto sea positivo. Para el cálculo de dichas posiciones debe tenerse en cuenta el precio justo de intercambio </w:t>
      </w:r>
      <w:r w:rsidR="007F0A12">
        <w:rPr>
          <w:rFonts w:ascii="Arial" w:hAnsi="Arial" w:cs="Arial"/>
          <w:sz w:val="18"/>
          <w:szCs w:val="18"/>
        </w:rPr>
        <w:t xml:space="preserve">(valor razonable) </w:t>
      </w:r>
      <w:r w:rsidR="009A2449" w:rsidRPr="009A2449">
        <w:rPr>
          <w:rFonts w:ascii="Arial" w:hAnsi="Arial" w:cs="Arial"/>
          <w:sz w:val="18"/>
          <w:szCs w:val="18"/>
        </w:rPr>
        <w:t>de mercado de los valores cuya propiedad se transfiera en desarrollo de la operación, la suma de dinero que sea entregada en la misma, así como los intereses o rendimientos causados asociados.</w:t>
      </w:r>
    </w:p>
    <w:p w:rsidR="00995E42" w:rsidRPr="009A2449" w:rsidRDefault="00995E42" w:rsidP="00995E42">
      <w:pPr>
        <w:pStyle w:val="Prrafodelista"/>
        <w:tabs>
          <w:tab w:val="left" w:pos="851"/>
          <w:tab w:val="left" w:pos="1418"/>
          <w:tab w:val="left" w:pos="1701"/>
        </w:tabs>
        <w:snapToGrid w:val="0"/>
        <w:ind w:left="360"/>
        <w:jc w:val="both"/>
        <w:rPr>
          <w:rFonts w:ascii="Arial" w:hAnsi="Arial" w:cs="Arial"/>
          <w:sz w:val="18"/>
          <w:szCs w:val="18"/>
        </w:rPr>
      </w:pPr>
    </w:p>
    <w:p w:rsidR="009A2449" w:rsidRPr="009A2449" w:rsidRDefault="009A2449" w:rsidP="00513595">
      <w:pPr>
        <w:pStyle w:val="Prrafodelista"/>
        <w:numPr>
          <w:ilvl w:val="0"/>
          <w:numId w:val="20"/>
        </w:numPr>
        <w:snapToGrid w:val="0"/>
        <w:ind w:left="360"/>
        <w:jc w:val="both"/>
        <w:rPr>
          <w:rFonts w:ascii="Arial" w:hAnsi="Arial" w:cs="Arial"/>
          <w:sz w:val="18"/>
          <w:szCs w:val="18"/>
        </w:rPr>
      </w:pPr>
      <w:r>
        <w:rPr>
          <w:rFonts w:ascii="Arial" w:hAnsi="Arial" w:cs="Arial"/>
          <w:sz w:val="18"/>
          <w:szCs w:val="18"/>
        </w:rPr>
        <w:t xml:space="preserve">Incorporación al cálculo de los APNR: </w:t>
      </w:r>
      <w:r w:rsidRPr="009A2449">
        <w:rPr>
          <w:rFonts w:ascii="Arial" w:hAnsi="Arial" w:cs="Arial"/>
          <w:sz w:val="18"/>
          <w:szCs w:val="18"/>
        </w:rPr>
        <w:t xml:space="preserve">Una vez determinada la exposición neta de cada operación, se debe </w:t>
      </w:r>
      <w:r w:rsidR="00A921C8">
        <w:rPr>
          <w:rFonts w:ascii="Arial" w:hAnsi="Arial" w:cs="Arial"/>
          <w:sz w:val="18"/>
          <w:szCs w:val="18"/>
        </w:rPr>
        <w:t xml:space="preserve">establecer </w:t>
      </w:r>
      <w:r w:rsidRPr="009A2449">
        <w:rPr>
          <w:rFonts w:ascii="Arial" w:hAnsi="Arial" w:cs="Arial"/>
          <w:sz w:val="18"/>
          <w:szCs w:val="18"/>
        </w:rPr>
        <w:t>su contribución a los APNR. De esta manera, la contribución de una operación del mercado monetario a los APNR será igual a:</w:t>
      </w:r>
    </w:p>
    <w:p w:rsidR="009A2449" w:rsidRDefault="009A2449" w:rsidP="009A2449">
      <w:pPr>
        <w:jc w:val="both"/>
        <w:rPr>
          <w:rFonts w:ascii="Arial" w:hAnsi="Arial" w:cs="Arial"/>
          <w:sz w:val="18"/>
          <w:szCs w:val="18"/>
        </w:rPr>
      </w:pPr>
    </w:p>
    <w:p w:rsidR="009A2449" w:rsidRDefault="001F1923" w:rsidP="009A2449">
      <w:pPr>
        <w:jc w:val="both"/>
        <w:rPr>
          <w:rFonts w:ascii="Arial" w:hAnsi="Arial" w:cs="Arial"/>
          <w:sz w:val="18"/>
          <w:szCs w:val="18"/>
        </w:rPr>
      </w:pPr>
      <m:oMathPara>
        <m:oMath>
          <m:sSub>
            <m:sSubPr>
              <m:ctrlPr>
                <w:rPr>
                  <w:rFonts w:ascii="Cambria Math" w:eastAsiaTheme="minorHAnsi" w:hAnsi="Cambria Math"/>
                  <w:i/>
                  <w:iCs/>
                  <w:sz w:val="18"/>
                  <w:szCs w:val="18"/>
                </w:rPr>
              </m:ctrlPr>
            </m:sSubPr>
            <m:e>
              <m:r>
                <w:rPr>
                  <w:rFonts w:ascii="Cambria Math" w:hAnsi="Cambria Math"/>
                  <w:sz w:val="18"/>
                  <w:szCs w:val="18"/>
                </w:rPr>
                <m:t>APNR</m:t>
              </m:r>
            </m:e>
            <m:sub>
              <m:r>
                <w:rPr>
                  <w:rFonts w:ascii="Cambria Math" w:hAnsi="Cambria Math"/>
                  <w:sz w:val="18"/>
                  <w:szCs w:val="18"/>
                </w:rPr>
                <m:t>j</m:t>
              </m:r>
            </m:sub>
          </m:sSub>
          <m:r>
            <w:rPr>
              <w:rFonts w:ascii="Cambria Math" w:hAnsi="Cambria Math"/>
              <w:sz w:val="18"/>
              <w:szCs w:val="18"/>
            </w:rPr>
            <m:t>=</m:t>
          </m:r>
          <m:sSub>
            <m:sSubPr>
              <m:ctrlPr>
                <w:rPr>
                  <w:rFonts w:ascii="Cambria Math" w:eastAsiaTheme="minorHAnsi" w:hAnsi="Cambria Math"/>
                  <w:i/>
                  <w:iCs/>
                  <w:sz w:val="18"/>
                  <w:szCs w:val="18"/>
                </w:rPr>
              </m:ctrlPr>
            </m:sSubPr>
            <m:e>
              <m:r>
                <w:rPr>
                  <w:rFonts w:ascii="Cambria Math" w:hAnsi="Cambria Math"/>
                  <w:sz w:val="18"/>
                  <w:szCs w:val="18"/>
                </w:rPr>
                <m:t>W</m:t>
              </m:r>
            </m:e>
            <m:sub>
              <m:r>
                <w:rPr>
                  <w:rFonts w:ascii="Cambria Math" w:hAnsi="Cambria Math"/>
                  <w:sz w:val="18"/>
                  <w:szCs w:val="18"/>
                </w:rPr>
                <m:t>j</m:t>
              </m:r>
            </m:sub>
          </m:sSub>
          <m:r>
            <w:rPr>
              <w:rFonts w:ascii="Cambria Math" w:hAnsi="Cambria Math"/>
              <w:sz w:val="18"/>
              <w:szCs w:val="18"/>
            </w:rPr>
            <m:t>*</m:t>
          </m:r>
          <m:sSub>
            <m:sSubPr>
              <m:ctrlPr>
                <w:rPr>
                  <w:rFonts w:ascii="Cambria Math" w:eastAsiaTheme="minorHAnsi" w:hAnsi="Cambria Math"/>
                  <w:i/>
                  <w:iCs/>
                  <w:sz w:val="18"/>
                  <w:szCs w:val="18"/>
                </w:rPr>
              </m:ctrlPr>
            </m:sSubPr>
            <m:e>
              <m:r>
                <w:rPr>
                  <w:rFonts w:ascii="Cambria Math" w:hAnsi="Cambria Math"/>
                  <w:sz w:val="18"/>
                  <w:szCs w:val="18"/>
                </w:rPr>
                <m:t>EN</m:t>
              </m:r>
            </m:e>
            <m:sub>
              <m:r>
                <w:rPr>
                  <w:rFonts w:ascii="Cambria Math" w:hAnsi="Cambria Math"/>
                  <w:sz w:val="18"/>
                  <w:szCs w:val="18"/>
                </w:rPr>
                <m:t>j</m:t>
              </m:r>
            </m:sub>
          </m:sSub>
        </m:oMath>
      </m:oMathPara>
    </w:p>
    <w:p w:rsidR="009A2449" w:rsidRDefault="009A2449" w:rsidP="009A2449">
      <w:pPr>
        <w:jc w:val="both"/>
        <w:rPr>
          <w:rFonts w:ascii="Arial" w:hAnsi="Arial" w:cs="Arial"/>
          <w:sz w:val="18"/>
          <w:szCs w:val="18"/>
          <w:highlight w:val="yellow"/>
        </w:rPr>
      </w:pPr>
    </w:p>
    <w:p w:rsidR="0083788E" w:rsidRDefault="009A2449" w:rsidP="00B4263B">
      <w:pPr>
        <w:ind w:left="426"/>
        <w:jc w:val="both"/>
        <w:rPr>
          <w:rFonts w:ascii="Arial" w:hAnsi="Arial" w:cs="Arial"/>
          <w:sz w:val="18"/>
          <w:szCs w:val="18"/>
        </w:rPr>
      </w:pPr>
      <w:r>
        <w:rPr>
          <w:rFonts w:ascii="Arial" w:hAnsi="Arial" w:cs="Arial"/>
          <w:sz w:val="18"/>
          <w:szCs w:val="18"/>
        </w:rPr>
        <w:t xml:space="preserve">Donde </w:t>
      </w:r>
      <m:oMath>
        <m:sSub>
          <m:sSubPr>
            <m:ctrlPr>
              <w:rPr>
                <w:rFonts w:ascii="Cambria Math" w:eastAsiaTheme="minorHAnsi" w:hAnsi="Cambria Math"/>
                <w:i/>
                <w:iCs/>
                <w:sz w:val="18"/>
                <w:szCs w:val="18"/>
              </w:rPr>
            </m:ctrlPr>
          </m:sSubPr>
          <m:e>
            <m:r>
              <w:rPr>
                <w:rFonts w:ascii="Cambria Math" w:hAnsi="Cambria Math"/>
                <w:sz w:val="18"/>
                <w:szCs w:val="18"/>
              </w:rPr>
              <m:t>W</m:t>
            </m:r>
          </m:e>
          <m:sub>
            <m:r>
              <w:rPr>
                <w:rFonts w:ascii="Cambria Math" w:hAnsi="Cambria Math"/>
                <w:sz w:val="18"/>
                <w:szCs w:val="18"/>
              </w:rPr>
              <m:t>j</m:t>
            </m:r>
          </m:sub>
        </m:sSub>
      </m:oMath>
      <w:r>
        <w:rPr>
          <w:rFonts w:ascii="Arial" w:hAnsi="Arial" w:cs="Arial"/>
          <w:sz w:val="18"/>
          <w:szCs w:val="18"/>
        </w:rPr>
        <w:t xml:space="preserve"> corresponde al porcentaje de ponderación asignado según la calidad </w:t>
      </w:r>
      <w:r w:rsidR="00A921C8">
        <w:rPr>
          <w:rFonts w:ascii="Arial" w:hAnsi="Arial" w:cs="Arial"/>
          <w:sz w:val="18"/>
          <w:szCs w:val="18"/>
        </w:rPr>
        <w:t xml:space="preserve">crediticia </w:t>
      </w:r>
      <w:r>
        <w:rPr>
          <w:rFonts w:ascii="Arial" w:hAnsi="Arial" w:cs="Arial"/>
          <w:sz w:val="18"/>
          <w:szCs w:val="18"/>
        </w:rPr>
        <w:t>de la contraparte</w:t>
      </w:r>
      <w:r w:rsidR="00FA241F">
        <w:rPr>
          <w:rFonts w:ascii="Arial" w:hAnsi="Arial" w:cs="Arial"/>
          <w:sz w:val="18"/>
          <w:szCs w:val="18"/>
        </w:rPr>
        <w:t xml:space="preserve"> definidas en el artículo 2.1.1.3.2 del Decreto 2555 de 2010 y en el </w:t>
      </w:r>
      <w:bookmarkStart w:id="6" w:name="_Toc354995246"/>
      <w:r w:rsidR="00B4263B" w:rsidRPr="00B4263B">
        <w:rPr>
          <w:rFonts w:ascii="Arial" w:hAnsi="Arial" w:cs="Arial"/>
          <w:sz w:val="18"/>
          <w:szCs w:val="18"/>
        </w:rPr>
        <w:t>Formato 239 (Proforma F.1000-141</w:t>
      </w:r>
      <w:r w:rsidR="003A67F8">
        <w:rPr>
          <w:rFonts w:ascii="Arial" w:hAnsi="Arial" w:cs="Arial"/>
          <w:sz w:val="18"/>
          <w:szCs w:val="18"/>
        </w:rPr>
        <w:t>)</w:t>
      </w:r>
      <w:r w:rsidR="00B4263B" w:rsidRPr="00B4263B">
        <w:rPr>
          <w:rFonts w:ascii="Arial" w:hAnsi="Arial" w:cs="Arial"/>
          <w:sz w:val="18"/>
          <w:szCs w:val="18"/>
        </w:rPr>
        <w:t xml:space="preserve"> “Reporte de Información de Margen de Solvencia y Otros Requerimientos de Patrimonio y Declaración del Control de Ley Margen de Solvencia”</w:t>
      </w:r>
      <w:r w:rsidR="00B4263B">
        <w:rPr>
          <w:rFonts w:ascii="Arial" w:hAnsi="Arial" w:cs="Arial"/>
          <w:sz w:val="18"/>
          <w:szCs w:val="18"/>
        </w:rPr>
        <w:t>.</w:t>
      </w:r>
    </w:p>
    <w:p w:rsidR="00B4263B" w:rsidRPr="000571A2" w:rsidRDefault="00B4263B" w:rsidP="00B4263B">
      <w:pPr>
        <w:ind w:left="426"/>
        <w:jc w:val="both"/>
        <w:rPr>
          <w:rFonts w:ascii="Arial" w:hAnsi="Arial" w:cs="Arial"/>
          <w:sz w:val="18"/>
          <w:szCs w:val="18"/>
        </w:rPr>
      </w:pPr>
    </w:p>
    <w:p w:rsidR="00700B11" w:rsidRPr="000571A2" w:rsidRDefault="005A1FDB" w:rsidP="00E343EE">
      <w:pPr>
        <w:pStyle w:val="Prrafodelista"/>
        <w:numPr>
          <w:ilvl w:val="2"/>
          <w:numId w:val="38"/>
        </w:numPr>
        <w:jc w:val="both"/>
        <w:outlineLvl w:val="2"/>
        <w:rPr>
          <w:rFonts w:ascii="Arial" w:hAnsi="Arial" w:cs="Arial"/>
          <w:sz w:val="18"/>
          <w:szCs w:val="18"/>
        </w:rPr>
      </w:pPr>
      <w:r w:rsidRPr="000571A2">
        <w:rPr>
          <w:rFonts w:ascii="Arial" w:hAnsi="Arial" w:cs="Arial"/>
          <w:sz w:val="18"/>
          <w:szCs w:val="18"/>
        </w:rPr>
        <w:t xml:space="preserve">Clasificación de activos, exposiciones y </w:t>
      </w:r>
      <w:r w:rsidR="00620D00" w:rsidRPr="000571A2">
        <w:rPr>
          <w:rFonts w:ascii="Arial" w:hAnsi="Arial" w:cs="Arial"/>
          <w:sz w:val="18"/>
          <w:szCs w:val="18"/>
        </w:rPr>
        <w:t>contingencias</w:t>
      </w:r>
      <w:r w:rsidRPr="000571A2">
        <w:rPr>
          <w:rFonts w:ascii="Arial" w:hAnsi="Arial" w:cs="Arial"/>
          <w:sz w:val="18"/>
          <w:szCs w:val="18"/>
        </w:rPr>
        <w:t xml:space="preserve"> cuando </w:t>
      </w:r>
      <w:r w:rsidR="00620D00" w:rsidRPr="000571A2">
        <w:rPr>
          <w:rFonts w:ascii="Arial" w:hAnsi="Arial" w:cs="Arial"/>
          <w:sz w:val="18"/>
          <w:szCs w:val="18"/>
        </w:rPr>
        <w:t xml:space="preserve">exista </w:t>
      </w:r>
      <w:r w:rsidR="007D0FBE" w:rsidRPr="000571A2">
        <w:rPr>
          <w:rFonts w:ascii="Arial" w:hAnsi="Arial" w:cs="Arial"/>
          <w:sz w:val="18"/>
          <w:szCs w:val="18"/>
        </w:rPr>
        <w:t>más</w:t>
      </w:r>
      <w:r w:rsidR="00620D00" w:rsidRPr="000571A2">
        <w:rPr>
          <w:rFonts w:ascii="Arial" w:hAnsi="Arial" w:cs="Arial"/>
          <w:sz w:val="18"/>
          <w:szCs w:val="18"/>
        </w:rPr>
        <w:t xml:space="preserve"> de una categoría</w:t>
      </w:r>
    </w:p>
    <w:p w:rsidR="00700B11" w:rsidRPr="000A17D7" w:rsidRDefault="00700B11" w:rsidP="006E3251">
      <w:pPr>
        <w:jc w:val="both"/>
        <w:outlineLvl w:val="0"/>
        <w:rPr>
          <w:rFonts w:ascii="Arial" w:hAnsi="Arial" w:cs="Arial"/>
          <w:sz w:val="18"/>
          <w:szCs w:val="18"/>
        </w:rPr>
      </w:pPr>
    </w:p>
    <w:p w:rsidR="00526833" w:rsidRDefault="00AA2171" w:rsidP="006E3251">
      <w:pPr>
        <w:jc w:val="both"/>
        <w:outlineLvl w:val="0"/>
        <w:rPr>
          <w:rFonts w:ascii="Arial" w:hAnsi="Arial" w:cs="Arial"/>
          <w:sz w:val="18"/>
          <w:szCs w:val="18"/>
        </w:rPr>
      </w:pPr>
      <w:r>
        <w:rPr>
          <w:rFonts w:ascii="Arial" w:hAnsi="Arial" w:cs="Arial"/>
          <w:sz w:val="18"/>
          <w:szCs w:val="18"/>
        </w:rPr>
        <w:t xml:space="preserve">A efectos de determinar la clasificación y ponderación de activos, exposiciones </w:t>
      </w:r>
      <w:r w:rsidR="00526833">
        <w:rPr>
          <w:rFonts w:ascii="Arial" w:hAnsi="Arial" w:cs="Arial"/>
          <w:sz w:val="18"/>
          <w:szCs w:val="18"/>
        </w:rPr>
        <w:t xml:space="preserve">y contingencias cuando </w:t>
      </w:r>
      <w:r w:rsidR="00AC3091">
        <w:rPr>
          <w:rFonts w:ascii="Arial" w:hAnsi="Arial" w:cs="Arial"/>
          <w:sz w:val="18"/>
          <w:szCs w:val="18"/>
        </w:rPr>
        <w:t>é</w:t>
      </w:r>
      <w:r w:rsidR="00DE1DFE">
        <w:rPr>
          <w:rFonts w:ascii="Arial" w:hAnsi="Arial" w:cs="Arial"/>
          <w:sz w:val="18"/>
          <w:szCs w:val="18"/>
        </w:rPr>
        <w:t>stos puedan</w:t>
      </w:r>
      <w:r w:rsidR="00AC3091">
        <w:rPr>
          <w:rFonts w:ascii="Arial" w:hAnsi="Arial" w:cs="Arial"/>
          <w:sz w:val="18"/>
          <w:szCs w:val="18"/>
        </w:rPr>
        <w:t xml:space="preserve"> ponderarse</w:t>
      </w:r>
      <w:r w:rsidR="00DE1DFE">
        <w:rPr>
          <w:rFonts w:ascii="Arial" w:hAnsi="Arial" w:cs="Arial"/>
          <w:sz w:val="18"/>
          <w:szCs w:val="18"/>
        </w:rPr>
        <w:t xml:space="preserve"> en dos o m</w:t>
      </w:r>
      <w:r w:rsidR="00AC3091">
        <w:rPr>
          <w:rFonts w:ascii="Arial" w:hAnsi="Arial" w:cs="Arial"/>
          <w:sz w:val="18"/>
          <w:szCs w:val="18"/>
        </w:rPr>
        <w:t>á</w:t>
      </w:r>
      <w:r w:rsidR="00DE1DFE">
        <w:rPr>
          <w:rFonts w:ascii="Arial" w:hAnsi="Arial" w:cs="Arial"/>
          <w:sz w:val="18"/>
          <w:szCs w:val="18"/>
        </w:rPr>
        <w:t xml:space="preserve">s categorías, el orden de prelación es </w:t>
      </w:r>
      <w:r w:rsidR="00AC3091">
        <w:rPr>
          <w:rFonts w:ascii="Arial" w:hAnsi="Arial" w:cs="Arial"/>
          <w:sz w:val="18"/>
          <w:szCs w:val="18"/>
        </w:rPr>
        <w:t>e</w:t>
      </w:r>
      <w:r w:rsidR="00DE1DFE">
        <w:rPr>
          <w:rFonts w:ascii="Arial" w:hAnsi="Arial" w:cs="Arial"/>
          <w:sz w:val="18"/>
          <w:szCs w:val="18"/>
        </w:rPr>
        <w:t>l</w:t>
      </w:r>
      <w:r w:rsidR="00AC3091">
        <w:rPr>
          <w:rFonts w:ascii="Arial" w:hAnsi="Arial" w:cs="Arial"/>
          <w:sz w:val="18"/>
          <w:szCs w:val="18"/>
        </w:rPr>
        <w:t xml:space="preserve"> </w:t>
      </w:r>
      <w:r w:rsidR="00DE1DFE">
        <w:rPr>
          <w:rFonts w:ascii="Arial" w:hAnsi="Arial" w:cs="Arial"/>
          <w:sz w:val="18"/>
          <w:szCs w:val="18"/>
        </w:rPr>
        <w:t>siguiente</w:t>
      </w:r>
      <w:r w:rsidR="00914F7E">
        <w:rPr>
          <w:rFonts w:ascii="Arial" w:hAnsi="Arial" w:cs="Arial"/>
          <w:sz w:val="18"/>
          <w:szCs w:val="18"/>
        </w:rPr>
        <w:t>:</w:t>
      </w:r>
    </w:p>
    <w:p w:rsidR="00526833" w:rsidRDefault="00526833" w:rsidP="006E3251">
      <w:pPr>
        <w:jc w:val="both"/>
        <w:outlineLvl w:val="0"/>
        <w:rPr>
          <w:rFonts w:ascii="Arial" w:hAnsi="Arial" w:cs="Arial"/>
          <w:sz w:val="18"/>
          <w:szCs w:val="18"/>
        </w:rPr>
      </w:pPr>
    </w:p>
    <w:p w:rsidR="002F039E" w:rsidRDefault="002F509C" w:rsidP="00513595">
      <w:pPr>
        <w:pStyle w:val="Prrafodelista"/>
        <w:numPr>
          <w:ilvl w:val="0"/>
          <w:numId w:val="19"/>
        </w:numPr>
        <w:jc w:val="both"/>
        <w:outlineLvl w:val="0"/>
        <w:rPr>
          <w:rFonts w:ascii="Arial" w:hAnsi="Arial" w:cs="Arial"/>
          <w:sz w:val="18"/>
          <w:szCs w:val="18"/>
        </w:rPr>
      </w:pPr>
      <w:r>
        <w:rPr>
          <w:rFonts w:ascii="Arial" w:hAnsi="Arial" w:cs="Arial"/>
          <w:sz w:val="18"/>
          <w:szCs w:val="18"/>
        </w:rPr>
        <w:t xml:space="preserve">Cuando estén </w:t>
      </w:r>
      <w:r w:rsidR="00473418">
        <w:rPr>
          <w:rFonts w:ascii="Arial" w:hAnsi="Arial" w:cs="Arial"/>
          <w:sz w:val="18"/>
          <w:szCs w:val="18"/>
        </w:rPr>
        <w:t xml:space="preserve">clasificados </w:t>
      </w:r>
      <w:r>
        <w:rPr>
          <w:rFonts w:ascii="Arial" w:hAnsi="Arial" w:cs="Arial"/>
          <w:sz w:val="18"/>
          <w:szCs w:val="18"/>
        </w:rPr>
        <w:t xml:space="preserve">en incumplimiento se debe </w:t>
      </w:r>
      <w:r w:rsidR="00DD358B">
        <w:rPr>
          <w:rFonts w:ascii="Arial" w:hAnsi="Arial" w:cs="Arial"/>
          <w:sz w:val="18"/>
          <w:szCs w:val="18"/>
        </w:rPr>
        <w:t xml:space="preserve">aplicar </w:t>
      </w:r>
      <w:r w:rsidR="007D0FBE" w:rsidRPr="00914F7E">
        <w:rPr>
          <w:rFonts w:ascii="Arial" w:hAnsi="Arial" w:cs="Arial"/>
          <w:sz w:val="18"/>
          <w:szCs w:val="18"/>
        </w:rPr>
        <w:t xml:space="preserve">la </w:t>
      </w:r>
      <w:r w:rsidR="00DD358B">
        <w:rPr>
          <w:rFonts w:ascii="Arial" w:hAnsi="Arial" w:cs="Arial"/>
          <w:sz w:val="18"/>
          <w:szCs w:val="18"/>
        </w:rPr>
        <w:t xml:space="preserve">mayor </w:t>
      </w:r>
      <w:r w:rsidR="00473418">
        <w:rPr>
          <w:rFonts w:ascii="Arial" w:hAnsi="Arial" w:cs="Arial"/>
          <w:sz w:val="18"/>
          <w:szCs w:val="18"/>
        </w:rPr>
        <w:t xml:space="preserve">ponderación </w:t>
      </w:r>
      <w:r w:rsidR="00DD358B">
        <w:rPr>
          <w:rFonts w:ascii="Arial" w:hAnsi="Arial" w:cs="Arial"/>
          <w:sz w:val="18"/>
          <w:szCs w:val="18"/>
        </w:rPr>
        <w:t xml:space="preserve">entre la </w:t>
      </w:r>
      <w:r w:rsidR="007D0FBE" w:rsidRPr="00914F7E">
        <w:rPr>
          <w:rFonts w:ascii="Arial" w:hAnsi="Arial" w:cs="Arial"/>
          <w:sz w:val="18"/>
          <w:szCs w:val="18"/>
        </w:rPr>
        <w:t xml:space="preserve">categoría </w:t>
      </w:r>
      <w:r w:rsidR="00DD358B">
        <w:rPr>
          <w:rFonts w:ascii="Arial" w:hAnsi="Arial" w:cs="Arial"/>
          <w:sz w:val="18"/>
          <w:szCs w:val="18"/>
        </w:rPr>
        <w:t>del</w:t>
      </w:r>
      <w:r w:rsidR="007D0FBE" w:rsidRPr="00914F7E">
        <w:rPr>
          <w:rFonts w:ascii="Arial" w:hAnsi="Arial" w:cs="Arial"/>
          <w:sz w:val="18"/>
          <w:szCs w:val="18"/>
        </w:rPr>
        <w:t xml:space="preserve"> 100%</w:t>
      </w:r>
      <w:r w:rsidR="00DD358B">
        <w:rPr>
          <w:rFonts w:ascii="Arial" w:hAnsi="Arial" w:cs="Arial"/>
          <w:sz w:val="18"/>
          <w:szCs w:val="18"/>
        </w:rPr>
        <w:t xml:space="preserve"> (numeral 3 del artículo 2.1.1.3.2 del Decreto 255</w:t>
      </w:r>
      <w:r w:rsidR="005C3AE0">
        <w:rPr>
          <w:rFonts w:ascii="Arial" w:hAnsi="Arial" w:cs="Arial"/>
          <w:sz w:val="18"/>
          <w:szCs w:val="18"/>
        </w:rPr>
        <w:t>5</w:t>
      </w:r>
      <w:r w:rsidR="00DD358B">
        <w:rPr>
          <w:rFonts w:ascii="Arial" w:hAnsi="Arial" w:cs="Arial"/>
          <w:sz w:val="18"/>
          <w:szCs w:val="18"/>
        </w:rPr>
        <w:t xml:space="preserve"> de 2010) </w:t>
      </w:r>
      <w:r w:rsidR="007D0FBE" w:rsidRPr="00914F7E">
        <w:rPr>
          <w:rFonts w:ascii="Arial" w:hAnsi="Arial" w:cs="Arial"/>
          <w:sz w:val="18"/>
          <w:szCs w:val="18"/>
        </w:rPr>
        <w:t>y aquella que le</w:t>
      </w:r>
      <w:r w:rsidR="005C3AE0">
        <w:rPr>
          <w:rFonts w:ascii="Arial" w:hAnsi="Arial" w:cs="Arial"/>
          <w:sz w:val="18"/>
          <w:szCs w:val="18"/>
        </w:rPr>
        <w:t xml:space="preserve"> resulte</w:t>
      </w:r>
      <w:r w:rsidR="007D0FBE" w:rsidRPr="00914F7E">
        <w:rPr>
          <w:rFonts w:ascii="Arial" w:hAnsi="Arial" w:cs="Arial"/>
          <w:sz w:val="18"/>
          <w:szCs w:val="18"/>
        </w:rPr>
        <w:t xml:space="preserve"> apli</w:t>
      </w:r>
      <w:r w:rsidR="00AE2631">
        <w:rPr>
          <w:rFonts w:ascii="Arial" w:hAnsi="Arial" w:cs="Arial"/>
          <w:sz w:val="18"/>
          <w:szCs w:val="18"/>
        </w:rPr>
        <w:t>cable</w:t>
      </w:r>
      <w:r w:rsidR="007D0FBE" w:rsidRPr="00914F7E">
        <w:rPr>
          <w:rFonts w:ascii="Arial" w:hAnsi="Arial" w:cs="Arial"/>
          <w:sz w:val="18"/>
          <w:szCs w:val="18"/>
        </w:rPr>
        <w:t xml:space="preserve"> por las características </w:t>
      </w:r>
      <w:r w:rsidR="00637B76">
        <w:rPr>
          <w:rFonts w:ascii="Arial" w:hAnsi="Arial" w:cs="Arial"/>
          <w:sz w:val="18"/>
          <w:szCs w:val="18"/>
        </w:rPr>
        <w:t>de riesgo</w:t>
      </w:r>
      <w:r w:rsidR="00010503">
        <w:rPr>
          <w:rFonts w:ascii="Arial" w:hAnsi="Arial" w:cs="Arial"/>
          <w:sz w:val="18"/>
          <w:szCs w:val="18"/>
        </w:rPr>
        <w:t xml:space="preserve"> crediticio</w:t>
      </w:r>
      <w:r w:rsidR="00637B76">
        <w:rPr>
          <w:rFonts w:ascii="Arial" w:hAnsi="Arial" w:cs="Arial"/>
          <w:sz w:val="18"/>
          <w:szCs w:val="18"/>
        </w:rPr>
        <w:t xml:space="preserve"> </w:t>
      </w:r>
      <w:r w:rsidR="007D0FBE" w:rsidRPr="00914F7E">
        <w:rPr>
          <w:rFonts w:ascii="Arial" w:hAnsi="Arial" w:cs="Arial"/>
          <w:sz w:val="18"/>
          <w:szCs w:val="18"/>
        </w:rPr>
        <w:t xml:space="preserve">propias </w:t>
      </w:r>
      <w:r w:rsidR="00AC3091" w:rsidRPr="00914F7E">
        <w:rPr>
          <w:rFonts w:ascii="Arial" w:hAnsi="Arial" w:cs="Arial"/>
          <w:sz w:val="18"/>
          <w:szCs w:val="18"/>
        </w:rPr>
        <w:t xml:space="preserve">del </w:t>
      </w:r>
      <w:r w:rsidR="00AC3091">
        <w:rPr>
          <w:rFonts w:ascii="Arial" w:hAnsi="Arial" w:cs="Arial"/>
          <w:sz w:val="18"/>
          <w:szCs w:val="18"/>
        </w:rPr>
        <w:t>activo</w:t>
      </w:r>
      <w:r w:rsidR="00010503">
        <w:rPr>
          <w:rFonts w:ascii="Arial" w:hAnsi="Arial" w:cs="Arial"/>
          <w:sz w:val="18"/>
          <w:szCs w:val="18"/>
        </w:rPr>
        <w:t>, exposición o contingencia</w:t>
      </w:r>
      <w:r w:rsidR="007D0FBE" w:rsidRPr="00914F7E">
        <w:rPr>
          <w:rFonts w:ascii="Arial" w:hAnsi="Arial" w:cs="Arial"/>
          <w:sz w:val="18"/>
          <w:szCs w:val="18"/>
        </w:rPr>
        <w:t>.</w:t>
      </w:r>
    </w:p>
    <w:p w:rsidR="00995E42" w:rsidRDefault="00995E42" w:rsidP="00995E42">
      <w:pPr>
        <w:pStyle w:val="Prrafodelista"/>
        <w:ind w:left="360"/>
        <w:jc w:val="both"/>
        <w:outlineLvl w:val="0"/>
        <w:rPr>
          <w:rFonts w:ascii="Arial" w:hAnsi="Arial" w:cs="Arial"/>
          <w:sz w:val="18"/>
          <w:szCs w:val="18"/>
        </w:rPr>
      </w:pPr>
    </w:p>
    <w:p w:rsidR="00995E42" w:rsidRDefault="00406BF0" w:rsidP="00513595">
      <w:pPr>
        <w:pStyle w:val="Prrafodelista"/>
        <w:numPr>
          <w:ilvl w:val="0"/>
          <w:numId w:val="19"/>
        </w:numPr>
        <w:jc w:val="both"/>
        <w:outlineLvl w:val="0"/>
        <w:rPr>
          <w:rFonts w:ascii="Arial" w:hAnsi="Arial" w:cs="Arial"/>
          <w:sz w:val="18"/>
          <w:szCs w:val="18"/>
        </w:rPr>
      </w:pPr>
      <w:r>
        <w:rPr>
          <w:rFonts w:ascii="Arial" w:hAnsi="Arial" w:cs="Arial"/>
          <w:sz w:val="18"/>
          <w:szCs w:val="18"/>
        </w:rPr>
        <w:t xml:space="preserve">Cuando la contraparte sea una </w:t>
      </w:r>
      <w:r w:rsidR="00D41C7E">
        <w:rPr>
          <w:rFonts w:ascii="Arial" w:hAnsi="Arial" w:cs="Arial"/>
          <w:sz w:val="18"/>
          <w:szCs w:val="18"/>
        </w:rPr>
        <w:t xml:space="preserve">microempresa, </w:t>
      </w:r>
      <w:r w:rsidR="007E508B">
        <w:rPr>
          <w:rFonts w:ascii="Arial" w:hAnsi="Arial" w:cs="Arial"/>
          <w:sz w:val="18"/>
          <w:szCs w:val="18"/>
        </w:rPr>
        <w:t>pequeña</w:t>
      </w:r>
      <w:r w:rsidR="00AA6B7F">
        <w:rPr>
          <w:rFonts w:ascii="Arial" w:hAnsi="Arial" w:cs="Arial"/>
          <w:sz w:val="18"/>
          <w:szCs w:val="18"/>
        </w:rPr>
        <w:t xml:space="preserve"> o </w:t>
      </w:r>
      <w:r w:rsidR="007E508B">
        <w:rPr>
          <w:rFonts w:ascii="Arial" w:hAnsi="Arial" w:cs="Arial"/>
          <w:sz w:val="18"/>
          <w:szCs w:val="18"/>
        </w:rPr>
        <w:t xml:space="preserve">mediana </w:t>
      </w:r>
      <w:r w:rsidR="00AA6B7F">
        <w:rPr>
          <w:rFonts w:ascii="Arial" w:hAnsi="Arial" w:cs="Arial"/>
          <w:sz w:val="18"/>
          <w:szCs w:val="18"/>
        </w:rPr>
        <w:t>empresa</w:t>
      </w:r>
      <w:r w:rsidR="007E508B">
        <w:rPr>
          <w:rFonts w:ascii="Arial" w:hAnsi="Arial" w:cs="Arial"/>
          <w:sz w:val="18"/>
          <w:szCs w:val="18"/>
        </w:rPr>
        <w:t xml:space="preserve"> </w:t>
      </w:r>
      <w:r>
        <w:rPr>
          <w:rFonts w:ascii="Arial" w:hAnsi="Arial" w:cs="Arial"/>
          <w:sz w:val="18"/>
          <w:szCs w:val="18"/>
        </w:rPr>
        <w:t xml:space="preserve">o persona natural y </w:t>
      </w:r>
      <w:r w:rsidR="007A4089">
        <w:rPr>
          <w:rFonts w:ascii="Arial" w:hAnsi="Arial" w:cs="Arial"/>
          <w:sz w:val="18"/>
          <w:szCs w:val="18"/>
        </w:rPr>
        <w:t>cuente con</w:t>
      </w:r>
      <w:r>
        <w:rPr>
          <w:rFonts w:ascii="Arial" w:hAnsi="Arial" w:cs="Arial"/>
          <w:sz w:val="18"/>
          <w:szCs w:val="18"/>
        </w:rPr>
        <w:t xml:space="preserve"> garant</w:t>
      </w:r>
      <w:r w:rsidR="007A4089">
        <w:rPr>
          <w:rFonts w:ascii="Arial" w:hAnsi="Arial" w:cs="Arial"/>
          <w:sz w:val="18"/>
          <w:szCs w:val="18"/>
        </w:rPr>
        <w:t>ía inmobiliaria</w:t>
      </w:r>
      <w:r w:rsidR="00E15717">
        <w:rPr>
          <w:rFonts w:ascii="Arial" w:hAnsi="Arial" w:cs="Arial"/>
          <w:sz w:val="18"/>
          <w:szCs w:val="18"/>
        </w:rPr>
        <w:t xml:space="preserve"> diferente de vivienda</w:t>
      </w:r>
      <w:r>
        <w:rPr>
          <w:rFonts w:ascii="Arial" w:hAnsi="Arial" w:cs="Arial"/>
          <w:sz w:val="18"/>
          <w:szCs w:val="18"/>
        </w:rPr>
        <w:t xml:space="preserve">, </w:t>
      </w:r>
      <w:r w:rsidR="00E15717">
        <w:rPr>
          <w:rFonts w:ascii="Arial" w:hAnsi="Arial" w:cs="Arial"/>
          <w:sz w:val="18"/>
          <w:szCs w:val="18"/>
        </w:rPr>
        <w:t>y siempre que las perspectivas del servicio de la deuda del préstamo dependan sustancialmente de los flujos de caja generados por el bien inmueble que garantiza dicho préstamo y no de la capacidad de pago del deudor</w:t>
      </w:r>
      <w:r w:rsidR="003A67F8">
        <w:rPr>
          <w:rFonts w:ascii="Arial" w:hAnsi="Arial" w:cs="Arial"/>
          <w:sz w:val="18"/>
          <w:szCs w:val="18"/>
        </w:rPr>
        <w:t>,</w:t>
      </w:r>
      <w:r w:rsidR="00E15717">
        <w:rPr>
          <w:rFonts w:ascii="Arial" w:hAnsi="Arial" w:cs="Arial"/>
          <w:sz w:val="18"/>
          <w:szCs w:val="18"/>
        </w:rPr>
        <w:t xml:space="preserve"> a partir de otras fuentes de ingresos</w:t>
      </w:r>
      <w:r w:rsidR="00AA6B7F">
        <w:rPr>
          <w:rFonts w:ascii="Arial" w:hAnsi="Arial" w:cs="Arial"/>
          <w:sz w:val="18"/>
          <w:szCs w:val="18"/>
        </w:rPr>
        <w:t>,</w:t>
      </w:r>
      <w:r w:rsidR="00E15717">
        <w:rPr>
          <w:rFonts w:ascii="Arial" w:hAnsi="Arial" w:cs="Arial"/>
          <w:sz w:val="18"/>
          <w:szCs w:val="18"/>
        </w:rPr>
        <w:t xml:space="preserve"> </w:t>
      </w:r>
      <w:r w:rsidR="003A67F8">
        <w:rPr>
          <w:rFonts w:ascii="Arial" w:hAnsi="Arial" w:cs="Arial"/>
          <w:sz w:val="18"/>
          <w:szCs w:val="18"/>
        </w:rPr>
        <w:t>debe</w:t>
      </w:r>
      <w:r>
        <w:rPr>
          <w:rFonts w:ascii="Arial" w:hAnsi="Arial" w:cs="Arial"/>
          <w:sz w:val="18"/>
          <w:szCs w:val="18"/>
        </w:rPr>
        <w:t xml:space="preserve"> aplicar los porcentajes de ponderación de</w:t>
      </w:r>
      <w:r w:rsidR="00DA58A6">
        <w:rPr>
          <w:rFonts w:ascii="Arial" w:hAnsi="Arial" w:cs="Arial"/>
          <w:sz w:val="18"/>
          <w:szCs w:val="18"/>
        </w:rPr>
        <w:t xml:space="preserve"> </w:t>
      </w:r>
      <w:r>
        <w:rPr>
          <w:rFonts w:ascii="Arial" w:hAnsi="Arial" w:cs="Arial"/>
          <w:sz w:val="18"/>
          <w:szCs w:val="18"/>
        </w:rPr>
        <w:t>LTV definidos en</w:t>
      </w:r>
      <w:r w:rsidR="00B24EA5">
        <w:rPr>
          <w:rFonts w:ascii="Arial" w:hAnsi="Arial" w:cs="Arial"/>
          <w:sz w:val="18"/>
          <w:szCs w:val="18"/>
        </w:rPr>
        <w:t xml:space="preserve"> la segunda tabla d</w:t>
      </w:r>
      <w:r>
        <w:rPr>
          <w:rFonts w:ascii="Arial" w:hAnsi="Arial" w:cs="Arial"/>
          <w:sz w:val="18"/>
          <w:szCs w:val="18"/>
        </w:rPr>
        <w:t xml:space="preserve">el numeral </w:t>
      </w:r>
      <w:r w:rsidR="00B24EA5">
        <w:rPr>
          <w:rFonts w:ascii="Arial" w:hAnsi="Arial" w:cs="Arial"/>
          <w:sz w:val="18"/>
          <w:szCs w:val="18"/>
        </w:rPr>
        <w:t>9</w:t>
      </w:r>
      <w:r w:rsidR="00E15717">
        <w:rPr>
          <w:rFonts w:ascii="Arial" w:hAnsi="Arial" w:cs="Arial"/>
          <w:sz w:val="18"/>
          <w:szCs w:val="18"/>
        </w:rPr>
        <w:t>)</w:t>
      </w:r>
      <w:r w:rsidR="00B24EA5">
        <w:rPr>
          <w:rFonts w:ascii="Arial" w:hAnsi="Arial" w:cs="Arial"/>
          <w:sz w:val="18"/>
          <w:szCs w:val="18"/>
        </w:rPr>
        <w:t xml:space="preserve"> del artículo 2.1.1.3.2 del Decreto 2555 de 2010</w:t>
      </w:r>
      <w:r w:rsidR="00DD1B6D">
        <w:rPr>
          <w:rFonts w:ascii="Arial" w:hAnsi="Arial" w:cs="Arial"/>
          <w:sz w:val="18"/>
          <w:szCs w:val="18"/>
        </w:rPr>
        <w:t>.</w:t>
      </w:r>
    </w:p>
    <w:p w:rsidR="00995E42" w:rsidRPr="00995E42" w:rsidRDefault="00995E42" w:rsidP="00995E42">
      <w:pPr>
        <w:pStyle w:val="Prrafodelista"/>
        <w:ind w:left="360"/>
        <w:jc w:val="both"/>
        <w:outlineLvl w:val="0"/>
        <w:rPr>
          <w:rFonts w:ascii="Arial" w:hAnsi="Arial" w:cs="Arial"/>
          <w:sz w:val="8"/>
          <w:szCs w:val="18"/>
        </w:rPr>
      </w:pPr>
    </w:p>
    <w:p w:rsidR="005C3AE0" w:rsidRDefault="00487028" w:rsidP="00995E42">
      <w:pPr>
        <w:pStyle w:val="Prrafodelista"/>
        <w:ind w:left="360"/>
        <w:jc w:val="both"/>
        <w:outlineLvl w:val="0"/>
        <w:rPr>
          <w:rFonts w:ascii="Arial" w:hAnsi="Arial" w:cs="Arial"/>
          <w:sz w:val="18"/>
          <w:szCs w:val="18"/>
        </w:rPr>
      </w:pPr>
      <w:r>
        <w:rPr>
          <w:rFonts w:ascii="Arial" w:hAnsi="Arial" w:cs="Arial"/>
          <w:sz w:val="18"/>
          <w:szCs w:val="18"/>
        </w:rPr>
        <w:t>C</w:t>
      </w:r>
      <w:r w:rsidR="00AA6B7F">
        <w:rPr>
          <w:rFonts w:ascii="Arial" w:hAnsi="Arial" w:cs="Arial"/>
          <w:sz w:val="18"/>
          <w:szCs w:val="18"/>
        </w:rPr>
        <w:t xml:space="preserve">uando el deudor cuente con capacidad de pago proveniente de ingresos diferentes al del bien entregado en garantía, </w:t>
      </w:r>
      <w:r w:rsidR="007926C4">
        <w:rPr>
          <w:rFonts w:ascii="Arial" w:hAnsi="Arial" w:cs="Arial"/>
          <w:sz w:val="18"/>
          <w:szCs w:val="18"/>
        </w:rPr>
        <w:t xml:space="preserve">la entidad </w:t>
      </w:r>
      <w:r w:rsidR="00AA6B7F">
        <w:rPr>
          <w:rFonts w:ascii="Arial" w:hAnsi="Arial" w:cs="Arial"/>
          <w:sz w:val="18"/>
          <w:szCs w:val="18"/>
        </w:rPr>
        <w:t xml:space="preserve">podrá utilizar el porcentaje de ponderación </w:t>
      </w:r>
      <w:r w:rsidR="00B504DE">
        <w:rPr>
          <w:rFonts w:ascii="Arial" w:hAnsi="Arial" w:cs="Arial"/>
          <w:sz w:val="18"/>
          <w:szCs w:val="18"/>
        </w:rPr>
        <w:t xml:space="preserve">de la </w:t>
      </w:r>
      <w:r>
        <w:rPr>
          <w:rFonts w:ascii="Arial" w:hAnsi="Arial" w:cs="Arial"/>
          <w:sz w:val="18"/>
          <w:szCs w:val="18"/>
        </w:rPr>
        <w:t xml:space="preserve">contraparte </w:t>
      </w:r>
      <w:r w:rsidR="00AA6B7F">
        <w:rPr>
          <w:rFonts w:ascii="Arial" w:hAnsi="Arial" w:cs="Arial"/>
          <w:sz w:val="18"/>
          <w:szCs w:val="18"/>
        </w:rPr>
        <w:t>establecido en el numeral</w:t>
      </w:r>
      <w:r w:rsidR="003A67F8">
        <w:rPr>
          <w:rFonts w:ascii="Arial" w:hAnsi="Arial" w:cs="Arial"/>
          <w:sz w:val="18"/>
          <w:szCs w:val="18"/>
        </w:rPr>
        <w:t xml:space="preserve"> 8) del artículo 2.1.1.3.2 del D</w:t>
      </w:r>
      <w:r w:rsidR="00AA6B7F">
        <w:rPr>
          <w:rFonts w:ascii="Arial" w:hAnsi="Arial" w:cs="Arial"/>
          <w:sz w:val="18"/>
          <w:szCs w:val="18"/>
        </w:rPr>
        <w:t xml:space="preserve">ecreto 2555 de 2010 o </w:t>
      </w:r>
      <w:r>
        <w:rPr>
          <w:rFonts w:ascii="Arial" w:hAnsi="Arial" w:cs="Arial"/>
          <w:sz w:val="18"/>
          <w:szCs w:val="18"/>
        </w:rPr>
        <w:t xml:space="preserve">en </w:t>
      </w:r>
      <w:r w:rsidR="003A67F8">
        <w:rPr>
          <w:rFonts w:ascii="Arial" w:hAnsi="Arial" w:cs="Arial"/>
          <w:sz w:val="18"/>
          <w:szCs w:val="18"/>
        </w:rPr>
        <w:t>la Tabla 2 de LTV del numeral 9) de</w:t>
      </w:r>
      <w:r w:rsidR="00AA6B7F">
        <w:rPr>
          <w:rFonts w:ascii="Arial" w:hAnsi="Arial" w:cs="Arial"/>
          <w:sz w:val="18"/>
          <w:szCs w:val="18"/>
        </w:rPr>
        <w:t>l</w:t>
      </w:r>
      <w:r w:rsidR="003A67F8">
        <w:rPr>
          <w:rFonts w:ascii="Arial" w:hAnsi="Arial" w:cs="Arial"/>
          <w:sz w:val="18"/>
          <w:szCs w:val="18"/>
        </w:rPr>
        <w:t xml:space="preserve"> mencionado artículo.</w:t>
      </w:r>
    </w:p>
    <w:p w:rsidR="00995E42" w:rsidRDefault="00995E42" w:rsidP="00995E42">
      <w:pPr>
        <w:pStyle w:val="Prrafodelista"/>
        <w:ind w:left="360"/>
        <w:jc w:val="both"/>
        <w:outlineLvl w:val="0"/>
        <w:rPr>
          <w:rFonts w:ascii="Arial" w:hAnsi="Arial" w:cs="Arial"/>
          <w:sz w:val="18"/>
          <w:szCs w:val="18"/>
        </w:rPr>
      </w:pPr>
    </w:p>
    <w:p w:rsidR="00AC3091" w:rsidRDefault="00DD1B6D" w:rsidP="00B4263B">
      <w:pPr>
        <w:pStyle w:val="Prrafodelista"/>
        <w:numPr>
          <w:ilvl w:val="0"/>
          <w:numId w:val="19"/>
        </w:numPr>
        <w:jc w:val="both"/>
        <w:outlineLvl w:val="0"/>
        <w:rPr>
          <w:rFonts w:ascii="Arial" w:hAnsi="Arial" w:cs="Arial"/>
          <w:sz w:val="18"/>
          <w:szCs w:val="18"/>
        </w:rPr>
      </w:pPr>
      <w:r>
        <w:rPr>
          <w:rFonts w:ascii="Arial" w:hAnsi="Arial" w:cs="Arial"/>
          <w:sz w:val="18"/>
          <w:szCs w:val="18"/>
        </w:rPr>
        <w:t>Cuando cuente</w:t>
      </w:r>
      <w:r w:rsidR="00473418">
        <w:rPr>
          <w:rFonts w:ascii="Arial" w:hAnsi="Arial" w:cs="Arial"/>
          <w:sz w:val="18"/>
          <w:szCs w:val="18"/>
        </w:rPr>
        <w:t>n</w:t>
      </w:r>
      <w:r>
        <w:rPr>
          <w:rFonts w:ascii="Arial" w:hAnsi="Arial" w:cs="Arial"/>
          <w:sz w:val="18"/>
          <w:szCs w:val="18"/>
        </w:rPr>
        <w:t xml:space="preserve"> con </w:t>
      </w:r>
      <w:r w:rsidR="00B32B32">
        <w:rPr>
          <w:rFonts w:ascii="Arial" w:hAnsi="Arial" w:cs="Arial"/>
          <w:sz w:val="18"/>
          <w:szCs w:val="18"/>
        </w:rPr>
        <w:t>una ponderación específica conforme al tipo de operación</w:t>
      </w:r>
      <w:r w:rsidR="00507D2E">
        <w:rPr>
          <w:rFonts w:ascii="Arial" w:hAnsi="Arial" w:cs="Arial"/>
          <w:sz w:val="18"/>
          <w:szCs w:val="18"/>
        </w:rPr>
        <w:t xml:space="preserve"> (por ejemplo</w:t>
      </w:r>
      <w:r w:rsidR="00435327">
        <w:rPr>
          <w:rFonts w:ascii="Arial" w:hAnsi="Arial" w:cs="Arial"/>
          <w:sz w:val="18"/>
          <w:szCs w:val="18"/>
        </w:rPr>
        <w:t>:</w:t>
      </w:r>
      <w:r w:rsidR="00507D2E">
        <w:rPr>
          <w:rFonts w:ascii="Arial" w:hAnsi="Arial" w:cs="Arial"/>
          <w:sz w:val="18"/>
          <w:szCs w:val="18"/>
        </w:rPr>
        <w:t xml:space="preserve"> crédito constructor, financiación especializada de proyectos, </w:t>
      </w:r>
      <w:r w:rsidR="002D06A2">
        <w:rPr>
          <w:rFonts w:ascii="Arial" w:hAnsi="Arial" w:cs="Arial"/>
          <w:sz w:val="18"/>
          <w:szCs w:val="18"/>
        </w:rPr>
        <w:t xml:space="preserve">instrumentos financieros en </w:t>
      </w:r>
      <w:r w:rsidR="00507D2E">
        <w:rPr>
          <w:rFonts w:ascii="Arial" w:hAnsi="Arial" w:cs="Arial"/>
          <w:sz w:val="18"/>
          <w:szCs w:val="18"/>
        </w:rPr>
        <w:t>incumpli</w:t>
      </w:r>
      <w:r w:rsidR="002D06A2">
        <w:rPr>
          <w:rFonts w:ascii="Arial" w:hAnsi="Arial" w:cs="Arial"/>
          <w:sz w:val="18"/>
          <w:szCs w:val="18"/>
        </w:rPr>
        <w:t>miento</w:t>
      </w:r>
      <w:r w:rsidR="00507D2E">
        <w:rPr>
          <w:rFonts w:ascii="Arial" w:hAnsi="Arial" w:cs="Arial"/>
          <w:sz w:val="18"/>
          <w:szCs w:val="18"/>
        </w:rPr>
        <w:t>, e</w:t>
      </w:r>
      <w:r w:rsidR="00381ADC">
        <w:rPr>
          <w:rFonts w:ascii="Arial" w:hAnsi="Arial" w:cs="Arial"/>
          <w:sz w:val="18"/>
          <w:szCs w:val="18"/>
        </w:rPr>
        <w:t>ntre otros</w:t>
      </w:r>
      <w:r w:rsidR="00507D2E">
        <w:rPr>
          <w:rFonts w:ascii="Arial" w:hAnsi="Arial" w:cs="Arial"/>
          <w:sz w:val="18"/>
          <w:szCs w:val="18"/>
        </w:rPr>
        <w:t>)</w:t>
      </w:r>
      <w:r w:rsidR="003A67F8">
        <w:rPr>
          <w:rFonts w:ascii="Arial" w:hAnsi="Arial" w:cs="Arial"/>
          <w:sz w:val="18"/>
          <w:szCs w:val="18"/>
        </w:rPr>
        <w:t>,</w:t>
      </w:r>
      <w:r w:rsidR="00381ADC">
        <w:rPr>
          <w:rFonts w:ascii="Arial" w:hAnsi="Arial" w:cs="Arial"/>
          <w:sz w:val="18"/>
          <w:szCs w:val="18"/>
        </w:rPr>
        <w:t xml:space="preserve"> </w:t>
      </w:r>
      <w:r w:rsidR="004932A8">
        <w:rPr>
          <w:rFonts w:ascii="Arial" w:hAnsi="Arial" w:cs="Arial"/>
          <w:sz w:val="18"/>
          <w:szCs w:val="18"/>
        </w:rPr>
        <w:t>establecida en</w:t>
      </w:r>
      <w:r w:rsidR="00B32B32">
        <w:rPr>
          <w:rFonts w:ascii="Arial" w:hAnsi="Arial" w:cs="Arial"/>
          <w:sz w:val="18"/>
          <w:szCs w:val="18"/>
        </w:rPr>
        <w:t xml:space="preserve"> el presente Capítulo o en el </w:t>
      </w:r>
      <w:r w:rsidR="00B4263B" w:rsidRPr="00B4263B">
        <w:rPr>
          <w:rFonts w:ascii="Arial" w:hAnsi="Arial" w:cs="Arial"/>
          <w:sz w:val="18"/>
          <w:szCs w:val="18"/>
        </w:rPr>
        <w:t>Formato 239 (Proforma F.1000-141</w:t>
      </w:r>
      <w:r w:rsidR="003A67F8">
        <w:rPr>
          <w:rFonts w:ascii="Arial" w:hAnsi="Arial" w:cs="Arial"/>
          <w:sz w:val="18"/>
          <w:szCs w:val="18"/>
        </w:rPr>
        <w:t>)</w:t>
      </w:r>
      <w:r w:rsidR="00B4263B" w:rsidRPr="00B4263B">
        <w:rPr>
          <w:rFonts w:ascii="Arial" w:hAnsi="Arial" w:cs="Arial"/>
          <w:sz w:val="18"/>
          <w:szCs w:val="18"/>
        </w:rPr>
        <w:t xml:space="preserve"> “Reporte de Información de Margen de Solvencia y Otros Requerimientos de Patrimonio y Declaración del Control de Ley Margen de Solvencia”</w:t>
      </w:r>
      <w:r w:rsidR="00B4263B">
        <w:rPr>
          <w:rFonts w:ascii="Arial" w:hAnsi="Arial" w:cs="Arial"/>
          <w:sz w:val="18"/>
          <w:szCs w:val="18"/>
        </w:rPr>
        <w:t xml:space="preserve"> </w:t>
      </w:r>
      <w:r w:rsidR="007926C4">
        <w:rPr>
          <w:rFonts w:ascii="Arial" w:hAnsi="Arial" w:cs="Arial"/>
          <w:sz w:val="18"/>
          <w:szCs w:val="18"/>
        </w:rPr>
        <w:t xml:space="preserve">se </w:t>
      </w:r>
      <w:r w:rsidR="00B32B32">
        <w:rPr>
          <w:rFonts w:ascii="Arial" w:hAnsi="Arial" w:cs="Arial"/>
          <w:sz w:val="18"/>
          <w:szCs w:val="18"/>
        </w:rPr>
        <w:t xml:space="preserve">debe </w:t>
      </w:r>
      <w:r w:rsidR="00161367">
        <w:rPr>
          <w:rFonts w:ascii="Arial" w:hAnsi="Arial" w:cs="Arial"/>
          <w:sz w:val="18"/>
          <w:szCs w:val="18"/>
        </w:rPr>
        <w:t>aplicar dicha ponderación.</w:t>
      </w:r>
    </w:p>
    <w:p w:rsidR="0083788E" w:rsidRDefault="0083788E" w:rsidP="0083788E">
      <w:pPr>
        <w:jc w:val="both"/>
        <w:outlineLvl w:val="0"/>
        <w:rPr>
          <w:rFonts w:ascii="Arial" w:hAnsi="Arial" w:cs="Arial"/>
          <w:sz w:val="18"/>
          <w:szCs w:val="18"/>
        </w:rPr>
      </w:pPr>
    </w:p>
    <w:p w:rsidR="00F26DEB" w:rsidRPr="008D297D" w:rsidRDefault="00F26DEB" w:rsidP="00995E42">
      <w:pPr>
        <w:ind w:left="360"/>
        <w:jc w:val="both"/>
        <w:outlineLvl w:val="0"/>
        <w:rPr>
          <w:rFonts w:ascii="Arial" w:hAnsi="Arial" w:cs="Arial"/>
          <w:sz w:val="18"/>
          <w:szCs w:val="18"/>
        </w:rPr>
      </w:pPr>
      <w:r w:rsidRPr="008D297D">
        <w:rPr>
          <w:rFonts w:ascii="Arial" w:hAnsi="Arial" w:cs="Arial"/>
          <w:sz w:val="18"/>
          <w:szCs w:val="18"/>
        </w:rPr>
        <w:t xml:space="preserve">Para los efectos de este subnumeral se </w:t>
      </w:r>
      <w:r w:rsidR="00566D6D">
        <w:rPr>
          <w:rFonts w:ascii="Arial" w:hAnsi="Arial" w:cs="Arial"/>
          <w:sz w:val="18"/>
          <w:szCs w:val="18"/>
        </w:rPr>
        <w:t xml:space="preserve">debe </w:t>
      </w:r>
      <w:r w:rsidRPr="008D297D">
        <w:rPr>
          <w:rFonts w:ascii="Arial" w:hAnsi="Arial" w:cs="Arial"/>
          <w:sz w:val="18"/>
          <w:szCs w:val="18"/>
        </w:rPr>
        <w:t>entende</w:t>
      </w:r>
      <w:r w:rsidR="00566D6D">
        <w:rPr>
          <w:rFonts w:ascii="Arial" w:hAnsi="Arial" w:cs="Arial"/>
          <w:sz w:val="18"/>
          <w:szCs w:val="18"/>
        </w:rPr>
        <w:t>r como</w:t>
      </w:r>
      <w:r w:rsidR="00C71DBC">
        <w:rPr>
          <w:rFonts w:ascii="Arial" w:hAnsi="Arial" w:cs="Arial"/>
          <w:sz w:val="18"/>
          <w:szCs w:val="18"/>
        </w:rPr>
        <w:t xml:space="preserve"> </w:t>
      </w:r>
      <w:r w:rsidRPr="008D297D">
        <w:rPr>
          <w:rFonts w:ascii="Arial" w:hAnsi="Arial" w:cs="Arial"/>
          <w:sz w:val="18"/>
          <w:szCs w:val="18"/>
        </w:rPr>
        <w:t>activos en incumplimiento lo</w:t>
      </w:r>
      <w:r w:rsidR="00566D6D">
        <w:rPr>
          <w:rFonts w:ascii="Arial" w:hAnsi="Arial" w:cs="Arial"/>
          <w:sz w:val="18"/>
          <w:szCs w:val="18"/>
        </w:rPr>
        <w:t>s</w:t>
      </w:r>
      <w:r w:rsidRPr="008D297D">
        <w:rPr>
          <w:rFonts w:ascii="Arial" w:hAnsi="Arial" w:cs="Arial"/>
          <w:sz w:val="18"/>
          <w:szCs w:val="18"/>
        </w:rPr>
        <w:t xml:space="preserve"> siguiente</w:t>
      </w:r>
      <w:r w:rsidR="00566D6D">
        <w:rPr>
          <w:rFonts w:ascii="Arial" w:hAnsi="Arial" w:cs="Arial"/>
          <w:sz w:val="18"/>
          <w:szCs w:val="18"/>
        </w:rPr>
        <w:t>s</w:t>
      </w:r>
      <w:r w:rsidRPr="008D297D">
        <w:rPr>
          <w:rFonts w:ascii="Arial" w:hAnsi="Arial" w:cs="Arial"/>
          <w:sz w:val="18"/>
          <w:szCs w:val="18"/>
        </w:rPr>
        <w:t>:</w:t>
      </w:r>
    </w:p>
    <w:p w:rsidR="00F26DEB" w:rsidRPr="008D297D" w:rsidRDefault="00F26DEB" w:rsidP="00F26DEB">
      <w:pPr>
        <w:jc w:val="both"/>
        <w:rPr>
          <w:rFonts w:ascii="Arial" w:hAnsi="Arial" w:cs="Arial"/>
          <w:sz w:val="18"/>
          <w:szCs w:val="18"/>
        </w:rPr>
      </w:pPr>
    </w:p>
    <w:p w:rsidR="003A67F8" w:rsidRDefault="00995E42" w:rsidP="003A67F8">
      <w:pPr>
        <w:pStyle w:val="Prrafodelista"/>
        <w:tabs>
          <w:tab w:val="left" w:pos="1418"/>
          <w:tab w:val="left" w:pos="1701"/>
        </w:tabs>
        <w:ind w:left="360"/>
        <w:jc w:val="both"/>
        <w:rPr>
          <w:rFonts w:ascii="Arial" w:hAnsi="Arial" w:cs="Arial"/>
          <w:sz w:val="18"/>
          <w:szCs w:val="18"/>
        </w:rPr>
      </w:pPr>
      <w:r>
        <w:rPr>
          <w:rFonts w:ascii="Arial" w:hAnsi="Arial" w:cs="Arial"/>
          <w:sz w:val="18"/>
          <w:szCs w:val="18"/>
        </w:rPr>
        <w:t xml:space="preserve">i.) </w:t>
      </w:r>
      <w:r w:rsidR="00F26DEB" w:rsidRPr="00E15717">
        <w:rPr>
          <w:rFonts w:ascii="Arial" w:hAnsi="Arial" w:cs="Arial"/>
          <w:sz w:val="18"/>
          <w:szCs w:val="18"/>
        </w:rPr>
        <w:t xml:space="preserve">Para el cálculo de la relación de solvencia individual </w:t>
      </w:r>
      <w:r w:rsidR="00422C7E" w:rsidRPr="00E15717">
        <w:rPr>
          <w:rFonts w:ascii="Arial" w:hAnsi="Arial" w:cs="Arial"/>
          <w:sz w:val="18"/>
          <w:szCs w:val="18"/>
        </w:rPr>
        <w:t xml:space="preserve">el incumplimiento de la cartera comercial y de consumo </w:t>
      </w:r>
      <w:r w:rsidR="00F26DEB" w:rsidRPr="00E15717">
        <w:rPr>
          <w:rFonts w:ascii="Arial" w:hAnsi="Arial" w:cs="Arial"/>
          <w:sz w:val="18"/>
          <w:szCs w:val="18"/>
        </w:rPr>
        <w:t xml:space="preserve">se considera conforme a lo previsto en el literal b), subnumeral 1.3.3.1. </w:t>
      </w:r>
      <w:proofErr w:type="gramStart"/>
      <w:r w:rsidR="00F26DEB" w:rsidRPr="00E15717">
        <w:rPr>
          <w:rFonts w:ascii="Arial" w:hAnsi="Arial" w:cs="Arial"/>
          <w:sz w:val="18"/>
          <w:szCs w:val="18"/>
        </w:rPr>
        <w:t>del</w:t>
      </w:r>
      <w:proofErr w:type="gramEnd"/>
      <w:r w:rsidR="00F26DEB" w:rsidRPr="00E15717">
        <w:rPr>
          <w:rFonts w:ascii="Arial" w:hAnsi="Arial" w:cs="Arial"/>
          <w:sz w:val="18"/>
          <w:szCs w:val="18"/>
        </w:rPr>
        <w:t xml:space="preserve"> Capítulo II de la CBCF</w:t>
      </w:r>
      <w:r w:rsidR="00422C7E" w:rsidRPr="00E15717">
        <w:rPr>
          <w:rFonts w:ascii="Arial" w:hAnsi="Arial" w:cs="Arial"/>
          <w:sz w:val="18"/>
          <w:szCs w:val="18"/>
        </w:rPr>
        <w:t xml:space="preserve"> y para la cartera </w:t>
      </w:r>
      <w:r w:rsidR="00422C7E" w:rsidRPr="00E15717">
        <w:rPr>
          <w:rFonts w:ascii="Arial" w:hAnsi="Arial" w:cs="Arial"/>
          <w:sz w:val="18"/>
          <w:szCs w:val="18"/>
        </w:rPr>
        <w:lastRenderedPageBreak/>
        <w:t>de vivienda y de microcrédito se considera</w:t>
      </w:r>
      <w:r w:rsidR="008C203B">
        <w:rPr>
          <w:rFonts w:ascii="Arial" w:hAnsi="Arial" w:cs="Arial"/>
          <w:sz w:val="18"/>
          <w:szCs w:val="18"/>
        </w:rPr>
        <w:t>n</w:t>
      </w:r>
      <w:r w:rsidR="00422C7E" w:rsidRPr="00E15717">
        <w:rPr>
          <w:rFonts w:ascii="Arial" w:hAnsi="Arial" w:cs="Arial"/>
          <w:sz w:val="18"/>
          <w:szCs w:val="18"/>
        </w:rPr>
        <w:t xml:space="preserve"> </w:t>
      </w:r>
      <w:r w:rsidR="00381ADC">
        <w:rPr>
          <w:rFonts w:ascii="Arial" w:hAnsi="Arial" w:cs="Arial"/>
          <w:sz w:val="18"/>
          <w:szCs w:val="18"/>
        </w:rPr>
        <w:t>en incumplimiento</w:t>
      </w:r>
      <w:r w:rsidR="00B03DF9">
        <w:rPr>
          <w:rFonts w:ascii="Arial" w:hAnsi="Arial" w:cs="Arial"/>
          <w:sz w:val="18"/>
          <w:szCs w:val="18"/>
        </w:rPr>
        <w:t xml:space="preserve"> </w:t>
      </w:r>
      <w:r w:rsidR="00422C7E" w:rsidRPr="00E15717">
        <w:rPr>
          <w:rFonts w:ascii="Arial" w:hAnsi="Arial" w:cs="Arial"/>
          <w:sz w:val="18"/>
          <w:szCs w:val="18"/>
        </w:rPr>
        <w:t>los créditos calificados en las categorías “D y E”</w:t>
      </w:r>
      <w:r w:rsidR="003A67F8">
        <w:rPr>
          <w:rFonts w:ascii="Arial" w:hAnsi="Arial" w:cs="Arial"/>
          <w:sz w:val="18"/>
          <w:szCs w:val="18"/>
        </w:rPr>
        <w:t>. L</w:t>
      </w:r>
      <w:r w:rsidR="00344D76" w:rsidRPr="00E15717">
        <w:rPr>
          <w:rFonts w:ascii="Arial" w:hAnsi="Arial" w:cs="Arial"/>
          <w:sz w:val="18"/>
          <w:szCs w:val="18"/>
        </w:rPr>
        <w:t>os demás instrumentos financieros se considera</w:t>
      </w:r>
      <w:r w:rsidR="008C203B">
        <w:rPr>
          <w:rFonts w:ascii="Arial" w:hAnsi="Arial" w:cs="Arial"/>
          <w:sz w:val="18"/>
          <w:szCs w:val="18"/>
        </w:rPr>
        <w:t>n</w:t>
      </w:r>
      <w:r w:rsidR="00344D76" w:rsidRPr="00E15717">
        <w:rPr>
          <w:rFonts w:ascii="Arial" w:hAnsi="Arial" w:cs="Arial"/>
          <w:sz w:val="18"/>
          <w:szCs w:val="18"/>
        </w:rPr>
        <w:t xml:space="preserve"> </w:t>
      </w:r>
      <w:r w:rsidR="00381ADC">
        <w:rPr>
          <w:rFonts w:ascii="Arial" w:hAnsi="Arial" w:cs="Arial"/>
          <w:sz w:val="18"/>
          <w:szCs w:val="18"/>
        </w:rPr>
        <w:t>en incumplimiento</w:t>
      </w:r>
      <w:r w:rsidR="00B03DF9">
        <w:rPr>
          <w:rFonts w:ascii="Arial" w:hAnsi="Arial" w:cs="Arial"/>
          <w:sz w:val="18"/>
          <w:szCs w:val="18"/>
        </w:rPr>
        <w:t xml:space="preserve"> </w:t>
      </w:r>
      <w:r w:rsidR="00344D76" w:rsidRPr="00E15717">
        <w:rPr>
          <w:rFonts w:ascii="Arial" w:hAnsi="Arial" w:cs="Arial"/>
          <w:sz w:val="18"/>
          <w:szCs w:val="18"/>
        </w:rPr>
        <w:t>cuando presenten más de 90 días de mora o una calificación en dicha categoría de riesgo.</w:t>
      </w:r>
      <w:r w:rsidR="00DC0B46">
        <w:rPr>
          <w:rFonts w:ascii="Arial" w:hAnsi="Arial" w:cs="Arial"/>
          <w:sz w:val="18"/>
          <w:szCs w:val="18"/>
        </w:rPr>
        <w:t xml:space="preserve"> </w:t>
      </w:r>
    </w:p>
    <w:p w:rsidR="003A67F8" w:rsidRDefault="003A67F8" w:rsidP="003A67F8">
      <w:pPr>
        <w:pStyle w:val="Prrafodelista"/>
        <w:tabs>
          <w:tab w:val="left" w:pos="1418"/>
          <w:tab w:val="left" w:pos="1701"/>
        </w:tabs>
        <w:ind w:left="360"/>
        <w:jc w:val="both"/>
        <w:rPr>
          <w:rFonts w:ascii="Arial" w:hAnsi="Arial" w:cs="Arial"/>
          <w:sz w:val="18"/>
          <w:szCs w:val="18"/>
        </w:rPr>
      </w:pPr>
    </w:p>
    <w:p w:rsidR="00F26DEB" w:rsidRPr="003A67F8" w:rsidRDefault="00DC0B46" w:rsidP="003A67F8">
      <w:pPr>
        <w:pStyle w:val="Prrafodelista"/>
        <w:tabs>
          <w:tab w:val="left" w:pos="1418"/>
          <w:tab w:val="left" w:pos="1701"/>
        </w:tabs>
        <w:ind w:left="360"/>
        <w:jc w:val="both"/>
        <w:rPr>
          <w:rFonts w:ascii="Arial" w:hAnsi="Arial" w:cs="Arial"/>
          <w:sz w:val="18"/>
          <w:szCs w:val="18"/>
        </w:rPr>
      </w:pPr>
      <w:r w:rsidRPr="003A67F8">
        <w:rPr>
          <w:rFonts w:ascii="Arial" w:hAnsi="Arial" w:cs="Arial"/>
          <w:sz w:val="18"/>
          <w:szCs w:val="18"/>
        </w:rPr>
        <w:t>Estas instrucciones también resultan aplicables cuando la entidad cumpla con los requisitos del numeral 1) de la instrucción primera de la Circular Externa 037 de 2015.</w:t>
      </w:r>
    </w:p>
    <w:p w:rsidR="00995E42" w:rsidRDefault="00995E42" w:rsidP="00995E42">
      <w:pPr>
        <w:pStyle w:val="Prrafodelista"/>
        <w:tabs>
          <w:tab w:val="left" w:pos="1418"/>
          <w:tab w:val="left" w:pos="1701"/>
        </w:tabs>
        <w:ind w:left="360"/>
        <w:jc w:val="both"/>
        <w:rPr>
          <w:rFonts w:ascii="Arial" w:hAnsi="Arial" w:cs="Arial"/>
          <w:sz w:val="18"/>
          <w:szCs w:val="18"/>
        </w:rPr>
      </w:pPr>
    </w:p>
    <w:p w:rsidR="00F26DEB" w:rsidRPr="00995E42" w:rsidRDefault="00995E42" w:rsidP="00995E42">
      <w:pPr>
        <w:pStyle w:val="Prrafodelista"/>
        <w:tabs>
          <w:tab w:val="left" w:pos="1418"/>
          <w:tab w:val="left" w:pos="1701"/>
        </w:tabs>
        <w:ind w:left="360"/>
        <w:jc w:val="both"/>
        <w:rPr>
          <w:rFonts w:ascii="Arial" w:hAnsi="Arial" w:cs="Arial"/>
          <w:sz w:val="18"/>
          <w:szCs w:val="18"/>
        </w:rPr>
      </w:pPr>
      <w:r>
        <w:rPr>
          <w:rFonts w:ascii="Arial" w:hAnsi="Arial" w:cs="Arial"/>
          <w:sz w:val="18"/>
          <w:szCs w:val="18"/>
        </w:rPr>
        <w:t xml:space="preserve">ii.) </w:t>
      </w:r>
      <w:r w:rsidR="00F26DEB" w:rsidRPr="00995E42">
        <w:rPr>
          <w:rFonts w:ascii="Arial" w:hAnsi="Arial" w:cs="Arial"/>
          <w:sz w:val="18"/>
          <w:szCs w:val="18"/>
        </w:rPr>
        <w:t xml:space="preserve">Para el cálculo de la </w:t>
      </w:r>
      <w:r w:rsidR="002D06A2" w:rsidRPr="00995E42">
        <w:rPr>
          <w:rFonts w:ascii="Arial" w:hAnsi="Arial" w:cs="Arial"/>
          <w:sz w:val="18"/>
          <w:szCs w:val="18"/>
        </w:rPr>
        <w:t>r</w:t>
      </w:r>
      <w:r w:rsidR="00F26DEB" w:rsidRPr="00995E42">
        <w:rPr>
          <w:rFonts w:ascii="Arial" w:hAnsi="Arial" w:cs="Arial"/>
          <w:sz w:val="18"/>
          <w:szCs w:val="18"/>
        </w:rPr>
        <w:t xml:space="preserve">elación de </w:t>
      </w:r>
      <w:r w:rsidR="002D06A2" w:rsidRPr="00995E42">
        <w:rPr>
          <w:rFonts w:ascii="Arial" w:hAnsi="Arial" w:cs="Arial"/>
          <w:sz w:val="18"/>
          <w:szCs w:val="18"/>
        </w:rPr>
        <w:t>s</w:t>
      </w:r>
      <w:r w:rsidR="00F26DEB" w:rsidRPr="00995E42">
        <w:rPr>
          <w:rFonts w:ascii="Arial" w:hAnsi="Arial" w:cs="Arial"/>
          <w:sz w:val="18"/>
          <w:szCs w:val="18"/>
        </w:rPr>
        <w:t xml:space="preserve">olvencia </w:t>
      </w:r>
      <w:r w:rsidR="002D06A2" w:rsidRPr="00995E42">
        <w:rPr>
          <w:rFonts w:ascii="Arial" w:hAnsi="Arial" w:cs="Arial"/>
          <w:sz w:val="18"/>
          <w:szCs w:val="18"/>
        </w:rPr>
        <w:t>c</w:t>
      </w:r>
      <w:r w:rsidR="00F26DEB" w:rsidRPr="00995E42">
        <w:rPr>
          <w:rFonts w:ascii="Arial" w:hAnsi="Arial" w:cs="Arial"/>
          <w:sz w:val="18"/>
          <w:szCs w:val="18"/>
        </w:rPr>
        <w:t>onsolidad</w:t>
      </w:r>
      <w:r w:rsidR="007E508B" w:rsidRPr="00995E42">
        <w:rPr>
          <w:rFonts w:ascii="Arial" w:hAnsi="Arial" w:cs="Arial"/>
          <w:sz w:val="18"/>
          <w:szCs w:val="18"/>
        </w:rPr>
        <w:t>a</w:t>
      </w:r>
      <w:r w:rsidR="003A67F8">
        <w:rPr>
          <w:rFonts w:ascii="Arial" w:hAnsi="Arial" w:cs="Arial"/>
          <w:sz w:val="18"/>
          <w:szCs w:val="18"/>
        </w:rPr>
        <w:t>,</w:t>
      </w:r>
      <w:r w:rsidR="00F26DEB" w:rsidRPr="00995E42">
        <w:rPr>
          <w:rFonts w:ascii="Arial" w:hAnsi="Arial" w:cs="Arial"/>
          <w:sz w:val="18"/>
          <w:szCs w:val="18"/>
        </w:rPr>
        <w:t xml:space="preserve"> de conformidad </w:t>
      </w:r>
      <w:r w:rsidR="007E508B" w:rsidRPr="00995E42">
        <w:rPr>
          <w:rFonts w:ascii="Arial" w:hAnsi="Arial" w:cs="Arial"/>
          <w:sz w:val="18"/>
          <w:szCs w:val="18"/>
        </w:rPr>
        <w:t>con</w:t>
      </w:r>
      <w:r w:rsidR="00F26DEB" w:rsidRPr="00995E42">
        <w:rPr>
          <w:rFonts w:ascii="Arial" w:hAnsi="Arial" w:cs="Arial"/>
          <w:sz w:val="18"/>
          <w:szCs w:val="18"/>
        </w:rPr>
        <w:t xml:space="preserve"> los principios de regulación prudencial y los criterios de las Normas Internacionales de Información Financiera</w:t>
      </w:r>
      <w:r w:rsidR="003A67F8">
        <w:rPr>
          <w:rFonts w:ascii="Arial" w:hAnsi="Arial" w:cs="Arial"/>
          <w:sz w:val="18"/>
          <w:szCs w:val="18"/>
        </w:rPr>
        <w:t>,</w:t>
      </w:r>
      <w:r w:rsidR="00F26DEB" w:rsidRPr="00995E42">
        <w:rPr>
          <w:rFonts w:ascii="Arial" w:hAnsi="Arial" w:cs="Arial"/>
          <w:sz w:val="18"/>
          <w:szCs w:val="18"/>
        </w:rPr>
        <w:t xml:space="preserve"> se consider</w:t>
      </w:r>
      <w:r w:rsidR="00B03DF9" w:rsidRPr="00995E42">
        <w:rPr>
          <w:rFonts w:ascii="Arial" w:hAnsi="Arial" w:cs="Arial"/>
          <w:sz w:val="18"/>
          <w:szCs w:val="18"/>
        </w:rPr>
        <w:t>a</w:t>
      </w:r>
      <w:r w:rsidR="008C203B">
        <w:rPr>
          <w:rFonts w:ascii="Arial" w:hAnsi="Arial" w:cs="Arial"/>
          <w:sz w:val="18"/>
          <w:szCs w:val="18"/>
        </w:rPr>
        <w:t>n</w:t>
      </w:r>
      <w:r w:rsidR="00F26DEB" w:rsidRPr="00995E42">
        <w:rPr>
          <w:rFonts w:ascii="Arial" w:hAnsi="Arial" w:cs="Arial"/>
          <w:sz w:val="18"/>
          <w:szCs w:val="18"/>
        </w:rPr>
        <w:t xml:space="preserve"> en incumplimiento </w:t>
      </w:r>
      <w:r w:rsidR="00344D76" w:rsidRPr="00995E42">
        <w:rPr>
          <w:rFonts w:ascii="Arial" w:hAnsi="Arial" w:cs="Arial"/>
          <w:sz w:val="18"/>
          <w:szCs w:val="18"/>
        </w:rPr>
        <w:t>los instrumentos financieros</w:t>
      </w:r>
      <w:r w:rsidR="00F26DEB" w:rsidRPr="00995E42">
        <w:rPr>
          <w:rFonts w:ascii="Arial" w:hAnsi="Arial" w:cs="Arial"/>
          <w:sz w:val="18"/>
          <w:szCs w:val="18"/>
        </w:rPr>
        <w:t xml:space="preserve"> que presente</w:t>
      </w:r>
      <w:r w:rsidR="00344D76" w:rsidRPr="00995E42">
        <w:rPr>
          <w:rFonts w:ascii="Arial" w:hAnsi="Arial" w:cs="Arial"/>
          <w:sz w:val="18"/>
          <w:szCs w:val="18"/>
        </w:rPr>
        <w:t>n</w:t>
      </w:r>
      <w:r w:rsidR="00F26DEB" w:rsidRPr="00995E42">
        <w:rPr>
          <w:rFonts w:ascii="Arial" w:hAnsi="Arial" w:cs="Arial"/>
          <w:sz w:val="18"/>
          <w:szCs w:val="18"/>
        </w:rPr>
        <w:t xml:space="preserve"> más de 90 días de mora o una calificación de riesgo en dicha categoría.</w:t>
      </w:r>
    </w:p>
    <w:p w:rsidR="003D510B" w:rsidRDefault="003D510B" w:rsidP="00F26DEB">
      <w:pPr>
        <w:pStyle w:val="Prrafodelista"/>
        <w:ind w:left="426"/>
        <w:jc w:val="both"/>
        <w:rPr>
          <w:rFonts w:ascii="Arial" w:hAnsi="Arial" w:cs="Arial"/>
          <w:sz w:val="18"/>
          <w:szCs w:val="18"/>
        </w:rPr>
      </w:pPr>
    </w:p>
    <w:p w:rsidR="00AC3091" w:rsidRPr="000571A2" w:rsidRDefault="00AC3091" w:rsidP="00E343EE">
      <w:pPr>
        <w:pStyle w:val="Prrafodelista"/>
        <w:numPr>
          <w:ilvl w:val="2"/>
          <w:numId w:val="38"/>
        </w:numPr>
        <w:ind w:left="709" w:hanging="709"/>
        <w:jc w:val="both"/>
        <w:outlineLvl w:val="2"/>
        <w:rPr>
          <w:rFonts w:ascii="Arial" w:hAnsi="Arial" w:cs="Arial"/>
          <w:sz w:val="18"/>
          <w:szCs w:val="18"/>
        </w:rPr>
      </w:pPr>
      <w:r w:rsidRPr="000571A2">
        <w:rPr>
          <w:rFonts w:ascii="Arial" w:hAnsi="Arial" w:cs="Arial"/>
          <w:sz w:val="18"/>
          <w:szCs w:val="18"/>
        </w:rPr>
        <w:t xml:space="preserve">Clasificación de activos, exposiciones y contingencias </w:t>
      </w:r>
      <w:r w:rsidR="003C49C9" w:rsidRPr="000571A2">
        <w:rPr>
          <w:rFonts w:ascii="Arial" w:hAnsi="Arial" w:cs="Arial"/>
          <w:sz w:val="18"/>
          <w:szCs w:val="18"/>
        </w:rPr>
        <w:t xml:space="preserve">sujetos a riesgo de crédito </w:t>
      </w:r>
      <w:r w:rsidRPr="000571A2">
        <w:rPr>
          <w:rFonts w:ascii="Arial" w:hAnsi="Arial" w:cs="Arial"/>
          <w:sz w:val="18"/>
          <w:szCs w:val="18"/>
        </w:rPr>
        <w:t>frente a</w:t>
      </w:r>
      <w:r w:rsidR="003A67F8">
        <w:rPr>
          <w:rFonts w:ascii="Arial" w:hAnsi="Arial" w:cs="Arial"/>
          <w:sz w:val="18"/>
          <w:szCs w:val="18"/>
        </w:rPr>
        <w:t xml:space="preserve"> microempresa, </w:t>
      </w:r>
      <w:r w:rsidR="002167E4">
        <w:rPr>
          <w:rFonts w:ascii="Arial" w:hAnsi="Arial" w:cs="Arial"/>
          <w:sz w:val="18"/>
          <w:szCs w:val="18"/>
        </w:rPr>
        <w:t>pequeñas, medianas y</w:t>
      </w:r>
      <w:r w:rsidRPr="000571A2">
        <w:rPr>
          <w:rFonts w:ascii="Arial" w:hAnsi="Arial" w:cs="Arial"/>
          <w:sz w:val="18"/>
          <w:szCs w:val="18"/>
        </w:rPr>
        <w:t xml:space="preserve"> grandes empresas</w:t>
      </w:r>
    </w:p>
    <w:p w:rsidR="00AC3091" w:rsidRDefault="00AC3091" w:rsidP="00AC3091">
      <w:pPr>
        <w:jc w:val="both"/>
        <w:outlineLvl w:val="0"/>
        <w:rPr>
          <w:rFonts w:ascii="Arial" w:hAnsi="Arial" w:cs="Arial"/>
          <w:sz w:val="18"/>
          <w:szCs w:val="18"/>
        </w:rPr>
      </w:pPr>
    </w:p>
    <w:p w:rsidR="00D42423" w:rsidRDefault="00AC3091" w:rsidP="00605DE2">
      <w:pPr>
        <w:ind w:right="20"/>
        <w:jc w:val="both"/>
        <w:rPr>
          <w:rFonts w:ascii="Arial" w:hAnsi="Arial" w:cs="Arial"/>
          <w:sz w:val="18"/>
          <w:szCs w:val="18"/>
        </w:rPr>
      </w:pPr>
      <w:r>
        <w:rPr>
          <w:rFonts w:ascii="Arial" w:hAnsi="Arial" w:cs="Arial"/>
          <w:sz w:val="18"/>
          <w:szCs w:val="18"/>
        </w:rPr>
        <w:t xml:space="preserve">Para la clasificación y ponderación de los activos, exposiciones y contingencias emitidos y otorgados en Colombia </w:t>
      </w:r>
      <w:r w:rsidR="00DD07F9">
        <w:rPr>
          <w:rFonts w:ascii="Arial" w:hAnsi="Arial" w:cs="Arial"/>
          <w:sz w:val="18"/>
          <w:szCs w:val="18"/>
        </w:rPr>
        <w:t>a contraparte</w:t>
      </w:r>
      <w:r w:rsidR="00D42423">
        <w:rPr>
          <w:rFonts w:ascii="Arial" w:hAnsi="Arial" w:cs="Arial"/>
          <w:sz w:val="18"/>
          <w:szCs w:val="18"/>
        </w:rPr>
        <w:t>s que tengan la calidad de micro</w:t>
      </w:r>
      <w:r w:rsidR="00D41C7E">
        <w:rPr>
          <w:rFonts w:ascii="Arial" w:hAnsi="Arial" w:cs="Arial"/>
          <w:sz w:val="18"/>
          <w:szCs w:val="18"/>
        </w:rPr>
        <w:t>empresa</w:t>
      </w:r>
      <w:r w:rsidR="008C203B">
        <w:rPr>
          <w:rFonts w:ascii="Arial" w:hAnsi="Arial" w:cs="Arial"/>
          <w:sz w:val="18"/>
          <w:szCs w:val="18"/>
        </w:rPr>
        <w:t>s</w:t>
      </w:r>
      <w:r w:rsidR="00D42423">
        <w:rPr>
          <w:rFonts w:ascii="Arial" w:hAnsi="Arial" w:cs="Arial"/>
          <w:sz w:val="18"/>
          <w:szCs w:val="18"/>
        </w:rPr>
        <w:t>, pequeñas, medianas y grandes empresas</w:t>
      </w:r>
      <w:r w:rsidR="003A67F8">
        <w:rPr>
          <w:rFonts w:ascii="Arial" w:hAnsi="Arial" w:cs="Arial"/>
          <w:sz w:val="18"/>
          <w:szCs w:val="18"/>
        </w:rPr>
        <w:t>,</w:t>
      </w:r>
      <w:r w:rsidR="00DD07F9">
        <w:rPr>
          <w:rFonts w:ascii="Arial" w:hAnsi="Arial" w:cs="Arial"/>
          <w:sz w:val="18"/>
          <w:szCs w:val="18"/>
        </w:rPr>
        <w:t xml:space="preserve"> </w:t>
      </w:r>
      <w:r>
        <w:rPr>
          <w:rFonts w:ascii="Arial" w:hAnsi="Arial" w:cs="Arial"/>
          <w:sz w:val="18"/>
          <w:szCs w:val="18"/>
        </w:rPr>
        <w:t xml:space="preserve">se </w:t>
      </w:r>
      <w:r w:rsidR="002167E4">
        <w:rPr>
          <w:rFonts w:ascii="Arial" w:hAnsi="Arial" w:cs="Arial"/>
          <w:sz w:val="18"/>
          <w:szCs w:val="18"/>
        </w:rPr>
        <w:t>debe</w:t>
      </w:r>
      <w:r w:rsidR="008C203B">
        <w:rPr>
          <w:rFonts w:ascii="Arial" w:hAnsi="Arial" w:cs="Arial"/>
          <w:sz w:val="18"/>
          <w:szCs w:val="18"/>
        </w:rPr>
        <w:t>n</w:t>
      </w:r>
      <w:r w:rsidR="002167E4">
        <w:rPr>
          <w:rFonts w:ascii="Arial" w:hAnsi="Arial" w:cs="Arial"/>
          <w:sz w:val="18"/>
          <w:szCs w:val="18"/>
        </w:rPr>
        <w:t xml:space="preserve"> </w:t>
      </w:r>
      <w:r>
        <w:rPr>
          <w:rFonts w:ascii="Arial" w:hAnsi="Arial" w:cs="Arial"/>
          <w:sz w:val="18"/>
          <w:szCs w:val="18"/>
        </w:rPr>
        <w:t>utiliza</w:t>
      </w:r>
      <w:r w:rsidR="002167E4">
        <w:rPr>
          <w:rFonts w:ascii="Arial" w:hAnsi="Arial" w:cs="Arial"/>
          <w:sz w:val="18"/>
          <w:szCs w:val="18"/>
        </w:rPr>
        <w:t>r</w:t>
      </w:r>
      <w:r>
        <w:rPr>
          <w:rFonts w:ascii="Arial" w:hAnsi="Arial" w:cs="Arial"/>
          <w:sz w:val="18"/>
          <w:szCs w:val="18"/>
        </w:rPr>
        <w:t xml:space="preserve"> las definiciones </w:t>
      </w:r>
      <w:r w:rsidR="00D42423">
        <w:rPr>
          <w:rFonts w:ascii="Arial" w:hAnsi="Arial" w:cs="Arial"/>
          <w:sz w:val="18"/>
          <w:szCs w:val="18"/>
        </w:rPr>
        <w:t>contempla</w:t>
      </w:r>
      <w:r w:rsidR="00342DA7">
        <w:rPr>
          <w:rFonts w:ascii="Arial" w:hAnsi="Arial" w:cs="Arial"/>
          <w:sz w:val="18"/>
          <w:szCs w:val="18"/>
        </w:rPr>
        <w:t xml:space="preserve">das </w:t>
      </w:r>
      <w:r w:rsidR="00680A04" w:rsidRPr="00A03405">
        <w:rPr>
          <w:rFonts w:ascii="Arial" w:hAnsi="Arial" w:cs="Arial"/>
          <w:sz w:val="18"/>
          <w:szCs w:val="18"/>
        </w:rPr>
        <w:t xml:space="preserve">en </w:t>
      </w:r>
      <w:r w:rsidRPr="00A03405">
        <w:rPr>
          <w:rFonts w:ascii="Arial" w:hAnsi="Arial" w:cs="Arial"/>
          <w:sz w:val="18"/>
          <w:szCs w:val="18"/>
        </w:rPr>
        <w:t>la Ley 590 de 2000</w:t>
      </w:r>
      <w:r w:rsidR="007F66E7">
        <w:rPr>
          <w:rFonts w:ascii="Arial" w:hAnsi="Arial" w:cs="Arial"/>
          <w:sz w:val="18"/>
          <w:szCs w:val="18"/>
        </w:rPr>
        <w:t xml:space="preserve">, en </w:t>
      </w:r>
      <w:r w:rsidR="00403F75" w:rsidRPr="00A03405">
        <w:rPr>
          <w:rFonts w:ascii="Arial" w:hAnsi="Arial" w:cs="Arial"/>
          <w:sz w:val="18"/>
          <w:szCs w:val="18"/>
        </w:rPr>
        <w:t>el Decreto 957 de 2019</w:t>
      </w:r>
      <w:r w:rsidR="00403F75">
        <w:rPr>
          <w:rFonts w:ascii="Arial" w:hAnsi="Arial" w:cs="Arial"/>
          <w:sz w:val="18"/>
          <w:szCs w:val="18"/>
        </w:rPr>
        <w:t xml:space="preserve"> y </w:t>
      </w:r>
      <w:r w:rsidR="007F66E7">
        <w:rPr>
          <w:rFonts w:ascii="Arial" w:hAnsi="Arial" w:cs="Arial"/>
          <w:sz w:val="18"/>
          <w:szCs w:val="18"/>
        </w:rPr>
        <w:t xml:space="preserve">en </w:t>
      </w:r>
      <w:r w:rsidR="00403F75">
        <w:rPr>
          <w:rFonts w:ascii="Arial" w:hAnsi="Arial" w:cs="Arial"/>
          <w:sz w:val="18"/>
          <w:szCs w:val="18"/>
        </w:rPr>
        <w:t>la</w:t>
      </w:r>
      <w:r w:rsidR="00B95DA8" w:rsidRPr="004C60E9">
        <w:rPr>
          <w:rFonts w:ascii="Arial" w:hAnsi="Arial" w:cs="Arial"/>
          <w:sz w:val="18"/>
          <w:szCs w:val="18"/>
        </w:rPr>
        <w:t xml:space="preserve">s </w:t>
      </w:r>
      <w:r w:rsidR="00403F75">
        <w:rPr>
          <w:rFonts w:ascii="Arial" w:hAnsi="Arial" w:cs="Arial"/>
          <w:sz w:val="18"/>
          <w:szCs w:val="18"/>
        </w:rPr>
        <w:t>demás normas que lo</w:t>
      </w:r>
      <w:r w:rsidR="003F288D">
        <w:rPr>
          <w:rFonts w:ascii="Arial" w:hAnsi="Arial" w:cs="Arial"/>
          <w:sz w:val="18"/>
          <w:szCs w:val="18"/>
        </w:rPr>
        <w:t>s</w:t>
      </w:r>
      <w:r w:rsidR="00B95DA8" w:rsidRPr="004C60E9">
        <w:rPr>
          <w:rFonts w:ascii="Arial" w:hAnsi="Arial" w:cs="Arial"/>
          <w:sz w:val="18"/>
          <w:szCs w:val="18"/>
        </w:rPr>
        <w:t xml:space="preserve"> reglamenten, modifiquen, sustituyan o adicionen</w:t>
      </w:r>
      <w:r w:rsidR="00605DE2">
        <w:rPr>
          <w:rFonts w:ascii="Arial" w:hAnsi="Arial" w:cs="Arial"/>
          <w:sz w:val="18"/>
          <w:szCs w:val="18"/>
        </w:rPr>
        <w:t>.</w:t>
      </w:r>
    </w:p>
    <w:p w:rsidR="00605DE2" w:rsidRDefault="00605DE2" w:rsidP="00605DE2">
      <w:pPr>
        <w:ind w:right="20"/>
        <w:jc w:val="both"/>
        <w:rPr>
          <w:rFonts w:ascii="Arial" w:hAnsi="Arial" w:cs="Arial"/>
          <w:sz w:val="18"/>
          <w:szCs w:val="18"/>
        </w:rPr>
      </w:pPr>
    </w:p>
    <w:p w:rsidR="00403F75" w:rsidRDefault="00D42423" w:rsidP="00AC3091">
      <w:pPr>
        <w:jc w:val="both"/>
        <w:outlineLvl w:val="0"/>
        <w:rPr>
          <w:rFonts w:ascii="Arial" w:hAnsi="Arial" w:cs="Arial"/>
          <w:sz w:val="18"/>
          <w:szCs w:val="18"/>
        </w:rPr>
      </w:pPr>
      <w:r w:rsidRPr="004E7269">
        <w:rPr>
          <w:rFonts w:ascii="Arial" w:hAnsi="Arial" w:cs="Arial"/>
          <w:sz w:val="18"/>
          <w:szCs w:val="18"/>
        </w:rPr>
        <w:t>Tratándose de</w:t>
      </w:r>
      <w:r w:rsidR="00923699" w:rsidRPr="004E7269">
        <w:rPr>
          <w:rFonts w:ascii="Arial" w:hAnsi="Arial" w:cs="Arial"/>
          <w:sz w:val="18"/>
          <w:szCs w:val="18"/>
        </w:rPr>
        <w:t xml:space="preserve"> </w:t>
      </w:r>
      <w:r w:rsidR="00AC3091" w:rsidRPr="004E7269">
        <w:rPr>
          <w:rFonts w:ascii="Arial" w:hAnsi="Arial" w:cs="Arial"/>
          <w:sz w:val="18"/>
          <w:szCs w:val="18"/>
        </w:rPr>
        <w:t>la clasificación y ponderación de los activos</w:t>
      </w:r>
      <w:r w:rsidR="00403F75">
        <w:rPr>
          <w:rFonts w:ascii="Arial" w:hAnsi="Arial" w:cs="Arial"/>
          <w:sz w:val="18"/>
          <w:szCs w:val="18"/>
        </w:rPr>
        <w:t>,</w:t>
      </w:r>
      <w:r w:rsidR="00AC3091" w:rsidRPr="004E7269">
        <w:rPr>
          <w:rFonts w:ascii="Arial" w:hAnsi="Arial" w:cs="Arial"/>
          <w:sz w:val="18"/>
          <w:szCs w:val="18"/>
        </w:rPr>
        <w:t xml:space="preserve"> </w:t>
      </w:r>
      <w:r w:rsidRPr="004E7269">
        <w:rPr>
          <w:rFonts w:ascii="Arial" w:hAnsi="Arial" w:cs="Arial"/>
          <w:sz w:val="18"/>
          <w:szCs w:val="18"/>
        </w:rPr>
        <w:t>exposiciones y contingencias emitidos y otorgados</w:t>
      </w:r>
      <w:r w:rsidR="00923699" w:rsidRPr="004E7269">
        <w:rPr>
          <w:rFonts w:ascii="Arial" w:hAnsi="Arial" w:cs="Arial"/>
          <w:sz w:val="18"/>
          <w:szCs w:val="18"/>
        </w:rPr>
        <w:t xml:space="preserve"> en el exterior</w:t>
      </w:r>
      <w:r w:rsidR="001A3620">
        <w:rPr>
          <w:rFonts w:ascii="Arial" w:hAnsi="Arial" w:cs="Arial"/>
          <w:sz w:val="18"/>
          <w:szCs w:val="18"/>
        </w:rPr>
        <w:t xml:space="preserve"> y por las subordinadas del exterior</w:t>
      </w:r>
      <w:r w:rsidRPr="004E7269">
        <w:rPr>
          <w:rFonts w:ascii="Arial" w:hAnsi="Arial" w:cs="Arial"/>
          <w:sz w:val="18"/>
          <w:szCs w:val="18"/>
        </w:rPr>
        <w:t>,</w:t>
      </w:r>
      <w:r w:rsidR="00AC3091" w:rsidRPr="004E7269">
        <w:rPr>
          <w:rFonts w:ascii="Arial" w:hAnsi="Arial" w:cs="Arial"/>
          <w:sz w:val="18"/>
          <w:szCs w:val="18"/>
        </w:rPr>
        <w:t xml:space="preserve"> </w:t>
      </w:r>
      <w:r w:rsidR="00663FF8" w:rsidRPr="004E7269">
        <w:rPr>
          <w:rFonts w:ascii="Arial" w:hAnsi="Arial" w:cs="Arial"/>
          <w:sz w:val="18"/>
          <w:szCs w:val="18"/>
        </w:rPr>
        <w:t xml:space="preserve">se </w:t>
      </w:r>
      <w:r w:rsidR="00AC3091" w:rsidRPr="004E7269">
        <w:rPr>
          <w:rFonts w:ascii="Arial" w:hAnsi="Arial" w:cs="Arial"/>
          <w:sz w:val="18"/>
          <w:szCs w:val="18"/>
        </w:rPr>
        <w:t>podr</w:t>
      </w:r>
      <w:r w:rsidR="00DD07F9" w:rsidRPr="004E7269">
        <w:rPr>
          <w:rFonts w:ascii="Arial" w:hAnsi="Arial" w:cs="Arial"/>
          <w:sz w:val="18"/>
          <w:szCs w:val="18"/>
        </w:rPr>
        <w:t xml:space="preserve">á utilizar la clasificación </w:t>
      </w:r>
      <w:r w:rsidR="00663FF8" w:rsidRPr="004E7269">
        <w:rPr>
          <w:rFonts w:ascii="Arial" w:hAnsi="Arial" w:cs="Arial"/>
          <w:sz w:val="18"/>
          <w:szCs w:val="18"/>
        </w:rPr>
        <w:t xml:space="preserve">y </w:t>
      </w:r>
      <w:r w:rsidR="00E32A6C" w:rsidRPr="004E7269">
        <w:rPr>
          <w:rFonts w:ascii="Arial" w:hAnsi="Arial" w:cs="Arial"/>
          <w:sz w:val="18"/>
          <w:szCs w:val="18"/>
        </w:rPr>
        <w:t xml:space="preserve">la </w:t>
      </w:r>
      <w:r w:rsidR="00663FF8" w:rsidRPr="004E7269">
        <w:rPr>
          <w:rFonts w:ascii="Arial" w:hAnsi="Arial" w:cs="Arial"/>
          <w:sz w:val="18"/>
          <w:szCs w:val="18"/>
        </w:rPr>
        <w:t xml:space="preserve">correspondiente ponderación </w:t>
      </w:r>
      <w:r w:rsidR="00AC3091" w:rsidRPr="004E7269">
        <w:rPr>
          <w:rFonts w:ascii="Arial" w:hAnsi="Arial" w:cs="Arial"/>
          <w:sz w:val="18"/>
          <w:szCs w:val="18"/>
        </w:rPr>
        <w:t>por riesgo crediticio</w:t>
      </w:r>
      <w:r w:rsidR="00E32A6C" w:rsidRPr="004E7269">
        <w:rPr>
          <w:rFonts w:ascii="Arial" w:hAnsi="Arial" w:cs="Arial"/>
          <w:sz w:val="18"/>
          <w:szCs w:val="18"/>
        </w:rPr>
        <w:t xml:space="preserve"> según las instrucciones del </w:t>
      </w:r>
      <w:r w:rsidR="00B4263B" w:rsidRPr="00B4263B">
        <w:rPr>
          <w:rFonts w:ascii="Arial" w:hAnsi="Arial" w:cs="Arial"/>
          <w:sz w:val="18"/>
          <w:szCs w:val="18"/>
        </w:rPr>
        <w:t>Formato 239 (Proforma F.1000-141</w:t>
      </w:r>
      <w:r w:rsidR="003A67F8">
        <w:rPr>
          <w:rFonts w:ascii="Arial" w:hAnsi="Arial" w:cs="Arial"/>
          <w:sz w:val="18"/>
          <w:szCs w:val="18"/>
        </w:rPr>
        <w:t>)</w:t>
      </w:r>
      <w:r w:rsidR="00B4263B" w:rsidRPr="00B4263B">
        <w:rPr>
          <w:rFonts w:ascii="Arial" w:hAnsi="Arial" w:cs="Arial"/>
          <w:sz w:val="18"/>
          <w:szCs w:val="18"/>
        </w:rPr>
        <w:t xml:space="preserve"> “Reporte de Información de Margen de Solvencia y Otros Requerimientos de Patrimonio y Declaración del Control de Ley Margen de Solvencia”</w:t>
      </w:r>
      <w:r w:rsidR="00AC3091" w:rsidRPr="004E7269">
        <w:rPr>
          <w:rFonts w:ascii="Arial" w:hAnsi="Arial" w:cs="Arial"/>
          <w:sz w:val="18"/>
          <w:szCs w:val="18"/>
        </w:rPr>
        <w:t xml:space="preserve"> </w:t>
      </w:r>
      <w:r w:rsidR="00663FF8" w:rsidRPr="004E7269">
        <w:rPr>
          <w:rFonts w:ascii="Arial" w:hAnsi="Arial" w:cs="Arial"/>
          <w:sz w:val="18"/>
          <w:szCs w:val="18"/>
        </w:rPr>
        <w:t xml:space="preserve">siempre que </w:t>
      </w:r>
      <w:r w:rsidRPr="004E7269">
        <w:rPr>
          <w:rFonts w:ascii="Arial" w:hAnsi="Arial" w:cs="Arial"/>
          <w:sz w:val="18"/>
          <w:szCs w:val="18"/>
        </w:rPr>
        <w:t>en la</w:t>
      </w:r>
      <w:r w:rsidR="00995E42">
        <w:rPr>
          <w:rFonts w:ascii="Arial" w:hAnsi="Arial" w:cs="Arial"/>
          <w:sz w:val="18"/>
          <w:szCs w:val="18"/>
        </w:rPr>
        <w:t xml:space="preserve"> jurisdicción donde se encuentre</w:t>
      </w:r>
      <w:r w:rsidRPr="004E7269">
        <w:rPr>
          <w:rFonts w:ascii="Arial" w:hAnsi="Arial" w:cs="Arial"/>
          <w:sz w:val="18"/>
          <w:szCs w:val="18"/>
        </w:rPr>
        <w:t xml:space="preserve"> ubicada la </w:t>
      </w:r>
      <w:r w:rsidR="00923699" w:rsidRPr="004E7269">
        <w:rPr>
          <w:rFonts w:ascii="Arial" w:hAnsi="Arial" w:cs="Arial"/>
          <w:sz w:val="18"/>
          <w:szCs w:val="18"/>
        </w:rPr>
        <w:t>contraparte</w:t>
      </w:r>
      <w:r w:rsidRPr="004E7269">
        <w:rPr>
          <w:rFonts w:ascii="Arial" w:hAnsi="Arial" w:cs="Arial"/>
          <w:sz w:val="18"/>
          <w:szCs w:val="18"/>
        </w:rPr>
        <w:t xml:space="preserve"> </w:t>
      </w:r>
      <w:r w:rsidR="00DD07F9" w:rsidRPr="004E7269">
        <w:rPr>
          <w:rFonts w:ascii="Arial" w:hAnsi="Arial" w:cs="Arial"/>
          <w:sz w:val="18"/>
          <w:szCs w:val="18"/>
        </w:rPr>
        <w:t xml:space="preserve">exista una definición legal </w:t>
      </w:r>
      <w:r w:rsidRPr="004E7269">
        <w:rPr>
          <w:rFonts w:ascii="Arial" w:hAnsi="Arial" w:cs="Arial"/>
          <w:sz w:val="18"/>
          <w:szCs w:val="18"/>
        </w:rPr>
        <w:t>de micro, pequeña, mediana y</w:t>
      </w:r>
      <w:r w:rsidR="003A67F8">
        <w:rPr>
          <w:rFonts w:ascii="Arial" w:hAnsi="Arial" w:cs="Arial"/>
          <w:sz w:val="18"/>
          <w:szCs w:val="18"/>
        </w:rPr>
        <w:t>/o</w:t>
      </w:r>
      <w:r w:rsidRPr="004E7269">
        <w:rPr>
          <w:rFonts w:ascii="Arial" w:hAnsi="Arial" w:cs="Arial"/>
          <w:sz w:val="18"/>
          <w:szCs w:val="18"/>
        </w:rPr>
        <w:t xml:space="preserve"> gran empresa. </w:t>
      </w:r>
    </w:p>
    <w:p w:rsidR="00403F75" w:rsidRDefault="00403F75" w:rsidP="00AC3091">
      <w:pPr>
        <w:jc w:val="both"/>
        <w:outlineLvl w:val="0"/>
        <w:rPr>
          <w:rFonts w:ascii="Arial" w:hAnsi="Arial" w:cs="Arial"/>
          <w:sz w:val="18"/>
          <w:szCs w:val="18"/>
        </w:rPr>
      </w:pPr>
    </w:p>
    <w:p w:rsidR="00403F75" w:rsidRDefault="00403F75" w:rsidP="00403F75">
      <w:pPr>
        <w:ind w:right="20"/>
        <w:jc w:val="both"/>
        <w:rPr>
          <w:rFonts w:ascii="Arial" w:hAnsi="Arial" w:cs="Arial"/>
          <w:sz w:val="18"/>
          <w:szCs w:val="18"/>
        </w:rPr>
      </w:pPr>
      <w:r>
        <w:rPr>
          <w:rFonts w:ascii="Arial" w:hAnsi="Arial" w:cs="Arial"/>
          <w:sz w:val="18"/>
          <w:szCs w:val="18"/>
        </w:rPr>
        <w:t xml:space="preserve">Cuando en la </w:t>
      </w:r>
      <w:r w:rsidR="00680A04">
        <w:rPr>
          <w:rFonts w:ascii="Arial" w:hAnsi="Arial" w:cs="Arial"/>
          <w:sz w:val="18"/>
          <w:szCs w:val="18"/>
        </w:rPr>
        <w:t xml:space="preserve">respectiva </w:t>
      </w:r>
      <w:r>
        <w:rPr>
          <w:rFonts w:ascii="Arial" w:hAnsi="Arial" w:cs="Arial"/>
          <w:sz w:val="18"/>
          <w:szCs w:val="18"/>
        </w:rPr>
        <w:t xml:space="preserve">jurisdicción </w:t>
      </w:r>
      <w:r w:rsidR="00995E42">
        <w:rPr>
          <w:rFonts w:ascii="Arial" w:hAnsi="Arial" w:cs="Arial"/>
          <w:sz w:val="18"/>
          <w:szCs w:val="18"/>
        </w:rPr>
        <w:t>no exista</w:t>
      </w:r>
      <w:r>
        <w:rPr>
          <w:rFonts w:ascii="Arial" w:hAnsi="Arial" w:cs="Arial"/>
          <w:sz w:val="18"/>
          <w:szCs w:val="18"/>
        </w:rPr>
        <w:t xml:space="preserve"> una definición legal </w:t>
      </w:r>
      <w:r w:rsidR="00995E42">
        <w:rPr>
          <w:rFonts w:ascii="Arial" w:hAnsi="Arial" w:cs="Arial"/>
          <w:sz w:val="18"/>
          <w:szCs w:val="18"/>
        </w:rPr>
        <w:t>de microempresa, pequeñas, medianas y</w:t>
      </w:r>
      <w:r w:rsidR="003A67F8">
        <w:rPr>
          <w:rFonts w:ascii="Arial" w:hAnsi="Arial" w:cs="Arial"/>
          <w:sz w:val="18"/>
          <w:szCs w:val="18"/>
        </w:rPr>
        <w:t>/o</w:t>
      </w:r>
      <w:r w:rsidR="00995E42">
        <w:rPr>
          <w:rFonts w:ascii="Arial" w:hAnsi="Arial" w:cs="Arial"/>
          <w:sz w:val="18"/>
          <w:szCs w:val="18"/>
        </w:rPr>
        <w:t xml:space="preserve"> grandes empresas, </w:t>
      </w:r>
      <w:r w:rsidR="00B36571">
        <w:rPr>
          <w:rFonts w:ascii="Arial" w:hAnsi="Arial" w:cs="Arial"/>
          <w:sz w:val="18"/>
          <w:szCs w:val="18"/>
        </w:rPr>
        <w:t xml:space="preserve">se </w:t>
      </w:r>
      <w:r>
        <w:rPr>
          <w:rFonts w:ascii="Arial" w:hAnsi="Arial" w:cs="Arial"/>
          <w:sz w:val="18"/>
          <w:szCs w:val="18"/>
        </w:rPr>
        <w:t xml:space="preserve">podrá realizar la segmentación </w:t>
      </w:r>
      <w:r w:rsidR="00995E42">
        <w:rPr>
          <w:rFonts w:ascii="Arial" w:hAnsi="Arial" w:cs="Arial"/>
          <w:sz w:val="18"/>
          <w:szCs w:val="18"/>
        </w:rPr>
        <w:t xml:space="preserve">de empresas </w:t>
      </w:r>
      <w:r>
        <w:rPr>
          <w:rFonts w:ascii="Arial" w:hAnsi="Arial" w:cs="Arial"/>
          <w:sz w:val="18"/>
          <w:szCs w:val="18"/>
        </w:rPr>
        <w:t xml:space="preserve">utilizando las definiciones </w:t>
      </w:r>
      <w:r w:rsidR="00995E42">
        <w:rPr>
          <w:rFonts w:ascii="Arial" w:hAnsi="Arial" w:cs="Arial"/>
          <w:sz w:val="18"/>
          <w:szCs w:val="18"/>
        </w:rPr>
        <w:t xml:space="preserve">colombianas </w:t>
      </w:r>
      <w:r>
        <w:rPr>
          <w:rFonts w:ascii="Arial" w:hAnsi="Arial" w:cs="Arial"/>
          <w:sz w:val="18"/>
          <w:szCs w:val="18"/>
        </w:rPr>
        <w:t xml:space="preserve">contempladas </w:t>
      </w:r>
      <w:r w:rsidRPr="00A03405">
        <w:rPr>
          <w:rFonts w:ascii="Arial" w:hAnsi="Arial" w:cs="Arial"/>
          <w:sz w:val="18"/>
          <w:szCs w:val="18"/>
        </w:rPr>
        <w:t xml:space="preserve">en la Ley 590 de 2000 </w:t>
      </w:r>
      <w:r w:rsidR="00680A04" w:rsidRPr="002A1090">
        <w:rPr>
          <w:rFonts w:ascii="Arial" w:hAnsi="Arial" w:cs="Arial"/>
          <w:sz w:val="18"/>
          <w:szCs w:val="18"/>
        </w:rPr>
        <w:t xml:space="preserve">y </w:t>
      </w:r>
      <w:r w:rsidR="00B36571">
        <w:rPr>
          <w:rFonts w:ascii="Arial" w:hAnsi="Arial" w:cs="Arial"/>
          <w:sz w:val="18"/>
          <w:szCs w:val="18"/>
        </w:rPr>
        <w:t xml:space="preserve">en </w:t>
      </w:r>
      <w:r w:rsidR="00680A04" w:rsidRPr="002A1090">
        <w:rPr>
          <w:rFonts w:ascii="Arial" w:hAnsi="Arial" w:cs="Arial"/>
          <w:sz w:val="18"/>
          <w:szCs w:val="18"/>
        </w:rPr>
        <w:t>el Decreto 957 de 2019</w:t>
      </w:r>
      <w:r w:rsidR="00680A04">
        <w:rPr>
          <w:rFonts w:ascii="Arial" w:hAnsi="Arial" w:cs="Arial"/>
          <w:sz w:val="18"/>
          <w:szCs w:val="18"/>
        </w:rPr>
        <w:t xml:space="preserve"> y la</w:t>
      </w:r>
      <w:r w:rsidR="00680A04" w:rsidRPr="004C60E9">
        <w:rPr>
          <w:rFonts w:ascii="Arial" w:hAnsi="Arial" w:cs="Arial"/>
          <w:sz w:val="18"/>
          <w:szCs w:val="18"/>
        </w:rPr>
        <w:t xml:space="preserve">s </w:t>
      </w:r>
      <w:r w:rsidR="00680A04">
        <w:rPr>
          <w:rFonts w:ascii="Arial" w:hAnsi="Arial" w:cs="Arial"/>
          <w:sz w:val="18"/>
          <w:szCs w:val="18"/>
        </w:rPr>
        <w:t>normas que los</w:t>
      </w:r>
      <w:r w:rsidRPr="004C60E9">
        <w:rPr>
          <w:rFonts w:ascii="Arial" w:hAnsi="Arial" w:cs="Arial"/>
          <w:sz w:val="18"/>
          <w:szCs w:val="18"/>
        </w:rPr>
        <w:t xml:space="preserve"> modifiquen, sustituyan o adicionen</w:t>
      </w:r>
      <w:r>
        <w:rPr>
          <w:rFonts w:ascii="Arial" w:hAnsi="Arial" w:cs="Arial"/>
          <w:sz w:val="18"/>
          <w:szCs w:val="18"/>
        </w:rPr>
        <w:t>.</w:t>
      </w:r>
    </w:p>
    <w:p w:rsidR="00403F75" w:rsidRDefault="00403F75" w:rsidP="00AC3091">
      <w:pPr>
        <w:jc w:val="both"/>
        <w:outlineLvl w:val="0"/>
        <w:rPr>
          <w:rFonts w:ascii="Arial" w:hAnsi="Arial" w:cs="Arial"/>
          <w:sz w:val="18"/>
          <w:szCs w:val="18"/>
        </w:rPr>
      </w:pPr>
    </w:p>
    <w:p w:rsidR="003D510B" w:rsidRPr="00663FF8" w:rsidRDefault="003D510B" w:rsidP="007D0FBE">
      <w:pPr>
        <w:jc w:val="both"/>
        <w:rPr>
          <w:rFonts w:ascii="Arial" w:hAnsi="Arial" w:cs="Arial"/>
          <w:sz w:val="18"/>
          <w:szCs w:val="18"/>
        </w:rPr>
      </w:pPr>
    </w:p>
    <w:p w:rsidR="0013684A" w:rsidRPr="00343AA8" w:rsidRDefault="00AA50D6" w:rsidP="009D298D">
      <w:pPr>
        <w:pStyle w:val="Prrafodelista"/>
        <w:numPr>
          <w:ilvl w:val="0"/>
          <w:numId w:val="14"/>
        </w:numPr>
        <w:jc w:val="both"/>
        <w:rPr>
          <w:rFonts w:ascii="Arial" w:hAnsi="Arial" w:cs="Arial"/>
          <w:b/>
          <w:sz w:val="18"/>
          <w:szCs w:val="18"/>
        </w:rPr>
      </w:pPr>
      <w:r w:rsidRPr="00343AA8">
        <w:rPr>
          <w:rFonts w:ascii="Arial" w:hAnsi="Arial" w:cs="Arial"/>
          <w:b/>
          <w:sz w:val="18"/>
          <w:szCs w:val="18"/>
        </w:rPr>
        <w:t>RIESGO DE MERCADO</w:t>
      </w:r>
    </w:p>
    <w:p w:rsidR="0013684A" w:rsidRPr="000A17D7" w:rsidRDefault="0013684A" w:rsidP="006E3251">
      <w:pPr>
        <w:jc w:val="both"/>
        <w:rPr>
          <w:rFonts w:ascii="Arial" w:hAnsi="Arial" w:cs="Arial"/>
          <w:sz w:val="18"/>
          <w:szCs w:val="18"/>
        </w:rPr>
      </w:pPr>
    </w:p>
    <w:p w:rsidR="0013684A" w:rsidRPr="000A17D7" w:rsidRDefault="0013684A" w:rsidP="006E3251">
      <w:pPr>
        <w:jc w:val="both"/>
        <w:rPr>
          <w:rFonts w:ascii="Arial" w:hAnsi="Arial" w:cs="Arial"/>
          <w:sz w:val="18"/>
          <w:szCs w:val="18"/>
        </w:rPr>
      </w:pPr>
      <w:r w:rsidRPr="000A17D7">
        <w:rPr>
          <w:rFonts w:ascii="Arial" w:hAnsi="Arial" w:cs="Arial"/>
          <w:sz w:val="18"/>
          <w:szCs w:val="18"/>
        </w:rPr>
        <w:t>La medición de la exposición al riesgo de mercado se debe realizar conforme a las instrucciones estableci</w:t>
      </w:r>
      <w:r w:rsidR="003A67F8">
        <w:rPr>
          <w:rFonts w:ascii="Arial" w:hAnsi="Arial" w:cs="Arial"/>
          <w:sz w:val="18"/>
          <w:szCs w:val="18"/>
        </w:rPr>
        <w:t>das en el Capítulo XXI “Reglas R</w:t>
      </w:r>
      <w:r w:rsidR="00995E42">
        <w:rPr>
          <w:rFonts w:ascii="Arial" w:hAnsi="Arial" w:cs="Arial"/>
          <w:sz w:val="18"/>
          <w:szCs w:val="18"/>
        </w:rPr>
        <w:t>elativas al Sistema de A</w:t>
      </w:r>
      <w:r w:rsidRPr="000A17D7">
        <w:rPr>
          <w:rFonts w:ascii="Arial" w:hAnsi="Arial" w:cs="Arial"/>
          <w:sz w:val="18"/>
          <w:szCs w:val="18"/>
        </w:rPr>
        <w:t xml:space="preserve">dministración de </w:t>
      </w:r>
      <w:r w:rsidR="00995E42">
        <w:rPr>
          <w:rFonts w:ascii="Arial" w:hAnsi="Arial" w:cs="Arial"/>
          <w:sz w:val="18"/>
          <w:szCs w:val="18"/>
        </w:rPr>
        <w:t>Riesgo de M</w:t>
      </w:r>
      <w:r w:rsidRPr="000A17D7">
        <w:rPr>
          <w:rFonts w:ascii="Arial" w:hAnsi="Arial" w:cs="Arial"/>
          <w:sz w:val="18"/>
          <w:szCs w:val="18"/>
        </w:rPr>
        <w:t>ercado” de la CBCF.</w:t>
      </w:r>
    </w:p>
    <w:p w:rsidR="006B32F5" w:rsidRDefault="006B32F5" w:rsidP="006E3251">
      <w:pPr>
        <w:jc w:val="both"/>
        <w:rPr>
          <w:rFonts w:ascii="Arial" w:hAnsi="Arial" w:cs="Arial"/>
          <w:b/>
          <w:sz w:val="18"/>
          <w:szCs w:val="18"/>
        </w:rPr>
      </w:pPr>
    </w:p>
    <w:p w:rsidR="000009A0" w:rsidRDefault="000009A0" w:rsidP="006E3251">
      <w:pPr>
        <w:jc w:val="both"/>
        <w:rPr>
          <w:rFonts w:ascii="Arial" w:hAnsi="Arial" w:cs="Arial"/>
          <w:b/>
          <w:sz w:val="18"/>
          <w:szCs w:val="18"/>
        </w:rPr>
      </w:pPr>
    </w:p>
    <w:p w:rsidR="0013684A" w:rsidRPr="00343AA8" w:rsidRDefault="0013684A" w:rsidP="009D298D">
      <w:pPr>
        <w:pStyle w:val="Prrafodelista"/>
        <w:numPr>
          <w:ilvl w:val="0"/>
          <w:numId w:val="14"/>
        </w:numPr>
        <w:jc w:val="both"/>
        <w:rPr>
          <w:rFonts w:ascii="Arial" w:hAnsi="Arial" w:cs="Arial"/>
          <w:b/>
          <w:sz w:val="18"/>
          <w:szCs w:val="18"/>
        </w:rPr>
      </w:pPr>
      <w:r w:rsidRPr="00343AA8">
        <w:rPr>
          <w:rFonts w:ascii="Arial" w:hAnsi="Arial" w:cs="Arial"/>
          <w:b/>
          <w:sz w:val="18"/>
          <w:szCs w:val="18"/>
        </w:rPr>
        <w:t>PLAN</w:t>
      </w:r>
      <w:r w:rsidR="00280CC7" w:rsidRPr="00343AA8">
        <w:rPr>
          <w:rFonts w:ascii="Arial" w:hAnsi="Arial" w:cs="Arial"/>
          <w:b/>
          <w:sz w:val="18"/>
          <w:szCs w:val="18"/>
        </w:rPr>
        <w:t>ES</w:t>
      </w:r>
      <w:r w:rsidRPr="00343AA8">
        <w:rPr>
          <w:rFonts w:ascii="Arial" w:hAnsi="Arial" w:cs="Arial"/>
          <w:b/>
          <w:sz w:val="18"/>
          <w:szCs w:val="18"/>
        </w:rPr>
        <w:t xml:space="preserve"> DE AJUSTE</w:t>
      </w:r>
    </w:p>
    <w:p w:rsidR="007E4DAE" w:rsidRPr="000A17D7" w:rsidRDefault="007E4DAE" w:rsidP="006E3251">
      <w:pPr>
        <w:jc w:val="both"/>
        <w:rPr>
          <w:rFonts w:ascii="Arial" w:hAnsi="Arial" w:cs="Arial"/>
          <w:b/>
          <w:sz w:val="18"/>
          <w:szCs w:val="18"/>
          <w:highlight w:val="cyan"/>
        </w:rPr>
      </w:pPr>
    </w:p>
    <w:p w:rsidR="007E4DAE" w:rsidRPr="000571A2" w:rsidRDefault="007E4DAE" w:rsidP="009D298D">
      <w:pPr>
        <w:pStyle w:val="Prrafodelista"/>
        <w:numPr>
          <w:ilvl w:val="1"/>
          <w:numId w:val="14"/>
        </w:numPr>
        <w:jc w:val="both"/>
        <w:rPr>
          <w:rFonts w:ascii="Arial" w:hAnsi="Arial" w:cs="Arial"/>
          <w:b/>
          <w:sz w:val="18"/>
          <w:szCs w:val="18"/>
        </w:rPr>
      </w:pPr>
      <w:r w:rsidRPr="000571A2">
        <w:rPr>
          <w:rFonts w:ascii="Arial" w:hAnsi="Arial" w:cs="Arial"/>
          <w:b/>
          <w:sz w:val="18"/>
          <w:szCs w:val="18"/>
        </w:rPr>
        <w:t xml:space="preserve">Plan de </w:t>
      </w:r>
      <w:r w:rsidR="00D42423" w:rsidRPr="000571A2">
        <w:rPr>
          <w:rFonts w:ascii="Arial" w:hAnsi="Arial" w:cs="Arial"/>
          <w:b/>
          <w:sz w:val="18"/>
          <w:szCs w:val="18"/>
        </w:rPr>
        <w:t>a</w:t>
      </w:r>
      <w:r w:rsidRPr="000571A2">
        <w:rPr>
          <w:rFonts w:ascii="Arial" w:hAnsi="Arial" w:cs="Arial"/>
          <w:b/>
          <w:sz w:val="18"/>
          <w:szCs w:val="18"/>
        </w:rPr>
        <w:t xml:space="preserve">juste </w:t>
      </w:r>
      <w:r w:rsidR="00D42423" w:rsidRPr="000571A2">
        <w:rPr>
          <w:rFonts w:ascii="Arial" w:hAnsi="Arial" w:cs="Arial"/>
          <w:b/>
          <w:sz w:val="18"/>
          <w:szCs w:val="18"/>
        </w:rPr>
        <w:t>frente a las relaciones mínimas de solvencia</w:t>
      </w:r>
    </w:p>
    <w:p w:rsidR="007E4DAE" w:rsidRDefault="007E4DAE" w:rsidP="006E3251">
      <w:pPr>
        <w:jc w:val="both"/>
        <w:rPr>
          <w:rFonts w:ascii="Arial" w:hAnsi="Arial" w:cs="Arial"/>
          <w:b/>
          <w:sz w:val="18"/>
          <w:szCs w:val="18"/>
        </w:rPr>
      </w:pPr>
    </w:p>
    <w:p w:rsidR="007E4DAE" w:rsidRPr="000A17D7" w:rsidRDefault="007E4DAE" w:rsidP="006E3251">
      <w:pPr>
        <w:jc w:val="both"/>
        <w:outlineLvl w:val="0"/>
        <w:rPr>
          <w:rFonts w:ascii="Arial" w:hAnsi="Arial" w:cs="Arial"/>
          <w:sz w:val="18"/>
          <w:szCs w:val="18"/>
        </w:rPr>
      </w:pPr>
      <w:r w:rsidRPr="004E7269">
        <w:rPr>
          <w:rFonts w:ascii="Arial" w:hAnsi="Arial" w:cs="Arial"/>
          <w:sz w:val="18"/>
          <w:szCs w:val="18"/>
        </w:rPr>
        <w:t xml:space="preserve">Cuando una entidad prevea que va a incurrir o presente defectos en las relaciones mínimas de solvencia deberá enviar el plan de ajuste para la aprobación de esta Superintendencia. </w:t>
      </w:r>
      <w:r w:rsidR="00834A71" w:rsidRPr="004E7269">
        <w:rPr>
          <w:rFonts w:ascii="Arial" w:hAnsi="Arial" w:cs="Arial"/>
          <w:sz w:val="18"/>
          <w:szCs w:val="18"/>
        </w:rPr>
        <w:t>Lo anterior, siempre y cuando el defecto no pueda ser resuelto por medios ordinarios antes de 2 meses y afecte en forma significativa la capacidad operativa de la entidad</w:t>
      </w:r>
      <w:r w:rsidR="005B3AD8" w:rsidRPr="004E7269">
        <w:rPr>
          <w:rFonts w:ascii="Arial" w:hAnsi="Arial" w:cs="Arial"/>
          <w:sz w:val="18"/>
          <w:szCs w:val="18"/>
        </w:rPr>
        <w:t>, y sin perjuicio de las medidas de supervisión que considere apropiadas adoptar</w:t>
      </w:r>
      <w:r w:rsidR="00995E42" w:rsidRPr="00995E42">
        <w:rPr>
          <w:rFonts w:ascii="Arial" w:hAnsi="Arial" w:cs="Arial"/>
          <w:sz w:val="18"/>
          <w:szCs w:val="18"/>
        </w:rPr>
        <w:t xml:space="preserve"> </w:t>
      </w:r>
      <w:r w:rsidR="00995E42" w:rsidRPr="004E7269">
        <w:rPr>
          <w:rFonts w:ascii="Arial" w:hAnsi="Arial" w:cs="Arial"/>
          <w:sz w:val="18"/>
          <w:szCs w:val="18"/>
        </w:rPr>
        <w:t>la SFC</w:t>
      </w:r>
      <w:r w:rsidR="005B3AD8" w:rsidRPr="004E7269">
        <w:rPr>
          <w:rFonts w:ascii="Arial" w:hAnsi="Arial" w:cs="Arial"/>
          <w:sz w:val="18"/>
          <w:szCs w:val="18"/>
        </w:rPr>
        <w:t>.</w:t>
      </w:r>
    </w:p>
    <w:p w:rsidR="007E4DAE" w:rsidRPr="000A17D7" w:rsidRDefault="007E4DAE" w:rsidP="006E3251">
      <w:pPr>
        <w:jc w:val="both"/>
        <w:outlineLvl w:val="0"/>
        <w:rPr>
          <w:rFonts w:ascii="Arial" w:hAnsi="Arial" w:cs="Arial"/>
          <w:sz w:val="18"/>
          <w:szCs w:val="18"/>
        </w:rPr>
      </w:pPr>
    </w:p>
    <w:p w:rsidR="007E4DAE" w:rsidRPr="000A17D7" w:rsidRDefault="007E4DAE" w:rsidP="006E3251">
      <w:pPr>
        <w:jc w:val="both"/>
        <w:outlineLvl w:val="0"/>
        <w:rPr>
          <w:rFonts w:ascii="Arial" w:hAnsi="Arial" w:cs="Arial"/>
          <w:sz w:val="18"/>
          <w:szCs w:val="18"/>
        </w:rPr>
      </w:pPr>
      <w:r w:rsidRPr="000A17D7">
        <w:rPr>
          <w:rFonts w:ascii="Arial" w:hAnsi="Arial" w:cs="Arial"/>
          <w:sz w:val="18"/>
          <w:szCs w:val="18"/>
        </w:rPr>
        <w:t>El documento mediante el cual se presente el citado plan de ajuste debe contener como mínimo la siguiente información:</w:t>
      </w:r>
    </w:p>
    <w:p w:rsidR="007E4DAE" w:rsidRPr="000A17D7" w:rsidRDefault="007E4DAE" w:rsidP="006E3251">
      <w:pPr>
        <w:jc w:val="both"/>
        <w:outlineLvl w:val="0"/>
        <w:rPr>
          <w:rFonts w:ascii="Arial" w:hAnsi="Arial" w:cs="Arial"/>
          <w:sz w:val="18"/>
          <w:szCs w:val="18"/>
        </w:rPr>
      </w:pPr>
    </w:p>
    <w:p w:rsidR="007E4DAE" w:rsidRPr="00834A71" w:rsidRDefault="007E4DAE" w:rsidP="00513595">
      <w:pPr>
        <w:pStyle w:val="Prrafodelista"/>
        <w:numPr>
          <w:ilvl w:val="0"/>
          <w:numId w:val="8"/>
        </w:numPr>
        <w:ind w:left="360"/>
        <w:jc w:val="both"/>
        <w:outlineLvl w:val="0"/>
        <w:rPr>
          <w:rFonts w:ascii="Arial" w:hAnsi="Arial" w:cs="Arial"/>
          <w:sz w:val="18"/>
          <w:szCs w:val="18"/>
        </w:rPr>
      </w:pPr>
      <w:r w:rsidRPr="00834A71">
        <w:rPr>
          <w:rFonts w:ascii="Arial" w:hAnsi="Arial" w:cs="Arial"/>
          <w:sz w:val="18"/>
          <w:szCs w:val="18"/>
        </w:rPr>
        <w:t>Las explicaciones sobre los motivos que originaron u originarán el defecto respectivo, con un estudio fundamentado de análisis financiero en el que se evalúen las principales variaciones de aquell</w:t>
      </w:r>
      <w:r w:rsidR="005E7E1D" w:rsidRPr="00834A71">
        <w:rPr>
          <w:rFonts w:ascii="Arial" w:hAnsi="Arial" w:cs="Arial"/>
          <w:sz w:val="18"/>
          <w:szCs w:val="18"/>
        </w:rPr>
        <w:t>o</w:t>
      </w:r>
      <w:r w:rsidRPr="00834A71">
        <w:rPr>
          <w:rFonts w:ascii="Arial" w:hAnsi="Arial" w:cs="Arial"/>
          <w:sz w:val="18"/>
          <w:szCs w:val="18"/>
        </w:rPr>
        <w:t xml:space="preserve">s </w:t>
      </w:r>
      <w:r w:rsidR="005E7E1D" w:rsidRPr="00834A71">
        <w:rPr>
          <w:rFonts w:ascii="Arial" w:hAnsi="Arial" w:cs="Arial"/>
          <w:sz w:val="18"/>
          <w:szCs w:val="18"/>
        </w:rPr>
        <w:t xml:space="preserve">elementos del capital y de los estados financieros </w:t>
      </w:r>
      <w:r w:rsidRPr="00834A71">
        <w:rPr>
          <w:rFonts w:ascii="Arial" w:hAnsi="Arial" w:cs="Arial"/>
          <w:sz w:val="18"/>
          <w:szCs w:val="18"/>
        </w:rPr>
        <w:t xml:space="preserve">en donde se causen los mayores cambios por cuyo motivo se presenta el defecto. </w:t>
      </w:r>
    </w:p>
    <w:p w:rsidR="007E4DAE" w:rsidRPr="00834A71" w:rsidRDefault="007E4DAE" w:rsidP="00513595">
      <w:pPr>
        <w:pStyle w:val="Prrafodelista"/>
        <w:numPr>
          <w:ilvl w:val="0"/>
          <w:numId w:val="8"/>
        </w:numPr>
        <w:ind w:left="360"/>
        <w:jc w:val="both"/>
        <w:outlineLvl w:val="0"/>
        <w:rPr>
          <w:rFonts w:ascii="Arial" w:hAnsi="Arial" w:cs="Arial"/>
          <w:sz w:val="18"/>
          <w:szCs w:val="18"/>
        </w:rPr>
      </w:pPr>
      <w:r w:rsidRPr="00834A71">
        <w:rPr>
          <w:rFonts w:ascii="Arial" w:hAnsi="Arial" w:cs="Arial"/>
          <w:sz w:val="18"/>
          <w:szCs w:val="18"/>
        </w:rPr>
        <w:t xml:space="preserve">Un </w:t>
      </w:r>
      <w:r w:rsidR="005E7E1D" w:rsidRPr="00834A71">
        <w:rPr>
          <w:rFonts w:ascii="Arial" w:hAnsi="Arial" w:cs="Arial"/>
          <w:sz w:val="18"/>
          <w:szCs w:val="18"/>
        </w:rPr>
        <w:t xml:space="preserve">plan </w:t>
      </w:r>
      <w:r w:rsidRPr="00834A71">
        <w:rPr>
          <w:rFonts w:ascii="Arial" w:hAnsi="Arial" w:cs="Arial"/>
          <w:sz w:val="18"/>
          <w:szCs w:val="18"/>
        </w:rPr>
        <w:t>de ajuste que, partiendo del anterior diagnóstico, permita establecer objetivos, metas</w:t>
      </w:r>
      <w:r w:rsidR="00D42423" w:rsidRPr="00834A71">
        <w:rPr>
          <w:rFonts w:ascii="Arial" w:hAnsi="Arial" w:cs="Arial"/>
          <w:sz w:val="18"/>
          <w:szCs w:val="18"/>
        </w:rPr>
        <w:t xml:space="preserve"> de cumplimiento por lo menos trimestral</w:t>
      </w:r>
      <w:r w:rsidRPr="00834A71">
        <w:rPr>
          <w:rFonts w:ascii="Arial" w:hAnsi="Arial" w:cs="Arial"/>
          <w:sz w:val="18"/>
          <w:szCs w:val="18"/>
        </w:rPr>
        <w:t xml:space="preserve"> y estrategias de corto plazo para ajustarse a las relaciones correspondientes. </w:t>
      </w:r>
      <w:r w:rsidR="008C203B">
        <w:rPr>
          <w:rFonts w:ascii="Arial" w:hAnsi="Arial" w:cs="Arial"/>
          <w:sz w:val="18"/>
          <w:szCs w:val="18"/>
        </w:rPr>
        <w:t xml:space="preserve">El plan de ajuste </w:t>
      </w:r>
      <w:r w:rsidRPr="00834A71">
        <w:rPr>
          <w:rFonts w:ascii="Arial" w:hAnsi="Arial" w:cs="Arial"/>
          <w:sz w:val="18"/>
          <w:szCs w:val="18"/>
        </w:rPr>
        <w:t xml:space="preserve">deberá determinar de manera exacta, oportuna y cuantificable, proyectos específicos en materia de crecimiento o de la distribución del total de activos o </w:t>
      </w:r>
      <w:r w:rsidR="00CC5604">
        <w:rPr>
          <w:rFonts w:ascii="Arial" w:hAnsi="Arial" w:cs="Arial"/>
          <w:sz w:val="18"/>
          <w:szCs w:val="18"/>
        </w:rPr>
        <w:t xml:space="preserve">de </w:t>
      </w:r>
      <w:r w:rsidRPr="00834A71">
        <w:rPr>
          <w:rFonts w:ascii="Arial" w:hAnsi="Arial" w:cs="Arial"/>
          <w:sz w:val="18"/>
          <w:szCs w:val="18"/>
        </w:rPr>
        <w:t xml:space="preserve">determinadas categorías de ellos, obligaciones de enajenación de inversiones, incrementos patrimoniales, o cualquier otro aspecto que permita evitar o resolver a la mayor brevedad posible el incumplimiento de las relaciones mínimas de solvencia. </w:t>
      </w:r>
    </w:p>
    <w:p w:rsidR="007E4DAE" w:rsidRPr="000A17D7" w:rsidRDefault="007E4DAE" w:rsidP="00513595">
      <w:pPr>
        <w:pStyle w:val="Prrafodelista"/>
        <w:numPr>
          <w:ilvl w:val="0"/>
          <w:numId w:val="8"/>
        </w:numPr>
        <w:ind w:left="360"/>
        <w:jc w:val="both"/>
        <w:outlineLvl w:val="0"/>
        <w:rPr>
          <w:rFonts w:ascii="Arial" w:hAnsi="Arial" w:cs="Arial"/>
          <w:sz w:val="18"/>
          <w:szCs w:val="18"/>
        </w:rPr>
      </w:pPr>
      <w:r w:rsidRPr="00834A71">
        <w:rPr>
          <w:rFonts w:ascii="Arial" w:hAnsi="Arial" w:cs="Arial"/>
          <w:sz w:val="18"/>
          <w:szCs w:val="18"/>
        </w:rPr>
        <w:t xml:space="preserve">Un cronograma para el cumplimiento y desarrollo del </w:t>
      </w:r>
      <w:r w:rsidR="005E7E1D" w:rsidRPr="00834A71">
        <w:rPr>
          <w:rFonts w:ascii="Arial" w:hAnsi="Arial" w:cs="Arial"/>
          <w:sz w:val="18"/>
          <w:szCs w:val="18"/>
        </w:rPr>
        <w:t xml:space="preserve">plan </w:t>
      </w:r>
      <w:r w:rsidRPr="00834A71">
        <w:rPr>
          <w:rFonts w:ascii="Arial" w:hAnsi="Arial" w:cs="Arial"/>
          <w:sz w:val="18"/>
          <w:szCs w:val="18"/>
        </w:rPr>
        <w:t>de ajuste</w:t>
      </w:r>
      <w:r w:rsidRPr="000A17D7">
        <w:rPr>
          <w:rFonts w:ascii="Arial" w:hAnsi="Arial" w:cs="Arial"/>
          <w:sz w:val="18"/>
          <w:szCs w:val="18"/>
        </w:rPr>
        <w:t>, que permita identificar de manera específica todas y cada una de las metas a cumplir en el término establecido para tal fin.</w:t>
      </w:r>
    </w:p>
    <w:p w:rsidR="007E4DAE" w:rsidRPr="000A17D7" w:rsidRDefault="007E4DAE" w:rsidP="006E3251">
      <w:pPr>
        <w:jc w:val="both"/>
        <w:outlineLvl w:val="0"/>
        <w:rPr>
          <w:rFonts w:ascii="Arial" w:hAnsi="Arial" w:cs="Arial"/>
          <w:sz w:val="18"/>
          <w:szCs w:val="18"/>
        </w:rPr>
      </w:pPr>
    </w:p>
    <w:p w:rsidR="007E4DAE" w:rsidRPr="000A17D7" w:rsidRDefault="007E4DAE" w:rsidP="006E3251">
      <w:pPr>
        <w:jc w:val="both"/>
        <w:outlineLvl w:val="0"/>
        <w:rPr>
          <w:rFonts w:ascii="Arial" w:hAnsi="Arial" w:cs="Arial"/>
          <w:sz w:val="18"/>
          <w:szCs w:val="18"/>
        </w:rPr>
      </w:pPr>
      <w:r w:rsidRPr="000A17D7">
        <w:rPr>
          <w:rFonts w:ascii="Arial" w:hAnsi="Arial" w:cs="Arial"/>
          <w:sz w:val="18"/>
          <w:szCs w:val="18"/>
        </w:rPr>
        <w:t xml:space="preserve">En todo caso, el plan de ajuste que se presente a consideración de la SFC no puede tener previsto un período </w:t>
      </w:r>
      <w:r w:rsidR="00834A71">
        <w:rPr>
          <w:rFonts w:ascii="Arial" w:hAnsi="Arial" w:cs="Arial"/>
          <w:sz w:val="18"/>
          <w:szCs w:val="18"/>
        </w:rPr>
        <w:t xml:space="preserve">de implementación </w:t>
      </w:r>
      <w:r w:rsidRPr="000A17D7">
        <w:rPr>
          <w:rFonts w:ascii="Arial" w:hAnsi="Arial" w:cs="Arial"/>
          <w:sz w:val="18"/>
          <w:szCs w:val="18"/>
        </w:rPr>
        <w:t>superior a un año, contado a partir de</w:t>
      </w:r>
      <w:r w:rsidR="005E7E1D">
        <w:rPr>
          <w:rFonts w:ascii="Arial" w:hAnsi="Arial" w:cs="Arial"/>
          <w:sz w:val="18"/>
          <w:szCs w:val="18"/>
        </w:rPr>
        <w:t xml:space="preserve"> </w:t>
      </w:r>
      <w:r w:rsidRPr="000A17D7">
        <w:rPr>
          <w:rFonts w:ascii="Arial" w:hAnsi="Arial" w:cs="Arial"/>
          <w:sz w:val="18"/>
          <w:szCs w:val="18"/>
        </w:rPr>
        <w:t xml:space="preserve">la fecha de </w:t>
      </w:r>
      <w:r w:rsidR="00D42423">
        <w:rPr>
          <w:rFonts w:ascii="Arial" w:hAnsi="Arial" w:cs="Arial"/>
          <w:sz w:val="18"/>
          <w:szCs w:val="18"/>
        </w:rPr>
        <w:t>su aprobación por parte de la SFC</w:t>
      </w:r>
      <w:r w:rsidRPr="000A17D7">
        <w:rPr>
          <w:rFonts w:ascii="Arial" w:hAnsi="Arial" w:cs="Arial"/>
          <w:sz w:val="18"/>
          <w:szCs w:val="18"/>
        </w:rPr>
        <w:t>.</w:t>
      </w:r>
    </w:p>
    <w:p w:rsidR="007E4DAE" w:rsidRDefault="007E4DAE" w:rsidP="006E3251">
      <w:pPr>
        <w:jc w:val="both"/>
        <w:outlineLvl w:val="0"/>
        <w:rPr>
          <w:rFonts w:ascii="Arial" w:hAnsi="Arial" w:cs="Arial"/>
          <w:sz w:val="18"/>
          <w:szCs w:val="18"/>
        </w:rPr>
      </w:pPr>
    </w:p>
    <w:p w:rsidR="003A67F8" w:rsidRDefault="003A67F8" w:rsidP="006E3251">
      <w:pPr>
        <w:jc w:val="both"/>
        <w:outlineLvl w:val="0"/>
        <w:rPr>
          <w:rFonts w:ascii="Arial" w:hAnsi="Arial" w:cs="Arial"/>
          <w:sz w:val="18"/>
          <w:szCs w:val="18"/>
        </w:rPr>
      </w:pPr>
    </w:p>
    <w:p w:rsidR="007E4DAE" w:rsidRPr="000571A2" w:rsidRDefault="007E4DAE" w:rsidP="009D298D">
      <w:pPr>
        <w:pStyle w:val="Prrafodelista"/>
        <w:numPr>
          <w:ilvl w:val="1"/>
          <w:numId w:val="14"/>
        </w:numPr>
        <w:jc w:val="both"/>
        <w:rPr>
          <w:rFonts w:ascii="Arial" w:hAnsi="Arial" w:cs="Arial"/>
          <w:b/>
          <w:sz w:val="18"/>
          <w:szCs w:val="18"/>
        </w:rPr>
      </w:pPr>
      <w:r w:rsidRPr="000571A2">
        <w:rPr>
          <w:rFonts w:ascii="Arial" w:hAnsi="Arial" w:cs="Arial"/>
          <w:b/>
          <w:sz w:val="18"/>
          <w:szCs w:val="18"/>
        </w:rPr>
        <w:t>Plan de</w:t>
      </w:r>
      <w:r w:rsidR="00D42423" w:rsidRPr="000571A2">
        <w:rPr>
          <w:rFonts w:ascii="Arial" w:hAnsi="Arial" w:cs="Arial"/>
          <w:b/>
          <w:sz w:val="18"/>
          <w:szCs w:val="18"/>
        </w:rPr>
        <w:t xml:space="preserve"> ajuste frente a los colchones de capital</w:t>
      </w:r>
    </w:p>
    <w:p w:rsidR="007E4DAE" w:rsidRPr="00A61FAB" w:rsidRDefault="007E4DAE" w:rsidP="006E3251">
      <w:pPr>
        <w:jc w:val="both"/>
        <w:rPr>
          <w:rFonts w:ascii="Arial" w:hAnsi="Arial" w:cs="Arial"/>
          <w:sz w:val="18"/>
          <w:szCs w:val="18"/>
        </w:rPr>
      </w:pPr>
    </w:p>
    <w:p w:rsidR="00995E42" w:rsidRDefault="007E4DAE" w:rsidP="00553C14">
      <w:pPr>
        <w:jc w:val="both"/>
        <w:outlineLvl w:val="0"/>
        <w:rPr>
          <w:rFonts w:ascii="Arial" w:hAnsi="Arial" w:cs="Arial"/>
          <w:sz w:val="18"/>
          <w:szCs w:val="18"/>
        </w:rPr>
      </w:pPr>
      <w:r w:rsidRPr="004E7269">
        <w:rPr>
          <w:rFonts w:ascii="Arial" w:hAnsi="Arial" w:cs="Arial"/>
          <w:sz w:val="18"/>
          <w:szCs w:val="18"/>
        </w:rPr>
        <w:t>Cuando una entidad prevea que va a incurrir o presente defectos en</w:t>
      </w:r>
      <w:r w:rsidR="00953A05" w:rsidRPr="004E7269">
        <w:rPr>
          <w:rFonts w:ascii="Arial" w:hAnsi="Arial" w:cs="Arial"/>
          <w:sz w:val="18"/>
          <w:szCs w:val="18"/>
        </w:rPr>
        <w:t xml:space="preserve"> el </w:t>
      </w:r>
      <w:r w:rsidR="00C85AFE" w:rsidRPr="004E7269">
        <w:rPr>
          <w:rFonts w:ascii="Arial" w:hAnsi="Arial" w:cs="Arial"/>
          <w:sz w:val="18"/>
          <w:szCs w:val="18"/>
        </w:rPr>
        <w:t>PBO</w:t>
      </w:r>
      <w:r w:rsidR="00953A05" w:rsidRPr="004E7269">
        <w:rPr>
          <w:rFonts w:ascii="Arial" w:hAnsi="Arial" w:cs="Arial"/>
          <w:sz w:val="18"/>
          <w:szCs w:val="18"/>
        </w:rPr>
        <w:t xml:space="preserve"> </w:t>
      </w:r>
      <w:r w:rsidR="00585B15" w:rsidRPr="004E7269">
        <w:rPr>
          <w:rFonts w:ascii="Arial" w:hAnsi="Arial" w:cs="Arial"/>
          <w:sz w:val="18"/>
          <w:szCs w:val="18"/>
        </w:rPr>
        <w:t xml:space="preserve">que debe mantener </w:t>
      </w:r>
      <w:r w:rsidR="00953A05" w:rsidRPr="004E7269">
        <w:rPr>
          <w:rFonts w:ascii="Arial" w:hAnsi="Arial" w:cs="Arial"/>
          <w:sz w:val="18"/>
          <w:szCs w:val="18"/>
        </w:rPr>
        <w:t>disponible para el cumplimiento del colchón combinado,</w:t>
      </w:r>
      <w:r w:rsidR="00090E63" w:rsidRPr="004E7269">
        <w:rPr>
          <w:rFonts w:ascii="Arial" w:hAnsi="Arial" w:cs="Arial"/>
          <w:sz w:val="18"/>
          <w:szCs w:val="18"/>
        </w:rPr>
        <w:t xml:space="preserve"> </w:t>
      </w:r>
      <w:r w:rsidR="0045575C" w:rsidRPr="004E7269">
        <w:rPr>
          <w:rFonts w:ascii="Arial" w:hAnsi="Arial" w:cs="Arial"/>
          <w:sz w:val="18"/>
          <w:szCs w:val="18"/>
        </w:rPr>
        <w:t xml:space="preserve">deberá </w:t>
      </w:r>
      <w:r w:rsidR="00953A05" w:rsidRPr="004E7269">
        <w:rPr>
          <w:rFonts w:ascii="Arial" w:hAnsi="Arial" w:cs="Arial"/>
          <w:sz w:val="18"/>
          <w:szCs w:val="18"/>
        </w:rPr>
        <w:t>informarlo de manera inmediata a sus accionistas o asociados y poner esta comunicación en conocimiento de esta Superintendencia. Así mismo deberá enviar un</w:t>
      </w:r>
      <w:r w:rsidR="0045575C" w:rsidRPr="004E7269">
        <w:rPr>
          <w:rFonts w:ascii="Arial" w:hAnsi="Arial" w:cs="Arial"/>
          <w:sz w:val="18"/>
          <w:szCs w:val="18"/>
        </w:rPr>
        <w:t xml:space="preserve"> plan de ajuste </w:t>
      </w:r>
      <w:r w:rsidR="00953A05" w:rsidRPr="004E7269">
        <w:rPr>
          <w:rFonts w:ascii="Arial" w:hAnsi="Arial" w:cs="Arial"/>
          <w:sz w:val="18"/>
          <w:szCs w:val="18"/>
        </w:rPr>
        <w:t xml:space="preserve">con los requisitos, condiciones y efectos a que se refiere el subnumeral </w:t>
      </w:r>
      <w:r w:rsidR="00C97124" w:rsidRPr="004E7269">
        <w:rPr>
          <w:rFonts w:ascii="Arial" w:hAnsi="Arial" w:cs="Arial"/>
          <w:sz w:val="18"/>
          <w:szCs w:val="18"/>
        </w:rPr>
        <w:t>4</w:t>
      </w:r>
      <w:r w:rsidR="00953A05" w:rsidRPr="004E7269">
        <w:rPr>
          <w:rFonts w:ascii="Arial" w:hAnsi="Arial" w:cs="Arial"/>
          <w:sz w:val="18"/>
          <w:szCs w:val="18"/>
        </w:rPr>
        <w:t xml:space="preserve">.1. del presente </w:t>
      </w:r>
      <w:r w:rsidR="00C97124" w:rsidRPr="004E7269">
        <w:rPr>
          <w:rFonts w:ascii="Arial" w:hAnsi="Arial" w:cs="Arial"/>
          <w:sz w:val="18"/>
          <w:szCs w:val="18"/>
        </w:rPr>
        <w:t>C</w:t>
      </w:r>
      <w:r w:rsidR="00953A05" w:rsidRPr="004E7269">
        <w:rPr>
          <w:rFonts w:ascii="Arial" w:hAnsi="Arial" w:cs="Arial"/>
          <w:sz w:val="18"/>
          <w:szCs w:val="18"/>
        </w:rPr>
        <w:t xml:space="preserve">apítulo, </w:t>
      </w:r>
      <w:r w:rsidR="0045575C" w:rsidRPr="004E7269">
        <w:rPr>
          <w:rFonts w:ascii="Arial" w:hAnsi="Arial" w:cs="Arial"/>
          <w:sz w:val="18"/>
          <w:szCs w:val="18"/>
        </w:rPr>
        <w:t xml:space="preserve">para la aprobación de esta </w:t>
      </w:r>
      <w:r w:rsidR="0045575C" w:rsidRPr="004E7269">
        <w:rPr>
          <w:rFonts w:ascii="Arial" w:hAnsi="Arial" w:cs="Arial"/>
          <w:sz w:val="18"/>
          <w:szCs w:val="18"/>
        </w:rPr>
        <w:lastRenderedPageBreak/>
        <w:t>Superintendencia</w:t>
      </w:r>
      <w:r w:rsidR="00CA7665" w:rsidRPr="004E7269">
        <w:rPr>
          <w:rFonts w:ascii="Arial" w:hAnsi="Arial" w:cs="Arial"/>
          <w:sz w:val="18"/>
          <w:szCs w:val="18"/>
        </w:rPr>
        <w:t>, y en todo caso deberá contener los mecanismos establecidos por la entidad para reponer el nivel requerido del colchón combinado y el plazo en el cual se completará dicho proceso</w:t>
      </w:r>
      <w:r w:rsidR="0045575C" w:rsidRPr="004E7269">
        <w:rPr>
          <w:rFonts w:ascii="Arial" w:hAnsi="Arial" w:cs="Arial"/>
          <w:sz w:val="18"/>
          <w:szCs w:val="18"/>
        </w:rPr>
        <w:t>.</w:t>
      </w:r>
    </w:p>
    <w:p w:rsidR="00995E42" w:rsidRDefault="00995E42" w:rsidP="00553C14">
      <w:pPr>
        <w:jc w:val="both"/>
        <w:outlineLvl w:val="0"/>
        <w:rPr>
          <w:rFonts w:ascii="Arial" w:hAnsi="Arial" w:cs="Arial"/>
          <w:sz w:val="18"/>
          <w:szCs w:val="18"/>
        </w:rPr>
      </w:pPr>
    </w:p>
    <w:p w:rsidR="00553C14" w:rsidRPr="004E7269" w:rsidRDefault="00553C14" w:rsidP="00553C14">
      <w:pPr>
        <w:jc w:val="both"/>
        <w:outlineLvl w:val="0"/>
        <w:rPr>
          <w:rFonts w:ascii="Arial" w:hAnsi="Arial" w:cs="Arial"/>
          <w:sz w:val="18"/>
          <w:szCs w:val="18"/>
        </w:rPr>
      </w:pPr>
      <w:r w:rsidRPr="004E7269">
        <w:rPr>
          <w:rFonts w:ascii="Arial" w:hAnsi="Arial" w:cs="Arial"/>
          <w:sz w:val="18"/>
          <w:szCs w:val="18"/>
        </w:rPr>
        <w:t>Lo anterior sin perjuicio de las medidas de supervisión que considere apropiadas adoptar la SFC.</w:t>
      </w:r>
    </w:p>
    <w:p w:rsidR="00553C14" w:rsidRPr="004E7269" w:rsidRDefault="00553C14" w:rsidP="0045575C">
      <w:pPr>
        <w:jc w:val="both"/>
        <w:outlineLvl w:val="0"/>
        <w:rPr>
          <w:rFonts w:ascii="Arial" w:hAnsi="Arial" w:cs="Arial"/>
          <w:sz w:val="18"/>
          <w:szCs w:val="18"/>
        </w:rPr>
      </w:pPr>
      <w:bookmarkStart w:id="7" w:name="_GoBack"/>
      <w:bookmarkEnd w:id="7"/>
    </w:p>
    <w:p w:rsidR="002A5B0F" w:rsidRPr="000A17D7" w:rsidRDefault="002A5B0F" w:rsidP="002A5B0F">
      <w:pPr>
        <w:jc w:val="both"/>
        <w:rPr>
          <w:rFonts w:ascii="Arial" w:hAnsi="Arial" w:cs="Arial"/>
          <w:sz w:val="18"/>
          <w:szCs w:val="18"/>
        </w:rPr>
      </w:pPr>
      <w:r w:rsidRPr="000A17D7">
        <w:rPr>
          <w:rFonts w:ascii="Arial" w:hAnsi="Arial" w:cs="Arial"/>
          <w:sz w:val="18"/>
          <w:szCs w:val="18"/>
        </w:rPr>
        <w:t>En todo caso</w:t>
      </w:r>
      <w:r w:rsidR="00CA7665" w:rsidRPr="000A17D7">
        <w:rPr>
          <w:rFonts w:ascii="Arial" w:hAnsi="Arial" w:cs="Arial"/>
          <w:sz w:val="18"/>
          <w:szCs w:val="18"/>
        </w:rPr>
        <w:t xml:space="preserve"> y conforme a lo señalado en el artículo 2.1.1.4.5 del Decreto 2555 de 2010, </w:t>
      </w:r>
      <w:r w:rsidRPr="000A17D7">
        <w:rPr>
          <w:rFonts w:ascii="Arial" w:hAnsi="Arial" w:cs="Arial"/>
          <w:sz w:val="18"/>
          <w:szCs w:val="18"/>
        </w:rPr>
        <w:t>cuando se presente el mencionado incumplimiento y hasta tanto no se complete el plan de ajuste, la entidad y sus subordinadas, tendrán las siguientes limitaciones:</w:t>
      </w:r>
    </w:p>
    <w:p w:rsidR="0045575C" w:rsidRPr="000A17D7" w:rsidRDefault="0045575C" w:rsidP="002A5B0F">
      <w:pPr>
        <w:jc w:val="both"/>
        <w:rPr>
          <w:rFonts w:ascii="Arial" w:hAnsi="Arial" w:cs="Arial"/>
          <w:sz w:val="18"/>
          <w:szCs w:val="18"/>
        </w:rPr>
      </w:pPr>
    </w:p>
    <w:p w:rsidR="002A5B0F" w:rsidRDefault="002A5B0F" w:rsidP="00513595">
      <w:pPr>
        <w:pStyle w:val="Prrafodelista"/>
        <w:numPr>
          <w:ilvl w:val="0"/>
          <w:numId w:val="9"/>
        </w:numPr>
        <w:jc w:val="both"/>
        <w:outlineLvl w:val="0"/>
        <w:rPr>
          <w:rFonts w:ascii="Arial" w:hAnsi="Arial" w:cs="Arial"/>
          <w:sz w:val="18"/>
          <w:szCs w:val="18"/>
        </w:rPr>
      </w:pPr>
      <w:r w:rsidRPr="000A17D7">
        <w:rPr>
          <w:rFonts w:ascii="Arial" w:hAnsi="Arial" w:cs="Arial"/>
          <w:sz w:val="18"/>
          <w:szCs w:val="18"/>
        </w:rPr>
        <w:t>La distribución de utilidades o excedentes, liberación de reservas, reducción del capital social, y</w:t>
      </w:r>
      <w:r w:rsidR="00CA7665" w:rsidRPr="000A17D7">
        <w:rPr>
          <w:rFonts w:ascii="Arial" w:hAnsi="Arial" w:cs="Arial"/>
          <w:sz w:val="18"/>
          <w:szCs w:val="18"/>
        </w:rPr>
        <w:t xml:space="preserve"> </w:t>
      </w:r>
      <w:r w:rsidRPr="000A17D7">
        <w:rPr>
          <w:rFonts w:ascii="Arial" w:hAnsi="Arial" w:cs="Arial"/>
          <w:sz w:val="18"/>
          <w:szCs w:val="18"/>
        </w:rPr>
        <w:t>en general, cualquier posibilidad de afectación de recursos por voluntad de l</w:t>
      </w:r>
      <w:r w:rsidR="00CA7665" w:rsidRPr="000A17D7">
        <w:rPr>
          <w:rFonts w:ascii="Arial" w:hAnsi="Arial" w:cs="Arial"/>
          <w:sz w:val="18"/>
          <w:szCs w:val="18"/>
        </w:rPr>
        <w:t>a a</w:t>
      </w:r>
      <w:r w:rsidRPr="000A17D7">
        <w:rPr>
          <w:rFonts w:ascii="Arial" w:hAnsi="Arial" w:cs="Arial"/>
          <w:sz w:val="18"/>
          <w:szCs w:val="18"/>
        </w:rPr>
        <w:t>dministración que conlleve una reducción en su patrimonio.</w:t>
      </w:r>
    </w:p>
    <w:p w:rsidR="00995E42" w:rsidRPr="000A17D7" w:rsidRDefault="00995E42" w:rsidP="00995E42">
      <w:pPr>
        <w:pStyle w:val="Prrafodelista"/>
        <w:ind w:left="360"/>
        <w:jc w:val="both"/>
        <w:outlineLvl w:val="0"/>
        <w:rPr>
          <w:rFonts w:ascii="Arial" w:hAnsi="Arial" w:cs="Arial"/>
          <w:sz w:val="18"/>
          <w:szCs w:val="18"/>
        </w:rPr>
      </w:pPr>
    </w:p>
    <w:p w:rsidR="002A5B0F" w:rsidRPr="000A17D7" w:rsidRDefault="002A5B0F" w:rsidP="00513595">
      <w:pPr>
        <w:pStyle w:val="Prrafodelista"/>
        <w:numPr>
          <w:ilvl w:val="0"/>
          <w:numId w:val="9"/>
        </w:numPr>
        <w:jc w:val="both"/>
        <w:outlineLvl w:val="0"/>
        <w:rPr>
          <w:rFonts w:ascii="Arial" w:hAnsi="Arial" w:cs="Arial"/>
          <w:sz w:val="18"/>
          <w:szCs w:val="18"/>
        </w:rPr>
      </w:pPr>
      <w:r w:rsidRPr="000A17D7">
        <w:rPr>
          <w:rFonts w:ascii="Arial" w:hAnsi="Arial" w:cs="Arial"/>
          <w:sz w:val="18"/>
          <w:szCs w:val="18"/>
        </w:rPr>
        <w:t xml:space="preserve">La suspensión temporal del pago de </w:t>
      </w:r>
      <w:r w:rsidR="008E1E8E" w:rsidRPr="000A17D7">
        <w:rPr>
          <w:rFonts w:ascii="Arial" w:hAnsi="Arial" w:cs="Arial"/>
          <w:sz w:val="18"/>
          <w:szCs w:val="18"/>
        </w:rPr>
        <w:t>dividendos</w:t>
      </w:r>
      <w:r w:rsidR="000746A0">
        <w:rPr>
          <w:rFonts w:ascii="Arial" w:hAnsi="Arial" w:cs="Arial"/>
          <w:sz w:val="18"/>
          <w:szCs w:val="18"/>
        </w:rPr>
        <w:t>,</w:t>
      </w:r>
      <w:r w:rsidRPr="000A17D7">
        <w:rPr>
          <w:rFonts w:ascii="Arial" w:hAnsi="Arial" w:cs="Arial"/>
          <w:sz w:val="18"/>
          <w:szCs w:val="18"/>
        </w:rPr>
        <w:t xml:space="preserve"> recompra de acciones, bonificaciones a empleados o cualquier otro programa de pagos discrecionales, de incentivos o erogaciones no ordinarias a partes relacionadas.</w:t>
      </w:r>
    </w:p>
    <w:p w:rsidR="0045575C" w:rsidRDefault="0045575C" w:rsidP="002A5B0F">
      <w:pPr>
        <w:jc w:val="both"/>
        <w:rPr>
          <w:rFonts w:ascii="Arial" w:hAnsi="Arial" w:cs="Arial"/>
          <w:sz w:val="18"/>
          <w:szCs w:val="18"/>
        </w:rPr>
      </w:pPr>
    </w:p>
    <w:p w:rsidR="002A5B0F" w:rsidRPr="000A17D7" w:rsidRDefault="002A5B0F" w:rsidP="002A5B0F">
      <w:pPr>
        <w:jc w:val="both"/>
        <w:rPr>
          <w:rFonts w:ascii="Arial" w:hAnsi="Arial" w:cs="Arial"/>
          <w:sz w:val="18"/>
          <w:szCs w:val="18"/>
        </w:rPr>
      </w:pPr>
      <w:r w:rsidRPr="000A17D7">
        <w:rPr>
          <w:rFonts w:ascii="Arial" w:hAnsi="Arial" w:cs="Arial"/>
          <w:sz w:val="18"/>
          <w:szCs w:val="18"/>
        </w:rPr>
        <w:t>Dichas limitaciones estarán sujetas al porcentaje de incumplimiento del colchón combinado según la siguiente tabla:</w:t>
      </w:r>
    </w:p>
    <w:p w:rsidR="002A5B0F" w:rsidRPr="000A17D7" w:rsidRDefault="002A5B0F" w:rsidP="002A5B0F">
      <w:pPr>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980"/>
        <w:gridCol w:w="2977"/>
      </w:tblGrid>
      <w:tr w:rsidR="002A5B0F" w:rsidRPr="000A17D7" w:rsidTr="001E18FA">
        <w:trPr>
          <w:jc w:val="center"/>
        </w:trPr>
        <w:tc>
          <w:tcPr>
            <w:tcW w:w="1980" w:type="dxa"/>
          </w:tcPr>
          <w:p w:rsidR="002A5B0F" w:rsidRPr="000A17D7" w:rsidRDefault="002A5B0F" w:rsidP="001E18FA">
            <w:pPr>
              <w:jc w:val="center"/>
              <w:rPr>
                <w:rFonts w:ascii="Arial" w:hAnsi="Arial" w:cs="Arial"/>
                <w:b/>
                <w:sz w:val="18"/>
                <w:szCs w:val="18"/>
              </w:rPr>
            </w:pPr>
            <w:r w:rsidRPr="000A17D7">
              <w:rPr>
                <w:rFonts w:ascii="Arial" w:hAnsi="Arial" w:cs="Arial"/>
                <w:b/>
                <w:sz w:val="18"/>
                <w:szCs w:val="18"/>
              </w:rPr>
              <w:t>Incumplimiento del colchón combinado</w:t>
            </w:r>
          </w:p>
          <w:p w:rsidR="002A5B0F" w:rsidRPr="000A17D7" w:rsidRDefault="002A5B0F" w:rsidP="001E18FA">
            <w:pPr>
              <w:jc w:val="center"/>
              <w:rPr>
                <w:rFonts w:ascii="Arial" w:hAnsi="Arial" w:cs="Arial"/>
                <w:b/>
                <w:sz w:val="18"/>
                <w:szCs w:val="18"/>
              </w:rPr>
            </w:pPr>
          </w:p>
        </w:tc>
        <w:tc>
          <w:tcPr>
            <w:tcW w:w="2977" w:type="dxa"/>
          </w:tcPr>
          <w:p w:rsidR="002A5B0F" w:rsidRPr="000A17D7" w:rsidRDefault="002A5B0F" w:rsidP="005C0F8B">
            <w:pPr>
              <w:jc w:val="center"/>
              <w:rPr>
                <w:rFonts w:ascii="Arial" w:hAnsi="Arial" w:cs="Arial"/>
                <w:b/>
                <w:sz w:val="18"/>
                <w:szCs w:val="18"/>
              </w:rPr>
            </w:pPr>
            <w:r w:rsidRPr="000A17D7">
              <w:rPr>
                <w:rFonts w:ascii="Arial" w:hAnsi="Arial" w:cs="Arial"/>
                <w:b/>
                <w:sz w:val="18"/>
                <w:szCs w:val="18"/>
              </w:rPr>
              <w:t>Coeficientes mínimos de conservación de cada uno de los elementos distribuibles</w:t>
            </w:r>
          </w:p>
        </w:tc>
      </w:tr>
      <w:tr w:rsidR="002A5B0F" w:rsidRPr="000A17D7" w:rsidTr="001E18FA">
        <w:trPr>
          <w:jc w:val="center"/>
        </w:trPr>
        <w:tc>
          <w:tcPr>
            <w:tcW w:w="1980" w:type="dxa"/>
          </w:tcPr>
          <w:p w:rsidR="002A5B0F" w:rsidRPr="000A17D7" w:rsidRDefault="002A5B0F" w:rsidP="00451A75">
            <w:pPr>
              <w:jc w:val="center"/>
              <w:rPr>
                <w:rFonts w:ascii="Arial" w:hAnsi="Arial" w:cs="Arial"/>
                <w:sz w:val="18"/>
                <w:szCs w:val="18"/>
              </w:rPr>
            </w:pPr>
            <w:r w:rsidRPr="000A17D7">
              <w:rPr>
                <w:rFonts w:ascii="Arial" w:hAnsi="Arial" w:cs="Arial"/>
                <w:sz w:val="18"/>
                <w:szCs w:val="18"/>
              </w:rPr>
              <w:t>Menor a 25%</w:t>
            </w:r>
          </w:p>
        </w:tc>
        <w:tc>
          <w:tcPr>
            <w:tcW w:w="2977" w:type="dxa"/>
          </w:tcPr>
          <w:p w:rsidR="002A5B0F" w:rsidRPr="000A17D7" w:rsidRDefault="002A5B0F" w:rsidP="005C0F8B">
            <w:pPr>
              <w:jc w:val="center"/>
              <w:rPr>
                <w:rFonts w:ascii="Arial" w:hAnsi="Arial" w:cs="Arial"/>
                <w:sz w:val="18"/>
                <w:szCs w:val="18"/>
              </w:rPr>
            </w:pPr>
            <w:r w:rsidRPr="000A17D7">
              <w:rPr>
                <w:rFonts w:ascii="Arial" w:hAnsi="Arial" w:cs="Arial"/>
                <w:sz w:val="18"/>
                <w:szCs w:val="18"/>
              </w:rPr>
              <w:t>40%</w:t>
            </w:r>
          </w:p>
        </w:tc>
      </w:tr>
      <w:tr w:rsidR="002A5B0F" w:rsidRPr="000A17D7" w:rsidTr="001E18FA">
        <w:trPr>
          <w:jc w:val="center"/>
        </w:trPr>
        <w:tc>
          <w:tcPr>
            <w:tcW w:w="1980" w:type="dxa"/>
          </w:tcPr>
          <w:p w:rsidR="002A5B0F" w:rsidRPr="000A17D7" w:rsidRDefault="002A5B0F" w:rsidP="00451A75">
            <w:pPr>
              <w:jc w:val="center"/>
              <w:rPr>
                <w:rFonts w:ascii="Arial" w:hAnsi="Arial" w:cs="Arial"/>
                <w:sz w:val="18"/>
                <w:szCs w:val="18"/>
              </w:rPr>
            </w:pPr>
            <w:r w:rsidRPr="000A17D7">
              <w:rPr>
                <w:rFonts w:ascii="Arial" w:hAnsi="Arial" w:cs="Arial"/>
                <w:sz w:val="18"/>
                <w:szCs w:val="18"/>
              </w:rPr>
              <w:t>Entre 25% y 50%</w:t>
            </w:r>
          </w:p>
        </w:tc>
        <w:tc>
          <w:tcPr>
            <w:tcW w:w="2977" w:type="dxa"/>
          </w:tcPr>
          <w:p w:rsidR="002A5B0F" w:rsidRPr="000A17D7" w:rsidRDefault="002A5B0F" w:rsidP="005C0F8B">
            <w:pPr>
              <w:jc w:val="center"/>
              <w:rPr>
                <w:rFonts w:ascii="Arial" w:hAnsi="Arial" w:cs="Arial"/>
                <w:sz w:val="18"/>
                <w:szCs w:val="18"/>
              </w:rPr>
            </w:pPr>
            <w:r w:rsidRPr="000A17D7">
              <w:rPr>
                <w:rFonts w:ascii="Arial" w:hAnsi="Arial" w:cs="Arial"/>
                <w:sz w:val="18"/>
                <w:szCs w:val="18"/>
              </w:rPr>
              <w:t>60%</w:t>
            </w:r>
          </w:p>
        </w:tc>
      </w:tr>
      <w:tr w:rsidR="002A5B0F" w:rsidRPr="000A17D7" w:rsidTr="001E18FA">
        <w:trPr>
          <w:jc w:val="center"/>
        </w:trPr>
        <w:tc>
          <w:tcPr>
            <w:tcW w:w="1980" w:type="dxa"/>
          </w:tcPr>
          <w:p w:rsidR="002A5B0F" w:rsidRPr="000A17D7" w:rsidRDefault="002A5B0F" w:rsidP="00451A75">
            <w:pPr>
              <w:jc w:val="center"/>
              <w:rPr>
                <w:rFonts w:ascii="Arial" w:hAnsi="Arial" w:cs="Arial"/>
                <w:sz w:val="18"/>
                <w:szCs w:val="18"/>
              </w:rPr>
            </w:pPr>
            <w:r w:rsidRPr="000A17D7">
              <w:rPr>
                <w:rFonts w:ascii="Arial" w:hAnsi="Arial" w:cs="Arial"/>
                <w:sz w:val="18"/>
                <w:szCs w:val="18"/>
              </w:rPr>
              <w:t>Entre 50% y 75%</w:t>
            </w:r>
          </w:p>
        </w:tc>
        <w:tc>
          <w:tcPr>
            <w:tcW w:w="2977" w:type="dxa"/>
          </w:tcPr>
          <w:p w:rsidR="002A5B0F" w:rsidRPr="000A17D7" w:rsidRDefault="002A5B0F" w:rsidP="005C0F8B">
            <w:pPr>
              <w:jc w:val="center"/>
              <w:rPr>
                <w:rFonts w:ascii="Arial" w:hAnsi="Arial" w:cs="Arial"/>
                <w:sz w:val="18"/>
                <w:szCs w:val="18"/>
              </w:rPr>
            </w:pPr>
            <w:r w:rsidRPr="000A17D7">
              <w:rPr>
                <w:rFonts w:ascii="Arial" w:hAnsi="Arial" w:cs="Arial"/>
                <w:sz w:val="18"/>
                <w:szCs w:val="18"/>
              </w:rPr>
              <w:t>80%</w:t>
            </w:r>
          </w:p>
        </w:tc>
      </w:tr>
      <w:tr w:rsidR="002A5B0F" w:rsidRPr="000A17D7" w:rsidTr="001E18FA">
        <w:trPr>
          <w:jc w:val="center"/>
        </w:trPr>
        <w:tc>
          <w:tcPr>
            <w:tcW w:w="1980" w:type="dxa"/>
          </w:tcPr>
          <w:p w:rsidR="002A5B0F" w:rsidRPr="000A17D7" w:rsidRDefault="002A5B0F" w:rsidP="00451A75">
            <w:pPr>
              <w:jc w:val="center"/>
              <w:rPr>
                <w:rFonts w:ascii="Arial" w:hAnsi="Arial" w:cs="Arial"/>
                <w:sz w:val="18"/>
                <w:szCs w:val="18"/>
              </w:rPr>
            </w:pPr>
            <w:r w:rsidRPr="000A17D7">
              <w:rPr>
                <w:rFonts w:ascii="Arial" w:hAnsi="Arial" w:cs="Arial"/>
                <w:sz w:val="18"/>
                <w:szCs w:val="18"/>
              </w:rPr>
              <w:t>Mayor a 75%</w:t>
            </w:r>
          </w:p>
        </w:tc>
        <w:tc>
          <w:tcPr>
            <w:tcW w:w="2977" w:type="dxa"/>
          </w:tcPr>
          <w:p w:rsidR="002A5B0F" w:rsidRPr="000A17D7" w:rsidRDefault="002A5B0F" w:rsidP="005C0F8B">
            <w:pPr>
              <w:jc w:val="center"/>
              <w:rPr>
                <w:rFonts w:ascii="Arial" w:hAnsi="Arial" w:cs="Arial"/>
                <w:sz w:val="18"/>
                <w:szCs w:val="18"/>
              </w:rPr>
            </w:pPr>
            <w:r w:rsidRPr="000A17D7">
              <w:rPr>
                <w:rFonts w:ascii="Arial" w:hAnsi="Arial" w:cs="Arial"/>
                <w:sz w:val="18"/>
                <w:szCs w:val="18"/>
              </w:rPr>
              <w:t>100%</w:t>
            </w:r>
          </w:p>
        </w:tc>
      </w:tr>
    </w:tbl>
    <w:p w:rsidR="002A5B0F" w:rsidRPr="000A17D7" w:rsidRDefault="002A5B0F" w:rsidP="002A5B0F">
      <w:pPr>
        <w:jc w:val="both"/>
        <w:rPr>
          <w:rFonts w:ascii="Arial" w:hAnsi="Arial" w:cs="Arial"/>
          <w:sz w:val="18"/>
          <w:szCs w:val="18"/>
        </w:rPr>
      </w:pPr>
    </w:p>
    <w:p w:rsidR="0045575C" w:rsidRPr="00A61FAB" w:rsidRDefault="0045575C" w:rsidP="0045575C">
      <w:pPr>
        <w:jc w:val="both"/>
        <w:outlineLvl w:val="0"/>
        <w:rPr>
          <w:rFonts w:ascii="Arial" w:hAnsi="Arial" w:cs="Arial"/>
          <w:sz w:val="18"/>
          <w:szCs w:val="18"/>
        </w:rPr>
      </w:pPr>
      <w:r w:rsidRPr="00A61FAB">
        <w:rPr>
          <w:rFonts w:ascii="Arial" w:hAnsi="Arial" w:cs="Arial"/>
          <w:sz w:val="18"/>
          <w:szCs w:val="18"/>
        </w:rPr>
        <w:t xml:space="preserve">Bajo ningún entendido la aprobación del plan de ajuste que presenten las entidades </w:t>
      </w:r>
      <w:r w:rsidR="00873BAA" w:rsidRPr="00A61FAB">
        <w:rPr>
          <w:rFonts w:ascii="Arial" w:hAnsi="Arial" w:cs="Arial"/>
          <w:sz w:val="18"/>
          <w:szCs w:val="18"/>
        </w:rPr>
        <w:t>las exime</w:t>
      </w:r>
      <w:r w:rsidRPr="00A61FAB">
        <w:rPr>
          <w:rFonts w:ascii="Arial" w:hAnsi="Arial" w:cs="Arial"/>
          <w:sz w:val="18"/>
          <w:szCs w:val="18"/>
        </w:rPr>
        <w:t xml:space="preserve"> de la responsabilidad que les corresponde por el cumplimiento de </w:t>
      </w:r>
      <w:r w:rsidR="00D8182C" w:rsidRPr="00A61FAB">
        <w:rPr>
          <w:rFonts w:ascii="Arial" w:hAnsi="Arial" w:cs="Arial"/>
          <w:sz w:val="18"/>
          <w:szCs w:val="18"/>
        </w:rPr>
        <w:t>los colchones</w:t>
      </w:r>
      <w:r w:rsidRPr="00A61FAB">
        <w:rPr>
          <w:rFonts w:ascii="Arial" w:hAnsi="Arial" w:cs="Arial"/>
          <w:sz w:val="18"/>
          <w:szCs w:val="18"/>
        </w:rPr>
        <w:t>.</w:t>
      </w:r>
    </w:p>
    <w:p w:rsidR="000571A2" w:rsidRPr="000A17D7" w:rsidRDefault="000571A2" w:rsidP="002A5B0F">
      <w:pPr>
        <w:jc w:val="both"/>
        <w:rPr>
          <w:rFonts w:ascii="Arial" w:hAnsi="Arial" w:cs="Arial"/>
          <w:sz w:val="18"/>
          <w:szCs w:val="18"/>
          <w:highlight w:val="cyan"/>
        </w:rPr>
      </w:pPr>
    </w:p>
    <w:p w:rsidR="00DA435F" w:rsidRPr="000A17D7" w:rsidRDefault="00DA435F" w:rsidP="0013684A">
      <w:pPr>
        <w:jc w:val="both"/>
        <w:outlineLvl w:val="0"/>
        <w:rPr>
          <w:rFonts w:ascii="Arial" w:hAnsi="Arial" w:cs="Arial"/>
          <w:sz w:val="18"/>
          <w:szCs w:val="18"/>
          <w:highlight w:val="cyan"/>
        </w:rPr>
      </w:pPr>
    </w:p>
    <w:p w:rsidR="0013684A" w:rsidRPr="00343AA8" w:rsidRDefault="0013684A" w:rsidP="009D298D">
      <w:pPr>
        <w:pStyle w:val="Prrafodelista"/>
        <w:numPr>
          <w:ilvl w:val="0"/>
          <w:numId w:val="14"/>
        </w:numPr>
        <w:jc w:val="both"/>
        <w:rPr>
          <w:rFonts w:ascii="Arial" w:hAnsi="Arial" w:cs="Arial"/>
          <w:b/>
          <w:sz w:val="18"/>
          <w:szCs w:val="18"/>
        </w:rPr>
      </w:pPr>
      <w:r w:rsidRPr="00343AA8">
        <w:rPr>
          <w:rFonts w:ascii="Arial" w:hAnsi="Arial" w:cs="Arial"/>
          <w:b/>
          <w:sz w:val="18"/>
          <w:szCs w:val="18"/>
        </w:rPr>
        <w:t>REPORTE DE LA INFORMACIÓN</w:t>
      </w:r>
      <w:bookmarkEnd w:id="6"/>
    </w:p>
    <w:p w:rsidR="0013684A" w:rsidRPr="000A17D7" w:rsidRDefault="0013684A" w:rsidP="0013684A">
      <w:pPr>
        <w:jc w:val="both"/>
        <w:rPr>
          <w:rFonts w:ascii="Arial" w:hAnsi="Arial" w:cs="Arial"/>
          <w:sz w:val="18"/>
          <w:szCs w:val="18"/>
        </w:rPr>
      </w:pPr>
    </w:p>
    <w:p w:rsidR="0013684A" w:rsidRDefault="000746A0" w:rsidP="0013684A">
      <w:pPr>
        <w:jc w:val="both"/>
        <w:rPr>
          <w:rFonts w:ascii="Arial" w:hAnsi="Arial" w:cs="Arial"/>
          <w:sz w:val="18"/>
          <w:szCs w:val="18"/>
        </w:rPr>
      </w:pPr>
      <w:r>
        <w:rPr>
          <w:rFonts w:ascii="Arial" w:hAnsi="Arial" w:cs="Arial"/>
          <w:sz w:val="18"/>
          <w:szCs w:val="18"/>
        </w:rPr>
        <w:t>L</w:t>
      </w:r>
      <w:r w:rsidR="0013684A" w:rsidRPr="004E7269">
        <w:rPr>
          <w:rFonts w:ascii="Arial" w:hAnsi="Arial" w:cs="Arial"/>
          <w:sz w:val="18"/>
          <w:szCs w:val="18"/>
        </w:rPr>
        <w:t>as entidades de las que trata el presente Capítulo deben tener en cuenta las instrucciones impartidas</w:t>
      </w:r>
      <w:r w:rsidR="00E32A6C" w:rsidRPr="004E7269">
        <w:rPr>
          <w:rFonts w:ascii="Arial" w:hAnsi="Arial" w:cs="Arial"/>
          <w:sz w:val="18"/>
          <w:szCs w:val="18"/>
        </w:rPr>
        <w:t xml:space="preserve"> en este Capítulo, las del </w:t>
      </w:r>
      <w:r w:rsidR="00B4263B" w:rsidRPr="00B4263B">
        <w:rPr>
          <w:rFonts w:ascii="Arial" w:hAnsi="Arial" w:cs="Arial"/>
          <w:sz w:val="18"/>
          <w:szCs w:val="18"/>
        </w:rPr>
        <w:t>Formato 239 (Proforma F.1000-141</w:t>
      </w:r>
      <w:r>
        <w:rPr>
          <w:rFonts w:ascii="Arial" w:hAnsi="Arial" w:cs="Arial"/>
          <w:sz w:val="18"/>
          <w:szCs w:val="18"/>
        </w:rPr>
        <w:t>)</w:t>
      </w:r>
      <w:r w:rsidR="00B4263B" w:rsidRPr="00B4263B">
        <w:rPr>
          <w:rFonts w:ascii="Arial" w:hAnsi="Arial" w:cs="Arial"/>
          <w:sz w:val="18"/>
          <w:szCs w:val="18"/>
        </w:rPr>
        <w:t xml:space="preserve"> “Reporte de Información de Margen de Solvencia y Otros Requerimientos de Patrimonio y Declaración del Control de Ley Margen de Solvencia”</w:t>
      </w:r>
      <w:r w:rsidR="00B4263B">
        <w:rPr>
          <w:rFonts w:ascii="Arial" w:hAnsi="Arial" w:cs="Arial"/>
          <w:sz w:val="18"/>
          <w:szCs w:val="18"/>
        </w:rPr>
        <w:t xml:space="preserve"> </w:t>
      </w:r>
      <w:r w:rsidR="00786681">
        <w:rPr>
          <w:rFonts w:ascii="Arial" w:hAnsi="Arial" w:cs="Arial"/>
          <w:sz w:val="18"/>
          <w:szCs w:val="18"/>
        </w:rPr>
        <w:t xml:space="preserve">con su correspondiente instructivo </w:t>
      </w:r>
      <w:r w:rsidR="0013684A" w:rsidRPr="004E7269">
        <w:rPr>
          <w:rFonts w:ascii="Arial" w:hAnsi="Arial" w:cs="Arial"/>
          <w:sz w:val="18"/>
          <w:szCs w:val="18"/>
        </w:rPr>
        <w:t xml:space="preserve">y </w:t>
      </w:r>
      <w:r w:rsidR="00E32A6C" w:rsidRPr="004E7269">
        <w:rPr>
          <w:rFonts w:ascii="Arial" w:hAnsi="Arial" w:cs="Arial"/>
          <w:sz w:val="18"/>
          <w:szCs w:val="18"/>
        </w:rPr>
        <w:t xml:space="preserve">las </w:t>
      </w:r>
      <w:r w:rsidR="0013684A" w:rsidRPr="004E7269">
        <w:rPr>
          <w:rFonts w:ascii="Arial" w:hAnsi="Arial" w:cs="Arial"/>
          <w:sz w:val="18"/>
          <w:szCs w:val="18"/>
        </w:rPr>
        <w:t>demás normas que lo</w:t>
      </w:r>
      <w:r w:rsidR="00E32A6C" w:rsidRPr="004E7269">
        <w:rPr>
          <w:rFonts w:ascii="Arial" w:hAnsi="Arial" w:cs="Arial"/>
          <w:sz w:val="18"/>
          <w:szCs w:val="18"/>
        </w:rPr>
        <w:t>s</w:t>
      </w:r>
      <w:r w:rsidR="0013684A" w:rsidRPr="004E7269">
        <w:rPr>
          <w:rFonts w:ascii="Arial" w:hAnsi="Arial" w:cs="Arial"/>
          <w:sz w:val="18"/>
          <w:szCs w:val="18"/>
        </w:rPr>
        <w:t xml:space="preserve"> modifiquen o sustituyan.</w:t>
      </w:r>
    </w:p>
    <w:p w:rsidR="000571A2" w:rsidRDefault="000571A2" w:rsidP="0013684A">
      <w:pPr>
        <w:jc w:val="both"/>
        <w:rPr>
          <w:rFonts w:ascii="Arial" w:hAnsi="Arial" w:cs="Arial"/>
          <w:sz w:val="18"/>
          <w:szCs w:val="18"/>
        </w:rPr>
      </w:pPr>
    </w:p>
    <w:p w:rsidR="006B32F5" w:rsidRPr="000A17D7" w:rsidRDefault="006B32F5" w:rsidP="0013684A">
      <w:pPr>
        <w:jc w:val="both"/>
        <w:rPr>
          <w:rFonts w:ascii="Arial" w:hAnsi="Arial" w:cs="Arial"/>
          <w:sz w:val="18"/>
          <w:szCs w:val="18"/>
        </w:rPr>
      </w:pPr>
    </w:p>
    <w:p w:rsidR="00AA50D6" w:rsidRPr="000A17D7" w:rsidRDefault="00AA50D6" w:rsidP="009D298D">
      <w:pPr>
        <w:pStyle w:val="Prrafodelista"/>
        <w:numPr>
          <w:ilvl w:val="0"/>
          <w:numId w:val="14"/>
        </w:numPr>
        <w:jc w:val="both"/>
        <w:rPr>
          <w:rFonts w:ascii="Arial" w:hAnsi="Arial" w:cs="Arial"/>
          <w:b/>
          <w:sz w:val="18"/>
          <w:szCs w:val="18"/>
        </w:rPr>
      </w:pPr>
      <w:r w:rsidRPr="000A17D7">
        <w:rPr>
          <w:rFonts w:ascii="Arial" w:hAnsi="Arial" w:cs="Arial"/>
          <w:b/>
          <w:sz w:val="18"/>
          <w:szCs w:val="18"/>
        </w:rPr>
        <w:t>SANCIONES</w:t>
      </w:r>
    </w:p>
    <w:p w:rsidR="00AA50D6" w:rsidRPr="000A17D7" w:rsidRDefault="00AA50D6" w:rsidP="00AA50D6">
      <w:pPr>
        <w:jc w:val="both"/>
        <w:outlineLvl w:val="0"/>
        <w:rPr>
          <w:rFonts w:ascii="Arial" w:hAnsi="Arial" w:cs="Arial"/>
          <w:sz w:val="18"/>
          <w:szCs w:val="18"/>
        </w:rPr>
      </w:pPr>
    </w:p>
    <w:p w:rsidR="00B3710A" w:rsidRPr="000A17D7" w:rsidRDefault="00B3710A" w:rsidP="00B3710A">
      <w:pPr>
        <w:jc w:val="both"/>
        <w:outlineLvl w:val="0"/>
        <w:rPr>
          <w:rFonts w:ascii="Arial" w:hAnsi="Arial" w:cs="Arial"/>
          <w:sz w:val="18"/>
          <w:szCs w:val="18"/>
        </w:rPr>
      </w:pPr>
      <w:r w:rsidRPr="000A17D7">
        <w:rPr>
          <w:rFonts w:ascii="Arial" w:hAnsi="Arial" w:cs="Arial"/>
          <w:sz w:val="18"/>
          <w:szCs w:val="18"/>
        </w:rPr>
        <w:t xml:space="preserve">La SFC </w:t>
      </w:r>
      <w:r w:rsidR="00D05FE9">
        <w:rPr>
          <w:rFonts w:ascii="Arial" w:hAnsi="Arial" w:cs="Arial"/>
          <w:sz w:val="18"/>
          <w:szCs w:val="18"/>
        </w:rPr>
        <w:t xml:space="preserve">podrá </w:t>
      </w:r>
      <w:r w:rsidRPr="000A17D7">
        <w:rPr>
          <w:rFonts w:ascii="Arial" w:hAnsi="Arial" w:cs="Arial"/>
          <w:sz w:val="18"/>
          <w:szCs w:val="18"/>
        </w:rPr>
        <w:t>impon</w:t>
      </w:r>
      <w:r w:rsidR="00D05FE9">
        <w:rPr>
          <w:rFonts w:ascii="Arial" w:hAnsi="Arial" w:cs="Arial"/>
          <w:sz w:val="18"/>
          <w:szCs w:val="18"/>
        </w:rPr>
        <w:t>er</w:t>
      </w:r>
      <w:r w:rsidRPr="000A17D7">
        <w:rPr>
          <w:rFonts w:ascii="Arial" w:hAnsi="Arial" w:cs="Arial"/>
          <w:sz w:val="18"/>
          <w:szCs w:val="18"/>
        </w:rPr>
        <w:t xml:space="preserve"> a las entidades</w:t>
      </w:r>
      <w:r>
        <w:rPr>
          <w:rFonts w:ascii="Arial" w:hAnsi="Arial" w:cs="Arial"/>
          <w:sz w:val="18"/>
          <w:szCs w:val="18"/>
        </w:rPr>
        <w:t xml:space="preserve"> </w:t>
      </w:r>
      <w:r w:rsidRPr="000A17D7">
        <w:rPr>
          <w:rFonts w:ascii="Arial" w:hAnsi="Arial" w:cs="Arial"/>
          <w:sz w:val="18"/>
          <w:szCs w:val="18"/>
        </w:rPr>
        <w:t xml:space="preserve">sujetas a planes de ajuste, las sanciones correspondientes en la forma ordinaria, sin considerar el hecho de la ejecución del </w:t>
      </w:r>
      <w:r>
        <w:rPr>
          <w:rFonts w:ascii="Arial" w:hAnsi="Arial" w:cs="Arial"/>
          <w:sz w:val="18"/>
          <w:szCs w:val="18"/>
        </w:rPr>
        <w:t xml:space="preserve">citado </w:t>
      </w:r>
      <w:r w:rsidRPr="000A17D7">
        <w:rPr>
          <w:rFonts w:ascii="Arial" w:hAnsi="Arial" w:cs="Arial"/>
          <w:sz w:val="18"/>
          <w:szCs w:val="18"/>
        </w:rPr>
        <w:t>plan</w:t>
      </w:r>
      <w:r>
        <w:rPr>
          <w:rFonts w:ascii="Arial" w:hAnsi="Arial" w:cs="Arial"/>
          <w:sz w:val="18"/>
          <w:szCs w:val="18"/>
        </w:rPr>
        <w:t>. Lo anterior</w:t>
      </w:r>
      <w:r w:rsidRPr="000A17D7">
        <w:rPr>
          <w:rFonts w:ascii="Arial" w:hAnsi="Arial" w:cs="Arial"/>
          <w:sz w:val="18"/>
          <w:szCs w:val="18"/>
        </w:rPr>
        <w:t xml:space="preserve"> sin perjuicio de las demás sanciones o medidas administrativas a que haya lugar, cuando verifique el incumplimiento de cualquiera de las condiciones, metas o compromisos del </w:t>
      </w:r>
      <w:r>
        <w:rPr>
          <w:rFonts w:ascii="Arial" w:hAnsi="Arial" w:cs="Arial"/>
          <w:sz w:val="18"/>
          <w:szCs w:val="18"/>
        </w:rPr>
        <w:t>referido</w:t>
      </w:r>
      <w:r w:rsidRPr="000A17D7">
        <w:rPr>
          <w:rFonts w:ascii="Arial" w:hAnsi="Arial" w:cs="Arial"/>
          <w:sz w:val="18"/>
          <w:szCs w:val="18"/>
        </w:rPr>
        <w:t xml:space="preserve"> </w:t>
      </w:r>
      <w:r>
        <w:rPr>
          <w:rFonts w:ascii="Arial" w:hAnsi="Arial" w:cs="Arial"/>
          <w:sz w:val="18"/>
          <w:szCs w:val="18"/>
        </w:rPr>
        <w:t>plan de ajuste</w:t>
      </w:r>
      <w:r w:rsidRPr="000A17D7">
        <w:rPr>
          <w:rFonts w:ascii="Arial" w:hAnsi="Arial" w:cs="Arial"/>
          <w:sz w:val="18"/>
          <w:szCs w:val="18"/>
        </w:rPr>
        <w:t>.</w:t>
      </w:r>
    </w:p>
    <w:p w:rsidR="00B3710A" w:rsidRPr="000A17D7" w:rsidRDefault="00B3710A" w:rsidP="00B3710A">
      <w:pPr>
        <w:jc w:val="both"/>
        <w:outlineLvl w:val="0"/>
        <w:rPr>
          <w:rFonts w:ascii="Arial" w:hAnsi="Arial" w:cs="Arial"/>
          <w:sz w:val="18"/>
          <w:szCs w:val="18"/>
        </w:rPr>
      </w:pPr>
    </w:p>
    <w:p w:rsidR="00B3710A" w:rsidRPr="000A17D7" w:rsidRDefault="00B3710A" w:rsidP="00B3710A">
      <w:pPr>
        <w:jc w:val="both"/>
        <w:outlineLvl w:val="0"/>
        <w:rPr>
          <w:rFonts w:ascii="Arial" w:hAnsi="Arial" w:cs="Arial"/>
          <w:sz w:val="18"/>
          <w:szCs w:val="18"/>
        </w:rPr>
      </w:pPr>
      <w:r w:rsidRPr="000A17D7">
        <w:rPr>
          <w:rFonts w:ascii="Arial" w:hAnsi="Arial" w:cs="Arial"/>
          <w:sz w:val="18"/>
          <w:szCs w:val="18"/>
        </w:rPr>
        <w:t>Bajo ningún entendido la aprobación del plan de ajuste que presenten las entidades las exime de la responsabilidad que les corresponde por el cumplimiento de las relaciones de solvencia</w:t>
      </w:r>
      <w:r>
        <w:rPr>
          <w:rFonts w:ascii="Arial" w:hAnsi="Arial" w:cs="Arial"/>
          <w:sz w:val="18"/>
          <w:szCs w:val="18"/>
        </w:rPr>
        <w:t xml:space="preserve"> y otros requerimientos de patrimonio</w:t>
      </w:r>
      <w:r w:rsidRPr="000A17D7">
        <w:rPr>
          <w:rFonts w:ascii="Arial" w:hAnsi="Arial" w:cs="Arial"/>
          <w:sz w:val="18"/>
          <w:szCs w:val="18"/>
        </w:rPr>
        <w:t>.</w:t>
      </w:r>
    </w:p>
    <w:p w:rsidR="00B3710A" w:rsidRDefault="00B3710A" w:rsidP="00AA50D6">
      <w:pPr>
        <w:jc w:val="both"/>
        <w:outlineLvl w:val="0"/>
        <w:rPr>
          <w:rFonts w:ascii="Arial" w:hAnsi="Arial" w:cs="Arial"/>
          <w:sz w:val="18"/>
          <w:szCs w:val="18"/>
        </w:rPr>
      </w:pPr>
    </w:p>
    <w:p w:rsidR="00295BFC" w:rsidRPr="000A17D7" w:rsidRDefault="00B3710A" w:rsidP="00AA50D6">
      <w:pPr>
        <w:jc w:val="both"/>
        <w:outlineLvl w:val="0"/>
        <w:rPr>
          <w:rFonts w:ascii="Arial" w:hAnsi="Arial" w:cs="Arial"/>
          <w:sz w:val="18"/>
          <w:szCs w:val="18"/>
        </w:rPr>
      </w:pPr>
      <w:r>
        <w:rPr>
          <w:rFonts w:ascii="Arial" w:hAnsi="Arial" w:cs="Arial"/>
          <w:sz w:val="18"/>
          <w:szCs w:val="18"/>
        </w:rPr>
        <w:t>Adicionalmente, e</w:t>
      </w:r>
      <w:r w:rsidR="00AA50D6" w:rsidRPr="000A17D7">
        <w:rPr>
          <w:rFonts w:ascii="Arial" w:hAnsi="Arial" w:cs="Arial"/>
          <w:sz w:val="18"/>
          <w:szCs w:val="18"/>
        </w:rPr>
        <w:t>n el evento en que la entidad incumpla con alguna o todas las relaciones mínimas de solvencia, la SFC le impondrá una multa a favor del Tesoro Nacional por el equivalente al</w:t>
      </w:r>
      <w:r w:rsidR="004732A5" w:rsidRPr="000A17D7">
        <w:rPr>
          <w:rFonts w:ascii="Arial" w:hAnsi="Arial" w:cs="Arial"/>
          <w:sz w:val="18"/>
          <w:szCs w:val="18"/>
        </w:rPr>
        <w:t xml:space="preserve"> 3</w:t>
      </w:r>
      <w:r w:rsidR="00AA50D6" w:rsidRPr="000A17D7">
        <w:rPr>
          <w:rFonts w:ascii="Arial" w:hAnsi="Arial" w:cs="Arial"/>
          <w:sz w:val="18"/>
          <w:szCs w:val="18"/>
        </w:rPr>
        <w:t>.5% del valor del defecto patrimonial, por cada mes del periodo de control sin exceder el 1.5% del patrimoni</w:t>
      </w:r>
      <w:r w:rsidR="000746A0">
        <w:rPr>
          <w:rFonts w:ascii="Arial" w:hAnsi="Arial" w:cs="Arial"/>
          <w:sz w:val="18"/>
          <w:szCs w:val="18"/>
        </w:rPr>
        <w:t>o requerido para su cumplimiento.</w:t>
      </w:r>
    </w:p>
    <w:p w:rsidR="00295BFC" w:rsidRPr="000A17D7" w:rsidRDefault="00295BFC" w:rsidP="00AA50D6">
      <w:pPr>
        <w:jc w:val="both"/>
        <w:outlineLvl w:val="0"/>
        <w:rPr>
          <w:rFonts w:ascii="Arial" w:hAnsi="Arial" w:cs="Arial"/>
          <w:sz w:val="18"/>
          <w:szCs w:val="18"/>
        </w:rPr>
      </w:pPr>
    </w:p>
    <w:p w:rsidR="00AA50D6" w:rsidRPr="000A17D7" w:rsidRDefault="00AA50D6" w:rsidP="00AA50D6">
      <w:pPr>
        <w:jc w:val="both"/>
        <w:outlineLvl w:val="0"/>
        <w:rPr>
          <w:rFonts w:ascii="Arial" w:hAnsi="Arial" w:cs="Arial"/>
          <w:sz w:val="18"/>
          <w:szCs w:val="18"/>
        </w:rPr>
      </w:pPr>
      <w:r w:rsidRPr="000A17D7">
        <w:rPr>
          <w:rFonts w:ascii="Arial" w:hAnsi="Arial" w:cs="Arial"/>
          <w:sz w:val="18"/>
          <w:szCs w:val="18"/>
        </w:rPr>
        <w:t>Lo anterior, sin perjuicio de las demás sanciones o medidas administrativas que imponga la SFC conforme</w:t>
      </w:r>
      <w:r w:rsidR="000746A0">
        <w:rPr>
          <w:rFonts w:ascii="Arial" w:hAnsi="Arial" w:cs="Arial"/>
          <w:sz w:val="18"/>
          <w:szCs w:val="18"/>
        </w:rPr>
        <w:t xml:space="preserve"> a</w:t>
      </w:r>
      <w:r w:rsidRPr="000A17D7">
        <w:rPr>
          <w:rFonts w:ascii="Arial" w:hAnsi="Arial" w:cs="Arial"/>
          <w:sz w:val="18"/>
          <w:szCs w:val="18"/>
        </w:rPr>
        <w:t xml:space="preserve"> sus facultades legales, tales como las señaladas en el artículo 208 del EOSF.</w:t>
      </w:r>
    </w:p>
    <w:p w:rsidR="00AA50D6" w:rsidRPr="000A17D7" w:rsidRDefault="00AA50D6" w:rsidP="00AA50D6">
      <w:pPr>
        <w:jc w:val="both"/>
        <w:outlineLvl w:val="0"/>
        <w:rPr>
          <w:rFonts w:ascii="Arial" w:hAnsi="Arial" w:cs="Arial"/>
          <w:sz w:val="18"/>
          <w:szCs w:val="18"/>
        </w:rPr>
      </w:pPr>
    </w:p>
    <w:p w:rsidR="00AA50D6" w:rsidRPr="000A17D7" w:rsidRDefault="00AA50D6" w:rsidP="00AA50D6">
      <w:pPr>
        <w:jc w:val="both"/>
        <w:outlineLvl w:val="0"/>
        <w:rPr>
          <w:rFonts w:ascii="Arial" w:hAnsi="Arial" w:cs="Arial"/>
          <w:sz w:val="18"/>
          <w:szCs w:val="18"/>
        </w:rPr>
      </w:pPr>
      <w:r w:rsidRPr="000A17D7">
        <w:rPr>
          <w:rFonts w:ascii="Arial" w:hAnsi="Arial" w:cs="Arial"/>
          <w:sz w:val="18"/>
          <w:szCs w:val="18"/>
        </w:rPr>
        <w:t>En el caso en que una misma entidad incumpla las relaciones mínimas de so</w:t>
      </w:r>
      <w:r w:rsidR="000746A0">
        <w:rPr>
          <w:rFonts w:ascii="Arial" w:hAnsi="Arial" w:cs="Arial"/>
          <w:sz w:val="18"/>
          <w:szCs w:val="18"/>
        </w:rPr>
        <w:t>lvencia de forma individual y de</w:t>
      </w:r>
      <w:r w:rsidRPr="000A17D7">
        <w:rPr>
          <w:rFonts w:ascii="Arial" w:hAnsi="Arial" w:cs="Arial"/>
          <w:sz w:val="18"/>
          <w:szCs w:val="18"/>
        </w:rPr>
        <w:t xml:space="preserve"> forma consolidada, se le aplicará la sanción que resulte mayor.</w:t>
      </w:r>
    </w:p>
    <w:p w:rsidR="00AA50D6" w:rsidRPr="000A17D7" w:rsidRDefault="00AA50D6" w:rsidP="00AA50D6">
      <w:pPr>
        <w:jc w:val="both"/>
        <w:outlineLvl w:val="0"/>
        <w:rPr>
          <w:rFonts w:ascii="Arial" w:hAnsi="Arial" w:cs="Arial"/>
          <w:sz w:val="18"/>
          <w:szCs w:val="18"/>
        </w:rPr>
      </w:pPr>
    </w:p>
    <w:p w:rsidR="006F1F6F" w:rsidRDefault="00AA50D6" w:rsidP="001E18FA">
      <w:pPr>
        <w:jc w:val="both"/>
        <w:outlineLvl w:val="0"/>
        <w:rPr>
          <w:rFonts w:ascii="Arial" w:hAnsi="Arial" w:cs="Arial"/>
          <w:sz w:val="18"/>
          <w:szCs w:val="18"/>
        </w:rPr>
      </w:pPr>
      <w:r w:rsidRPr="000A17D7">
        <w:rPr>
          <w:rFonts w:ascii="Arial" w:hAnsi="Arial" w:cs="Arial"/>
          <w:sz w:val="18"/>
          <w:szCs w:val="18"/>
        </w:rPr>
        <w:t>Adicionalmente, cuando una entidad presente defectos en las relaciones de solvencia</w:t>
      </w:r>
      <w:r w:rsidR="000746A0">
        <w:rPr>
          <w:rFonts w:ascii="Arial" w:hAnsi="Arial" w:cs="Arial"/>
          <w:sz w:val="18"/>
          <w:szCs w:val="18"/>
        </w:rPr>
        <w:t>,</w:t>
      </w:r>
      <w:r w:rsidRPr="000A17D7">
        <w:rPr>
          <w:rFonts w:ascii="Arial" w:hAnsi="Arial" w:cs="Arial"/>
          <w:sz w:val="18"/>
          <w:szCs w:val="18"/>
        </w:rPr>
        <w:t xml:space="preserve"> tiene la obligación de autoliquidar la sanción, así como rendir ante la SFC las explicaciones pertinentes y las acciones correctivas a que haya lugar.</w:t>
      </w:r>
    </w:p>
    <w:p w:rsidR="00B95A8C" w:rsidRPr="000A17D7" w:rsidRDefault="00B95A8C" w:rsidP="001E18FA">
      <w:pPr>
        <w:jc w:val="both"/>
        <w:outlineLvl w:val="0"/>
        <w:rPr>
          <w:rFonts w:ascii="Arial" w:hAnsi="Arial" w:cs="Arial"/>
          <w:sz w:val="18"/>
          <w:szCs w:val="18"/>
        </w:rPr>
      </w:pPr>
    </w:p>
    <w:sectPr w:rsidR="00B95A8C" w:rsidRPr="000A17D7" w:rsidSect="00F57841">
      <w:headerReference w:type="default" r:id="rId13"/>
      <w:footerReference w:type="default" r:id="rId14"/>
      <w:pgSz w:w="12240" w:h="18720" w:code="41"/>
      <w:pgMar w:top="1678" w:right="1134" w:bottom="1701" w:left="1701" w:header="567" w:footer="567" w:gutter="0"/>
      <w:paperSrc w:first="3" w:other="3"/>
      <w:pgNumType w:start="12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923" w:rsidRDefault="001F1923" w:rsidP="0013684A">
      <w:r>
        <w:separator/>
      </w:r>
    </w:p>
  </w:endnote>
  <w:endnote w:type="continuationSeparator" w:id="0">
    <w:p w:rsidR="001F1923" w:rsidRDefault="001F1923" w:rsidP="00136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FAB" w:rsidRPr="00532447" w:rsidRDefault="00096FAB" w:rsidP="005426D8">
    <w:pPr>
      <w:pStyle w:val="Piedepgina"/>
      <w:tabs>
        <w:tab w:val="clear" w:pos="8504"/>
        <w:tab w:val="right" w:pos="9356"/>
      </w:tabs>
      <w:rPr>
        <w:sz w:val="18"/>
      </w:rPr>
    </w:pPr>
    <w:r w:rsidRPr="00532447">
      <w:rPr>
        <w:rFonts w:ascii="Arial" w:hAnsi="Arial"/>
        <w:b/>
        <w:sz w:val="18"/>
      </w:rPr>
      <w:t>Circular</w:t>
    </w:r>
    <w:r>
      <w:rPr>
        <w:rFonts w:ascii="Arial" w:hAnsi="Arial"/>
        <w:b/>
        <w:sz w:val="18"/>
      </w:rPr>
      <w:t xml:space="preserve"> Externa</w:t>
    </w:r>
    <w:r w:rsidR="00BC28E9">
      <w:rPr>
        <w:rFonts w:ascii="Arial" w:hAnsi="Arial"/>
        <w:b/>
        <w:sz w:val="18"/>
      </w:rPr>
      <w:t xml:space="preserve"> 020</w:t>
    </w:r>
    <w:r>
      <w:rPr>
        <w:rFonts w:ascii="Arial" w:hAnsi="Arial"/>
        <w:b/>
        <w:sz w:val="18"/>
      </w:rPr>
      <w:t xml:space="preserve"> de 2019</w:t>
    </w:r>
    <w:r>
      <w:rPr>
        <w:rFonts w:ascii="Arial" w:hAnsi="Arial"/>
        <w:b/>
        <w:sz w:val="18"/>
      </w:rPr>
      <w:tab/>
    </w:r>
    <w:r>
      <w:rPr>
        <w:rFonts w:ascii="Arial" w:hAnsi="Arial"/>
        <w:b/>
        <w:sz w:val="18"/>
      </w:rPr>
      <w:tab/>
    </w:r>
    <w:r w:rsidR="00207404">
      <w:rPr>
        <w:rFonts w:ascii="Arial" w:hAnsi="Arial"/>
        <w:b/>
        <w:sz w:val="18"/>
      </w:rPr>
      <w:t>Septiembre de 2019</w:t>
    </w:r>
  </w:p>
  <w:p w:rsidR="00096FAB" w:rsidRPr="000642DE" w:rsidRDefault="00096FAB" w:rsidP="005426D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FAB" w:rsidRPr="00532447" w:rsidRDefault="00096FAB" w:rsidP="00B01F14">
    <w:pPr>
      <w:pStyle w:val="Piedepgina"/>
      <w:tabs>
        <w:tab w:val="clear" w:pos="8504"/>
        <w:tab w:val="right" w:pos="9356"/>
      </w:tabs>
      <w:rPr>
        <w:sz w:val="18"/>
      </w:rPr>
    </w:pPr>
    <w:r w:rsidRPr="00532447">
      <w:rPr>
        <w:rFonts w:ascii="Arial" w:hAnsi="Arial"/>
        <w:b/>
        <w:sz w:val="18"/>
      </w:rPr>
      <w:t>Circular</w:t>
    </w:r>
    <w:r>
      <w:rPr>
        <w:rFonts w:ascii="Arial" w:hAnsi="Arial"/>
        <w:b/>
        <w:sz w:val="18"/>
      </w:rPr>
      <w:t xml:space="preserve"> Externa</w:t>
    </w:r>
    <w:r w:rsidR="00BC28E9">
      <w:rPr>
        <w:rFonts w:ascii="Arial" w:hAnsi="Arial"/>
        <w:b/>
        <w:sz w:val="18"/>
      </w:rPr>
      <w:t xml:space="preserve"> 020</w:t>
    </w:r>
    <w:r w:rsidR="009202F4">
      <w:rPr>
        <w:rFonts w:ascii="Arial" w:hAnsi="Arial"/>
        <w:b/>
        <w:sz w:val="18"/>
      </w:rPr>
      <w:t xml:space="preserve"> </w:t>
    </w:r>
    <w:r>
      <w:rPr>
        <w:rFonts w:ascii="Arial" w:hAnsi="Arial"/>
        <w:b/>
        <w:sz w:val="18"/>
      </w:rPr>
      <w:t>de 2019</w:t>
    </w:r>
    <w:r>
      <w:rPr>
        <w:rFonts w:ascii="Arial" w:hAnsi="Arial"/>
        <w:b/>
        <w:sz w:val="18"/>
      </w:rPr>
      <w:tab/>
    </w:r>
    <w:r>
      <w:rPr>
        <w:rFonts w:ascii="Arial" w:hAnsi="Arial"/>
        <w:b/>
        <w:sz w:val="18"/>
      </w:rPr>
      <w:tab/>
    </w:r>
    <w:r w:rsidR="00ED241B">
      <w:rPr>
        <w:rFonts w:ascii="Arial" w:hAnsi="Arial"/>
        <w:b/>
        <w:sz w:val="18"/>
      </w:rPr>
      <w:t xml:space="preserve">Septiembre </w:t>
    </w:r>
    <w:r>
      <w:rPr>
        <w:rFonts w:ascii="Arial" w:hAnsi="Arial"/>
        <w:b/>
        <w:sz w:val="18"/>
      </w:rPr>
      <w:t>de 2019</w:t>
    </w:r>
  </w:p>
  <w:p w:rsidR="00096FAB" w:rsidRPr="000642DE" w:rsidRDefault="00096FAB" w:rsidP="00B01F14">
    <w:pPr>
      <w:pStyle w:val="Piedepgina"/>
    </w:pPr>
  </w:p>
  <w:p w:rsidR="00096FAB" w:rsidRPr="00532447" w:rsidRDefault="00096FAB" w:rsidP="00815B6E">
    <w:pPr>
      <w:pStyle w:val="Piedepgina"/>
      <w:tabs>
        <w:tab w:val="clear" w:pos="8504"/>
        <w:tab w:val="right" w:pos="9356"/>
      </w:tabs>
      <w:rPr>
        <w:sz w:val="18"/>
      </w:rPr>
    </w:pPr>
  </w:p>
  <w:p w:rsidR="00096FAB" w:rsidRPr="000642DE" w:rsidRDefault="00096FAB" w:rsidP="005426D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923" w:rsidRDefault="001F1923" w:rsidP="0013684A">
      <w:r>
        <w:separator/>
      </w:r>
    </w:p>
  </w:footnote>
  <w:footnote w:type="continuationSeparator" w:id="0">
    <w:p w:rsidR="001F1923" w:rsidRDefault="001F1923" w:rsidP="0013684A">
      <w:r>
        <w:continuationSeparator/>
      </w:r>
    </w:p>
  </w:footnote>
  <w:footnote w:id="1">
    <w:p w:rsidR="00096FAB" w:rsidRPr="00D14DB7" w:rsidRDefault="00096FAB" w:rsidP="0013684A">
      <w:pPr>
        <w:jc w:val="both"/>
        <w:rPr>
          <w:rFonts w:ascii="Arial" w:hAnsi="Arial" w:cs="Arial"/>
          <w:sz w:val="16"/>
          <w:szCs w:val="16"/>
        </w:rPr>
      </w:pPr>
      <w:r w:rsidRPr="00D14DB7">
        <w:rPr>
          <w:rStyle w:val="Refdenotaalpie"/>
          <w:rFonts w:ascii="Arial" w:hAnsi="Arial" w:cs="Arial"/>
          <w:sz w:val="16"/>
          <w:szCs w:val="16"/>
        </w:rPr>
        <w:footnoteRef/>
      </w:r>
      <w:r w:rsidRPr="00D14DB7">
        <w:rPr>
          <w:rFonts w:ascii="Arial" w:hAnsi="Arial" w:cs="Arial"/>
          <w:sz w:val="16"/>
          <w:szCs w:val="16"/>
        </w:rPr>
        <w:t xml:space="preserve"> Se entiende por beneficiario real cualquier persona o grupo de personas que, directa o indirectamente, por sí misma o a través de interpuesta persona, por virtud de contrato, convenio o de cualquier otra manera, tenga respecto de una acción o de cualquier participación en una sociedad, la facultad o el poder de votar en la elección de directivas o representantes, o de dirigir, orientar y controlar dicho voto, así como la facultad o el poder de enajenar y ordenar la enajenación o gravamen de la acción o de la participación.</w:t>
      </w:r>
    </w:p>
    <w:p w:rsidR="00096FAB" w:rsidRDefault="00096FAB" w:rsidP="0013684A">
      <w:pPr>
        <w:jc w:val="both"/>
        <w:rPr>
          <w:rFonts w:ascii="Arial" w:hAnsi="Arial" w:cs="Arial"/>
          <w:sz w:val="16"/>
          <w:szCs w:val="16"/>
        </w:rPr>
      </w:pPr>
      <w:r w:rsidRPr="00D14DB7">
        <w:rPr>
          <w:rFonts w:ascii="Arial" w:hAnsi="Arial" w:cs="Arial"/>
          <w:sz w:val="16"/>
          <w:szCs w:val="16"/>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SFC con fines exclusivamente probatorios.</w:t>
      </w:r>
    </w:p>
    <w:p w:rsidR="00096FAB" w:rsidRPr="00143CF7" w:rsidRDefault="00096FAB" w:rsidP="0013684A">
      <w:pPr>
        <w:jc w:val="both"/>
        <w:rPr>
          <w:rFonts w:ascii="Arial" w:hAnsi="Arial" w:cs="Arial"/>
          <w:sz w:val="10"/>
          <w:szCs w:val="16"/>
        </w:rPr>
      </w:pPr>
    </w:p>
    <w:p w:rsidR="00096FAB" w:rsidRPr="003F46AA" w:rsidRDefault="00096FAB" w:rsidP="0013684A">
      <w:pPr>
        <w:pStyle w:val="Textonotapie"/>
        <w:jc w:val="both"/>
        <w:rPr>
          <w:lang w:val="es-CO"/>
        </w:rPr>
      </w:pPr>
      <w:r w:rsidRPr="00D14DB7">
        <w:rPr>
          <w:rFonts w:ascii="Arial" w:hAnsi="Arial" w:cs="Arial"/>
          <w:sz w:val="16"/>
          <w:szCs w:val="16"/>
        </w:rPr>
        <w:t>Una persona o grupo de personas se considera beneficiario real de una acción o participación si tiene derecho para hacerse a su propiedad con ocasión del ejercicio de un derecho proveniente de una garantía o de un pacto de recompra o de un negocio fiduciario o cualquier otro pacto que produzca efectos similares, salvo que los mismos no confieran derechos políticos.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FAB" w:rsidRPr="00FA02E1" w:rsidRDefault="00096FAB" w:rsidP="0013684A">
    <w:pPr>
      <w:pStyle w:val="Encabezado"/>
      <w:jc w:val="center"/>
      <w:rPr>
        <w:rFonts w:ascii="Arial" w:hAnsi="Arial" w:cs="Arial"/>
        <w:b/>
        <w:sz w:val="24"/>
        <w:szCs w:val="22"/>
      </w:rPr>
    </w:pPr>
    <w:r w:rsidRPr="00FA02E1">
      <w:rPr>
        <w:rFonts w:ascii="Arial" w:hAnsi="Arial" w:cs="Arial"/>
        <w:b/>
        <w:sz w:val="24"/>
        <w:szCs w:val="22"/>
      </w:rPr>
      <w:t>SUPERINTENDENCIA FINANCIERA DE COLOMBIA</w:t>
    </w:r>
  </w:p>
  <w:p w:rsidR="00096FAB" w:rsidRDefault="00096FAB">
    <w:pPr>
      <w:pStyle w:val="Encabezado"/>
    </w:pPr>
  </w:p>
  <w:p w:rsidR="00096FAB" w:rsidRPr="00FA02E1" w:rsidRDefault="00096FAB" w:rsidP="0013684A">
    <w:pPr>
      <w:pStyle w:val="Encabezado"/>
      <w:rPr>
        <w:rFonts w:ascii="Arial" w:hAnsi="Arial" w:cs="Arial"/>
        <w:b/>
        <w:sz w:val="18"/>
        <w:szCs w:val="18"/>
      </w:rPr>
    </w:pPr>
    <w:r w:rsidRPr="00FA02E1">
      <w:rPr>
        <w:rFonts w:ascii="Arial" w:hAnsi="Arial" w:cs="Arial"/>
        <w:b/>
        <w:sz w:val="18"/>
        <w:szCs w:val="18"/>
      </w:rPr>
      <w:t>CAPITULO XIII - CONTROLES DE LEY</w:t>
    </w:r>
  </w:p>
  <w:p w:rsidR="00096FAB" w:rsidRDefault="00F57841" w:rsidP="005426D8">
    <w:pPr>
      <w:pStyle w:val="Encabezado"/>
      <w:rPr>
        <w:rFonts w:ascii="Arial" w:hAnsi="Arial" w:cs="Arial"/>
        <w:b/>
        <w:sz w:val="18"/>
        <w:szCs w:val="18"/>
      </w:rPr>
    </w:pPr>
    <w:r>
      <w:rPr>
        <w:rFonts w:ascii="Arial" w:hAnsi="Arial" w:cs="Arial"/>
        <w:b/>
        <w:sz w:val="18"/>
        <w:szCs w:val="18"/>
      </w:rPr>
      <w:t>Página 119</w:t>
    </w:r>
    <w:r w:rsidR="00096FAB">
      <w:rPr>
        <w:rFonts w:ascii="Arial" w:hAnsi="Arial" w:cs="Arial"/>
        <w:b/>
        <w:sz w:val="18"/>
        <w:szCs w:val="18"/>
      </w:rPr>
      <w:t xml:space="preserve">  </w:t>
    </w:r>
  </w:p>
  <w:p w:rsidR="00096FAB" w:rsidRPr="00FA02E1" w:rsidRDefault="00096FAB" w:rsidP="005426D8">
    <w:pPr>
      <w:pStyle w:val="Encabezado"/>
      <w:rPr>
        <w:rFonts w:ascii="Arial" w:hAnsi="Arial" w:cs="Arial"/>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FAB" w:rsidRPr="00FA02E1" w:rsidRDefault="00096FAB" w:rsidP="00C04A5F">
    <w:pPr>
      <w:pStyle w:val="Encabezado"/>
      <w:jc w:val="center"/>
      <w:rPr>
        <w:rFonts w:ascii="Arial" w:hAnsi="Arial" w:cs="Arial"/>
        <w:b/>
        <w:sz w:val="24"/>
        <w:szCs w:val="22"/>
      </w:rPr>
    </w:pPr>
    <w:r w:rsidRPr="00FA02E1">
      <w:rPr>
        <w:rFonts w:ascii="Arial" w:hAnsi="Arial" w:cs="Arial"/>
        <w:b/>
        <w:sz w:val="24"/>
        <w:szCs w:val="22"/>
      </w:rPr>
      <w:t>SUPERINTENDENCIA FINANCIERA DE COLOMBIA</w:t>
    </w:r>
  </w:p>
  <w:p w:rsidR="00096FAB" w:rsidRDefault="00096FAB" w:rsidP="00C04A5F">
    <w:pPr>
      <w:pStyle w:val="Encabezado"/>
    </w:pPr>
  </w:p>
  <w:p w:rsidR="00096FAB" w:rsidRPr="00FA02E1" w:rsidRDefault="00096FAB" w:rsidP="00C04A5F">
    <w:pPr>
      <w:pStyle w:val="Encabezado"/>
      <w:rPr>
        <w:rFonts w:ascii="Arial" w:hAnsi="Arial" w:cs="Arial"/>
        <w:b/>
        <w:sz w:val="18"/>
        <w:szCs w:val="18"/>
      </w:rPr>
    </w:pPr>
    <w:r w:rsidRPr="00FA02E1">
      <w:rPr>
        <w:rFonts w:ascii="Arial" w:hAnsi="Arial" w:cs="Arial"/>
        <w:b/>
        <w:sz w:val="18"/>
        <w:szCs w:val="18"/>
      </w:rPr>
      <w:t>CAPITULO XIII - CONTROLES DE LEY</w:t>
    </w:r>
  </w:p>
  <w:p w:rsidR="00096FAB" w:rsidRPr="00FA02E1" w:rsidRDefault="00096FAB" w:rsidP="00C04A5F">
    <w:pPr>
      <w:pStyle w:val="Encabezado"/>
      <w:rPr>
        <w:rFonts w:ascii="Arial" w:hAnsi="Arial" w:cs="Arial"/>
        <w:b/>
        <w:sz w:val="18"/>
        <w:szCs w:val="18"/>
      </w:rPr>
    </w:pPr>
    <w:r w:rsidRPr="0013684A">
      <w:rPr>
        <w:rFonts w:ascii="Arial" w:hAnsi="Arial" w:cs="Arial"/>
        <w:b/>
        <w:sz w:val="18"/>
        <w:szCs w:val="18"/>
      </w:rPr>
      <w:t>Página</w:t>
    </w:r>
    <w:r>
      <w:rPr>
        <w:rFonts w:ascii="Arial" w:hAnsi="Arial" w:cs="Arial"/>
        <w:b/>
        <w:sz w:val="18"/>
        <w:szCs w:val="18"/>
      </w:rPr>
      <w:t xml:space="preserve">    </w:t>
    </w:r>
    <w:r w:rsidRPr="0013684A">
      <w:rPr>
        <w:rFonts w:ascii="Arial" w:hAnsi="Arial" w:cs="Arial"/>
        <w:b/>
        <w:sz w:val="18"/>
        <w:szCs w:val="18"/>
      </w:rPr>
      <w:t xml:space="preserve"> </w:t>
    </w:r>
    <w:sdt>
      <w:sdtPr>
        <w:rPr>
          <w:rFonts w:ascii="Arial" w:hAnsi="Arial" w:cs="Arial"/>
          <w:b/>
          <w:sz w:val="18"/>
          <w:szCs w:val="18"/>
        </w:rPr>
        <w:id w:val="772287333"/>
        <w:docPartObj>
          <w:docPartGallery w:val="Page Numbers (Top of Page)"/>
          <w:docPartUnique/>
        </w:docPartObj>
      </w:sdtPr>
      <w:sdtEndPr/>
      <w:sdtContent>
        <w:r>
          <w:rPr>
            <w:rFonts w:ascii="Arial" w:hAnsi="Arial" w:cs="Arial"/>
            <w:b/>
            <w:sz w:val="18"/>
            <w:szCs w:val="18"/>
          </w:rPr>
          <w:t>93</w:t>
        </w:r>
      </w:sdtContent>
    </w:sdt>
  </w:p>
  <w:p w:rsidR="00096FAB" w:rsidRDefault="00096FAB" w:rsidP="00C04A5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FAB" w:rsidRPr="00FA02E1" w:rsidRDefault="00096FAB" w:rsidP="0013684A">
    <w:pPr>
      <w:pStyle w:val="Encabezado"/>
      <w:jc w:val="center"/>
      <w:rPr>
        <w:rFonts w:ascii="Arial" w:hAnsi="Arial" w:cs="Arial"/>
        <w:b/>
        <w:sz w:val="24"/>
        <w:szCs w:val="22"/>
      </w:rPr>
    </w:pPr>
    <w:r w:rsidRPr="00FA02E1">
      <w:rPr>
        <w:rFonts w:ascii="Arial" w:hAnsi="Arial" w:cs="Arial"/>
        <w:b/>
        <w:sz w:val="24"/>
        <w:szCs w:val="22"/>
      </w:rPr>
      <w:t>SUPERINTENDENCIA FINANCIERA DE COLOMBIA</w:t>
    </w:r>
  </w:p>
  <w:p w:rsidR="00096FAB" w:rsidRDefault="00096FAB">
    <w:pPr>
      <w:pStyle w:val="Encabezado"/>
    </w:pPr>
  </w:p>
  <w:p w:rsidR="00096FAB" w:rsidRPr="00FA02E1" w:rsidRDefault="00096FAB" w:rsidP="0013684A">
    <w:pPr>
      <w:pStyle w:val="Encabezado"/>
      <w:rPr>
        <w:rFonts w:ascii="Arial" w:hAnsi="Arial" w:cs="Arial"/>
        <w:b/>
        <w:sz w:val="18"/>
        <w:szCs w:val="18"/>
      </w:rPr>
    </w:pPr>
    <w:r w:rsidRPr="00FA02E1">
      <w:rPr>
        <w:rFonts w:ascii="Arial" w:hAnsi="Arial" w:cs="Arial"/>
        <w:b/>
        <w:sz w:val="18"/>
        <w:szCs w:val="18"/>
      </w:rPr>
      <w:t>CAPITULO XIII - CONTROLES DE LEY</w:t>
    </w:r>
  </w:p>
  <w:p w:rsidR="00096FAB" w:rsidRPr="00FA02E1" w:rsidRDefault="00096FAB" w:rsidP="005426D8">
    <w:pPr>
      <w:pStyle w:val="Encabezado"/>
      <w:rPr>
        <w:rFonts w:ascii="Arial" w:hAnsi="Arial" w:cs="Arial"/>
        <w:b/>
        <w:sz w:val="18"/>
        <w:szCs w:val="18"/>
      </w:rPr>
    </w:pPr>
    <w:r w:rsidRPr="0013684A">
      <w:rPr>
        <w:rFonts w:ascii="Arial" w:hAnsi="Arial" w:cs="Arial"/>
        <w:b/>
        <w:sz w:val="18"/>
        <w:szCs w:val="18"/>
      </w:rPr>
      <w:t>Página</w:t>
    </w:r>
    <w:r>
      <w:rPr>
        <w:rFonts w:ascii="Arial" w:hAnsi="Arial" w:cs="Arial"/>
        <w:b/>
        <w:sz w:val="18"/>
        <w:szCs w:val="18"/>
      </w:rPr>
      <w:t xml:space="preserve">  </w:t>
    </w:r>
    <w:r w:rsidR="00F57841" w:rsidRPr="00F57841">
      <w:rPr>
        <w:rFonts w:ascii="Arial" w:hAnsi="Arial" w:cs="Arial"/>
        <w:b/>
        <w:sz w:val="18"/>
        <w:szCs w:val="18"/>
      </w:rPr>
      <w:fldChar w:fldCharType="begin"/>
    </w:r>
    <w:r w:rsidR="00F57841" w:rsidRPr="00F57841">
      <w:rPr>
        <w:rFonts w:ascii="Arial" w:hAnsi="Arial" w:cs="Arial"/>
        <w:b/>
        <w:sz w:val="18"/>
        <w:szCs w:val="18"/>
      </w:rPr>
      <w:instrText>PAGE   \* MERGEFORMAT</w:instrText>
    </w:r>
    <w:r w:rsidR="00F57841" w:rsidRPr="00F57841">
      <w:rPr>
        <w:rFonts w:ascii="Arial" w:hAnsi="Arial" w:cs="Arial"/>
        <w:b/>
        <w:sz w:val="18"/>
        <w:szCs w:val="18"/>
      </w:rPr>
      <w:fldChar w:fldCharType="separate"/>
    </w:r>
    <w:r w:rsidR="00BC28E9" w:rsidRPr="00BC28E9">
      <w:rPr>
        <w:rFonts w:ascii="Arial" w:hAnsi="Arial" w:cs="Arial"/>
        <w:b/>
        <w:noProof/>
        <w:sz w:val="18"/>
        <w:szCs w:val="18"/>
        <w:lang w:val="es-ES"/>
      </w:rPr>
      <w:t>133</w:t>
    </w:r>
    <w:r w:rsidR="00F57841" w:rsidRPr="00F57841">
      <w:rPr>
        <w:rFonts w:ascii="Arial" w:hAnsi="Arial" w:cs="Arial"/>
        <w:b/>
        <w:sz w:val="18"/>
        <w:szCs w:val="18"/>
      </w:rPr>
      <w:fldChar w:fldCharType="end"/>
    </w:r>
    <w:r>
      <w:rPr>
        <w:rFonts w:ascii="Arial" w:hAnsi="Arial" w:cs="Arial"/>
        <w:b/>
        <w:sz w:val="18"/>
        <w:szCs w:val="18"/>
      </w:rPr>
      <w:t xml:space="preserve">  </w:t>
    </w:r>
    <w:r w:rsidRPr="0013684A">
      <w:rPr>
        <w:rFonts w:ascii="Arial" w:hAnsi="Arial" w:cs="Arial"/>
        <w:b/>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5D9D"/>
    <w:multiLevelType w:val="hybridMultilevel"/>
    <w:tmpl w:val="4BBA7500"/>
    <w:lvl w:ilvl="0" w:tplc="240A000F">
      <w:start w:val="6"/>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00EC0CAA"/>
    <w:multiLevelType w:val="hybridMultilevel"/>
    <w:tmpl w:val="63A4190C"/>
    <w:lvl w:ilvl="0" w:tplc="5F468458">
      <w:start w:val="1"/>
      <w:numFmt w:val="lowerRoman"/>
      <w:lvlText w:val="%1)"/>
      <w:lvlJc w:val="left"/>
      <w:pPr>
        <w:ind w:left="360" w:hanging="360"/>
      </w:pPr>
      <w:rPr>
        <w:rFonts w:ascii="Arial" w:eastAsia="Times New Roman" w:hAnsi="Arial" w:cs="Ari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2C14A5B"/>
    <w:multiLevelType w:val="hybridMultilevel"/>
    <w:tmpl w:val="F1EC9C6C"/>
    <w:lvl w:ilvl="0" w:tplc="BD4481D0">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03701C08"/>
    <w:multiLevelType w:val="hybridMultilevel"/>
    <w:tmpl w:val="2EEC8D22"/>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3BB4A53"/>
    <w:multiLevelType w:val="hybridMultilevel"/>
    <w:tmpl w:val="2FF8A19E"/>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47066A5"/>
    <w:multiLevelType w:val="multilevel"/>
    <w:tmpl w:val="42B235B2"/>
    <w:lvl w:ilvl="0">
      <w:start w:val="2"/>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61C09C1"/>
    <w:multiLevelType w:val="multilevel"/>
    <w:tmpl w:val="CD48CD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49D7C24"/>
    <w:multiLevelType w:val="multilevel"/>
    <w:tmpl w:val="967C86CE"/>
    <w:lvl w:ilvl="0">
      <w:start w:val="2"/>
      <w:numFmt w:val="decimal"/>
      <w:lvlText w:val="%1."/>
      <w:lvlJc w:val="left"/>
      <w:pPr>
        <w:ind w:left="528" w:hanging="528"/>
      </w:pPr>
      <w:rPr>
        <w:rFonts w:hint="default"/>
      </w:rPr>
    </w:lvl>
    <w:lvl w:ilvl="1">
      <w:start w:val="4"/>
      <w:numFmt w:val="decimal"/>
      <w:lvlText w:val="%1.%2."/>
      <w:lvlJc w:val="left"/>
      <w:pPr>
        <w:ind w:left="528" w:hanging="528"/>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5FE6DAF"/>
    <w:multiLevelType w:val="hybridMultilevel"/>
    <w:tmpl w:val="F05CA1B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80B12F6"/>
    <w:multiLevelType w:val="hybridMultilevel"/>
    <w:tmpl w:val="5BDA18C2"/>
    <w:lvl w:ilvl="0" w:tplc="240A0017">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1A0319D0"/>
    <w:multiLevelType w:val="multilevel"/>
    <w:tmpl w:val="0EF88188"/>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D49380C"/>
    <w:multiLevelType w:val="hybridMultilevel"/>
    <w:tmpl w:val="90C2CC84"/>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21DB00AF"/>
    <w:multiLevelType w:val="hybridMultilevel"/>
    <w:tmpl w:val="B42A3E94"/>
    <w:lvl w:ilvl="0" w:tplc="240A0017">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22CD5880"/>
    <w:multiLevelType w:val="hybridMultilevel"/>
    <w:tmpl w:val="9DEAB020"/>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250273D6"/>
    <w:multiLevelType w:val="hybridMultilevel"/>
    <w:tmpl w:val="8FF2DB04"/>
    <w:lvl w:ilvl="0" w:tplc="6804FC88">
      <w:start w:val="9"/>
      <w:numFmt w:val="lowerLetter"/>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6" w15:restartNumberingAfterBreak="0">
    <w:nsid w:val="32CA2E19"/>
    <w:multiLevelType w:val="hybridMultilevel"/>
    <w:tmpl w:val="29EEEC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3CB51BE3"/>
    <w:multiLevelType w:val="hybridMultilevel"/>
    <w:tmpl w:val="CA92F7FE"/>
    <w:lvl w:ilvl="0" w:tplc="5A4A5BEC">
      <w:start w:val="1"/>
      <w:numFmt w:val="lowerRoman"/>
      <w:lvlText w:val="%1)"/>
      <w:lvlJc w:val="left"/>
      <w:pPr>
        <w:ind w:left="1146" w:hanging="72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8" w15:restartNumberingAfterBreak="0">
    <w:nsid w:val="3F3F1E16"/>
    <w:multiLevelType w:val="hybridMultilevel"/>
    <w:tmpl w:val="B218D3AA"/>
    <w:lvl w:ilvl="0" w:tplc="240A0017">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411E5314"/>
    <w:multiLevelType w:val="hybridMultilevel"/>
    <w:tmpl w:val="A39866B4"/>
    <w:lvl w:ilvl="0" w:tplc="BC14F3B2">
      <w:start w:val="1"/>
      <w:numFmt w:val="lowerLetter"/>
      <w:lvlText w:val="%1)"/>
      <w:lvlJc w:val="left"/>
      <w:pPr>
        <w:ind w:left="786" w:hanging="360"/>
      </w:pPr>
      <w:rPr>
        <w:rFonts w:hint="default"/>
        <w:i/>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0" w15:restartNumberingAfterBreak="0">
    <w:nsid w:val="41C847B9"/>
    <w:multiLevelType w:val="multilevel"/>
    <w:tmpl w:val="A8B80386"/>
    <w:lvl w:ilvl="0">
      <w:start w:val="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7F004AF"/>
    <w:multiLevelType w:val="hybridMultilevel"/>
    <w:tmpl w:val="C7D260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818171C"/>
    <w:multiLevelType w:val="hybridMultilevel"/>
    <w:tmpl w:val="A842986A"/>
    <w:lvl w:ilvl="0" w:tplc="B748FB48">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489412BB"/>
    <w:multiLevelType w:val="hybridMultilevel"/>
    <w:tmpl w:val="8BF4A59C"/>
    <w:lvl w:ilvl="0" w:tplc="41DAAF02">
      <w:start w:val="2"/>
      <w:numFmt w:val="lowerRoman"/>
      <w:lvlText w:val="%1)"/>
      <w:lvlJc w:val="left"/>
      <w:pPr>
        <w:ind w:left="1146" w:hanging="72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4" w15:restartNumberingAfterBreak="0">
    <w:nsid w:val="49F57A8E"/>
    <w:multiLevelType w:val="hybridMultilevel"/>
    <w:tmpl w:val="6BF6538C"/>
    <w:lvl w:ilvl="0" w:tplc="240A0017">
      <w:start w:val="1"/>
      <w:numFmt w:val="lowerLetter"/>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25" w15:restartNumberingAfterBreak="0">
    <w:nsid w:val="4DE50BAF"/>
    <w:multiLevelType w:val="hybridMultilevel"/>
    <w:tmpl w:val="F0882CBA"/>
    <w:lvl w:ilvl="0" w:tplc="299000D0">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2B64AB2"/>
    <w:multiLevelType w:val="multilevel"/>
    <w:tmpl w:val="8A567E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1007FF4"/>
    <w:multiLevelType w:val="hybridMultilevel"/>
    <w:tmpl w:val="6CEC19D2"/>
    <w:lvl w:ilvl="0" w:tplc="299000D0">
      <w:start w:val="1"/>
      <w:numFmt w:val="lowerRoman"/>
      <w:lvlText w:val="%1)"/>
      <w:lvlJc w:val="left"/>
      <w:pPr>
        <w:ind w:left="1572" w:hanging="1146"/>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8" w15:restartNumberingAfterBreak="0">
    <w:nsid w:val="66551A51"/>
    <w:multiLevelType w:val="hybridMultilevel"/>
    <w:tmpl w:val="B7526BA8"/>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666579EC"/>
    <w:multiLevelType w:val="multilevel"/>
    <w:tmpl w:val="48CE6F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7CE0D68"/>
    <w:multiLevelType w:val="hybridMultilevel"/>
    <w:tmpl w:val="E0640B6A"/>
    <w:lvl w:ilvl="0" w:tplc="299000D0">
      <w:start w:val="1"/>
      <w:numFmt w:val="lowerRoman"/>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1" w15:restartNumberingAfterBreak="0">
    <w:nsid w:val="68456AE6"/>
    <w:multiLevelType w:val="hybridMultilevel"/>
    <w:tmpl w:val="7DDE296A"/>
    <w:lvl w:ilvl="0" w:tplc="9154C07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889176C"/>
    <w:multiLevelType w:val="hybridMultilevel"/>
    <w:tmpl w:val="6F3A86F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C281455"/>
    <w:multiLevelType w:val="hybridMultilevel"/>
    <w:tmpl w:val="67D6F782"/>
    <w:lvl w:ilvl="0" w:tplc="5F468458">
      <w:start w:val="1"/>
      <w:numFmt w:val="lowerRoman"/>
      <w:lvlText w:val="%1)"/>
      <w:lvlJc w:val="lef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E2D051D"/>
    <w:multiLevelType w:val="hybridMultilevel"/>
    <w:tmpl w:val="F872F422"/>
    <w:lvl w:ilvl="0" w:tplc="AB9034D4">
      <w:start w:val="2"/>
      <w:numFmt w:val="lowerRoman"/>
      <w:lvlText w:val="%1)"/>
      <w:lvlJc w:val="left"/>
      <w:pPr>
        <w:ind w:left="1146" w:hanging="72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35" w15:restartNumberingAfterBreak="0">
    <w:nsid w:val="761D0D60"/>
    <w:multiLevelType w:val="multilevel"/>
    <w:tmpl w:val="B09A927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8371DE0"/>
    <w:multiLevelType w:val="multilevel"/>
    <w:tmpl w:val="04EC4DD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79481CF6"/>
    <w:multiLevelType w:val="hybridMultilevel"/>
    <w:tmpl w:val="7974EC04"/>
    <w:lvl w:ilvl="0" w:tplc="240A0017">
      <w:start w:val="1"/>
      <w:numFmt w:val="lowerLetter"/>
      <w:lvlText w:val="%1)"/>
      <w:lvlJc w:val="left"/>
      <w:pPr>
        <w:ind w:left="720" w:hanging="720"/>
      </w:pPr>
      <w:rPr>
        <w:rFonts w:hint="default"/>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num w:numId="1">
    <w:abstractNumId w:val="16"/>
  </w:num>
  <w:num w:numId="2">
    <w:abstractNumId w:val="24"/>
  </w:num>
  <w:num w:numId="3">
    <w:abstractNumId w:val="4"/>
  </w:num>
  <w:num w:numId="4">
    <w:abstractNumId w:val="11"/>
  </w:num>
  <w:num w:numId="5">
    <w:abstractNumId w:val="29"/>
  </w:num>
  <w:num w:numId="6">
    <w:abstractNumId w:val="32"/>
  </w:num>
  <w:num w:numId="7">
    <w:abstractNumId w:val="5"/>
  </w:num>
  <w:num w:numId="8">
    <w:abstractNumId w:val="3"/>
  </w:num>
  <w:num w:numId="9">
    <w:abstractNumId w:val="22"/>
  </w:num>
  <w:num w:numId="10">
    <w:abstractNumId w:val="0"/>
  </w:num>
  <w:num w:numId="11">
    <w:abstractNumId w:val="35"/>
  </w:num>
  <w:num w:numId="12">
    <w:abstractNumId w:val="12"/>
  </w:num>
  <w:num w:numId="13">
    <w:abstractNumId w:val="26"/>
  </w:num>
  <w:num w:numId="14">
    <w:abstractNumId w:val="36"/>
  </w:num>
  <w:num w:numId="15">
    <w:abstractNumId w:val="7"/>
  </w:num>
  <w:num w:numId="16">
    <w:abstractNumId w:val="37"/>
  </w:num>
  <w:num w:numId="17">
    <w:abstractNumId w:val="18"/>
  </w:num>
  <w:num w:numId="18">
    <w:abstractNumId w:val="13"/>
  </w:num>
  <w:num w:numId="19">
    <w:abstractNumId w:val="9"/>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1"/>
  </w:num>
  <w:num w:numId="23">
    <w:abstractNumId w:val="19"/>
  </w:num>
  <w:num w:numId="24">
    <w:abstractNumId w:val="15"/>
  </w:num>
  <w:num w:numId="25">
    <w:abstractNumId w:val="2"/>
  </w:num>
  <w:num w:numId="26">
    <w:abstractNumId w:val="17"/>
  </w:num>
  <w:num w:numId="27">
    <w:abstractNumId w:val="1"/>
  </w:num>
  <w:num w:numId="28">
    <w:abstractNumId w:val="34"/>
  </w:num>
  <w:num w:numId="29">
    <w:abstractNumId w:val="23"/>
  </w:num>
  <w:num w:numId="30">
    <w:abstractNumId w:val="6"/>
  </w:num>
  <w:num w:numId="31">
    <w:abstractNumId w:val="27"/>
  </w:num>
  <w:num w:numId="32">
    <w:abstractNumId w:val="33"/>
  </w:num>
  <w:num w:numId="33">
    <w:abstractNumId w:val="25"/>
  </w:num>
  <w:num w:numId="34">
    <w:abstractNumId w:val="30"/>
  </w:num>
  <w:num w:numId="35">
    <w:abstractNumId w:val="31"/>
  </w:num>
  <w:num w:numId="36">
    <w:abstractNumId w:val="28"/>
  </w:num>
  <w:num w:numId="37">
    <w:abstractNumId w:val="10"/>
  </w:num>
  <w:num w:numId="38">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84A"/>
    <w:rsid w:val="00000472"/>
    <w:rsid w:val="000009A0"/>
    <w:rsid w:val="00002C38"/>
    <w:rsid w:val="00002D2F"/>
    <w:rsid w:val="0000491B"/>
    <w:rsid w:val="0000582B"/>
    <w:rsid w:val="000058D1"/>
    <w:rsid w:val="00007252"/>
    <w:rsid w:val="00010503"/>
    <w:rsid w:val="00010CD3"/>
    <w:rsid w:val="00010DD6"/>
    <w:rsid w:val="00011189"/>
    <w:rsid w:val="000123AF"/>
    <w:rsid w:val="00014273"/>
    <w:rsid w:val="0001507B"/>
    <w:rsid w:val="00017123"/>
    <w:rsid w:val="00017AC0"/>
    <w:rsid w:val="00020308"/>
    <w:rsid w:val="00020DF9"/>
    <w:rsid w:val="0002140A"/>
    <w:rsid w:val="0002447D"/>
    <w:rsid w:val="00026682"/>
    <w:rsid w:val="00026F8E"/>
    <w:rsid w:val="000278D8"/>
    <w:rsid w:val="00031CB7"/>
    <w:rsid w:val="00032C00"/>
    <w:rsid w:val="00032F13"/>
    <w:rsid w:val="00035087"/>
    <w:rsid w:val="000359E5"/>
    <w:rsid w:val="00035DB3"/>
    <w:rsid w:val="00041F41"/>
    <w:rsid w:val="00042078"/>
    <w:rsid w:val="00044784"/>
    <w:rsid w:val="00044B2A"/>
    <w:rsid w:val="00045A0B"/>
    <w:rsid w:val="00047785"/>
    <w:rsid w:val="00050AFE"/>
    <w:rsid w:val="00052E02"/>
    <w:rsid w:val="00054640"/>
    <w:rsid w:val="00055BDE"/>
    <w:rsid w:val="000571A2"/>
    <w:rsid w:val="0005728E"/>
    <w:rsid w:val="00060016"/>
    <w:rsid w:val="00062A07"/>
    <w:rsid w:val="00062BA2"/>
    <w:rsid w:val="000634CA"/>
    <w:rsid w:val="000635E2"/>
    <w:rsid w:val="00063653"/>
    <w:rsid w:val="000646A5"/>
    <w:rsid w:val="000654D4"/>
    <w:rsid w:val="000663E0"/>
    <w:rsid w:val="00066BE9"/>
    <w:rsid w:val="00066E04"/>
    <w:rsid w:val="00067842"/>
    <w:rsid w:val="00070A42"/>
    <w:rsid w:val="00071863"/>
    <w:rsid w:val="00071FD6"/>
    <w:rsid w:val="00072650"/>
    <w:rsid w:val="00072B81"/>
    <w:rsid w:val="000746A0"/>
    <w:rsid w:val="00076AB1"/>
    <w:rsid w:val="00077CB3"/>
    <w:rsid w:val="00080731"/>
    <w:rsid w:val="000814A8"/>
    <w:rsid w:val="00081A14"/>
    <w:rsid w:val="000826AD"/>
    <w:rsid w:val="0008396B"/>
    <w:rsid w:val="00084CB7"/>
    <w:rsid w:val="0008530C"/>
    <w:rsid w:val="00086659"/>
    <w:rsid w:val="000875B9"/>
    <w:rsid w:val="00090B4A"/>
    <w:rsid w:val="00090E63"/>
    <w:rsid w:val="00092666"/>
    <w:rsid w:val="00093A14"/>
    <w:rsid w:val="0009439B"/>
    <w:rsid w:val="000949EA"/>
    <w:rsid w:val="0009672A"/>
    <w:rsid w:val="00096FAB"/>
    <w:rsid w:val="0009763E"/>
    <w:rsid w:val="000A06C4"/>
    <w:rsid w:val="000A11C1"/>
    <w:rsid w:val="000A17D7"/>
    <w:rsid w:val="000A28AB"/>
    <w:rsid w:val="000A2CCD"/>
    <w:rsid w:val="000A30F6"/>
    <w:rsid w:val="000A3325"/>
    <w:rsid w:val="000A3F18"/>
    <w:rsid w:val="000A4A13"/>
    <w:rsid w:val="000A4C84"/>
    <w:rsid w:val="000A5BA3"/>
    <w:rsid w:val="000A6B05"/>
    <w:rsid w:val="000A6E2E"/>
    <w:rsid w:val="000B0C0D"/>
    <w:rsid w:val="000B13FC"/>
    <w:rsid w:val="000B2366"/>
    <w:rsid w:val="000B2F2C"/>
    <w:rsid w:val="000B416C"/>
    <w:rsid w:val="000B6439"/>
    <w:rsid w:val="000C2546"/>
    <w:rsid w:val="000C2847"/>
    <w:rsid w:val="000C4698"/>
    <w:rsid w:val="000C46C9"/>
    <w:rsid w:val="000C4968"/>
    <w:rsid w:val="000C4A8E"/>
    <w:rsid w:val="000C4F19"/>
    <w:rsid w:val="000C53B1"/>
    <w:rsid w:val="000C53EB"/>
    <w:rsid w:val="000C6F6D"/>
    <w:rsid w:val="000C759C"/>
    <w:rsid w:val="000D1B89"/>
    <w:rsid w:val="000D32D1"/>
    <w:rsid w:val="000D3320"/>
    <w:rsid w:val="000D5213"/>
    <w:rsid w:val="000D5CBE"/>
    <w:rsid w:val="000D61D6"/>
    <w:rsid w:val="000E1F7A"/>
    <w:rsid w:val="000E2F70"/>
    <w:rsid w:val="000E5B09"/>
    <w:rsid w:val="000E5CE4"/>
    <w:rsid w:val="000E747E"/>
    <w:rsid w:val="000F0BF3"/>
    <w:rsid w:val="000F4285"/>
    <w:rsid w:val="000F45AC"/>
    <w:rsid w:val="000F5DD9"/>
    <w:rsid w:val="001004F6"/>
    <w:rsid w:val="0010145F"/>
    <w:rsid w:val="00102D87"/>
    <w:rsid w:val="00103C9F"/>
    <w:rsid w:val="00103F32"/>
    <w:rsid w:val="001044CA"/>
    <w:rsid w:val="0010460E"/>
    <w:rsid w:val="00104EE5"/>
    <w:rsid w:val="001055F6"/>
    <w:rsid w:val="00106161"/>
    <w:rsid w:val="0011061A"/>
    <w:rsid w:val="00110CB6"/>
    <w:rsid w:val="001115A5"/>
    <w:rsid w:val="00113932"/>
    <w:rsid w:val="00113C1A"/>
    <w:rsid w:val="00117EB0"/>
    <w:rsid w:val="0012160B"/>
    <w:rsid w:val="0012441C"/>
    <w:rsid w:val="00124BE0"/>
    <w:rsid w:val="00125979"/>
    <w:rsid w:val="00126508"/>
    <w:rsid w:val="00126A82"/>
    <w:rsid w:val="00126E04"/>
    <w:rsid w:val="001277DA"/>
    <w:rsid w:val="00131F84"/>
    <w:rsid w:val="00136471"/>
    <w:rsid w:val="0013684A"/>
    <w:rsid w:val="00136BCA"/>
    <w:rsid w:val="00136C4B"/>
    <w:rsid w:val="0013708A"/>
    <w:rsid w:val="0014017D"/>
    <w:rsid w:val="00140621"/>
    <w:rsid w:val="00143CF7"/>
    <w:rsid w:val="00144E33"/>
    <w:rsid w:val="001454B8"/>
    <w:rsid w:val="0014579B"/>
    <w:rsid w:val="00146985"/>
    <w:rsid w:val="00151731"/>
    <w:rsid w:val="00152EDF"/>
    <w:rsid w:val="00154906"/>
    <w:rsid w:val="00157C09"/>
    <w:rsid w:val="0016001F"/>
    <w:rsid w:val="00161367"/>
    <w:rsid w:val="00161FB6"/>
    <w:rsid w:val="00162600"/>
    <w:rsid w:val="00163472"/>
    <w:rsid w:val="00164988"/>
    <w:rsid w:val="00164BFB"/>
    <w:rsid w:val="0016608E"/>
    <w:rsid w:val="0016626A"/>
    <w:rsid w:val="00166602"/>
    <w:rsid w:val="001668B4"/>
    <w:rsid w:val="0017177B"/>
    <w:rsid w:val="00171C23"/>
    <w:rsid w:val="0017253B"/>
    <w:rsid w:val="0017330D"/>
    <w:rsid w:val="00174E5B"/>
    <w:rsid w:val="00174F3F"/>
    <w:rsid w:val="00174FCC"/>
    <w:rsid w:val="00177F5A"/>
    <w:rsid w:val="001825AC"/>
    <w:rsid w:val="00182A15"/>
    <w:rsid w:val="00182CEB"/>
    <w:rsid w:val="0018321D"/>
    <w:rsid w:val="00184863"/>
    <w:rsid w:val="00184936"/>
    <w:rsid w:val="00185AAB"/>
    <w:rsid w:val="00186E6B"/>
    <w:rsid w:val="00187AA2"/>
    <w:rsid w:val="00187EB1"/>
    <w:rsid w:val="00187F01"/>
    <w:rsid w:val="00192855"/>
    <w:rsid w:val="00192D33"/>
    <w:rsid w:val="001940CD"/>
    <w:rsid w:val="001952EA"/>
    <w:rsid w:val="001978DF"/>
    <w:rsid w:val="001A0E4B"/>
    <w:rsid w:val="001A10F4"/>
    <w:rsid w:val="001A1105"/>
    <w:rsid w:val="001A3620"/>
    <w:rsid w:val="001A4744"/>
    <w:rsid w:val="001A7181"/>
    <w:rsid w:val="001A74C2"/>
    <w:rsid w:val="001A7FDD"/>
    <w:rsid w:val="001B003A"/>
    <w:rsid w:val="001B3BA3"/>
    <w:rsid w:val="001B4381"/>
    <w:rsid w:val="001B6743"/>
    <w:rsid w:val="001B7859"/>
    <w:rsid w:val="001C0195"/>
    <w:rsid w:val="001C1053"/>
    <w:rsid w:val="001C1521"/>
    <w:rsid w:val="001C471E"/>
    <w:rsid w:val="001C516E"/>
    <w:rsid w:val="001D32AD"/>
    <w:rsid w:val="001D4027"/>
    <w:rsid w:val="001D44DF"/>
    <w:rsid w:val="001E02BA"/>
    <w:rsid w:val="001E0F0D"/>
    <w:rsid w:val="001E11BE"/>
    <w:rsid w:val="001E18FA"/>
    <w:rsid w:val="001E2D06"/>
    <w:rsid w:val="001E3E48"/>
    <w:rsid w:val="001E76B3"/>
    <w:rsid w:val="001F143E"/>
    <w:rsid w:val="001F1923"/>
    <w:rsid w:val="001F1974"/>
    <w:rsid w:val="001F6CFA"/>
    <w:rsid w:val="001F7389"/>
    <w:rsid w:val="001F7ED3"/>
    <w:rsid w:val="00200CC0"/>
    <w:rsid w:val="002040AE"/>
    <w:rsid w:val="00204FA5"/>
    <w:rsid w:val="00205401"/>
    <w:rsid w:val="00205E74"/>
    <w:rsid w:val="0020601C"/>
    <w:rsid w:val="0020616F"/>
    <w:rsid w:val="00207404"/>
    <w:rsid w:val="002079DE"/>
    <w:rsid w:val="002101EC"/>
    <w:rsid w:val="00211F55"/>
    <w:rsid w:val="0021411D"/>
    <w:rsid w:val="00214449"/>
    <w:rsid w:val="002146C4"/>
    <w:rsid w:val="00214C91"/>
    <w:rsid w:val="002163A3"/>
    <w:rsid w:val="002167E4"/>
    <w:rsid w:val="0021722A"/>
    <w:rsid w:val="00220163"/>
    <w:rsid w:val="00221FCC"/>
    <w:rsid w:val="00222886"/>
    <w:rsid w:val="00223B21"/>
    <w:rsid w:val="00223D02"/>
    <w:rsid w:val="00223F49"/>
    <w:rsid w:val="002250D3"/>
    <w:rsid w:val="002254CC"/>
    <w:rsid w:val="00225A4D"/>
    <w:rsid w:val="00225FF2"/>
    <w:rsid w:val="002261C3"/>
    <w:rsid w:val="002264F5"/>
    <w:rsid w:val="0023250C"/>
    <w:rsid w:val="00234CFA"/>
    <w:rsid w:val="0023522D"/>
    <w:rsid w:val="0023567F"/>
    <w:rsid w:val="002358D3"/>
    <w:rsid w:val="00235EAC"/>
    <w:rsid w:val="00236CA0"/>
    <w:rsid w:val="00237530"/>
    <w:rsid w:val="00237790"/>
    <w:rsid w:val="00243A33"/>
    <w:rsid w:val="0024442C"/>
    <w:rsid w:val="002448CE"/>
    <w:rsid w:val="00245825"/>
    <w:rsid w:val="00246938"/>
    <w:rsid w:val="00246CA3"/>
    <w:rsid w:val="00246E57"/>
    <w:rsid w:val="00246FDE"/>
    <w:rsid w:val="00247FF1"/>
    <w:rsid w:val="00251CB4"/>
    <w:rsid w:val="00252714"/>
    <w:rsid w:val="00254150"/>
    <w:rsid w:val="00254696"/>
    <w:rsid w:val="002546A4"/>
    <w:rsid w:val="00255746"/>
    <w:rsid w:val="00255CA7"/>
    <w:rsid w:val="002562D1"/>
    <w:rsid w:val="00257EEF"/>
    <w:rsid w:val="00260E82"/>
    <w:rsid w:val="00261401"/>
    <w:rsid w:val="00262657"/>
    <w:rsid w:val="00262766"/>
    <w:rsid w:val="0026334E"/>
    <w:rsid w:val="00263484"/>
    <w:rsid w:val="00263542"/>
    <w:rsid w:val="002638A8"/>
    <w:rsid w:val="00263D88"/>
    <w:rsid w:val="00264222"/>
    <w:rsid w:val="00265767"/>
    <w:rsid w:val="00266941"/>
    <w:rsid w:val="002671E4"/>
    <w:rsid w:val="00272978"/>
    <w:rsid w:val="00273EF5"/>
    <w:rsid w:val="0027506A"/>
    <w:rsid w:val="002768E6"/>
    <w:rsid w:val="002801D9"/>
    <w:rsid w:val="00280CA2"/>
    <w:rsid w:val="00280CC7"/>
    <w:rsid w:val="00280D59"/>
    <w:rsid w:val="0028159F"/>
    <w:rsid w:val="00281784"/>
    <w:rsid w:val="00281AFF"/>
    <w:rsid w:val="00282195"/>
    <w:rsid w:val="002827FF"/>
    <w:rsid w:val="0028497F"/>
    <w:rsid w:val="00287B43"/>
    <w:rsid w:val="002900C9"/>
    <w:rsid w:val="002919F8"/>
    <w:rsid w:val="00292715"/>
    <w:rsid w:val="00292B85"/>
    <w:rsid w:val="00295BFC"/>
    <w:rsid w:val="00295F1A"/>
    <w:rsid w:val="00296863"/>
    <w:rsid w:val="00296E24"/>
    <w:rsid w:val="002A1090"/>
    <w:rsid w:val="002A19A6"/>
    <w:rsid w:val="002A25D5"/>
    <w:rsid w:val="002A2885"/>
    <w:rsid w:val="002A38EB"/>
    <w:rsid w:val="002A3A65"/>
    <w:rsid w:val="002A4070"/>
    <w:rsid w:val="002A450E"/>
    <w:rsid w:val="002A516A"/>
    <w:rsid w:val="002A54E4"/>
    <w:rsid w:val="002A5B0F"/>
    <w:rsid w:val="002A6DBD"/>
    <w:rsid w:val="002B0470"/>
    <w:rsid w:val="002B24B0"/>
    <w:rsid w:val="002B3F56"/>
    <w:rsid w:val="002B4241"/>
    <w:rsid w:val="002B71DE"/>
    <w:rsid w:val="002B73F7"/>
    <w:rsid w:val="002B73FF"/>
    <w:rsid w:val="002C0410"/>
    <w:rsid w:val="002C0BDC"/>
    <w:rsid w:val="002C14DD"/>
    <w:rsid w:val="002C2DB0"/>
    <w:rsid w:val="002C50AF"/>
    <w:rsid w:val="002C5CE2"/>
    <w:rsid w:val="002D06A2"/>
    <w:rsid w:val="002D0BE4"/>
    <w:rsid w:val="002D16F2"/>
    <w:rsid w:val="002D4415"/>
    <w:rsid w:val="002D5B8C"/>
    <w:rsid w:val="002D5C45"/>
    <w:rsid w:val="002D5D1F"/>
    <w:rsid w:val="002D64D3"/>
    <w:rsid w:val="002E03FB"/>
    <w:rsid w:val="002E11FA"/>
    <w:rsid w:val="002E15B8"/>
    <w:rsid w:val="002E30FB"/>
    <w:rsid w:val="002E39AE"/>
    <w:rsid w:val="002E3E53"/>
    <w:rsid w:val="002E408F"/>
    <w:rsid w:val="002E55DF"/>
    <w:rsid w:val="002E59A4"/>
    <w:rsid w:val="002E6310"/>
    <w:rsid w:val="002E681C"/>
    <w:rsid w:val="002E7317"/>
    <w:rsid w:val="002F039E"/>
    <w:rsid w:val="002F2ABD"/>
    <w:rsid w:val="002F509C"/>
    <w:rsid w:val="003008E6"/>
    <w:rsid w:val="0030118B"/>
    <w:rsid w:val="00302B74"/>
    <w:rsid w:val="00303406"/>
    <w:rsid w:val="003052BD"/>
    <w:rsid w:val="003057A8"/>
    <w:rsid w:val="0030757E"/>
    <w:rsid w:val="00307743"/>
    <w:rsid w:val="003077DB"/>
    <w:rsid w:val="00311831"/>
    <w:rsid w:val="00311EEE"/>
    <w:rsid w:val="0031529A"/>
    <w:rsid w:val="00316997"/>
    <w:rsid w:val="00316FE8"/>
    <w:rsid w:val="00317BEC"/>
    <w:rsid w:val="00322740"/>
    <w:rsid w:val="00322B21"/>
    <w:rsid w:val="00322E9D"/>
    <w:rsid w:val="0032343E"/>
    <w:rsid w:val="003239CF"/>
    <w:rsid w:val="003252B5"/>
    <w:rsid w:val="00325C0E"/>
    <w:rsid w:val="00326617"/>
    <w:rsid w:val="00326AC3"/>
    <w:rsid w:val="00332025"/>
    <w:rsid w:val="00332104"/>
    <w:rsid w:val="003326A6"/>
    <w:rsid w:val="003328E9"/>
    <w:rsid w:val="00332E1A"/>
    <w:rsid w:val="003337C9"/>
    <w:rsid w:val="00333A36"/>
    <w:rsid w:val="00334063"/>
    <w:rsid w:val="00335703"/>
    <w:rsid w:val="003362C9"/>
    <w:rsid w:val="00336FAA"/>
    <w:rsid w:val="0033771C"/>
    <w:rsid w:val="00340CE7"/>
    <w:rsid w:val="00342DA7"/>
    <w:rsid w:val="00342F5D"/>
    <w:rsid w:val="0034364C"/>
    <w:rsid w:val="00343AA8"/>
    <w:rsid w:val="003440E1"/>
    <w:rsid w:val="00344D76"/>
    <w:rsid w:val="00345290"/>
    <w:rsid w:val="00347378"/>
    <w:rsid w:val="00350D69"/>
    <w:rsid w:val="003520EC"/>
    <w:rsid w:val="00353188"/>
    <w:rsid w:val="003538DA"/>
    <w:rsid w:val="00354CE4"/>
    <w:rsid w:val="0035560D"/>
    <w:rsid w:val="0035623C"/>
    <w:rsid w:val="00356A18"/>
    <w:rsid w:val="00360CE2"/>
    <w:rsid w:val="0036142D"/>
    <w:rsid w:val="003619EE"/>
    <w:rsid w:val="00361D2B"/>
    <w:rsid w:val="003621C0"/>
    <w:rsid w:val="0036260C"/>
    <w:rsid w:val="00363EC2"/>
    <w:rsid w:val="00364527"/>
    <w:rsid w:val="00364764"/>
    <w:rsid w:val="0036580B"/>
    <w:rsid w:val="00366BE0"/>
    <w:rsid w:val="00366C24"/>
    <w:rsid w:val="00367692"/>
    <w:rsid w:val="00367939"/>
    <w:rsid w:val="00367BEF"/>
    <w:rsid w:val="00370843"/>
    <w:rsid w:val="00370C0A"/>
    <w:rsid w:val="0037254B"/>
    <w:rsid w:val="00372949"/>
    <w:rsid w:val="00372D2C"/>
    <w:rsid w:val="00372E53"/>
    <w:rsid w:val="00374768"/>
    <w:rsid w:val="0037476D"/>
    <w:rsid w:val="00377227"/>
    <w:rsid w:val="00377F75"/>
    <w:rsid w:val="00381538"/>
    <w:rsid w:val="00381ADC"/>
    <w:rsid w:val="00381BF8"/>
    <w:rsid w:val="00385D39"/>
    <w:rsid w:val="00386F81"/>
    <w:rsid w:val="003872B5"/>
    <w:rsid w:val="003876D2"/>
    <w:rsid w:val="00387749"/>
    <w:rsid w:val="003918C4"/>
    <w:rsid w:val="00391D81"/>
    <w:rsid w:val="00392815"/>
    <w:rsid w:val="0039370E"/>
    <w:rsid w:val="0039684E"/>
    <w:rsid w:val="00397AE5"/>
    <w:rsid w:val="003A0600"/>
    <w:rsid w:val="003A1062"/>
    <w:rsid w:val="003A110D"/>
    <w:rsid w:val="003A48EE"/>
    <w:rsid w:val="003A5595"/>
    <w:rsid w:val="003A5DCB"/>
    <w:rsid w:val="003A67F8"/>
    <w:rsid w:val="003A6E6E"/>
    <w:rsid w:val="003A7A43"/>
    <w:rsid w:val="003B278E"/>
    <w:rsid w:val="003B2D16"/>
    <w:rsid w:val="003B3702"/>
    <w:rsid w:val="003B3D0C"/>
    <w:rsid w:val="003B5144"/>
    <w:rsid w:val="003B589C"/>
    <w:rsid w:val="003B7160"/>
    <w:rsid w:val="003C0986"/>
    <w:rsid w:val="003C224B"/>
    <w:rsid w:val="003C2D4C"/>
    <w:rsid w:val="003C364C"/>
    <w:rsid w:val="003C3D9A"/>
    <w:rsid w:val="003C3F87"/>
    <w:rsid w:val="003C462F"/>
    <w:rsid w:val="003C49C9"/>
    <w:rsid w:val="003C71D7"/>
    <w:rsid w:val="003D1F0C"/>
    <w:rsid w:val="003D2957"/>
    <w:rsid w:val="003D2DB5"/>
    <w:rsid w:val="003D2E2C"/>
    <w:rsid w:val="003D510B"/>
    <w:rsid w:val="003D6BDD"/>
    <w:rsid w:val="003D6FBD"/>
    <w:rsid w:val="003E01AC"/>
    <w:rsid w:val="003E0362"/>
    <w:rsid w:val="003E0B2C"/>
    <w:rsid w:val="003E2D83"/>
    <w:rsid w:val="003E2E4A"/>
    <w:rsid w:val="003E39D6"/>
    <w:rsid w:val="003E3C82"/>
    <w:rsid w:val="003E462B"/>
    <w:rsid w:val="003E68A2"/>
    <w:rsid w:val="003E7E79"/>
    <w:rsid w:val="003F1005"/>
    <w:rsid w:val="003F1ECF"/>
    <w:rsid w:val="003F288D"/>
    <w:rsid w:val="003F3B6B"/>
    <w:rsid w:val="003F3E22"/>
    <w:rsid w:val="003F57A4"/>
    <w:rsid w:val="003F5978"/>
    <w:rsid w:val="003F5D2B"/>
    <w:rsid w:val="003F6D9C"/>
    <w:rsid w:val="003F736F"/>
    <w:rsid w:val="003F7520"/>
    <w:rsid w:val="00400A23"/>
    <w:rsid w:val="0040105B"/>
    <w:rsid w:val="00401D0A"/>
    <w:rsid w:val="00402BE9"/>
    <w:rsid w:val="00402F69"/>
    <w:rsid w:val="00403889"/>
    <w:rsid w:val="00403E19"/>
    <w:rsid w:val="00403F75"/>
    <w:rsid w:val="004046DC"/>
    <w:rsid w:val="004054E9"/>
    <w:rsid w:val="00406BF0"/>
    <w:rsid w:val="004101A5"/>
    <w:rsid w:val="00411961"/>
    <w:rsid w:val="004154AE"/>
    <w:rsid w:val="00415FFF"/>
    <w:rsid w:val="004201F3"/>
    <w:rsid w:val="00421A44"/>
    <w:rsid w:val="00422B03"/>
    <w:rsid w:val="00422C7E"/>
    <w:rsid w:val="004232E0"/>
    <w:rsid w:val="00423B72"/>
    <w:rsid w:val="00423CB5"/>
    <w:rsid w:val="004248EC"/>
    <w:rsid w:val="004268E3"/>
    <w:rsid w:val="00426BBD"/>
    <w:rsid w:val="00426F0C"/>
    <w:rsid w:val="00430C52"/>
    <w:rsid w:val="00431F8E"/>
    <w:rsid w:val="0043417B"/>
    <w:rsid w:val="00434C17"/>
    <w:rsid w:val="00435327"/>
    <w:rsid w:val="0043632F"/>
    <w:rsid w:val="0043638D"/>
    <w:rsid w:val="00436570"/>
    <w:rsid w:val="00436DF9"/>
    <w:rsid w:val="004374F4"/>
    <w:rsid w:val="00440239"/>
    <w:rsid w:val="00440291"/>
    <w:rsid w:val="00440728"/>
    <w:rsid w:val="00442A25"/>
    <w:rsid w:val="00444737"/>
    <w:rsid w:val="00445745"/>
    <w:rsid w:val="00445ABA"/>
    <w:rsid w:val="00446B2F"/>
    <w:rsid w:val="00446E58"/>
    <w:rsid w:val="00446FE0"/>
    <w:rsid w:val="0045036C"/>
    <w:rsid w:val="00450845"/>
    <w:rsid w:val="00450E98"/>
    <w:rsid w:val="0045112C"/>
    <w:rsid w:val="00451204"/>
    <w:rsid w:val="00451655"/>
    <w:rsid w:val="00451A75"/>
    <w:rsid w:val="004524B6"/>
    <w:rsid w:val="004534E9"/>
    <w:rsid w:val="00453798"/>
    <w:rsid w:val="004554D2"/>
    <w:rsid w:val="0045575C"/>
    <w:rsid w:val="00455BCA"/>
    <w:rsid w:val="004560A9"/>
    <w:rsid w:val="004601D6"/>
    <w:rsid w:val="00460D31"/>
    <w:rsid w:val="004635D7"/>
    <w:rsid w:val="00463C02"/>
    <w:rsid w:val="0046638C"/>
    <w:rsid w:val="00466C55"/>
    <w:rsid w:val="00467008"/>
    <w:rsid w:val="00470026"/>
    <w:rsid w:val="00470254"/>
    <w:rsid w:val="004710D1"/>
    <w:rsid w:val="00471469"/>
    <w:rsid w:val="00472577"/>
    <w:rsid w:val="004732A5"/>
    <w:rsid w:val="00473418"/>
    <w:rsid w:val="0047423C"/>
    <w:rsid w:val="00476644"/>
    <w:rsid w:val="004802D6"/>
    <w:rsid w:val="00481EAD"/>
    <w:rsid w:val="004827A9"/>
    <w:rsid w:val="00484A3C"/>
    <w:rsid w:val="00484AC6"/>
    <w:rsid w:val="00487028"/>
    <w:rsid w:val="0048755B"/>
    <w:rsid w:val="00491BF7"/>
    <w:rsid w:val="004927B2"/>
    <w:rsid w:val="004932A8"/>
    <w:rsid w:val="0049339C"/>
    <w:rsid w:val="00493C6D"/>
    <w:rsid w:val="00494538"/>
    <w:rsid w:val="0049592A"/>
    <w:rsid w:val="00495BC9"/>
    <w:rsid w:val="004A0AD9"/>
    <w:rsid w:val="004A2F08"/>
    <w:rsid w:val="004A3BDA"/>
    <w:rsid w:val="004A63AB"/>
    <w:rsid w:val="004A7CA6"/>
    <w:rsid w:val="004B17D0"/>
    <w:rsid w:val="004B1891"/>
    <w:rsid w:val="004B2EF0"/>
    <w:rsid w:val="004B5895"/>
    <w:rsid w:val="004C091A"/>
    <w:rsid w:val="004C0D4F"/>
    <w:rsid w:val="004C1BAA"/>
    <w:rsid w:val="004C2F81"/>
    <w:rsid w:val="004C43E2"/>
    <w:rsid w:val="004C4422"/>
    <w:rsid w:val="004C4B4E"/>
    <w:rsid w:val="004C5FB9"/>
    <w:rsid w:val="004C60E9"/>
    <w:rsid w:val="004C748C"/>
    <w:rsid w:val="004D108C"/>
    <w:rsid w:val="004D1530"/>
    <w:rsid w:val="004D1585"/>
    <w:rsid w:val="004D233E"/>
    <w:rsid w:val="004D279F"/>
    <w:rsid w:val="004D2815"/>
    <w:rsid w:val="004D2C72"/>
    <w:rsid w:val="004D4679"/>
    <w:rsid w:val="004D5651"/>
    <w:rsid w:val="004D642C"/>
    <w:rsid w:val="004D67FB"/>
    <w:rsid w:val="004D6FAA"/>
    <w:rsid w:val="004D729D"/>
    <w:rsid w:val="004E0F05"/>
    <w:rsid w:val="004E3B30"/>
    <w:rsid w:val="004E3D4D"/>
    <w:rsid w:val="004E5F61"/>
    <w:rsid w:val="004E68DB"/>
    <w:rsid w:val="004E6907"/>
    <w:rsid w:val="004E7269"/>
    <w:rsid w:val="004F1EAF"/>
    <w:rsid w:val="004F5198"/>
    <w:rsid w:val="004F54AC"/>
    <w:rsid w:val="004F59AB"/>
    <w:rsid w:val="004F63FD"/>
    <w:rsid w:val="004F6B61"/>
    <w:rsid w:val="00502810"/>
    <w:rsid w:val="00502FE4"/>
    <w:rsid w:val="00503104"/>
    <w:rsid w:val="00503345"/>
    <w:rsid w:val="0050363C"/>
    <w:rsid w:val="00504CD2"/>
    <w:rsid w:val="005056A5"/>
    <w:rsid w:val="00506F6B"/>
    <w:rsid w:val="00507D2E"/>
    <w:rsid w:val="00507DBB"/>
    <w:rsid w:val="0051115A"/>
    <w:rsid w:val="00511B7F"/>
    <w:rsid w:val="00512BA8"/>
    <w:rsid w:val="00512FCD"/>
    <w:rsid w:val="00513595"/>
    <w:rsid w:val="005152B1"/>
    <w:rsid w:val="00517697"/>
    <w:rsid w:val="00520026"/>
    <w:rsid w:val="005220E3"/>
    <w:rsid w:val="00522833"/>
    <w:rsid w:val="00522B85"/>
    <w:rsid w:val="0052309F"/>
    <w:rsid w:val="00523EF5"/>
    <w:rsid w:val="005250A7"/>
    <w:rsid w:val="00526833"/>
    <w:rsid w:val="00526E1D"/>
    <w:rsid w:val="005305A0"/>
    <w:rsid w:val="0053134B"/>
    <w:rsid w:val="005322E0"/>
    <w:rsid w:val="005324DF"/>
    <w:rsid w:val="00532A60"/>
    <w:rsid w:val="005330EF"/>
    <w:rsid w:val="005333E8"/>
    <w:rsid w:val="00534A3A"/>
    <w:rsid w:val="0054130D"/>
    <w:rsid w:val="00541765"/>
    <w:rsid w:val="00541CA0"/>
    <w:rsid w:val="005426D8"/>
    <w:rsid w:val="0054550C"/>
    <w:rsid w:val="00546722"/>
    <w:rsid w:val="00546F2B"/>
    <w:rsid w:val="00547841"/>
    <w:rsid w:val="00552410"/>
    <w:rsid w:val="00552AEE"/>
    <w:rsid w:val="00553C14"/>
    <w:rsid w:val="005548F3"/>
    <w:rsid w:val="0055591B"/>
    <w:rsid w:val="0055708E"/>
    <w:rsid w:val="00557747"/>
    <w:rsid w:val="005604F2"/>
    <w:rsid w:val="005624E0"/>
    <w:rsid w:val="005649A6"/>
    <w:rsid w:val="00564E26"/>
    <w:rsid w:val="00565C10"/>
    <w:rsid w:val="0056633B"/>
    <w:rsid w:val="00566D6D"/>
    <w:rsid w:val="005676B8"/>
    <w:rsid w:val="00570EBA"/>
    <w:rsid w:val="00570EEB"/>
    <w:rsid w:val="00571FB9"/>
    <w:rsid w:val="0057441B"/>
    <w:rsid w:val="00574EEF"/>
    <w:rsid w:val="00575A6B"/>
    <w:rsid w:val="00576A52"/>
    <w:rsid w:val="00577CC4"/>
    <w:rsid w:val="00577F7A"/>
    <w:rsid w:val="0058004F"/>
    <w:rsid w:val="00582204"/>
    <w:rsid w:val="005856C2"/>
    <w:rsid w:val="00585B15"/>
    <w:rsid w:val="00585CE9"/>
    <w:rsid w:val="005861DC"/>
    <w:rsid w:val="00586F06"/>
    <w:rsid w:val="00587844"/>
    <w:rsid w:val="00592022"/>
    <w:rsid w:val="0059221D"/>
    <w:rsid w:val="00592C33"/>
    <w:rsid w:val="0059404E"/>
    <w:rsid w:val="005947AD"/>
    <w:rsid w:val="00596179"/>
    <w:rsid w:val="00596BC7"/>
    <w:rsid w:val="005973E1"/>
    <w:rsid w:val="00597752"/>
    <w:rsid w:val="00597817"/>
    <w:rsid w:val="005A1A86"/>
    <w:rsid w:val="005A1FDB"/>
    <w:rsid w:val="005A28F4"/>
    <w:rsid w:val="005A3453"/>
    <w:rsid w:val="005A34B7"/>
    <w:rsid w:val="005A3CB2"/>
    <w:rsid w:val="005A63F9"/>
    <w:rsid w:val="005A67C1"/>
    <w:rsid w:val="005A7061"/>
    <w:rsid w:val="005A72F1"/>
    <w:rsid w:val="005A75ED"/>
    <w:rsid w:val="005B1853"/>
    <w:rsid w:val="005B1A6B"/>
    <w:rsid w:val="005B380E"/>
    <w:rsid w:val="005B3AD8"/>
    <w:rsid w:val="005B6A2D"/>
    <w:rsid w:val="005B6F6A"/>
    <w:rsid w:val="005B714D"/>
    <w:rsid w:val="005B762A"/>
    <w:rsid w:val="005B764F"/>
    <w:rsid w:val="005C0270"/>
    <w:rsid w:val="005C0F8B"/>
    <w:rsid w:val="005C1B47"/>
    <w:rsid w:val="005C1BC6"/>
    <w:rsid w:val="005C27AA"/>
    <w:rsid w:val="005C3AE0"/>
    <w:rsid w:val="005C3CBE"/>
    <w:rsid w:val="005C47B8"/>
    <w:rsid w:val="005C5498"/>
    <w:rsid w:val="005C5718"/>
    <w:rsid w:val="005C5E57"/>
    <w:rsid w:val="005C68E5"/>
    <w:rsid w:val="005C6E1A"/>
    <w:rsid w:val="005C6E9E"/>
    <w:rsid w:val="005D0BD8"/>
    <w:rsid w:val="005D17C7"/>
    <w:rsid w:val="005D201D"/>
    <w:rsid w:val="005D22A7"/>
    <w:rsid w:val="005D27EA"/>
    <w:rsid w:val="005D300C"/>
    <w:rsid w:val="005D7863"/>
    <w:rsid w:val="005D7906"/>
    <w:rsid w:val="005E14E9"/>
    <w:rsid w:val="005E32EC"/>
    <w:rsid w:val="005E333C"/>
    <w:rsid w:val="005E33C7"/>
    <w:rsid w:val="005E37F5"/>
    <w:rsid w:val="005E4CD3"/>
    <w:rsid w:val="005E4D77"/>
    <w:rsid w:val="005E5EE8"/>
    <w:rsid w:val="005E61E2"/>
    <w:rsid w:val="005E65EB"/>
    <w:rsid w:val="005E66CD"/>
    <w:rsid w:val="005E7E1D"/>
    <w:rsid w:val="005F00D4"/>
    <w:rsid w:val="005F11A3"/>
    <w:rsid w:val="005F1B03"/>
    <w:rsid w:val="005F24F0"/>
    <w:rsid w:val="005F2BE6"/>
    <w:rsid w:val="005F3C38"/>
    <w:rsid w:val="005F49D3"/>
    <w:rsid w:val="005F4B38"/>
    <w:rsid w:val="00603A11"/>
    <w:rsid w:val="00603D83"/>
    <w:rsid w:val="00604027"/>
    <w:rsid w:val="00604253"/>
    <w:rsid w:val="00604C18"/>
    <w:rsid w:val="00605485"/>
    <w:rsid w:val="00605DE2"/>
    <w:rsid w:val="00606815"/>
    <w:rsid w:val="0060685B"/>
    <w:rsid w:val="00611938"/>
    <w:rsid w:val="0061280B"/>
    <w:rsid w:val="006139A9"/>
    <w:rsid w:val="006143C7"/>
    <w:rsid w:val="00620D00"/>
    <w:rsid w:val="00621B37"/>
    <w:rsid w:val="006237E4"/>
    <w:rsid w:val="00627013"/>
    <w:rsid w:val="0062742D"/>
    <w:rsid w:val="00627636"/>
    <w:rsid w:val="0063024C"/>
    <w:rsid w:val="00630593"/>
    <w:rsid w:val="00630B8F"/>
    <w:rsid w:val="00632514"/>
    <w:rsid w:val="00632A62"/>
    <w:rsid w:val="00632C59"/>
    <w:rsid w:val="00632F6B"/>
    <w:rsid w:val="006361C8"/>
    <w:rsid w:val="00636991"/>
    <w:rsid w:val="00637B76"/>
    <w:rsid w:val="00640572"/>
    <w:rsid w:val="00640CB4"/>
    <w:rsid w:val="00640EDE"/>
    <w:rsid w:val="00642F0F"/>
    <w:rsid w:val="00644059"/>
    <w:rsid w:val="00644085"/>
    <w:rsid w:val="006454F5"/>
    <w:rsid w:val="00645EA6"/>
    <w:rsid w:val="006461E1"/>
    <w:rsid w:val="006464BC"/>
    <w:rsid w:val="006467DA"/>
    <w:rsid w:val="0064689C"/>
    <w:rsid w:val="00646E6A"/>
    <w:rsid w:val="00647A6C"/>
    <w:rsid w:val="00647B68"/>
    <w:rsid w:val="006509DD"/>
    <w:rsid w:val="006525BC"/>
    <w:rsid w:val="006544BB"/>
    <w:rsid w:val="00656ACA"/>
    <w:rsid w:val="006571EB"/>
    <w:rsid w:val="0066013A"/>
    <w:rsid w:val="00662F04"/>
    <w:rsid w:val="00663305"/>
    <w:rsid w:val="00663FF8"/>
    <w:rsid w:val="0066486A"/>
    <w:rsid w:val="0066581B"/>
    <w:rsid w:val="006704CA"/>
    <w:rsid w:val="00670A5C"/>
    <w:rsid w:val="00671FE7"/>
    <w:rsid w:val="00673A40"/>
    <w:rsid w:val="00673D8E"/>
    <w:rsid w:val="006762B4"/>
    <w:rsid w:val="00676E81"/>
    <w:rsid w:val="006774E9"/>
    <w:rsid w:val="0067779F"/>
    <w:rsid w:val="00677CD9"/>
    <w:rsid w:val="006805E3"/>
    <w:rsid w:val="00680A04"/>
    <w:rsid w:val="00681753"/>
    <w:rsid w:val="00681798"/>
    <w:rsid w:val="00681877"/>
    <w:rsid w:val="00683118"/>
    <w:rsid w:val="006841EE"/>
    <w:rsid w:val="00685037"/>
    <w:rsid w:val="00685BD2"/>
    <w:rsid w:val="00687DDF"/>
    <w:rsid w:val="00690377"/>
    <w:rsid w:val="00690761"/>
    <w:rsid w:val="0069155A"/>
    <w:rsid w:val="00692769"/>
    <w:rsid w:val="00695C82"/>
    <w:rsid w:val="006966E2"/>
    <w:rsid w:val="006A09DD"/>
    <w:rsid w:val="006A0A4A"/>
    <w:rsid w:val="006A0B59"/>
    <w:rsid w:val="006A368D"/>
    <w:rsid w:val="006A4B76"/>
    <w:rsid w:val="006A4CF6"/>
    <w:rsid w:val="006A5BC7"/>
    <w:rsid w:val="006B0C4F"/>
    <w:rsid w:val="006B1102"/>
    <w:rsid w:val="006B1116"/>
    <w:rsid w:val="006B2155"/>
    <w:rsid w:val="006B32F5"/>
    <w:rsid w:val="006B3E3A"/>
    <w:rsid w:val="006B573A"/>
    <w:rsid w:val="006B5B8F"/>
    <w:rsid w:val="006B67BB"/>
    <w:rsid w:val="006B69A7"/>
    <w:rsid w:val="006C01B5"/>
    <w:rsid w:val="006C1179"/>
    <w:rsid w:val="006C177D"/>
    <w:rsid w:val="006C1786"/>
    <w:rsid w:val="006C17A1"/>
    <w:rsid w:val="006C1F76"/>
    <w:rsid w:val="006C24EC"/>
    <w:rsid w:val="006C362F"/>
    <w:rsid w:val="006C3F2A"/>
    <w:rsid w:val="006C4CE4"/>
    <w:rsid w:val="006C54FF"/>
    <w:rsid w:val="006D238C"/>
    <w:rsid w:val="006D2C81"/>
    <w:rsid w:val="006D4DA9"/>
    <w:rsid w:val="006D7449"/>
    <w:rsid w:val="006D7C00"/>
    <w:rsid w:val="006E1D96"/>
    <w:rsid w:val="006E2C05"/>
    <w:rsid w:val="006E3251"/>
    <w:rsid w:val="006E46FC"/>
    <w:rsid w:val="006E6555"/>
    <w:rsid w:val="006F05B8"/>
    <w:rsid w:val="006F09E2"/>
    <w:rsid w:val="006F1F6F"/>
    <w:rsid w:val="006F3EEA"/>
    <w:rsid w:val="006F47EB"/>
    <w:rsid w:val="006F59AA"/>
    <w:rsid w:val="006F6687"/>
    <w:rsid w:val="006F74D4"/>
    <w:rsid w:val="00700B11"/>
    <w:rsid w:val="00701756"/>
    <w:rsid w:val="007023D5"/>
    <w:rsid w:val="007058CC"/>
    <w:rsid w:val="007075F3"/>
    <w:rsid w:val="00707638"/>
    <w:rsid w:val="00707C9F"/>
    <w:rsid w:val="00707CCD"/>
    <w:rsid w:val="0071070D"/>
    <w:rsid w:val="0071088A"/>
    <w:rsid w:val="00711277"/>
    <w:rsid w:val="007128C3"/>
    <w:rsid w:val="007128CB"/>
    <w:rsid w:val="007139B6"/>
    <w:rsid w:val="00713A61"/>
    <w:rsid w:val="0071430A"/>
    <w:rsid w:val="007148E4"/>
    <w:rsid w:val="00715D3E"/>
    <w:rsid w:val="00716840"/>
    <w:rsid w:val="007178E6"/>
    <w:rsid w:val="00727FA1"/>
    <w:rsid w:val="00727FAA"/>
    <w:rsid w:val="007317E9"/>
    <w:rsid w:val="00735B38"/>
    <w:rsid w:val="00736323"/>
    <w:rsid w:val="00736753"/>
    <w:rsid w:val="00740529"/>
    <w:rsid w:val="00744873"/>
    <w:rsid w:val="00746020"/>
    <w:rsid w:val="00747888"/>
    <w:rsid w:val="007505AA"/>
    <w:rsid w:val="0075237D"/>
    <w:rsid w:val="00753CBF"/>
    <w:rsid w:val="0075534D"/>
    <w:rsid w:val="007559A6"/>
    <w:rsid w:val="00756542"/>
    <w:rsid w:val="00756F09"/>
    <w:rsid w:val="007576D6"/>
    <w:rsid w:val="0075799E"/>
    <w:rsid w:val="0076014C"/>
    <w:rsid w:val="00760534"/>
    <w:rsid w:val="00760566"/>
    <w:rsid w:val="00761AC8"/>
    <w:rsid w:val="00762959"/>
    <w:rsid w:val="0077069E"/>
    <w:rsid w:val="0077152A"/>
    <w:rsid w:val="00771753"/>
    <w:rsid w:val="00772368"/>
    <w:rsid w:val="00773309"/>
    <w:rsid w:val="00774F4D"/>
    <w:rsid w:val="007751FE"/>
    <w:rsid w:val="007759B2"/>
    <w:rsid w:val="00775D7F"/>
    <w:rsid w:val="00775DD8"/>
    <w:rsid w:val="007771B0"/>
    <w:rsid w:val="007774AA"/>
    <w:rsid w:val="00782EC6"/>
    <w:rsid w:val="00783437"/>
    <w:rsid w:val="00784119"/>
    <w:rsid w:val="007846BA"/>
    <w:rsid w:val="007853AF"/>
    <w:rsid w:val="007858B5"/>
    <w:rsid w:val="00786681"/>
    <w:rsid w:val="007866A1"/>
    <w:rsid w:val="007869EB"/>
    <w:rsid w:val="00786D8D"/>
    <w:rsid w:val="0078794E"/>
    <w:rsid w:val="00787AC2"/>
    <w:rsid w:val="00787C31"/>
    <w:rsid w:val="00791BBE"/>
    <w:rsid w:val="00791FB9"/>
    <w:rsid w:val="0079210A"/>
    <w:rsid w:val="007926C4"/>
    <w:rsid w:val="00793CF3"/>
    <w:rsid w:val="00794CFE"/>
    <w:rsid w:val="0079603E"/>
    <w:rsid w:val="007A4089"/>
    <w:rsid w:val="007A476E"/>
    <w:rsid w:val="007A493A"/>
    <w:rsid w:val="007A4A24"/>
    <w:rsid w:val="007A4E8F"/>
    <w:rsid w:val="007A52E6"/>
    <w:rsid w:val="007A7A63"/>
    <w:rsid w:val="007A7B4E"/>
    <w:rsid w:val="007B2577"/>
    <w:rsid w:val="007B322A"/>
    <w:rsid w:val="007B4053"/>
    <w:rsid w:val="007B44E4"/>
    <w:rsid w:val="007B4664"/>
    <w:rsid w:val="007B56D4"/>
    <w:rsid w:val="007B63A0"/>
    <w:rsid w:val="007B683C"/>
    <w:rsid w:val="007B6F11"/>
    <w:rsid w:val="007B7826"/>
    <w:rsid w:val="007C0D41"/>
    <w:rsid w:val="007C138F"/>
    <w:rsid w:val="007C2F3C"/>
    <w:rsid w:val="007C48DF"/>
    <w:rsid w:val="007C60E3"/>
    <w:rsid w:val="007C6BE6"/>
    <w:rsid w:val="007C756A"/>
    <w:rsid w:val="007D0FBE"/>
    <w:rsid w:val="007D1A8F"/>
    <w:rsid w:val="007D2F5A"/>
    <w:rsid w:val="007D324E"/>
    <w:rsid w:val="007D48D5"/>
    <w:rsid w:val="007D546A"/>
    <w:rsid w:val="007D6607"/>
    <w:rsid w:val="007E0A77"/>
    <w:rsid w:val="007E1008"/>
    <w:rsid w:val="007E1A1E"/>
    <w:rsid w:val="007E4DAE"/>
    <w:rsid w:val="007E508B"/>
    <w:rsid w:val="007E5572"/>
    <w:rsid w:val="007E5FD2"/>
    <w:rsid w:val="007E6030"/>
    <w:rsid w:val="007E6F9C"/>
    <w:rsid w:val="007E770F"/>
    <w:rsid w:val="007E7C0B"/>
    <w:rsid w:val="007F04F4"/>
    <w:rsid w:val="007F0A12"/>
    <w:rsid w:val="007F30B0"/>
    <w:rsid w:val="007F399B"/>
    <w:rsid w:val="007F3EA0"/>
    <w:rsid w:val="007F5344"/>
    <w:rsid w:val="007F586D"/>
    <w:rsid w:val="007F66E7"/>
    <w:rsid w:val="007F6C9C"/>
    <w:rsid w:val="0080095C"/>
    <w:rsid w:val="00801839"/>
    <w:rsid w:val="00801FA1"/>
    <w:rsid w:val="008047B6"/>
    <w:rsid w:val="00804FBD"/>
    <w:rsid w:val="00804FED"/>
    <w:rsid w:val="008055AA"/>
    <w:rsid w:val="008068F0"/>
    <w:rsid w:val="00807743"/>
    <w:rsid w:val="00811605"/>
    <w:rsid w:val="00812D77"/>
    <w:rsid w:val="00813126"/>
    <w:rsid w:val="008132ED"/>
    <w:rsid w:val="00813CB0"/>
    <w:rsid w:val="008149E0"/>
    <w:rsid w:val="00814C27"/>
    <w:rsid w:val="008157B6"/>
    <w:rsid w:val="00815B6E"/>
    <w:rsid w:val="00816ADB"/>
    <w:rsid w:val="008178F1"/>
    <w:rsid w:val="00820045"/>
    <w:rsid w:val="00820A9F"/>
    <w:rsid w:val="008212A3"/>
    <w:rsid w:val="0082435F"/>
    <w:rsid w:val="008250BC"/>
    <w:rsid w:val="00825208"/>
    <w:rsid w:val="008252DB"/>
    <w:rsid w:val="00826282"/>
    <w:rsid w:val="00826FB2"/>
    <w:rsid w:val="00831DA2"/>
    <w:rsid w:val="0083323C"/>
    <w:rsid w:val="00834A71"/>
    <w:rsid w:val="00834D04"/>
    <w:rsid w:val="008358CA"/>
    <w:rsid w:val="00835C23"/>
    <w:rsid w:val="008365D5"/>
    <w:rsid w:val="0083788E"/>
    <w:rsid w:val="00840244"/>
    <w:rsid w:val="00841E70"/>
    <w:rsid w:val="008425BA"/>
    <w:rsid w:val="008468DA"/>
    <w:rsid w:val="00847265"/>
    <w:rsid w:val="008475BA"/>
    <w:rsid w:val="00847DA2"/>
    <w:rsid w:val="00850249"/>
    <w:rsid w:val="00850AC9"/>
    <w:rsid w:val="008518DD"/>
    <w:rsid w:val="00851C59"/>
    <w:rsid w:val="008524A4"/>
    <w:rsid w:val="00852B74"/>
    <w:rsid w:val="00853362"/>
    <w:rsid w:val="00854059"/>
    <w:rsid w:val="00854808"/>
    <w:rsid w:val="008557F2"/>
    <w:rsid w:val="008568A7"/>
    <w:rsid w:val="0085729E"/>
    <w:rsid w:val="00860519"/>
    <w:rsid w:val="00860701"/>
    <w:rsid w:val="00860767"/>
    <w:rsid w:val="00860C34"/>
    <w:rsid w:val="008613A5"/>
    <w:rsid w:val="008630D6"/>
    <w:rsid w:val="00863F0D"/>
    <w:rsid w:val="00864520"/>
    <w:rsid w:val="00865C80"/>
    <w:rsid w:val="00870C01"/>
    <w:rsid w:val="008734CF"/>
    <w:rsid w:val="00873BAA"/>
    <w:rsid w:val="00874F4B"/>
    <w:rsid w:val="00877303"/>
    <w:rsid w:val="0088001A"/>
    <w:rsid w:val="008819ED"/>
    <w:rsid w:val="008838FA"/>
    <w:rsid w:val="00883C69"/>
    <w:rsid w:val="00884053"/>
    <w:rsid w:val="00885931"/>
    <w:rsid w:val="00886EC1"/>
    <w:rsid w:val="00887B51"/>
    <w:rsid w:val="00891C49"/>
    <w:rsid w:val="0089217E"/>
    <w:rsid w:val="0089220F"/>
    <w:rsid w:val="00892B90"/>
    <w:rsid w:val="00894B46"/>
    <w:rsid w:val="00894C8F"/>
    <w:rsid w:val="00894DA4"/>
    <w:rsid w:val="0089630A"/>
    <w:rsid w:val="00896404"/>
    <w:rsid w:val="00897E53"/>
    <w:rsid w:val="008A0A4D"/>
    <w:rsid w:val="008A2091"/>
    <w:rsid w:val="008A2225"/>
    <w:rsid w:val="008A2B6A"/>
    <w:rsid w:val="008A3C75"/>
    <w:rsid w:val="008A5A37"/>
    <w:rsid w:val="008A6C78"/>
    <w:rsid w:val="008A6FE5"/>
    <w:rsid w:val="008A741E"/>
    <w:rsid w:val="008A7A64"/>
    <w:rsid w:val="008A7DDA"/>
    <w:rsid w:val="008B0458"/>
    <w:rsid w:val="008B1A97"/>
    <w:rsid w:val="008B327C"/>
    <w:rsid w:val="008B334C"/>
    <w:rsid w:val="008B3535"/>
    <w:rsid w:val="008B4776"/>
    <w:rsid w:val="008B5441"/>
    <w:rsid w:val="008B6251"/>
    <w:rsid w:val="008C093E"/>
    <w:rsid w:val="008C203B"/>
    <w:rsid w:val="008C210A"/>
    <w:rsid w:val="008C2D8B"/>
    <w:rsid w:val="008C3735"/>
    <w:rsid w:val="008C37DC"/>
    <w:rsid w:val="008C3833"/>
    <w:rsid w:val="008C4A14"/>
    <w:rsid w:val="008C4D5C"/>
    <w:rsid w:val="008C521F"/>
    <w:rsid w:val="008C5892"/>
    <w:rsid w:val="008C5E5D"/>
    <w:rsid w:val="008C5F5D"/>
    <w:rsid w:val="008D04E7"/>
    <w:rsid w:val="008D1D12"/>
    <w:rsid w:val="008D1EEF"/>
    <w:rsid w:val="008D26F2"/>
    <w:rsid w:val="008D297D"/>
    <w:rsid w:val="008D3F1A"/>
    <w:rsid w:val="008D4162"/>
    <w:rsid w:val="008D59CA"/>
    <w:rsid w:val="008D64E6"/>
    <w:rsid w:val="008D76AA"/>
    <w:rsid w:val="008E1CAC"/>
    <w:rsid w:val="008E1E8E"/>
    <w:rsid w:val="008E1FA9"/>
    <w:rsid w:val="008E210D"/>
    <w:rsid w:val="008E5B92"/>
    <w:rsid w:val="008E5FBD"/>
    <w:rsid w:val="008E672C"/>
    <w:rsid w:val="008E721B"/>
    <w:rsid w:val="008F0D30"/>
    <w:rsid w:val="008F0F00"/>
    <w:rsid w:val="008F115F"/>
    <w:rsid w:val="008F1482"/>
    <w:rsid w:val="008F1820"/>
    <w:rsid w:val="008F5ACA"/>
    <w:rsid w:val="008F7FC9"/>
    <w:rsid w:val="009000C8"/>
    <w:rsid w:val="00900C80"/>
    <w:rsid w:val="00901FAA"/>
    <w:rsid w:val="009048A4"/>
    <w:rsid w:val="00904913"/>
    <w:rsid w:val="00904A2E"/>
    <w:rsid w:val="00904CBD"/>
    <w:rsid w:val="009055F8"/>
    <w:rsid w:val="00905A28"/>
    <w:rsid w:val="00905CBD"/>
    <w:rsid w:val="00910F2D"/>
    <w:rsid w:val="009133BA"/>
    <w:rsid w:val="0091348D"/>
    <w:rsid w:val="00913A57"/>
    <w:rsid w:val="00914270"/>
    <w:rsid w:val="009149A2"/>
    <w:rsid w:val="00914F7E"/>
    <w:rsid w:val="009154EC"/>
    <w:rsid w:val="0091589B"/>
    <w:rsid w:val="009161F6"/>
    <w:rsid w:val="009167E0"/>
    <w:rsid w:val="00917E19"/>
    <w:rsid w:val="009202F4"/>
    <w:rsid w:val="00920718"/>
    <w:rsid w:val="00920E5A"/>
    <w:rsid w:val="00921C30"/>
    <w:rsid w:val="00923699"/>
    <w:rsid w:val="0092420E"/>
    <w:rsid w:val="00932148"/>
    <w:rsid w:val="00932F70"/>
    <w:rsid w:val="00933B14"/>
    <w:rsid w:val="00933C7B"/>
    <w:rsid w:val="0093413B"/>
    <w:rsid w:val="00934BC0"/>
    <w:rsid w:val="00936DF9"/>
    <w:rsid w:val="0093768C"/>
    <w:rsid w:val="00937FAF"/>
    <w:rsid w:val="00941378"/>
    <w:rsid w:val="0094256D"/>
    <w:rsid w:val="009431D9"/>
    <w:rsid w:val="0094324D"/>
    <w:rsid w:val="00944D0D"/>
    <w:rsid w:val="009455A3"/>
    <w:rsid w:val="009459EA"/>
    <w:rsid w:val="00945A5C"/>
    <w:rsid w:val="00946B13"/>
    <w:rsid w:val="00947A8A"/>
    <w:rsid w:val="00950079"/>
    <w:rsid w:val="00951D1B"/>
    <w:rsid w:val="00952817"/>
    <w:rsid w:val="00953674"/>
    <w:rsid w:val="00953A05"/>
    <w:rsid w:val="00953C6F"/>
    <w:rsid w:val="0095451A"/>
    <w:rsid w:val="009547B8"/>
    <w:rsid w:val="0095535F"/>
    <w:rsid w:val="009563EF"/>
    <w:rsid w:val="009571E5"/>
    <w:rsid w:val="0095750D"/>
    <w:rsid w:val="00957659"/>
    <w:rsid w:val="00957753"/>
    <w:rsid w:val="0096018E"/>
    <w:rsid w:val="00960C90"/>
    <w:rsid w:val="00962170"/>
    <w:rsid w:val="00962759"/>
    <w:rsid w:val="00963004"/>
    <w:rsid w:val="009630BD"/>
    <w:rsid w:val="00964174"/>
    <w:rsid w:val="00964AA0"/>
    <w:rsid w:val="0096757D"/>
    <w:rsid w:val="009717B4"/>
    <w:rsid w:val="00973434"/>
    <w:rsid w:val="0097372E"/>
    <w:rsid w:val="00975F17"/>
    <w:rsid w:val="00976754"/>
    <w:rsid w:val="009777BC"/>
    <w:rsid w:val="00981282"/>
    <w:rsid w:val="009817F2"/>
    <w:rsid w:val="00981E12"/>
    <w:rsid w:val="00982ACE"/>
    <w:rsid w:val="009837CA"/>
    <w:rsid w:val="00983F44"/>
    <w:rsid w:val="0098514A"/>
    <w:rsid w:val="00985D62"/>
    <w:rsid w:val="00986C95"/>
    <w:rsid w:val="009876E7"/>
    <w:rsid w:val="0099209A"/>
    <w:rsid w:val="00992930"/>
    <w:rsid w:val="00993B81"/>
    <w:rsid w:val="009948DC"/>
    <w:rsid w:val="00994EFF"/>
    <w:rsid w:val="0099546A"/>
    <w:rsid w:val="00995AA1"/>
    <w:rsid w:val="00995E42"/>
    <w:rsid w:val="00997E6B"/>
    <w:rsid w:val="009A055C"/>
    <w:rsid w:val="009A0A1B"/>
    <w:rsid w:val="009A0FD4"/>
    <w:rsid w:val="009A2449"/>
    <w:rsid w:val="009A2BF4"/>
    <w:rsid w:val="009A2EAC"/>
    <w:rsid w:val="009A4359"/>
    <w:rsid w:val="009A571B"/>
    <w:rsid w:val="009A5A95"/>
    <w:rsid w:val="009A5D80"/>
    <w:rsid w:val="009A67DC"/>
    <w:rsid w:val="009B287C"/>
    <w:rsid w:val="009B338C"/>
    <w:rsid w:val="009B3EC1"/>
    <w:rsid w:val="009B4565"/>
    <w:rsid w:val="009B4B58"/>
    <w:rsid w:val="009B4E51"/>
    <w:rsid w:val="009B5187"/>
    <w:rsid w:val="009B5C7A"/>
    <w:rsid w:val="009C08BC"/>
    <w:rsid w:val="009C2043"/>
    <w:rsid w:val="009C2EB6"/>
    <w:rsid w:val="009C310A"/>
    <w:rsid w:val="009C34BD"/>
    <w:rsid w:val="009C36F0"/>
    <w:rsid w:val="009C6436"/>
    <w:rsid w:val="009C6587"/>
    <w:rsid w:val="009C68BF"/>
    <w:rsid w:val="009C6C9F"/>
    <w:rsid w:val="009D298D"/>
    <w:rsid w:val="009D4BA3"/>
    <w:rsid w:val="009D4C9A"/>
    <w:rsid w:val="009D66A4"/>
    <w:rsid w:val="009D6B09"/>
    <w:rsid w:val="009D6F62"/>
    <w:rsid w:val="009D7394"/>
    <w:rsid w:val="009E0BAD"/>
    <w:rsid w:val="009E0DAD"/>
    <w:rsid w:val="009E37AA"/>
    <w:rsid w:val="009E50CB"/>
    <w:rsid w:val="009E5413"/>
    <w:rsid w:val="009E6186"/>
    <w:rsid w:val="009E6BAC"/>
    <w:rsid w:val="009E7626"/>
    <w:rsid w:val="009F03CD"/>
    <w:rsid w:val="009F0C35"/>
    <w:rsid w:val="009F2AB1"/>
    <w:rsid w:val="009F3A70"/>
    <w:rsid w:val="009F4586"/>
    <w:rsid w:val="009F5444"/>
    <w:rsid w:val="009F57E3"/>
    <w:rsid w:val="009F5EC9"/>
    <w:rsid w:val="009F76A4"/>
    <w:rsid w:val="00A0139D"/>
    <w:rsid w:val="00A028F6"/>
    <w:rsid w:val="00A02AF4"/>
    <w:rsid w:val="00A03405"/>
    <w:rsid w:val="00A0363E"/>
    <w:rsid w:val="00A03BF3"/>
    <w:rsid w:val="00A04867"/>
    <w:rsid w:val="00A070A5"/>
    <w:rsid w:val="00A07368"/>
    <w:rsid w:val="00A07729"/>
    <w:rsid w:val="00A077C8"/>
    <w:rsid w:val="00A10EF6"/>
    <w:rsid w:val="00A11E0C"/>
    <w:rsid w:val="00A12007"/>
    <w:rsid w:val="00A14839"/>
    <w:rsid w:val="00A15DDD"/>
    <w:rsid w:val="00A1730C"/>
    <w:rsid w:val="00A2050E"/>
    <w:rsid w:val="00A21255"/>
    <w:rsid w:val="00A217E9"/>
    <w:rsid w:val="00A22533"/>
    <w:rsid w:val="00A2473B"/>
    <w:rsid w:val="00A24C91"/>
    <w:rsid w:val="00A24F40"/>
    <w:rsid w:val="00A25041"/>
    <w:rsid w:val="00A25A4D"/>
    <w:rsid w:val="00A27FC3"/>
    <w:rsid w:val="00A27FC8"/>
    <w:rsid w:val="00A31789"/>
    <w:rsid w:val="00A31F89"/>
    <w:rsid w:val="00A33725"/>
    <w:rsid w:val="00A33DB2"/>
    <w:rsid w:val="00A3745D"/>
    <w:rsid w:val="00A37662"/>
    <w:rsid w:val="00A41BE9"/>
    <w:rsid w:val="00A41D41"/>
    <w:rsid w:val="00A43063"/>
    <w:rsid w:val="00A43741"/>
    <w:rsid w:val="00A453AF"/>
    <w:rsid w:val="00A525B5"/>
    <w:rsid w:val="00A52641"/>
    <w:rsid w:val="00A52853"/>
    <w:rsid w:val="00A52DE6"/>
    <w:rsid w:val="00A54D99"/>
    <w:rsid w:val="00A5519A"/>
    <w:rsid w:val="00A5560A"/>
    <w:rsid w:val="00A56163"/>
    <w:rsid w:val="00A561A2"/>
    <w:rsid w:val="00A5632F"/>
    <w:rsid w:val="00A579E1"/>
    <w:rsid w:val="00A60AAF"/>
    <w:rsid w:val="00A60D4B"/>
    <w:rsid w:val="00A60DAB"/>
    <w:rsid w:val="00A61FAB"/>
    <w:rsid w:val="00A6213F"/>
    <w:rsid w:val="00A623A8"/>
    <w:rsid w:val="00A62920"/>
    <w:rsid w:val="00A62A0A"/>
    <w:rsid w:val="00A632B6"/>
    <w:rsid w:val="00A63466"/>
    <w:rsid w:val="00A6392E"/>
    <w:rsid w:val="00A63E16"/>
    <w:rsid w:val="00A6427B"/>
    <w:rsid w:val="00A652D7"/>
    <w:rsid w:val="00A663C3"/>
    <w:rsid w:val="00A66CF4"/>
    <w:rsid w:val="00A743D9"/>
    <w:rsid w:val="00A74BFB"/>
    <w:rsid w:val="00A74CA2"/>
    <w:rsid w:val="00A74ECE"/>
    <w:rsid w:val="00A75CED"/>
    <w:rsid w:val="00A779EE"/>
    <w:rsid w:val="00A80EAF"/>
    <w:rsid w:val="00A83B1E"/>
    <w:rsid w:val="00A844B0"/>
    <w:rsid w:val="00A8551F"/>
    <w:rsid w:val="00A85572"/>
    <w:rsid w:val="00A85C5A"/>
    <w:rsid w:val="00A871CD"/>
    <w:rsid w:val="00A877F4"/>
    <w:rsid w:val="00A9055F"/>
    <w:rsid w:val="00A921C8"/>
    <w:rsid w:val="00A924BA"/>
    <w:rsid w:val="00A9302B"/>
    <w:rsid w:val="00A94CA8"/>
    <w:rsid w:val="00A977B1"/>
    <w:rsid w:val="00A9798B"/>
    <w:rsid w:val="00AA0102"/>
    <w:rsid w:val="00AA0A90"/>
    <w:rsid w:val="00AA1DAE"/>
    <w:rsid w:val="00AA2171"/>
    <w:rsid w:val="00AA23EB"/>
    <w:rsid w:val="00AA38CC"/>
    <w:rsid w:val="00AA50D6"/>
    <w:rsid w:val="00AA63CE"/>
    <w:rsid w:val="00AA6492"/>
    <w:rsid w:val="00AA66E7"/>
    <w:rsid w:val="00AA6B7F"/>
    <w:rsid w:val="00AA7E0E"/>
    <w:rsid w:val="00AB1AB8"/>
    <w:rsid w:val="00AB2360"/>
    <w:rsid w:val="00AB2E4E"/>
    <w:rsid w:val="00AB30CD"/>
    <w:rsid w:val="00AB4CB1"/>
    <w:rsid w:val="00AB634A"/>
    <w:rsid w:val="00AB6633"/>
    <w:rsid w:val="00AB66DB"/>
    <w:rsid w:val="00AB799F"/>
    <w:rsid w:val="00AC1EA9"/>
    <w:rsid w:val="00AC3091"/>
    <w:rsid w:val="00AC3413"/>
    <w:rsid w:val="00AC62E3"/>
    <w:rsid w:val="00AC7034"/>
    <w:rsid w:val="00AD1915"/>
    <w:rsid w:val="00AD1FA0"/>
    <w:rsid w:val="00AD4991"/>
    <w:rsid w:val="00AD527F"/>
    <w:rsid w:val="00AE13C2"/>
    <w:rsid w:val="00AE2631"/>
    <w:rsid w:val="00AE3B2B"/>
    <w:rsid w:val="00AE59D0"/>
    <w:rsid w:val="00AE66B5"/>
    <w:rsid w:val="00AE72E0"/>
    <w:rsid w:val="00AF0679"/>
    <w:rsid w:val="00AF1747"/>
    <w:rsid w:val="00AF33CE"/>
    <w:rsid w:val="00AF3491"/>
    <w:rsid w:val="00AF4F23"/>
    <w:rsid w:val="00AF5894"/>
    <w:rsid w:val="00AF5909"/>
    <w:rsid w:val="00AF7092"/>
    <w:rsid w:val="00B01BCA"/>
    <w:rsid w:val="00B01F14"/>
    <w:rsid w:val="00B02DCD"/>
    <w:rsid w:val="00B0335F"/>
    <w:rsid w:val="00B03DF9"/>
    <w:rsid w:val="00B04C44"/>
    <w:rsid w:val="00B05936"/>
    <w:rsid w:val="00B06D9E"/>
    <w:rsid w:val="00B1097A"/>
    <w:rsid w:val="00B1171A"/>
    <w:rsid w:val="00B131D3"/>
    <w:rsid w:val="00B14CF3"/>
    <w:rsid w:val="00B17A23"/>
    <w:rsid w:val="00B20BCC"/>
    <w:rsid w:val="00B21827"/>
    <w:rsid w:val="00B218F0"/>
    <w:rsid w:val="00B22A18"/>
    <w:rsid w:val="00B249CB"/>
    <w:rsid w:val="00B24EA5"/>
    <w:rsid w:val="00B25FF0"/>
    <w:rsid w:val="00B267F8"/>
    <w:rsid w:val="00B2760B"/>
    <w:rsid w:val="00B30808"/>
    <w:rsid w:val="00B30956"/>
    <w:rsid w:val="00B30AA1"/>
    <w:rsid w:val="00B31BB3"/>
    <w:rsid w:val="00B32B32"/>
    <w:rsid w:val="00B34142"/>
    <w:rsid w:val="00B3534B"/>
    <w:rsid w:val="00B357D3"/>
    <w:rsid w:val="00B36571"/>
    <w:rsid w:val="00B368C2"/>
    <w:rsid w:val="00B36A60"/>
    <w:rsid w:val="00B3710A"/>
    <w:rsid w:val="00B4263B"/>
    <w:rsid w:val="00B43159"/>
    <w:rsid w:val="00B45B52"/>
    <w:rsid w:val="00B47E58"/>
    <w:rsid w:val="00B504DE"/>
    <w:rsid w:val="00B53F93"/>
    <w:rsid w:val="00B53FCC"/>
    <w:rsid w:val="00B5493A"/>
    <w:rsid w:val="00B55AAC"/>
    <w:rsid w:val="00B56223"/>
    <w:rsid w:val="00B562BA"/>
    <w:rsid w:val="00B57117"/>
    <w:rsid w:val="00B617FD"/>
    <w:rsid w:val="00B618B8"/>
    <w:rsid w:val="00B64626"/>
    <w:rsid w:val="00B650CB"/>
    <w:rsid w:val="00B65675"/>
    <w:rsid w:val="00B66735"/>
    <w:rsid w:val="00B700F8"/>
    <w:rsid w:val="00B70163"/>
    <w:rsid w:val="00B7075C"/>
    <w:rsid w:val="00B709AA"/>
    <w:rsid w:val="00B73499"/>
    <w:rsid w:val="00B73639"/>
    <w:rsid w:val="00B7398F"/>
    <w:rsid w:val="00B7675D"/>
    <w:rsid w:val="00B7682E"/>
    <w:rsid w:val="00B77E5B"/>
    <w:rsid w:val="00B80CC9"/>
    <w:rsid w:val="00B81AF5"/>
    <w:rsid w:val="00B83541"/>
    <w:rsid w:val="00B83D46"/>
    <w:rsid w:val="00B84830"/>
    <w:rsid w:val="00B84B1C"/>
    <w:rsid w:val="00B85D3B"/>
    <w:rsid w:val="00B86638"/>
    <w:rsid w:val="00B86A11"/>
    <w:rsid w:val="00B90562"/>
    <w:rsid w:val="00B909E6"/>
    <w:rsid w:val="00B92030"/>
    <w:rsid w:val="00B93980"/>
    <w:rsid w:val="00B95196"/>
    <w:rsid w:val="00B95A8C"/>
    <w:rsid w:val="00B95DA8"/>
    <w:rsid w:val="00B960C1"/>
    <w:rsid w:val="00B971CF"/>
    <w:rsid w:val="00B97241"/>
    <w:rsid w:val="00BA03AC"/>
    <w:rsid w:val="00BA19F2"/>
    <w:rsid w:val="00BA1C72"/>
    <w:rsid w:val="00BA25F4"/>
    <w:rsid w:val="00BA432E"/>
    <w:rsid w:val="00BA5AB5"/>
    <w:rsid w:val="00BA5F00"/>
    <w:rsid w:val="00BB065C"/>
    <w:rsid w:val="00BB3244"/>
    <w:rsid w:val="00BB3A09"/>
    <w:rsid w:val="00BB53D3"/>
    <w:rsid w:val="00BB6752"/>
    <w:rsid w:val="00BB7A4C"/>
    <w:rsid w:val="00BB7C1C"/>
    <w:rsid w:val="00BC05ED"/>
    <w:rsid w:val="00BC0CF1"/>
    <w:rsid w:val="00BC28E9"/>
    <w:rsid w:val="00BC3A91"/>
    <w:rsid w:val="00BC6FDC"/>
    <w:rsid w:val="00BC7587"/>
    <w:rsid w:val="00BD00B0"/>
    <w:rsid w:val="00BD03F0"/>
    <w:rsid w:val="00BD11DC"/>
    <w:rsid w:val="00BD1269"/>
    <w:rsid w:val="00BD170A"/>
    <w:rsid w:val="00BD3A7D"/>
    <w:rsid w:val="00BD43D2"/>
    <w:rsid w:val="00BD43F6"/>
    <w:rsid w:val="00BD4761"/>
    <w:rsid w:val="00BD5843"/>
    <w:rsid w:val="00BD6AB4"/>
    <w:rsid w:val="00BE2219"/>
    <w:rsid w:val="00BE2622"/>
    <w:rsid w:val="00BE28F1"/>
    <w:rsid w:val="00BE341E"/>
    <w:rsid w:val="00BE3723"/>
    <w:rsid w:val="00BE3B6B"/>
    <w:rsid w:val="00BE4E37"/>
    <w:rsid w:val="00BE5618"/>
    <w:rsid w:val="00BE5D39"/>
    <w:rsid w:val="00BF0161"/>
    <w:rsid w:val="00BF044E"/>
    <w:rsid w:val="00BF139E"/>
    <w:rsid w:val="00BF4D40"/>
    <w:rsid w:val="00BF6B79"/>
    <w:rsid w:val="00BF7A8F"/>
    <w:rsid w:val="00C00BE5"/>
    <w:rsid w:val="00C00FBE"/>
    <w:rsid w:val="00C04A5F"/>
    <w:rsid w:val="00C06228"/>
    <w:rsid w:val="00C101B2"/>
    <w:rsid w:val="00C10AFA"/>
    <w:rsid w:val="00C10CA3"/>
    <w:rsid w:val="00C12931"/>
    <w:rsid w:val="00C12A9E"/>
    <w:rsid w:val="00C13E1B"/>
    <w:rsid w:val="00C15B27"/>
    <w:rsid w:val="00C15EC3"/>
    <w:rsid w:val="00C16380"/>
    <w:rsid w:val="00C17804"/>
    <w:rsid w:val="00C17A1D"/>
    <w:rsid w:val="00C21092"/>
    <w:rsid w:val="00C21A85"/>
    <w:rsid w:val="00C22134"/>
    <w:rsid w:val="00C22A15"/>
    <w:rsid w:val="00C25041"/>
    <w:rsid w:val="00C26915"/>
    <w:rsid w:val="00C26AF4"/>
    <w:rsid w:val="00C270DB"/>
    <w:rsid w:val="00C2791F"/>
    <w:rsid w:val="00C3017C"/>
    <w:rsid w:val="00C319A3"/>
    <w:rsid w:val="00C324CF"/>
    <w:rsid w:val="00C3371A"/>
    <w:rsid w:val="00C347A7"/>
    <w:rsid w:val="00C375DE"/>
    <w:rsid w:val="00C378F5"/>
    <w:rsid w:val="00C41000"/>
    <w:rsid w:val="00C42350"/>
    <w:rsid w:val="00C428C5"/>
    <w:rsid w:val="00C43017"/>
    <w:rsid w:val="00C44121"/>
    <w:rsid w:val="00C448AF"/>
    <w:rsid w:val="00C507E9"/>
    <w:rsid w:val="00C5129C"/>
    <w:rsid w:val="00C5204E"/>
    <w:rsid w:val="00C525E0"/>
    <w:rsid w:val="00C5387E"/>
    <w:rsid w:val="00C53E61"/>
    <w:rsid w:val="00C54243"/>
    <w:rsid w:val="00C5433C"/>
    <w:rsid w:val="00C6065F"/>
    <w:rsid w:val="00C62BC9"/>
    <w:rsid w:val="00C636B2"/>
    <w:rsid w:val="00C65A36"/>
    <w:rsid w:val="00C66F3F"/>
    <w:rsid w:val="00C66F5F"/>
    <w:rsid w:val="00C6754E"/>
    <w:rsid w:val="00C67ED0"/>
    <w:rsid w:val="00C70A7B"/>
    <w:rsid w:val="00C71DBC"/>
    <w:rsid w:val="00C72CE8"/>
    <w:rsid w:val="00C7388D"/>
    <w:rsid w:val="00C73EC9"/>
    <w:rsid w:val="00C74206"/>
    <w:rsid w:val="00C74B06"/>
    <w:rsid w:val="00C7739E"/>
    <w:rsid w:val="00C81477"/>
    <w:rsid w:val="00C83058"/>
    <w:rsid w:val="00C85AFE"/>
    <w:rsid w:val="00C863A1"/>
    <w:rsid w:val="00C86413"/>
    <w:rsid w:val="00C86850"/>
    <w:rsid w:val="00C868B3"/>
    <w:rsid w:val="00C909C2"/>
    <w:rsid w:val="00C933ED"/>
    <w:rsid w:val="00C945B7"/>
    <w:rsid w:val="00C953E1"/>
    <w:rsid w:val="00C96168"/>
    <w:rsid w:val="00C97038"/>
    <w:rsid w:val="00C97124"/>
    <w:rsid w:val="00C9760D"/>
    <w:rsid w:val="00CA0320"/>
    <w:rsid w:val="00CA0BC2"/>
    <w:rsid w:val="00CA1130"/>
    <w:rsid w:val="00CA2257"/>
    <w:rsid w:val="00CA2BF3"/>
    <w:rsid w:val="00CA2DBC"/>
    <w:rsid w:val="00CA3B49"/>
    <w:rsid w:val="00CA4F48"/>
    <w:rsid w:val="00CA5302"/>
    <w:rsid w:val="00CA53FD"/>
    <w:rsid w:val="00CA649C"/>
    <w:rsid w:val="00CA6A57"/>
    <w:rsid w:val="00CA7665"/>
    <w:rsid w:val="00CB12CE"/>
    <w:rsid w:val="00CB32CF"/>
    <w:rsid w:val="00CB3E13"/>
    <w:rsid w:val="00CB5029"/>
    <w:rsid w:val="00CB5741"/>
    <w:rsid w:val="00CB5A0C"/>
    <w:rsid w:val="00CB6431"/>
    <w:rsid w:val="00CB7D44"/>
    <w:rsid w:val="00CC14C3"/>
    <w:rsid w:val="00CC1CA7"/>
    <w:rsid w:val="00CC2038"/>
    <w:rsid w:val="00CC4010"/>
    <w:rsid w:val="00CC44D8"/>
    <w:rsid w:val="00CC4771"/>
    <w:rsid w:val="00CC4E0C"/>
    <w:rsid w:val="00CC5604"/>
    <w:rsid w:val="00CC6D55"/>
    <w:rsid w:val="00CC7C0E"/>
    <w:rsid w:val="00CD03C1"/>
    <w:rsid w:val="00CD0D46"/>
    <w:rsid w:val="00CD25FD"/>
    <w:rsid w:val="00CD6833"/>
    <w:rsid w:val="00CD772A"/>
    <w:rsid w:val="00CD799D"/>
    <w:rsid w:val="00CD7B00"/>
    <w:rsid w:val="00CD7D0B"/>
    <w:rsid w:val="00CE0C6F"/>
    <w:rsid w:val="00CE105B"/>
    <w:rsid w:val="00CE187F"/>
    <w:rsid w:val="00CE1CA6"/>
    <w:rsid w:val="00CE2370"/>
    <w:rsid w:val="00CE2BB0"/>
    <w:rsid w:val="00CE4428"/>
    <w:rsid w:val="00CE4629"/>
    <w:rsid w:val="00CE495B"/>
    <w:rsid w:val="00CE5E9B"/>
    <w:rsid w:val="00CE6D41"/>
    <w:rsid w:val="00CE787B"/>
    <w:rsid w:val="00CE7C5C"/>
    <w:rsid w:val="00CF1C12"/>
    <w:rsid w:val="00CF51BC"/>
    <w:rsid w:val="00CF6062"/>
    <w:rsid w:val="00CF6537"/>
    <w:rsid w:val="00CF6915"/>
    <w:rsid w:val="00CF6B44"/>
    <w:rsid w:val="00CF6C46"/>
    <w:rsid w:val="00D0065C"/>
    <w:rsid w:val="00D0166F"/>
    <w:rsid w:val="00D02289"/>
    <w:rsid w:val="00D03857"/>
    <w:rsid w:val="00D05741"/>
    <w:rsid w:val="00D05CD0"/>
    <w:rsid w:val="00D05ED6"/>
    <w:rsid w:val="00D05FE9"/>
    <w:rsid w:val="00D06A91"/>
    <w:rsid w:val="00D06E98"/>
    <w:rsid w:val="00D07382"/>
    <w:rsid w:val="00D07E8E"/>
    <w:rsid w:val="00D1078B"/>
    <w:rsid w:val="00D1157E"/>
    <w:rsid w:val="00D11F16"/>
    <w:rsid w:val="00D14004"/>
    <w:rsid w:val="00D14777"/>
    <w:rsid w:val="00D14B36"/>
    <w:rsid w:val="00D15195"/>
    <w:rsid w:val="00D15459"/>
    <w:rsid w:val="00D1633C"/>
    <w:rsid w:val="00D201C7"/>
    <w:rsid w:val="00D2117F"/>
    <w:rsid w:val="00D21605"/>
    <w:rsid w:val="00D234FB"/>
    <w:rsid w:val="00D23E25"/>
    <w:rsid w:val="00D2408C"/>
    <w:rsid w:val="00D242D5"/>
    <w:rsid w:val="00D247D2"/>
    <w:rsid w:val="00D252B1"/>
    <w:rsid w:val="00D304DF"/>
    <w:rsid w:val="00D30691"/>
    <w:rsid w:val="00D32268"/>
    <w:rsid w:val="00D32559"/>
    <w:rsid w:val="00D34588"/>
    <w:rsid w:val="00D348B5"/>
    <w:rsid w:val="00D36845"/>
    <w:rsid w:val="00D41C7E"/>
    <w:rsid w:val="00D41D7B"/>
    <w:rsid w:val="00D41F00"/>
    <w:rsid w:val="00D4228D"/>
    <w:rsid w:val="00D42360"/>
    <w:rsid w:val="00D42423"/>
    <w:rsid w:val="00D4261F"/>
    <w:rsid w:val="00D44E4F"/>
    <w:rsid w:val="00D4622F"/>
    <w:rsid w:val="00D5021A"/>
    <w:rsid w:val="00D51E42"/>
    <w:rsid w:val="00D5376F"/>
    <w:rsid w:val="00D54D50"/>
    <w:rsid w:val="00D55074"/>
    <w:rsid w:val="00D5660F"/>
    <w:rsid w:val="00D57535"/>
    <w:rsid w:val="00D57537"/>
    <w:rsid w:val="00D575A6"/>
    <w:rsid w:val="00D60BAC"/>
    <w:rsid w:val="00D616E2"/>
    <w:rsid w:val="00D62C2A"/>
    <w:rsid w:val="00D7131A"/>
    <w:rsid w:val="00D71D39"/>
    <w:rsid w:val="00D727AF"/>
    <w:rsid w:val="00D73BB7"/>
    <w:rsid w:val="00D754A0"/>
    <w:rsid w:val="00D775A2"/>
    <w:rsid w:val="00D80005"/>
    <w:rsid w:val="00D80FE3"/>
    <w:rsid w:val="00D81161"/>
    <w:rsid w:val="00D81532"/>
    <w:rsid w:val="00D8182C"/>
    <w:rsid w:val="00D823AD"/>
    <w:rsid w:val="00D82443"/>
    <w:rsid w:val="00D82A03"/>
    <w:rsid w:val="00D82E50"/>
    <w:rsid w:val="00D8304E"/>
    <w:rsid w:val="00D83847"/>
    <w:rsid w:val="00D872A4"/>
    <w:rsid w:val="00D91211"/>
    <w:rsid w:val="00D915B0"/>
    <w:rsid w:val="00D9172D"/>
    <w:rsid w:val="00D91DD1"/>
    <w:rsid w:val="00D9210E"/>
    <w:rsid w:val="00D92A86"/>
    <w:rsid w:val="00D92D87"/>
    <w:rsid w:val="00D93665"/>
    <w:rsid w:val="00D93BB2"/>
    <w:rsid w:val="00D94388"/>
    <w:rsid w:val="00D94592"/>
    <w:rsid w:val="00D94CC9"/>
    <w:rsid w:val="00DA0A32"/>
    <w:rsid w:val="00DA1079"/>
    <w:rsid w:val="00DA21CB"/>
    <w:rsid w:val="00DA3335"/>
    <w:rsid w:val="00DA3F19"/>
    <w:rsid w:val="00DA435F"/>
    <w:rsid w:val="00DA50EA"/>
    <w:rsid w:val="00DA58A6"/>
    <w:rsid w:val="00DA619C"/>
    <w:rsid w:val="00DB2D9E"/>
    <w:rsid w:val="00DB3912"/>
    <w:rsid w:val="00DB4312"/>
    <w:rsid w:val="00DB4759"/>
    <w:rsid w:val="00DB4D85"/>
    <w:rsid w:val="00DC0B46"/>
    <w:rsid w:val="00DC1BDE"/>
    <w:rsid w:val="00DC1CAC"/>
    <w:rsid w:val="00DC22EB"/>
    <w:rsid w:val="00DC2ADE"/>
    <w:rsid w:val="00DC33A4"/>
    <w:rsid w:val="00DC5004"/>
    <w:rsid w:val="00DC5D25"/>
    <w:rsid w:val="00DD07F9"/>
    <w:rsid w:val="00DD091C"/>
    <w:rsid w:val="00DD0CE8"/>
    <w:rsid w:val="00DD178C"/>
    <w:rsid w:val="00DD1B6D"/>
    <w:rsid w:val="00DD2501"/>
    <w:rsid w:val="00DD2A1A"/>
    <w:rsid w:val="00DD358B"/>
    <w:rsid w:val="00DD66CC"/>
    <w:rsid w:val="00DE00D7"/>
    <w:rsid w:val="00DE1494"/>
    <w:rsid w:val="00DE189E"/>
    <w:rsid w:val="00DE1AA7"/>
    <w:rsid w:val="00DE1DFE"/>
    <w:rsid w:val="00DE2057"/>
    <w:rsid w:val="00DE21AB"/>
    <w:rsid w:val="00DE26E1"/>
    <w:rsid w:val="00DE2DA5"/>
    <w:rsid w:val="00DE3420"/>
    <w:rsid w:val="00DE3836"/>
    <w:rsid w:val="00DE385B"/>
    <w:rsid w:val="00DE40C1"/>
    <w:rsid w:val="00DE4120"/>
    <w:rsid w:val="00DE4ED3"/>
    <w:rsid w:val="00DE585D"/>
    <w:rsid w:val="00DE6A95"/>
    <w:rsid w:val="00DE6B0A"/>
    <w:rsid w:val="00DF0C09"/>
    <w:rsid w:val="00DF1268"/>
    <w:rsid w:val="00DF1FA5"/>
    <w:rsid w:val="00DF2949"/>
    <w:rsid w:val="00DF4483"/>
    <w:rsid w:val="00DF4CC3"/>
    <w:rsid w:val="00DF5917"/>
    <w:rsid w:val="00DF5978"/>
    <w:rsid w:val="00DF7F7E"/>
    <w:rsid w:val="00E0213C"/>
    <w:rsid w:val="00E049DA"/>
    <w:rsid w:val="00E04AA0"/>
    <w:rsid w:val="00E07141"/>
    <w:rsid w:val="00E073BE"/>
    <w:rsid w:val="00E07409"/>
    <w:rsid w:val="00E11F4A"/>
    <w:rsid w:val="00E12210"/>
    <w:rsid w:val="00E14D59"/>
    <w:rsid w:val="00E14E9A"/>
    <w:rsid w:val="00E1560A"/>
    <w:rsid w:val="00E15717"/>
    <w:rsid w:val="00E2051A"/>
    <w:rsid w:val="00E20AB5"/>
    <w:rsid w:val="00E21573"/>
    <w:rsid w:val="00E21C06"/>
    <w:rsid w:val="00E21F92"/>
    <w:rsid w:val="00E220F1"/>
    <w:rsid w:val="00E23A22"/>
    <w:rsid w:val="00E2433C"/>
    <w:rsid w:val="00E265AE"/>
    <w:rsid w:val="00E27250"/>
    <w:rsid w:val="00E3129A"/>
    <w:rsid w:val="00E31906"/>
    <w:rsid w:val="00E3234F"/>
    <w:rsid w:val="00E32946"/>
    <w:rsid w:val="00E32A6C"/>
    <w:rsid w:val="00E343C8"/>
    <w:rsid w:val="00E343EE"/>
    <w:rsid w:val="00E34CD4"/>
    <w:rsid w:val="00E352DC"/>
    <w:rsid w:val="00E3570C"/>
    <w:rsid w:val="00E40652"/>
    <w:rsid w:val="00E411C7"/>
    <w:rsid w:val="00E42A07"/>
    <w:rsid w:val="00E435CF"/>
    <w:rsid w:val="00E44FF4"/>
    <w:rsid w:val="00E468F6"/>
    <w:rsid w:val="00E50672"/>
    <w:rsid w:val="00E517A9"/>
    <w:rsid w:val="00E51F8C"/>
    <w:rsid w:val="00E531C5"/>
    <w:rsid w:val="00E54483"/>
    <w:rsid w:val="00E5460A"/>
    <w:rsid w:val="00E54E80"/>
    <w:rsid w:val="00E55DF6"/>
    <w:rsid w:val="00E56DF5"/>
    <w:rsid w:val="00E57020"/>
    <w:rsid w:val="00E57791"/>
    <w:rsid w:val="00E610BD"/>
    <w:rsid w:val="00E62F7E"/>
    <w:rsid w:val="00E636B4"/>
    <w:rsid w:val="00E63E3E"/>
    <w:rsid w:val="00E6565B"/>
    <w:rsid w:val="00E679EF"/>
    <w:rsid w:val="00E70A01"/>
    <w:rsid w:val="00E7203D"/>
    <w:rsid w:val="00E7378F"/>
    <w:rsid w:val="00E8022D"/>
    <w:rsid w:val="00E80FEC"/>
    <w:rsid w:val="00E83821"/>
    <w:rsid w:val="00E83CE0"/>
    <w:rsid w:val="00E84638"/>
    <w:rsid w:val="00E87ACD"/>
    <w:rsid w:val="00E87C07"/>
    <w:rsid w:val="00E9021B"/>
    <w:rsid w:val="00E9060D"/>
    <w:rsid w:val="00E90926"/>
    <w:rsid w:val="00E93366"/>
    <w:rsid w:val="00E935F9"/>
    <w:rsid w:val="00E9408D"/>
    <w:rsid w:val="00E94FFB"/>
    <w:rsid w:val="00E975D9"/>
    <w:rsid w:val="00E9772D"/>
    <w:rsid w:val="00E97E9A"/>
    <w:rsid w:val="00EA00EB"/>
    <w:rsid w:val="00EA0A53"/>
    <w:rsid w:val="00EA2A29"/>
    <w:rsid w:val="00EA2CCA"/>
    <w:rsid w:val="00EA32CC"/>
    <w:rsid w:val="00EA57A0"/>
    <w:rsid w:val="00EB187A"/>
    <w:rsid w:val="00EB40B2"/>
    <w:rsid w:val="00EB5EA6"/>
    <w:rsid w:val="00EB66A7"/>
    <w:rsid w:val="00EB6D66"/>
    <w:rsid w:val="00EC0A26"/>
    <w:rsid w:val="00EC2E31"/>
    <w:rsid w:val="00EC4652"/>
    <w:rsid w:val="00EC613C"/>
    <w:rsid w:val="00EC6CDD"/>
    <w:rsid w:val="00ED0538"/>
    <w:rsid w:val="00ED0CCF"/>
    <w:rsid w:val="00ED153F"/>
    <w:rsid w:val="00ED1AC8"/>
    <w:rsid w:val="00ED241B"/>
    <w:rsid w:val="00ED3163"/>
    <w:rsid w:val="00ED3AD0"/>
    <w:rsid w:val="00ED404F"/>
    <w:rsid w:val="00ED6733"/>
    <w:rsid w:val="00EE2E36"/>
    <w:rsid w:val="00EE2F55"/>
    <w:rsid w:val="00EE4993"/>
    <w:rsid w:val="00EE516D"/>
    <w:rsid w:val="00EE534C"/>
    <w:rsid w:val="00EE5818"/>
    <w:rsid w:val="00EF089C"/>
    <w:rsid w:val="00EF0B24"/>
    <w:rsid w:val="00EF1091"/>
    <w:rsid w:val="00EF1340"/>
    <w:rsid w:val="00EF1919"/>
    <w:rsid w:val="00EF235F"/>
    <w:rsid w:val="00EF25F2"/>
    <w:rsid w:val="00EF425D"/>
    <w:rsid w:val="00EF46D3"/>
    <w:rsid w:val="00EF5F9E"/>
    <w:rsid w:val="00EF6847"/>
    <w:rsid w:val="00EF7AC6"/>
    <w:rsid w:val="00F00BE6"/>
    <w:rsid w:val="00F00F5C"/>
    <w:rsid w:val="00F00F73"/>
    <w:rsid w:val="00F017AD"/>
    <w:rsid w:val="00F01955"/>
    <w:rsid w:val="00F01A20"/>
    <w:rsid w:val="00F01B61"/>
    <w:rsid w:val="00F038FA"/>
    <w:rsid w:val="00F05F17"/>
    <w:rsid w:val="00F06778"/>
    <w:rsid w:val="00F06DAE"/>
    <w:rsid w:val="00F07721"/>
    <w:rsid w:val="00F13D1B"/>
    <w:rsid w:val="00F13D67"/>
    <w:rsid w:val="00F145DE"/>
    <w:rsid w:val="00F14BED"/>
    <w:rsid w:val="00F16DBE"/>
    <w:rsid w:val="00F17F67"/>
    <w:rsid w:val="00F2188B"/>
    <w:rsid w:val="00F23786"/>
    <w:rsid w:val="00F243BA"/>
    <w:rsid w:val="00F26DEB"/>
    <w:rsid w:val="00F27068"/>
    <w:rsid w:val="00F304B7"/>
    <w:rsid w:val="00F311C2"/>
    <w:rsid w:val="00F31C64"/>
    <w:rsid w:val="00F33295"/>
    <w:rsid w:val="00F337DC"/>
    <w:rsid w:val="00F35401"/>
    <w:rsid w:val="00F35EE4"/>
    <w:rsid w:val="00F3650E"/>
    <w:rsid w:val="00F3691D"/>
    <w:rsid w:val="00F36A23"/>
    <w:rsid w:val="00F37270"/>
    <w:rsid w:val="00F40594"/>
    <w:rsid w:val="00F40CA6"/>
    <w:rsid w:val="00F42C04"/>
    <w:rsid w:val="00F44F37"/>
    <w:rsid w:val="00F46398"/>
    <w:rsid w:val="00F46928"/>
    <w:rsid w:val="00F4776C"/>
    <w:rsid w:val="00F5156A"/>
    <w:rsid w:val="00F51C48"/>
    <w:rsid w:val="00F51C7D"/>
    <w:rsid w:val="00F53F3E"/>
    <w:rsid w:val="00F57841"/>
    <w:rsid w:val="00F60813"/>
    <w:rsid w:val="00F61E02"/>
    <w:rsid w:val="00F622D2"/>
    <w:rsid w:val="00F62D46"/>
    <w:rsid w:val="00F6500E"/>
    <w:rsid w:val="00F67085"/>
    <w:rsid w:val="00F6766D"/>
    <w:rsid w:val="00F6783A"/>
    <w:rsid w:val="00F703A7"/>
    <w:rsid w:val="00F730C5"/>
    <w:rsid w:val="00F76432"/>
    <w:rsid w:val="00F76A4E"/>
    <w:rsid w:val="00F772CE"/>
    <w:rsid w:val="00F77A2F"/>
    <w:rsid w:val="00F77BC6"/>
    <w:rsid w:val="00F77BCC"/>
    <w:rsid w:val="00F77D91"/>
    <w:rsid w:val="00F80586"/>
    <w:rsid w:val="00F80B30"/>
    <w:rsid w:val="00F81FB5"/>
    <w:rsid w:val="00F820DE"/>
    <w:rsid w:val="00F821F5"/>
    <w:rsid w:val="00F839C2"/>
    <w:rsid w:val="00F83B87"/>
    <w:rsid w:val="00F83D08"/>
    <w:rsid w:val="00F859A5"/>
    <w:rsid w:val="00F87EC7"/>
    <w:rsid w:val="00F90536"/>
    <w:rsid w:val="00F91C47"/>
    <w:rsid w:val="00F91D45"/>
    <w:rsid w:val="00F93AE8"/>
    <w:rsid w:val="00F942D7"/>
    <w:rsid w:val="00F97207"/>
    <w:rsid w:val="00FA091D"/>
    <w:rsid w:val="00FA236A"/>
    <w:rsid w:val="00FA241F"/>
    <w:rsid w:val="00FA2D9F"/>
    <w:rsid w:val="00FA52D9"/>
    <w:rsid w:val="00FA5AB1"/>
    <w:rsid w:val="00FA5C5E"/>
    <w:rsid w:val="00FA6029"/>
    <w:rsid w:val="00FA66B1"/>
    <w:rsid w:val="00FA6B55"/>
    <w:rsid w:val="00FA6FB1"/>
    <w:rsid w:val="00FB1500"/>
    <w:rsid w:val="00FB26A1"/>
    <w:rsid w:val="00FB35C3"/>
    <w:rsid w:val="00FB426D"/>
    <w:rsid w:val="00FB7310"/>
    <w:rsid w:val="00FC1E1D"/>
    <w:rsid w:val="00FC36FB"/>
    <w:rsid w:val="00FC38B0"/>
    <w:rsid w:val="00FC5158"/>
    <w:rsid w:val="00FC73BC"/>
    <w:rsid w:val="00FC78EA"/>
    <w:rsid w:val="00FC7AFC"/>
    <w:rsid w:val="00FD0D63"/>
    <w:rsid w:val="00FD37FF"/>
    <w:rsid w:val="00FD3871"/>
    <w:rsid w:val="00FD3A33"/>
    <w:rsid w:val="00FD3C00"/>
    <w:rsid w:val="00FD468D"/>
    <w:rsid w:val="00FD5FE3"/>
    <w:rsid w:val="00FE0AB3"/>
    <w:rsid w:val="00FE0BBB"/>
    <w:rsid w:val="00FE0EFD"/>
    <w:rsid w:val="00FE1FAE"/>
    <w:rsid w:val="00FE2CE9"/>
    <w:rsid w:val="00FE322C"/>
    <w:rsid w:val="00FE3DE2"/>
    <w:rsid w:val="00FE42CD"/>
    <w:rsid w:val="00FE559E"/>
    <w:rsid w:val="00FE5C61"/>
    <w:rsid w:val="00FE5CC9"/>
    <w:rsid w:val="00FE7213"/>
    <w:rsid w:val="00FF07CB"/>
    <w:rsid w:val="00FF0CD0"/>
    <w:rsid w:val="00FF17A3"/>
    <w:rsid w:val="00FF31B1"/>
    <w:rsid w:val="00FF37C8"/>
    <w:rsid w:val="00FF4550"/>
    <w:rsid w:val="00FF4B33"/>
    <w:rsid w:val="00FF4CC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A63F17-85A4-4FC1-AEDF-0137EB3A8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41B"/>
    <w:pPr>
      <w:spacing w:after="0" w:line="240" w:lineRule="auto"/>
    </w:pPr>
    <w:rPr>
      <w:rFonts w:ascii="Times New Roman" w:eastAsia="Times New Roman" w:hAnsi="Times New Roman" w:cs="Times New Roman"/>
      <w:snapToGrid w:val="0"/>
      <w:sz w:val="20"/>
      <w:szCs w:val="20"/>
      <w:lang w:val="es-ES_tradnl" w:eastAsia="es-ES"/>
    </w:rPr>
  </w:style>
  <w:style w:type="paragraph" w:styleId="Ttulo1">
    <w:name w:val="heading 1"/>
    <w:basedOn w:val="Normal"/>
    <w:next w:val="Normal"/>
    <w:link w:val="Ttulo1Car"/>
    <w:qFormat/>
    <w:rsid w:val="0013684A"/>
    <w:pPr>
      <w:keepNext/>
      <w:tabs>
        <w:tab w:val="left" w:pos="-720"/>
        <w:tab w:val="left" w:pos="0"/>
        <w:tab w:val="left" w:pos="720"/>
      </w:tabs>
      <w:suppressAutoHyphens/>
      <w:spacing w:before="120"/>
      <w:ind w:left="1440" w:hanging="22"/>
      <w:jc w:val="both"/>
      <w:outlineLvl w:val="0"/>
    </w:pPr>
    <w:rPr>
      <w:rFonts w:ascii="Arial" w:hAnsi="Arial"/>
      <w:b/>
      <w:spacing w:val="3"/>
      <w:sz w:val="16"/>
    </w:rPr>
  </w:style>
  <w:style w:type="paragraph" w:styleId="Ttulo2">
    <w:name w:val="heading 2"/>
    <w:basedOn w:val="Normal"/>
    <w:next w:val="Normal"/>
    <w:link w:val="Ttulo2Car"/>
    <w:qFormat/>
    <w:rsid w:val="0013684A"/>
    <w:pPr>
      <w:keepNext/>
      <w:tabs>
        <w:tab w:val="left" w:pos="-720"/>
      </w:tabs>
      <w:suppressAutoHyphens/>
      <w:spacing w:before="120"/>
      <w:ind w:left="1418"/>
      <w:jc w:val="both"/>
      <w:outlineLvl w:val="1"/>
    </w:pPr>
    <w:rPr>
      <w:rFonts w:ascii="Arial" w:hAnsi="Arial"/>
      <w:b/>
      <w:spacing w:val="3"/>
      <w:sz w:val="16"/>
    </w:rPr>
  </w:style>
  <w:style w:type="paragraph" w:styleId="Ttulo3">
    <w:name w:val="heading 3"/>
    <w:basedOn w:val="Normal"/>
    <w:next w:val="Normal"/>
    <w:link w:val="Ttulo3Car"/>
    <w:qFormat/>
    <w:rsid w:val="0013684A"/>
    <w:pPr>
      <w:keepNext/>
      <w:tabs>
        <w:tab w:val="left" w:pos="-720"/>
        <w:tab w:val="left" w:pos="0"/>
        <w:tab w:val="left" w:pos="720"/>
      </w:tabs>
      <w:suppressAutoHyphens/>
      <w:spacing w:before="120"/>
      <w:jc w:val="both"/>
      <w:outlineLvl w:val="2"/>
    </w:pPr>
    <w:rPr>
      <w:rFonts w:ascii="Arial" w:hAnsi="Arial"/>
      <w:b/>
      <w:spacing w:val="3"/>
      <w:sz w:val="16"/>
    </w:rPr>
  </w:style>
  <w:style w:type="paragraph" w:styleId="Ttulo4">
    <w:name w:val="heading 4"/>
    <w:basedOn w:val="Normal"/>
    <w:next w:val="Normal"/>
    <w:link w:val="Ttulo4Car"/>
    <w:qFormat/>
    <w:rsid w:val="0013684A"/>
    <w:pPr>
      <w:keepNext/>
      <w:spacing w:before="120"/>
      <w:ind w:left="1440"/>
      <w:jc w:val="both"/>
      <w:outlineLvl w:val="3"/>
    </w:pPr>
    <w:rPr>
      <w:rFonts w:ascii="Arial" w:hAnsi="Arial"/>
      <w:b/>
      <w:spacing w:val="3"/>
      <w:sz w:val="16"/>
    </w:rPr>
  </w:style>
  <w:style w:type="paragraph" w:styleId="Ttulo5">
    <w:name w:val="heading 5"/>
    <w:basedOn w:val="Normal"/>
    <w:next w:val="Normal"/>
    <w:link w:val="Ttulo5Car"/>
    <w:qFormat/>
    <w:rsid w:val="0013684A"/>
    <w:pPr>
      <w:keepNext/>
      <w:tabs>
        <w:tab w:val="left" w:pos="-720"/>
        <w:tab w:val="left" w:pos="0"/>
        <w:tab w:val="left" w:pos="720"/>
      </w:tabs>
      <w:suppressAutoHyphens/>
      <w:spacing w:before="120"/>
      <w:ind w:firstLine="1418"/>
      <w:jc w:val="both"/>
      <w:outlineLvl w:val="4"/>
    </w:pPr>
    <w:rPr>
      <w:rFonts w:ascii="Arial" w:hAnsi="Arial"/>
      <w:b/>
      <w:spacing w:val="3"/>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3684A"/>
    <w:rPr>
      <w:rFonts w:ascii="Arial" w:eastAsia="Times New Roman" w:hAnsi="Arial" w:cs="Times New Roman"/>
      <w:b/>
      <w:snapToGrid w:val="0"/>
      <w:spacing w:val="3"/>
      <w:sz w:val="16"/>
      <w:szCs w:val="20"/>
      <w:lang w:val="es-ES_tradnl" w:eastAsia="es-ES"/>
    </w:rPr>
  </w:style>
  <w:style w:type="character" w:customStyle="1" w:styleId="Ttulo2Car">
    <w:name w:val="Título 2 Car"/>
    <w:basedOn w:val="Fuentedeprrafopredeter"/>
    <w:link w:val="Ttulo2"/>
    <w:rsid w:val="0013684A"/>
    <w:rPr>
      <w:rFonts w:ascii="Arial" w:eastAsia="Times New Roman" w:hAnsi="Arial" w:cs="Times New Roman"/>
      <w:b/>
      <w:snapToGrid w:val="0"/>
      <w:spacing w:val="3"/>
      <w:sz w:val="16"/>
      <w:szCs w:val="20"/>
      <w:lang w:val="es-ES_tradnl" w:eastAsia="es-ES"/>
    </w:rPr>
  </w:style>
  <w:style w:type="character" w:customStyle="1" w:styleId="Ttulo3Car">
    <w:name w:val="Título 3 Car"/>
    <w:basedOn w:val="Fuentedeprrafopredeter"/>
    <w:link w:val="Ttulo3"/>
    <w:rsid w:val="0013684A"/>
    <w:rPr>
      <w:rFonts w:ascii="Arial" w:eastAsia="Times New Roman" w:hAnsi="Arial" w:cs="Times New Roman"/>
      <w:b/>
      <w:snapToGrid w:val="0"/>
      <w:spacing w:val="3"/>
      <w:sz w:val="16"/>
      <w:szCs w:val="20"/>
      <w:lang w:eastAsia="es-ES"/>
    </w:rPr>
  </w:style>
  <w:style w:type="character" w:customStyle="1" w:styleId="Ttulo4Car">
    <w:name w:val="Título 4 Car"/>
    <w:basedOn w:val="Fuentedeprrafopredeter"/>
    <w:link w:val="Ttulo4"/>
    <w:rsid w:val="0013684A"/>
    <w:rPr>
      <w:rFonts w:ascii="Arial" w:eastAsia="Times New Roman" w:hAnsi="Arial" w:cs="Times New Roman"/>
      <w:b/>
      <w:snapToGrid w:val="0"/>
      <w:spacing w:val="3"/>
      <w:sz w:val="16"/>
      <w:szCs w:val="20"/>
      <w:lang w:val="es-ES_tradnl" w:eastAsia="es-ES"/>
    </w:rPr>
  </w:style>
  <w:style w:type="character" w:customStyle="1" w:styleId="Ttulo5Car">
    <w:name w:val="Título 5 Car"/>
    <w:basedOn w:val="Fuentedeprrafopredeter"/>
    <w:link w:val="Ttulo5"/>
    <w:rsid w:val="0013684A"/>
    <w:rPr>
      <w:rFonts w:ascii="Arial" w:eastAsia="Times New Roman" w:hAnsi="Arial" w:cs="Times New Roman"/>
      <w:b/>
      <w:snapToGrid w:val="0"/>
      <w:spacing w:val="3"/>
      <w:sz w:val="16"/>
      <w:szCs w:val="20"/>
      <w:lang w:eastAsia="es-ES"/>
    </w:rPr>
  </w:style>
  <w:style w:type="paragraph" w:styleId="Encabezado">
    <w:name w:val="header"/>
    <w:basedOn w:val="Normal"/>
    <w:link w:val="EncabezadoCar"/>
    <w:uiPriority w:val="99"/>
    <w:rsid w:val="0013684A"/>
    <w:pPr>
      <w:tabs>
        <w:tab w:val="center" w:pos="4252"/>
        <w:tab w:val="right" w:pos="8504"/>
      </w:tabs>
    </w:pPr>
  </w:style>
  <w:style w:type="character" w:customStyle="1" w:styleId="EncabezadoCar">
    <w:name w:val="Encabezado Car"/>
    <w:basedOn w:val="Fuentedeprrafopredeter"/>
    <w:link w:val="Encabezado"/>
    <w:uiPriority w:val="99"/>
    <w:rsid w:val="0013684A"/>
    <w:rPr>
      <w:rFonts w:ascii="Times New Roman" w:eastAsia="Times New Roman" w:hAnsi="Times New Roman" w:cs="Times New Roman"/>
      <w:snapToGrid w:val="0"/>
      <w:sz w:val="20"/>
      <w:szCs w:val="20"/>
      <w:lang w:val="es-ES_tradnl" w:eastAsia="es-ES"/>
    </w:rPr>
  </w:style>
  <w:style w:type="paragraph" w:styleId="Piedepgina">
    <w:name w:val="footer"/>
    <w:basedOn w:val="Normal"/>
    <w:link w:val="PiedepginaCar"/>
    <w:rsid w:val="0013684A"/>
    <w:pPr>
      <w:tabs>
        <w:tab w:val="center" w:pos="4252"/>
        <w:tab w:val="right" w:pos="8504"/>
      </w:tabs>
    </w:pPr>
  </w:style>
  <w:style w:type="character" w:customStyle="1" w:styleId="PiedepginaCar">
    <w:name w:val="Pie de página Car"/>
    <w:basedOn w:val="Fuentedeprrafopredeter"/>
    <w:link w:val="Piedepgina"/>
    <w:rsid w:val="0013684A"/>
    <w:rPr>
      <w:rFonts w:ascii="Times New Roman" w:eastAsia="Times New Roman" w:hAnsi="Times New Roman" w:cs="Times New Roman"/>
      <w:snapToGrid w:val="0"/>
      <w:sz w:val="20"/>
      <w:szCs w:val="20"/>
      <w:lang w:val="es-ES_tradnl" w:eastAsia="es-ES"/>
    </w:rPr>
  </w:style>
  <w:style w:type="character" w:styleId="Nmerodepgina">
    <w:name w:val="page number"/>
    <w:basedOn w:val="Fuentedeprrafopredeter"/>
    <w:rsid w:val="0013684A"/>
  </w:style>
  <w:style w:type="character" w:customStyle="1" w:styleId="Fuentedeencabezadopredeter">
    <w:name w:val="Fuente de encabezado predeter."/>
    <w:rsid w:val="0013684A"/>
  </w:style>
  <w:style w:type="character" w:customStyle="1" w:styleId="Documento4">
    <w:name w:val="Documento 4"/>
    <w:rsid w:val="0013684A"/>
    <w:rPr>
      <w:b/>
      <w:i/>
      <w:sz w:val="24"/>
    </w:rPr>
  </w:style>
  <w:style w:type="character" w:customStyle="1" w:styleId="Bibliogr">
    <w:name w:val="Bibliogr."/>
    <w:basedOn w:val="Fuentedeencabezadopredeter"/>
    <w:rsid w:val="0013684A"/>
  </w:style>
  <w:style w:type="character" w:customStyle="1" w:styleId="Documento5">
    <w:name w:val="Documento 5"/>
    <w:basedOn w:val="Fuentedeencabezadopredeter"/>
    <w:rsid w:val="0013684A"/>
  </w:style>
  <w:style w:type="character" w:customStyle="1" w:styleId="Documento2">
    <w:name w:val="Documento 2"/>
    <w:rsid w:val="0013684A"/>
    <w:rPr>
      <w:rFonts w:ascii="Courier" w:hAnsi="Courier"/>
      <w:noProof w:val="0"/>
      <w:sz w:val="24"/>
      <w:lang w:val="en-US"/>
    </w:rPr>
  </w:style>
  <w:style w:type="character" w:customStyle="1" w:styleId="Documento6">
    <w:name w:val="Documento 6"/>
    <w:basedOn w:val="Fuentedeencabezadopredeter"/>
    <w:rsid w:val="0013684A"/>
  </w:style>
  <w:style w:type="character" w:customStyle="1" w:styleId="Documento7">
    <w:name w:val="Documento 7"/>
    <w:basedOn w:val="Fuentedeencabezadopredeter"/>
    <w:rsid w:val="0013684A"/>
  </w:style>
  <w:style w:type="character" w:customStyle="1" w:styleId="Documento8">
    <w:name w:val="Documento 8"/>
    <w:basedOn w:val="Fuentedeencabezadopredeter"/>
    <w:rsid w:val="0013684A"/>
  </w:style>
  <w:style w:type="character" w:customStyle="1" w:styleId="Documento3">
    <w:name w:val="Documento 3"/>
    <w:rsid w:val="0013684A"/>
    <w:rPr>
      <w:rFonts w:ascii="Courier" w:hAnsi="Courier"/>
      <w:noProof w:val="0"/>
      <w:sz w:val="24"/>
      <w:lang w:val="en-US"/>
    </w:rPr>
  </w:style>
  <w:style w:type="paragraph" w:customStyle="1" w:styleId="Prder1">
    <w:name w:val="PÀÀr. der. 1"/>
    <w:rsid w:val="0013684A"/>
    <w:pPr>
      <w:tabs>
        <w:tab w:val="left" w:pos="-720"/>
        <w:tab w:val="left" w:pos="0"/>
        <w:tab w:val="decimal" w:pos="720"/>
      </w:tabs>
      <w:suppressAutoHyphens/>
      <w:spacing w:after="0" w:line="240" w:lineRule="auto"/>
      <w:ind w:left="720" w:hanging="208"/>
    </w:pPr>
    <w:rPr>
      <w:rFonts w:ascii="Courier" w:eastAsia="Times New Roman" w:hAnsi="Courier" w:cs="Times New Roman"/>
      <w:snapToGrid w:val="0"/>
      <w:sz w:val="24"/>
      <w:szCs w:val="20"/>
      <w:lang w:val="en-US" w:eastAsia="es-ES"/>
    </w:rPr>
  </w:style>
  <w:style w:type="paragraph" w:customStyle="1" w:styleId="Prder2">
    <w:name w:val="PÀÀr. der. 2"/>
    <w:rsid w:val="0013684A"/>
    <w:pPr>
      <w:tabs>
        <w:tab w:val="left" w:pos="-720"/>
        <w:tab w:val="left" w:pos="0"/>
        <w:tab w:val="left" w:pos="720"/>
        <w:tab w:val="decimal" w:pos="1440"/>
      </w:tabs>
      <w:suppressAutoHyphens/>
      <w:spacing w:after="0" w:line="240" w:lineRule="auto"/>
      <w:ind w:left="1440" w:hanging="294"/>
    </w:pPr>
    <w:rPr>
      <w:rFonts w:ascii="Courier" w:eastAsia="Times New Roman" w:hAnsi="Courier" w:cs="Times New Roman"/>
      <w:snapToGrid w:val="0"/>
      <w:sz w:val="24"/>
      <w:szCs w:val="20"/>
      <w:lang w:val="en-US" w:eastAsia="es-ES"/>
    </w:rPr>
  </w:style>
  <w:style w:type="paragraph" w:customStyle="1" w:styleId="Prder3">
    <w:name w:val="PÀÀr. der. 3"/>
    <w:rsid w:val="0013684A"/>
    <w:pPr>
      <w:tabs>
        <w:tab w:val="left" w:pos="-720"/>
        <w:tab w:val="left" w:pos="0"/>
        <w:tab w:val="left" w:pos="720"/>
        <w:tab w:val="left" w:pos="1440"/>
        <w:tab w:val="decimal" w:pos="2160"/>
      </w:tabs>
      <w:suppressAutoHyphens/>
      <w:spacing w:after="0" w:line="240" w:lineRule="auto"/>
      <w:ind w:left="2160" w:hanging="236"/>
    </w:pPr>
    <w:rPr>
      <w:rFonts w:ascii="Courier" w:eastAsia="Times New Roman" w:hAnsi="Courier" w:cs="Times New Roman"/>
      <w:snapToGrid w:val="0"/>
      <w:sz w:val="24"/>
      <w:szCs w:val="20"/>
      <w:lang w:val="en-US" w:eastAsia="es-ES"/>
    </w:rPr>
  </w:style>
  <w:style w:type="paragraph" w:customStyle="1" w:styleId="Prder4">
    <w:name w:val="PÀÀr. der. 4"/>
    <w:rsid w:val="0013684A"/>
    <w:pPr>
      <w:tabs>
        <w:tab w:val="left" w:pos="-720"/>
        <w:tab w:val="left" w:pos="0"/>
        <w:tab w:val="left" w:pos="720"/>
        <w:tab w:val="left" w:pos="1440"/>
        <w:tab w:val="left" w:pos="2160"/>
        <w:tab w:val="decimal" w:pos="2880"/>
      </w:tabs>
      <w:suppressAutoHyphens/>
      <w:spacing w:after="0" w:line="240" w:lineRule="auto"/>
      <w:ind w:left="2880" w:hanging="236"/>
    </w:pPr>
    <w:rPr>
      <w:rFonts w:ascii="Courier" w:eastAsia="Times New Roman" w:hAnsi="Courier" w:cs="Times New Roman"/>
      <w:snapToGrid w:val="0"/>
      <w:sz w:val="24"/>
      <w:szCs w:val="20"/>
      <w:lang w:val="en-US" w:eastAsia="es-ES"/>
    </w:rPr>
  </w:style>
  <w:style w:type="paragraph" w:customStyle="1" w:styleId="Documento1">
    <w:name w:val="Documento 1"/>
    <w:rsid w:val="0013684A"/>
    <w:pPr>
      <w:keepNext/>
      <w:keepLines/>
      <w:tabs>
        <w:tab w:val="left" w:pos="-720"/>
      </w:tabs>
      <w:suppressAutoHyphens/>
      <w:spacing w:after="0" w:line="240" w:lineRule="auto"/>
    </w:pPr>
    <w:rPr>
      <w:rFonts w:ascii="Courier" w:eastAsia="Times New Roman" w:hAnsi="Courier" w:cs="Times New Roman"/>
      <w:snapToGrid w:val="0"/>
      <w:sz w:val="24"/>
      <w:szCs w:val="20"/>
      <w:lang w:val="en-US" w:eastAsia="es-ES"/>
    </w:rPr>
  </w:style>
  <w:style w:type="paragraph" w:customStyle="1" w:styleId="Prder5">
    <w:name w:val="PÀÀr. der. 5"/>
    <w:rsid w:val="0013684A"/>
    <w:pPr>
      <w:tabs>
        <w:tab w:val="left" w:pos="-720"/>
        <w:tab w:val="left" w:pos="0"/>
        <w:tab w:val="left" w:pos="720"/>
        <w:tab w:val="left" w:pos="1440"/>
        <w:tab w:val="left" w:pos="2160"/>
        <w:tab w:val="left" w:pos="2880"/>
        <w:tab w:val="decimal" w:pos="3600"/>
      </w:tabs>
      <w:suppressAutoHyphens/>
      <w:spacing w:after="0" w:line="240" w:lineRule="auto"/>
      <w:ind w:left="3600" w:hanging="356"/>
    </w:pPr>
    <w:rPr>
      <w:rFonts w:ascii="Courier" w:eastAsia="Times New Roman" w:hAnsi="Courier" w:cs="Times New Roman"/>
      <w:snapToGrid w:val="0"/>
      <w:sz w:val="24"/>
      <w:szCs w:val="20"/>
      <w:lang w:val="en-US" w:eastAsia="es-ES"/>
    </w:rPr>
  </w:style>
  <w:style w:type="paragraph" w:customStyle="1" w:styleId="Prder6">
    <w:name w:val="PÀÀr. der. 6"/>
    <w:rsid w:val="0013684A"/>
    <w:pPr>
      <w:tabs>
        <w:tab w:val="left" w:pos="-720"/>
        <w:tab w:val="left" w:pos="0"/>
        <w:tab w:val="left" w:pos="720"/>
        <w:tab w:val="left" w:pos="1440"/>
        <w:tab w:val="left" w:pos="2160"/>
        <w:tab w:val="left" w:pos="2880"/>
        <w:tab w:val="left" w:pos="3600"/>
        <w:tab w:val="decimal" w:pos="4320"/>
      </w:tabs>
      <w:suppressAutoHyphens/>
      <w:spacing w:after="0" w:line="240" w:lineRule="auto"/>
      <w:ind w:left="4320" w:hanging="356"/>
    </w:pPr>
    <w:rPr>
      <w:rFonts w:ascii="Courier" w:eastAsia="Times New Roman" w:hAnsi="Courier" w:cs="Times New Roman"/>
      <w:snapToGrid w:val="0"/>
      <w:sz w:val="24"/>
      <w:szCs w:val="20"/>
      <w:lang w:val="en-US" w:eastAsia="es-ES"/>
    </w:rPr>
  </w:style>
  <w:style w:type="paragraph" w:customStyle="1" w:styleId="Prder7">
    <w:name w:val="PÀÀr. der. 7"/>
    <w:rsid w:val="001368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left="5040" w:hanging="222"/>
    </w:pPr>
    <w:rPr>
      <w:rFonts w:ascii="Courier" w:eastAsia="Times New Roman" w:hAnsi="Courier" w:cs="Times New Roman"/>
      <w:snapToGrid w:val="0"/>
      <w:sz w:val="24"/>
      <w:szCs w:val="20"/>
      <w:lang w:val="en-US" w:eastAsia="es-ES"/>
    </w:rPr>
  </w:style>
  <w:style w:type="paragraph" w:customStyle="1" w:styleId="Prder8">
    <w:name w:val="PÀÀr. der. 8"/>
    <w:rsid w:val="001368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left="5760" w:hanging="270"/>
    </w:pPr>
    <w:rPr>
      <w:rFonts w:ascii="Courier" w:eastAsia="Times New Roman" w:hAnsi="Courier" w:cs="Times New Roman"/>
      <w:snapToGrid w:val="0"/>
      <w:sz w:val="24"/>
      <w:szCs w:val="20"/>
      <w:lang w:val="en-US" w:eastAsia="es-ES"/>
    </w:rPr>
  </w:style>
  <w:style w:type="character" w:customStyle="1" w:styleId="Tcnico2">
    <w:name w:val="TÀ)Àcnico 2"/>
    <w:rsid w:val="0013684A"/>
    <w:rPr>
      <w:rFonts w:ascii="Courier" w:hAnsi="Courier"/>
      <w:noProof w:val="0"/>
      <w:sz w:val="24"/>
      <w:lang w:val="en-US"/>
    </w:rPr>
  </w:style>
  <w:style w:type="character" w:customStyle="1" w:styleId="Tcnico3">
    <w:name w:val="TÀ)Àcnico 3"/>
    <w:rsid w:val="0013684A"/>
    <w:rPr>
      <w:rFonts w:ascii="Courier" w:hAnsi="Courier"/>
      <w:noProof w:val="0"/>
      <w:sz w:val="24"/>
      <w:lang w:val="en-US"/>
    </w:rPr>
  </w:style>
  <w:style w:type="paragraph" w:customStyle="1" w:styleId="Tcnico4">
    <w:name w:val="TÀ)Àcnico 4"/>
    <w:rsid w:val="0013684A"/>
    <w:pPr>
      <w:tabs>
        <w:tab w:val="left" w:pos="-720"/>
      </w:tabs>
      <w:suppressAutoHyphens/>
      <w:spacing w:after="0" w:line="240" w:lineRule="auto"/>
    </w:pPr>
    <w:rPr>
      <w:rFonts w:ascii="Courier" w:eastAsia="Times New Roman" w:hAnsi="Courier" w:cs="Times New Roman"/>
      <w:b/>
      <w:snapToGrid w:val="0"/>
      <w:sz w:val="24"/>
      <w:szCs w:val="20"/>
      <w:lang w:val="en-US" w:eastAsia="es-ES"/>
    </w:rPr>
  </w:style>
  <w:style w:type="character" w:customStyle="1" w:styleId="Tcnico1">
    <w:name w:val="TÀ)Àcnico 1"/>
    <w:rsid w:val="0013684A"/>
    <w:rPr>
      <w:rFonts w:ascii="Courier" w:hAnsi="Courier"/>
      <w:noProof w:val="0"/>
      <w:sz w:val="24"/>
      <w:lang w:val="en-US"/>
    </w:rPr>
  </w:style>
  <w:style w:type="character" w:customStyle="1" w:styleId="Inicdoc">
    <w:name w:val="Inic. doc."/>
    <w:basedOn w:val="Fuentedeencabezadopredeter"/>
    <w:rsid w:val="0013684A"/>
  </w:style>
  <w:style w:type="paragraph" w:customStyle="1" w:styleId="Tcnico5">
    <w:name w:val="TÀ)Àcnico 5"/>
    <w:rsid w:val="0013684A"/>
    <w:pPr>
      <w:tabs>
        <w:tab w:val="left" w:pos="-720"/>
      </w:tabs>
      <w:suppressAutoHyphens/>
      <w:spacing w:after="0" w:line="240" w:lineRule="auto"/>
      <w:ind w:firstLine="720"/>
    </w:pPr>
    <w:rPr>
      <w:rFonts w:ascii="Courier" w:eastAsia="Times New Roman" w:hAnsi="Courier" w:cs="Times New Roman"/>
      <w:b/>
      <w:snapToGrid w:val="0"/>
      <w:sz w:val="24"/>
      <w:szCs w:val="20"/>
      <w:lang w:val="en-US" w:eastAsia="es-ES"/>
    </w:rPr>
  </w:style>
  <w:style w:type="paragraph" w:customStyle="1" w:styleId="Tcnico6">
    <w:name w:val="TÀ)Àcnico 6"/>
    <w:rsid w:val="0013684A"/>
    <w:pPr>
      <w:tabs>
        <w:tab w:val="left" w:pos="-720"/>
      </w:tabs>
      <w:suppressAutoHyphens/>
      <w:spacing w:after="0" w:line="240" w:lineRule="auto"/>
      <w:ind w:firstLine="720"/>
    </w:pPr>
    <w:rPr>
      <w:rFonts w:ascii="Courier" w:eastAsia="Times New Roman" w:hAnsi="Courier" w:cs="Times New Roman"/>
      <w:b/>
      <w:snapToGrid w:val="0"/>
      <w:sz w:val="24"/>
      <w:szCs w:val="20"/>
      <w:lang w:val="en-US" w:eastAsia="es-ES"/>
    </w:rPr>
  </w:style>
  <w:style w:type="paragraph" w:customStyle="1" w:styleId="Tcnico7">
    <w:name w:val="TÀ)Àcnico 7"/>
    <w:rsid w:val="0013684A"/>
    <w:pPr>
      <w:tabs>
        <w:tab w:val="left" w:pos="-720"/>
      </w:tabs>
      <w:suppressAutoHyphens/>
      <w:spacing w:after="0" w:line="240" w:lineRule="auto"/>
      <w:ind w:firstLine="720"/>
    </w:pPr>
    <w:rPr>
      <w:rFonts w:ascii="Courier" w:eastAsia="Times New Roman" w:hAnsi="Courier" w:cs="Times New Roman"/>
      <w:b/>
      <w:snapToGrid w:val="0"/>
      <w:sz w:val="24"/>
      <w:szCs w:val="20"/>
      <w:lang w:val="en-US" w:eastAsia="es-ES"/>
    </w:rPr>
  </w:style>
  <w:style w:type="paragraph" w:customStyle="1" w:styleId="Tcnico8">
    <w:name w:val="TÀ)Àcnico 8"/>
    <w:rsid w:val="0013684A"/>
    <w:pPr>
      <w:tabs>
        <w:tab w:val="left" w:pos="-720"/>
      </w:tabs>
      <w:suppressAutoHyphens/>
      <w:spacing w:after="0" w:line="240" w:lineRule="auto"/>
      <w:ind w:firstLine="720"/>
    </w:pPr>
    <w:rPr>
      <w:rFonts w:ascii="Courier" w:eastAsia="Times New Roman" w:hAnsi="Courier" w:cs="Times New Roman"/>
      <w:b/>
      <w:snapToGrid w:val="0"/>
      <w:sz w:val="24"/>
      <w:szCs w:val="20"/>
      <w:lang w:val="en-US" w:eastAsia="es-ES"/>
    </w:rPr>
  </w:style>
  <w:style w:type="character" w:customStyle="1" w:styleId="Inicestt">
    <w:name w:val="Inic. est. t"/>
    <w:rsid w:val="0013684A"/>
    <w:rPr>
      <w:rFonts w:ascii="Courier" w:hAnsi="Courier"/>
      <w:noProof w:val="0"/>
      <w:sz w:val="24"/>
      <w:lang w:val="en-US"/>
    </w:rPr>
  </w:style>
  <w:style w:type="paragraph" w:customStyle="1" w:styleId="Escrlegal">
    <w:name w:val="Escr. legal"/>
    <w:rsid w:val="0013684A"/>
    <w:pPr>
      <w:tabs>
        <w:tab w:val="left" w:pos="-720"/>
      </w:tabs>
      <w:suppressAutoHyphens/>
      <w:spacing w:after="0" w:line="240" w:lineRule="exact"/>
    </w:pPr>
    <w:rPr>
      <w:rFonts w:ascii="Courier" w:eastAsia="Times New Roman" w:hAnsi="Courier" w:cs="Times New Roman"/>
      <w:snapToGrid w:val="0"/>
      <w:sz w:val="24"/>
      <w:szCs w:val="20"/>
      <w:lang w:val="en-US" w:eastAsia="es-ES"/>
    </w:rPr>
  </w:style>
  <w:style w:type="character" w:customStyle="1" w:styleId="DefaultParagraphFo">
    <w:name w:val="Default Paragraph Fo"/>
    <w:basedOn w:val="Fuentedeencabezadopredeter"/>
    <w:rsid w:val="0013684A"/>
  </w:style>
  <w:style w:type="character" w:customStyle="1" w:styleId="Fuentedeencabezado">
    <w:name w:val="Fuente de encabezado"/>
    <w:basedOn w:val="Fuentedeencabezadopredeter"/>
    <w:rsid w:val="0013684A"/>
  </w:style>
  <w:style w:type="character" w:customStyle="1" w:styleId="Documento4a">
    <w:name w:val="Documento 4a"/>
    <w:rsid w:val="0013684A"/>
    <w:rPr>
      <w:b/>
      <w:i/>
      <w:sz w:val="24"/>
    </w:rPr>
  </w:style>
  <w:style w:type="character" w:customStyle="1" w:styleId="Documento5a">
    <w:name w:val="Documento 5a"/>
    <w:basedOn w:val="Fuentedeencabezadopredeter"/>
    <w:rsid w:val="0013684A"/>
  </w:style>
  <w:style w:type="character" w:customStyle="1" w:styleId="Documento2a">
    <w:name w:val="Documento 2a"/>
    <w:basedOn w:val="Fuentedeencabezadopredeter"/>
    <w:rsid w:val="0013684A"/>
  </w:style>
  <w:style w:type="character" w:customStyle="1" w:styleId="Documento6a">
    <w:name w:val="Documento 6a"/>
    <w:basedOn w:val="Fuentedeencabezadopredeter"/>
    <w:rsid w:val="0013684A"/>
  </w:style>
  <w:style w:type="character" w:customStyle="1" w:styleId="Documento7a">
    <w:name w:val="Documento 7a"/>
    <w:basedOn w:val="Fuentedeencabezadopredeter"/>
    <w:rsid w:val="0013684A"/>
  </w:style>
  <w:style w:type="character" w:customStyle="1" w:styleId="Documento8a">
    <w:name w:val="Documento 8a"/>
    <w:basedOn w:val="Fuentedeencabezadopredeter"/>
    <w:rsid w:val="0013684A"/>
  </w:style>
  <w:style w:type="character" w:customStyle="1" w:styleId="Documento3a">
    <w:name w:val="Documento 3a"/>
    <w:basedOn w:val="Fuentedeencabezadopredeter"/>
    <w:rsid w:val="0013684A"/>
  </w:style>
  <w:style w:type="paragraph" w:customStyle="1" w:styleId="Prder1a">
    <w:name w:val="PÀÀr. der. 1a"/>
    <w:rsid w:val="0013684A"/>
    <w:pPr>
      <w:tabs>
        <w:tab w:val="left" w:pos="-1026"/>
        <w:tab w:val="left" w:pos="-306"/>
        <w:tab w:val="left" w:pos="205"/>
        <w:tab w:val="decimal" w:pos="414"/>
        <w:tab w:val="left" w:pos="1134"/>
        <w:tab w:val="left" w:pos="1854"/>
        <w:tab w:val="left" w:pos="2574"/>
        <w:tab w:val="left" w:pos="3294"/>
        <w:tab w:val="left"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snapToGrid w:val="0"/>
      <w:sz w:val="24"/>
      <w:szCs w:val="20"/>
      <w:lang w:val="en-US" w:eastAsia="es-ES"/>
    </w:rPr>
  </w:style>
  <w:style w:type="paragraph" w:customStyle="1" w:styleId="Prder2a">
    <w:name w:val="PÀÀr. der. 2a"/>
    <w:rsid w:val="0013684A"/>
    <w:pPr>
      <w:tabs>
        <w:tab w:val="left" w:pos="-1026"/>
        <w:tab w:val="left" w:pos="-306"/>
        <w:tab w:val="left" w:pos="414"/>
        <w:tab w:val="left" w:pos="840"/>
        <w:tab w:val="decimal" w:pos="1134"/>
        <w:tab w:val="left" w:pos="1854"/>
        <w:tab w:val="left" w:pos="2574"/>
        <w:tab w:val="left" w:pos="3294"/>
        <w:tab w:val="left"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snapToGrid w:val="0"/>
      <w:sz w:val="24"/>
      <w:szCs w:val="20"/>
      <w:lang w:val="en-US" w:eastAsia="es-ES"/>
    </w:rPr>
  </w:style>
  <w:style w:type="paragraph" w:customStyle="1" w:styleId="Prder3a">
    <w:name w:val="PÀÀr. der. 3a"/>
    <w:rsid w:val="0013684A"/>
    <w:pPr>
      <w:tabs>
        <w:tab w:val="left" w:pos="-1026"/>
        <w:tab w:val="left" w:pos="-306"/>
        <w:tab w:val="left" w:pos="414"/>
        <w:tab w:val="left" w:pos="1134"/>
        <w:tab w:val="left" w:pos="1618"/>
        <w:tab w:val="decimal" w:pos="1854"/>
        <w:tab w:val="left" w:pos="2574"/>
        <w:tab w:val="left" w:pos="3294"/>
        <w:tab w:val="left"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snapToGrid w:val="0"/>
      <w:sz w:val="24"/>
      <w:szCs w:val="20"/>
      <w:lang w:val="en-US" w:eastAsia="es-ES"/>
    </w:rPr>
  </w:style>
  <w:style w:type="paragraph" w:customStyle="1" w:styleId="Prder4a">
    <w:name w:val="PÀÀr. der. 4a"/>
    <w:rsid w:val="0013684A"/>
    <w:pPr>
      <w:tabs>
        <w:tab w:val="left" w:pos="-1026"/>
        <w:tab w:val="left" w:pos="-306"/>
        <w:tab w:val="left" w:pos="414"/>
        <w:tab w:val="left" w:pos="1134"/>
        <w:tab w:val="left" w:pos="1854"/>
        <w:tab w:val="left" w:pos="2338"/>
        <w:tab w:val="decimal" w:pos="2574"/>
        <w:tab w:val="left" w:pos="3294"/>
        <w:tab w:val="left"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snapToGrid w:val="0"/>
      <w:sz w:val="24"/>
      <w:szCs w:val="20"/>
      <w:lang w:val="en-US" w:eastAsia="es-ES"/>
    </w:rPr>
  </w:style>
  <w:style w:type="paragraph" w:customStyle="1" w:styleId="Documento1a">
    <w:name w:val="Documento 1a"/>
    <w:rsid w:val="0013684A"/>
    <w:pPr>
      <w:keepNext/>
      <w:keepLines/>
      <w:tabs>
        <w:tab w:val="left" w:pos="-1026"/>
        <w:tab w:val="left" w:pos="-306"/>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snapToGrid w:val="0"/>
      <w:sz w:val="24"/>
      <w:szCs w:val="20"/>
      <w:lang w:val="en-US" w:eastAsia="es-ES"/>
    </w:rPr>
  </w:style>
  <w:style w:type="paragraph" w:customStyle="1" w:styleId="Prder5a">
    <w:name w:val="PÀÀr. der. 5a"/>
    <w:rsid w:val="0013684A"/>
    <w:pPr>
      <w:tabs>
        <w:tab w:val="left" w:pos="-1026"/>
        <w:tab w:val="left" w:pos="-306"/>
        <w:tab w:val="left" w:pos="414"/>
        <w:tab w:val="left" w:pos="1134"/>
        <w:tab w:val="left" w:pos="1854"/>
        <w:tab w:val="left" w:pos="2574"/>
        <w:tab w:val="left" w:pos="2938"/>
        <w:tab w:val="decimal" w:pos="3294"/>
        <w:tab w:val="left"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snapToGrid w:val="0"/>
      <w:sz w:val="24"/>
      <w:szCs w:val="20"/>
      <w:lang w:val="en-US" w:eastAsia="es-ES"/>
    </w:rPr>
  </w:style>
  <w:style w:type="paragraph" w:customStyle="1" w:styleId="Prder6a">
    <w:name w:val="PÀÀr. der. 6a"/>
    <w:rsid w:val="0013684A"/>
    <w:pPr>
      <w:tabs>
        <w:tab w:val="left" w:pos="-1026"/>
        <w:tab w:val="left" w:pos="-306"/>
        <w:tab w:val="left" w:pos="414"/>
        <w:tab w:val="left" w:pos="1134"/>
        <w:tab w:val="left" w:pos="1854"/>
        <w:tab w:val="left" w:pos="2574"/>
        <w:tab w:val="left" w:pos="3294"/>
        <w:tab w:val="left" w:pos="3658"/>
        <w:tab w:val="decimal"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snapToGrid w:val="0"/>
      <w:sz w:val="24"/>
      <w:szCs w:val="20"/>
      <w:lang w:val="en-US" w:eastAsia="es-ES"/>
    </w:rPr>
  </w:style>
  <w:style w:type="paragraph" w:customStyle="1" w:styleId="Prder7a">
    <w:name w:val="PÀÀr. der. 7a"/>
    <w:rsid w:val="0013684A"/>
    <w:pPr>
      <w:tabs>
        <w:tab w:val="left" w:pos="-1026"/>
        <w:tab w:val="left" w:pos="-306"/>
        <w:tab w:val="left" w:pos="414"/>
        <w:tab w:val="left" w:pos="1134"/>
        <w:tab w:val="left" w:pos="1854"/>
        <w:tab w:val="left" w:pos="2574"/>
        <w:tab w:val="left" w:pos="3294"/>
        <w:tab w:val="left" w:pos="4014"/>
        <w:tab w:val="left" w:pos="4512"/>
        <w:tab w:val="decimal"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snapToGrid w:val="0"/>
      <w:sz w:val="24"/>
      <w:szCs w:val="20"/>
      <w:lang w:val="en-US" w:eastAsia="es-ES"/>
    </w:rPr>
  </w:style>
  <w:style w:type="paragraph" w:customStyle="1" w:styleId="Prder8a">
    <w:name w:val="PÀÀr. der. 8a"/>
    <w:rsid w:val="0013684A"/>
    <w:pPr>
      <w:tabs>
        <w:tab w:val="left" w:pos="-1026"/>
        <w:tab w:val="left" w:pos="-306"/>
        <w:tab w:val="left" w:pos="414"/>
        <w:tab w:val="left" w:pos="1134"/>
        <w:tab w:val="left" w:pos="1854"/>
        <w:tab w:val="left" w:pos="2574"/>
        <w:tab w:val="left" w:pos="3294"/>
        <w:tab w:val="left" w:pos="4014"/>
        <w:tab w:val="left" w:pos="4734"/>
        <w:tab w:val="left" w:pos="5184"/>
        <w:tab w:val="decimal"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snapToGrid w:val="0"/>
      <w:sz w:val="24"/>
      <w:szCs w:val="20"/>
      <w:lang w:val="en-US" w:eastAsia="es-ES"/>
    </w:rPr>
  </w:style>
  <w:style w:type="character" w:customStyle="1" w:styleId="Tcnico2a">
    <w:name w:val="TÀ)Àcnico 2a"/>
    <w:basedOn w:val="Fuentedeencabezadopredeter"/>
    <w:rsid w:val="0013684A"/>
  </w:style>
  <w:style w:type="character" w:customStyle="1" w:styleId="Tcnico3a">
    <w:name w:val="TÀ)Àcnico 3a"/>
    <w:basedOn w:val="Fuentedeencabezadopredeter"/>
    <w:rsid w:val="0013684A"/>
  </w:style>
  <w:style w:type="paragraph" w:customStyle="1" w:styleId="Tcnico4a">
    <w:name w:val="TÀ)Àcnico 4a"/>
    <w:rsid w:val="0013684A"/>
    <w:pPr>
      <w:tabs>
        <w:tab w:val="left" w:pos="-1026"/>
        <w:tab w:val="left" w:pos="-306"/>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b/>
      <w:snapToGrid w:val="0"/>
      <w:sz w:val="24"/>
      <w:szCs w:val="20"/>
      <w:lang w:val="en-US" w:eastAsia="es-ES"/>
    </w:rPr>
  </w:style>
  <w:style w:type="character" w:customStyle="1" w:styleId="Tcnico1a">
    <w:name w:val="TÀ)Àcnico 1a"/>
    <w:basedOn w:val="Fuentedeencabezadopredeter"/>
    <w:rsid w:val="0013684A"/>
  </w:style>
  <w:style w:type="paragraph" w:customStyle="1" w:styleId="Tcnico5a">
    <w:name w:val="TÀ)Àcnico 5a"/>
    <w:rsid w:val="0013684A"/>
    <w:pPr>
      <w:tabs>
        <w:tab w:val="left" w:pos="-1026"/>
        <w:tab w:val="left" w:pos="-306"/>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b/>
      <w:snapToGrid w:val="0"/>
      <w:sz w:val="24"/>
      <w:szCs w:val="20"/>
      <w:lang w:val="en-US" w:eastAsia="es-ES"/>
    </w:rPr>
  </w:style>
  <w:style w:type="paragraph" w:customStyle="1" w:styleId="Tcnico6a">
    <w:name w:val="TÀ)Àcnico 6a"/>
    <w:rsid w:val="0013684A"/>
    <w:pPr>
      <w:tabs>
        <w:tab w:val="left" w:pos="-1026"/>
        <w:tab w:val="left" w:pos="-306"/>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b/>
      <w:snapToGrid w:val="0"/>
      <w:sz w:val="24"/>
      <w:szCs w:val="20"/>
      <w:lang w:val="en-US" w:eastAsia="es-ES"/>
    </w:rPr>
  </w:style>
  <w:style w:type="paragraph" w:customStyle="1" w:styleId="Tcnico7a">
    <w:name w:val="TÀ)Àcnico 7a"/>
    <w:rsid w:val="0013684A"/>
    <w:pPr>
      <w:tabs>
        <w:tab w:val="left" w:pos="-1026"/>
        <w:tab w:val="left" w:pos="-306"/>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b/>
      <w:snapToGrid w:val="0"/>
      <w:sz w:val="24"/>
      <w:szCs w:val="20"/>
      <w:lang w:val="en-US" w:eastAsia="es-ES"/>
    </w:rPr>
  </w:style>
  <w:style w:type="paragraph" w:customStyle="1" w:styleId="Tcnico8a">
    <w:name w:val="TÀ)Àcnico 8a"/>
    <w:rsid w:val="0013684A"/>
    <w:pPr>
      <w:tabs>
        <w:tab w:val="left" w:pos="-1026"/>
        <w:tab w:val="left" w:pos="-306"/>
        <w:tab w:val="left" w:pos="414"/>
        <w:tab w:val="left" w:pos="1134"/>
        <w:tab w:val="left" w:pos="1854"/>
        <w:tab w:val="left" w:pos="2574"/>
        <w:tab w:val="left" w:pos="3294"/>
        <w:tab w:val="left" w:pos="4014"/>
        <w:tab w:val="left" w:pos="4734"/>
        <w:tab w:val="left" w:pos="5454"/>
        <w:tab w:val="left" w:pos="6174"/>
        <w:tab w:val="left" w:pos="6894"/>
        <w:tab w:val="left" w:pos="7614"/>
        <w:tab w:val="left" w:pos="8334"/>
        <w:tab w:val="left" w:pos="9054"/>
        <w:tab w:val="left" w:pos="9774"/>
      </w:tabs>
      <w:suppressAutoHyphens/>
      <w:spacing w:after="0" w:line="240" w:lineRule="auto"/>
    </w:pPr>
    <w:rPr>
      <w:rFonts w:ascii="Courier" w:eastAsia="Times New Roman" w:hAnsi="Courier" w:cs="Times New Roman"/>
      <w:b/>
      <w:snapToGrid w:val="0"/>
      <w:sz w:val="24"/>
      <w:szCs w:val="20"/>
      <w:lang w:val="en-US" w:eastAsia="es-ES"/>
    </w:rPr>
  </w:style>
  <w:style w:type="character" w:customStyle="1" w:styleId="EquationCaption">
    <w:name w:val="_Equation Caption"/>
    <w:basedOn w:val="Fuentedeencabezadopredeter"/>
    <w:rsid w:val="0013684A"/>
  </w:style>
  <w:style w:type="paragraph" w:customStyle="1" w:styleId="ndice1">
    <w:name w:val="índice 1"/>
    <w:basedOn w:val="Normal"/>
    <w:rsid w:val="0013684A"/>
    <w:pPr>
      <w:tabs>
        <w:tab w:val="left" w:leader="dot" w:pos="9000"/>
        <w:tab w:val="right" w:pos="9360"/>
      </w:tabs>
      <w:suppressAutoHyphens/>
      <w:ind w:left="1440" w:right="720" w:hanging="1440"/>
    </w:pPr>
    <w:rPr>
      <w:rFonts w:ascii="Courier" w:hAnsi="Courier"/>
      <w:sz w:val="24"/>
      <w:lang w:val="en-US"/>
    </w:rPr>
  </w:style>
  <w:style w:type="paragraph" w:customStyle="1" w:styleId="ndice2">
    <w:name w:val="índice 2"/>
    <w:basedOn w:val="Normal"/>
    <w:rsid w:val="0013684A"/>
    <w:pPr>
      <w:tabs>
        <w:tab w:val="left" w:leader="dot" w:pos="9000"/>
        <w:tab w:val="right" w:pos="9360"/>
      </w:tabs>
      <w:suppressAutoHyphens/>
      <w:ind w:left="1440" w:right="720" w:hanging="720"/>
    </w:pPr>
    <w:rPr>
      <w:rFonts w:ascii="Courier" w:hAnsi="Courier"/>
      <w:sz w:val="24"/>
      <w:lang w:val="en-US"/>
    </w:rPr>
  </w:style>
  <w:style w:type="paragraph" w:customStyle="1" w:styleId="toa">
    <w:name w:val="toa"/>
    <w:basedOn w:val="Normal"/>
    <w:uiPriority w:val="99"/>
    <w:rsid w:val="0013684A"/>
    <w:pPr>
      <w:tabs>
        <w:tab w:val="left" w:pos="9000"/>
        <w:tab w:val="right" w:pos="9360"/>
      </w:tabs>
      <w:suppressAutoHyphens/>
    </w:pPr>
    <w:rPr>
      <w:rFonts w:ascii="Courier" w:hAnsi="Courier"/>
      <w:sz w:val="24"/>
      <w:lang w:val="en-US"/>
    </w:rPr>
  </w:style>
  <w:style w:type="paragraph" w:customStyle="1" w:styleId="epgrafe">
    <w:name w:val="epígrafe"/>
    <w:basedOn w:val="Normal"/>
    <w:rsid w:val="0013684A"/>
    <w:rPr>
      <w:rFonts w:ascii="Courier" w:hAnsi="Courier"/>
      <w:sz w:val="24"/>
    </w:rPr>
  </w:style>
  <w:style w:type="character" w:customStyle="1" w:styleId="EquationCaption1">
    <w:name w:val="_Equation Caption1"/>
    <w:rsid w:val="0013684A"/>
  </w:style>
  <w:style w:type="paragraph" w:styleId="Textoindependiente">
    <w:name w:val="Body Text"/>
    <w:basedOn w:val="Normal"/>
    <w:link w:val="TextoindependienteCar"/>
    <w:rsid w:val="0013684A"/>
    <w:pPr>
      <w:spacing w:line="240" w:lineRule="atLeast"/>
      <w:jc w:val="both"/>
    </w:pPr>
    <w:rPr>
      <w:rFonts w:ascii="Arial" w:hAnsi="Arial"/>
      <w:spacing w:val="20"/>
      <w:sz w:val="16"/>
    </w:rPr>
  </w:style>
  <w:style w:type="character" w:customStyle="1" w:styleId="TextoindependienteCar">
    <w:name w:val="Texto independiente Car"/>
    <w:basedOn w:val="Fuentedeprrafopredeter"/>
    <w:link w:val="Textoindependiente"/>
    <w:rsid w:val="0013684A"/>
    <w:rPr>
      <w:rFonts w:ascii="Arial" w:eastAsia="Times New Roman" w:hAnsi="Arial" w:cs="Times New Roman"/>
      <w:snapToGrid w:val="0"/>
      <w:spacing w:val="20"/>
      <w:sz w:val="16"/>
      <w:szCs w:val="20"/>
      <w:lang w:val="es-ES_tradnl" w:eastAsia="es-ES"/>
    </w:rPr>
  </w:style>
  <w:style w:type="paragraph" w:styleId="Sangradetextonormal">
    <w:name w:val="Body Text Indent"/>
    <w:basedOn w:val="Normal"/>
    <w:link w:val="SangradetextonormalCar"/>
    <w:rsid w:val="0013684A"/>
    <w:pPr>
      <w:ind w:left="2127" w:hanging="1410"/>
      <w:jc w:val="both"/>
    </w:pPr>
    <w:rPr>
      <w:rFonts w:ascii="Arial" w:hAnsi="Arial"/>
      <w:sz w:val="22"/>
      <w:lang w:val="es-MX"/>
    </w:rPr>
  </w:style>
  <w:style w:type="character" w:customStyle="1" w:styleId="SangradetextonormalCar">
    <w:name w:val="Sangría de texto normal Car"/>
    <w:basedOn w:val="Fuentedeprrafopredeter"/>
    <w:link w:val="Sangradetextonormal"/>
    <w:rsid w:val="0013684A"/>
    <w:rPr>
      <w:rFonts w:ascii="Arial" w:eastAsia="Times New Roman" w:hAnsi="Arial" w:cs="Times New Roman"/>
      <w:snapToGrid w:val="0"/>
      <w:szCs w:val="20"/>
      <w:lang w:val="es-MX" w:eastAsia="es-ES"/>
    </w:rPr>
  </w:style>
  <w:style w:type="paragraph" w:styleId="Puesto">
    <w:name w:val="Title"/>
    <w:basedOn w:val="Normal"/>
    <w:link w:val="PuestoCar"/>
    <w:uiPriority w:val="99"/>
    <w:qFormat/>
    <w:rsid w:val="0013684A"/>
    <w:pPr>
      <w:spacing w:line="240" w:lineRule="atLeast"/>
      <w:ind w:left="1474" w:hanging="1474"/>
      <w:jc w:val="center"/>
    </w:pPr>
    <w:rPr>
      <w:rFonts w:ascii="Arial" w:hAnsi="Arial"/>
      <w:b/>
      <w:spacing w:val="20"/>
      <w:sz w:val="16"/>
    </w:rPr>
  </w:style>
  <w:style w:type="character" w:customStyle="1" w:styleId="PuestoCar">
    <w:name w:val="Puesto Car"/>
    <w:basedOn w:val="Fuentedeprrafopredeter"/>
    <w:link w:val="Puesto"/>
    <w:uiPriority w:val="99"/>
    <w:rsid w:val="0013684A"/>
    <w:rPr>
      <w:rFonts w:ascii="Arial" w:eastAsia="Times New Roman" w:hAnsi="Arial" w:cs="Times New Roman"/>
      <w:b/>
      <w:snapToGrid w:val="0"/>
      <w:spacing w:val="20"/>
      <w:sz w:val="16"/>
      <w:szCs w:val="20"/>
      <w:lang w:val="es-ES_tradnl" w:eastAsia="es-ES"/>
    </w:rPr>
  </w:style>
  <w:style w:type="paragraph" w:styleId="Sangra2detindependiente">
    <w:name w:val="Body Text Indent 2"/>
    <w:basedOn w:val="Normal"/>
    <w:link w:val="Sangra2detindependienteCar"/>
    <w:rsid w:val="0013684A"/>
    <w:pPr>
      <w:suppressAutoHyphens/>
      <w:ind w:left="284" w:hanging="284"/>
      <w:jc w:val="both"/>
    </w:pPr>
    <w:rPr>
      <w:snapToGrid/>
      <w:sz w:val="24"/>
    </w:rPr>
  </w:style>
  <w:style w:type="character" w:customStyle="1" w:styleId="Sangra2detindependienteCar">
    <w:name w:val="Sangría 2 de t. independiente Car"/>
    <w:basedOn w:val="Fuentedeprrafopredeter"/>
    <w:link w:val="Sangra2detindependiente"/>
    <w:rsid w:val="0013684A"/>
    <w:rPr>
      <w:rFonts w:ascii="Times New Roman" w:eastAsia="Times New Roman" w:hAnsi="Times New Roman" w:cs="Times New Roman"/>
      <w:sz w:val="24"/>
      <w:szCs w:val="20"/>
      <w:lang w:val="es-ES_tradnl" w:eastAsia="es-ES"/>
    </w:rPr>
  </w:style>
  <w:style w:type="character" w:styleId="Refdecomentario">
    <w:name w:val="annotation reference"/>
    <w:semiHidden/>
    <w:rsid w:val="0013684A"/>
    <w:rPr>
      <w:sz w:val="16"/>
      <w:szCs w:val="16"/>
    </w:rPr>
  </w:style>
  <w:style w:type="paragraph" w:styleId="Textocomentario">
    <w:name w:val="annotation text"/>
    <w:basedOn w:val="Normal"/>
    <w:link w:val="TextocomentarioCar"/>
    <w:uiPriority w:val="99"/>
    <w:semiHidden/>
    <w:rsid w:val="0013684A"/>
  </w:style>
  <w:style w:type="character" w:customStyle="1" w:styleId="TextocomentarioCar">
    <w:name w:val="Texto comentario Car"/>
    <w:basedOn w:val="Fuentedeprrafopredeter"/>
    <w:link w:val="Textocomentario"/>
    <w:uiPriority w:val="99"/>
    <w:semiHidden/>
    <w:rsid w:val="0013684A"/>
    <w:rPr>
      <w:rFonts w:ascii="Times New Roman" w:eastAsia="Times New Roman" w:hAnsi="Times New Roman" w:cs="Times New Roman"/>
      <w:snapToGrid w:val="0"/>
      <w:sz w:val="20"/>
      <w:szCs w:val="20"/>
      <w:lang w:val="es-ES_tradnl" w:eastAsia="es-ES"/>
    </w:rPr>
  </w:style>
  <w:style w:type="paragraph" w:styleId="Asuntodelcomentario">
    <w:name w:val="annotation subject"/>
    <w:basedOn w:val="Textocomentario"/>
    <w:next w:val="Textocomentario"/>
    <w:link w:val="AsuntodelcomentarioCar"/>
    <w:semiHidden/>
    <w:rsid w:val="0013684A"/>
    <w:rPr>
      <w:b/>
      <w:bCs/>
    </w:rPr>
  </w:style>
  <w:style w:type="character" w:customStyle="1" w:styleId="AsuntodelcomentarioCar">
    <w:name w:val="Asunto del comentario Car"/>
    <w:basedOn w:val="TextocomentarioCar"/>
    <w:link w:val="Asuntodelcomentario"/>
    <w:semiHidden/>
    <w:rsid w:val="0013684A"/>
    <w:rPr>
      <w:rFonts w:ascii="Times New Roman" w:eastAsia="Times New Roman" w:hAnsi="Times New Roman" w:cs="Times New Roman"/>
      <w:b/>
      <w:bCs/>
      <w:snapToGrid w:val="0"/>
      <w:sz w:val="20"/>
      <w:szCs w:val="20"/>
      <w:lang w:val="es-ES_tradnl" w:eastAsia="es-ES"/>
    </w:rPr>
  </w:style>
  <w:style w:type="paragraph" w:styleId="Textodeglobo">
    <w:name w:val="Balloon Text"/>
    <w:basedOn w:val="Normal"/>
    <w:link w:val="TextodegloboCar"/>
    <w:semiHidden/>
    <w:rsid w:val="0013684A"/>
    <w:rPr>
      <w:rFonts w:ascii="Tahoma" w:hAnsi="Tahoma"/>
      <w:sz w:val="16"/>
      <w:szCs w:val="16"/>
    </w:rPr>
  </w:style>
  <w:style w:type="character" w:customStyle="1" w:styleId="TextodegloboCar">
    <w:name w:val="Texto de globo Car"/>
    <w:basedOn w:val="Fuentedeprrafopredeter"/>
    <w:link w:val="Textodeglobo"/>
    <w:semiHidden/>
    <w:rsid w:val="0013684A"/>
    <w:rPr>
      <w:rFonts w:ascii="Tahoma" w:eastAsia="Times New Roman" w:hAnsi="Tahoma" w:cs="Times New Roman"/>
      <w:snapToGrid w:val="0"/>
      <w:sz w:val="16"/>
      <w:szCs w:val="16"/>
      <w:lang w:val="es-ES_tradnl" w:eastAsia="es-ES"/>
    </w:rPr>
  </w:style>
  <w:style w:type="paragraph" w:styleId="Textonotapie">
    <w:name w:val="footnote text"/>
    <w:basedOn w:val="Normal"/>
    <w:link w:val="TextonotapieCar"/>
    <w:rsid w:val="0013684A"/>
  </w:style>
  <w:style w:type="character" w:customStyle="1" w:styleId="TextonotapieCar">
    <w:name w:val="Texto nota pie Car"/>
    <w:basedOn w:val="Fuentedeprrafopredeter"/>
    <w:link w:val="Textonotapie"/>
    <w:rsid w:val="0013684A"/>
    <w:rPr>
      <w:rFonts w:ascii="Times New Roman" w:eastAsia="Times New Roman" w:hAnsi="Times New Roman" w:cs="Times New Roman"/>
      <w:snapToGrid w:val="0"/>
      <w:sz w:val="20"/>
      <w:szCs w:val="20"/>
      <w:lang w:val="es-ES_tradnl" w:eastAsia="es-ES"/>
    </w:rPr>
  </w:style>
  <w:style w:type="character" w:styleId="Refdenotaalpie">
    <w:name w:val="footnote reference"/>
    <w:semiHidden/>
    <w:rsid w:val="0013684A"/>
    <w:rPr>
      <w:vertAlign w:val="superscript"/>
    </w:rPr>
  </w:style>
  <w:style w:type="paragraph" w:styleId="Prrafodelista">
    <w:name w:val="List Paragraph"/>
    <w:basedOn w:val="Normal"/>
    <w:uiPriority w:val="34"/>
    <w:qFormat/>
    <w:rsid w:val="0013684A"/>
    <w:pPr>
      <w:ind w:left="720"/>
      <w:contextualSpacing/>
    </w:pPr>
  </w:style>
  <w:style w:type="character" w:styleId="Hipervnculo">
    <w:name w:val="Hyperlink"/>
    <w:uiPriority w:val="99"/>
    <w:unhideWhenUsed/>
    <w:rsid w:val="0013684A"/>
    <w:rPr>
      <w:color w:val="0000FF"/>
      <w:u w:val="single"/>
    </w:rPr>
  </w:style>
  <w:style w:type="character" w:styleId="Hipervnculovisitado">
    <w:name w:val="FollowedHyperlink"/>
    <w:uiPriority w:val="99"/>
    <w:unhideWhenUsed/>
    <w:rsid w:val="0013684A"/>
    <w:rPr>
      <w:color w:val="800080"/>
      <w:u w:val="single"/>
    </w:rPr>
  </w:style>
  <w:style w:type="paragraph" w:customStyle="1" w:styleId="xl69">
    <w:name w:val="xl69"/>
    <w:basedOn w:val="Normal"/>
    <w:rsid w:val="0013684A"/>
    <w:pPr>
      <w:shd w:val="clear" w:color="000000" w:fill="FFFFFF"/>
      <w:spacing w:before="100" w:beforeAutospacing="1" w:after="100" w:afterAutospacing="1"/>
    </w:pPr>
    <w:rPr>
      <w:snapToGrid/>
      <w:sz w:val="18"/>
      <w:szCs w:val="18"/>
      <w:lang w:val="es-CO" w:eastAsia="es-CO"/>
    </w:rPr>
  </w:style>
  <w:style w:type="paragraph" w:customStyle="1" w:styleId="xl70">
    <w:name w:val="xl70"/>
    <w:basedOn w:val="Normal"/>
    <w:rsid w:val="0013684A"/>
    <w:pPr>
      <w:pBdr>
        <w:top w:val="single" w:sz="4" w:space="0" w:color="auto"/>
        <w:left w:val="single" w:sz="4" w:space="0" w:color="auto"/>
        <w:bottom w:val="single" w:sz="4" w:space="0" w:color="auto"/>
        <w:right w:val="single" w:sz="4" w:space="0" w:color="auto"/>
      </w:pBdr>
      <w:shd w:val="clear" w:color="99CC00" w:fill="D9D9D9"/>
      <w:spacing w:before="100" w:beforeAutospacing="1" w:after="100" w:afterAutospacing="1"/>
      <w:jc w:val="center"/>
      <w:textAlignment w:val="center"/>
    </w:pPr>
    <w:rPr>
      <w:rFonts w:ascii="Arial" w:hAnsi="Arial" w:cs="Arial"/>
      <w:snapToGrid/>
      <w:sz w:val="18"/>
      <w:szCs w:val="18"/>
      <w:lang w:val="es-CO" w:eastAsia="es-CO"/>
    </w:rPr>
  </w:style>
  <w:style w:type="paragraph" w:customStyle="1" w:styleId="xl71">
    <w:name w:val="xl71"/>
    <w:basedOn w:val="Normal"/>
    <w:rsid w:val="0013684A"/>
    <w:pPr>
      <w:pBdr>
        <w:top w:val="single" w:sz="4" w:space="0" w:color="auto"/>
        <w:left w:val="single" w:sz="4" w:space="0" w:color="auto"/>
        <w:bottom w:val="single" w:sz="4" w:space="0" w:color="auto"/>
        <w:right w:val="single" w:sz="4" w:space="0" w:color="auto"/>
      </w:pBdr>
      <w:shd w:val="clear" w:color="99CC00" w:fill="auto"/>
      <w:spacing w:before="100" w:beforeAutospacing="1" w:after="100" w:afterAutospacing="1"/>
      <w:jc w:val="both"/>
      <w:textAlignment w:val="center"/>
    </w:pPr>
    <w:rPr>
      <w:rFonts w:ascii="Arial" w:hAnsi="Arial" w:cs="Arial"/>
      <w:snapToGrid/>
      <w:sz w:val="18"/>
      <w:szCs w:val="18"/>
      <w:lang w:val="es-CO" w:eastAsia="es-CO"/>
    </w:rPr>
  </w:style>
  <w:style w:type="paragraph" w:customStyle="1" w:styleId="xl72">
    <w:name w:val="xl72"/>
    <w:basedOn w:val="Normal"/>
    <w:rsid w:val="00136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 w:val="18"/>
      <w:szCs w:val="18"/>
      <w:lang w:val="es-CO" w:eastAsia="es-CO"/>
    </w:rPr>
  </w:style>
  <w:style w:type="paragraph" w:customStyle="1" w:styleId="xl73">
    <w:name w:val="xl73"/>
    <w:basedOn w:val="Normal"/>
    <w:rsid w:val="0013684A"/>
    <w:pPr>
      <w:pBdr>
        <w:top w:val="single" w:sz="4" w:space="0" w:color="auto"/>
        <w:left w:val="single" w:sz="4" w:space="0" w:color="auto"/>
        <w:bottom w:val="single" w:sz="4" w:space="0" w:color="auto"/>
        <w:right w:val="single" w:sz="4" w:space="0" w:color="auto"/>
      </w:pBdr>
      <w:shd w:val="clear" w:color="99CC00" w:fill="auto"/>
      <w:spacing w:before="100" w:beforeAutospacing="1" w:after="100" w:afterAutospacing="1"/>
      <w:jc w:val="center"/>
      <w:textAlignment w:val="center"/>
    </w:pPr>
    <w:rPr>
      <w:rFonts w:ascii="Arial" w:hAnsi="Arial" w:cs="Arial"/>
      <w:snapToGrid/>
      <w:sz w:val="18"/>
      <w:szCs w:val="18"/>
      <w:lang w:val="es-CO" w:eastAsia="es-CO"/>
    </w:rPr>
  </w:style>
  <w:style w:type="paragraph" w:customStyle="1" w:styleId="Default">
    <w:name w:val="Default"/>
    <w:rsid w:val="0013684A"/>
    <w:pPr>
      <w:autoSpaceDE w:val="0"/>
      <w:autoSpaceDN w:val="0"/>
      <w:adjustRightInd w:val="0"/>
      <w:spacing w:after="0" w:line="240" w:lineRule="auto"/>
    </w:pPr>
    <w:rPr>
      <w:rFonts w:ascii="Arial" w:eastAsia="Calibri" w:hAnsi="Arial" w:cs="Arial"/>
      <w:color w:val="000000"/>
      <w:sz w:val="24"/>
      <w:szCs w:val="24"/>
    </w:rPr>
  </w:style>
  <w:style w:type="paragraph" w:customStyle="1" w:styleId="xl74">
    <w:name w:val="xl74"/>
    <w:basedOn w:val="Normal"/>
    <w:rsid w:val="00136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napToGrid/>
      <w:sz w:val="18"/>
      <w:szCs w:val="18"/>
      <w:lang w:val="es-CO" w:eastAsia="es-CO"/>
    </w:rPr>
  </w:style>
  <w:style w:type="paragraph" w:customStyle="1" w:styleId="xl75">
    <w:name w:val="xl75"/>
    <w:basedOn w:val="Normal"/>
    <w:rsid w:val="0013684A"/>
    <w:pPr>
      <w:pBdr>
        <w:top w:val="single" w:sz="4" w:space="0" w:color="auto"/>
        <w:left w:val="single" w:sz="4" w:space="0" w:color="auto"/>
        <w:bottom w:val="single" w:sz="4" w:space="0" w:color="auto"/>
        <w:right w:val="single" w:sz="4" w:space="0" w:color="auto"/>
      </w:pBdr>
      <w:shd w:val="clear" w:color="99CC00" w:fill="auto"/>
      <w:spacing w:before="100" w:beforeAutospacing="1" w:after="100" w:afterAutospacing="1"/>
      <w:jc w:val="center"/>
      <w:textAlignment w:val="center"/>
    </w:pPr>
    <w:rPr>
      <w:rFonts w:ascii="Arial" w:hAnsi="Arial" w:cs="Arial"/>
      <w:snapToGrid/>
      <w:sz w:val="18"/>
      <w:szCs w:val="18"/>
      <w:lang w:val="es-CO" w:eastAsia="es-CO"/>
    </w:rPr>
  </w:style>
  <w:style w:type="paragraph" w:customStyle="1" w:styleId="xl76">
    <w:name w:val="xl76"/>
    <w:basedOn w:val="Normal"/>
    <w:rsid w:val="0013684A"/>
    <w:pPr>
      <w:shd w:val="clear" w:color="000000" w:fill="FFFFFF"/>
      <w:spacing w:before="100" w:beforeAutospacing="1" w:after="100" w:afterAutospacing="1"/>
      <w:jc w:val="center"/>
      <w:textAlignment w:val="center"/>
    </w:pPr>
    <w:rPr>
      <w:rFonts w:ascii="Arial" w:hAnsi="Arial" w:cs="Arial"/>
      <w:snapToGrid/>
      <w:sz w:val="18"/>
      <w:szCs w:val="18"/>
      <w:lang w:val="es-CO" w:eastAsia="es-CO"/>
    </w:rPr>
  </w:style>
  <w:style w:type="paragraph" w:customStyle="1" w:styleId="xl77">
    <w:name w:val="xl77"/>
    <w:basedOn w:val="Normal"/>
    <w:rsid w:val="0013684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napToGrid/>
      <w:sz w:val="18"/>
      <w:szCs w:val="18"/>
      <w:lang w:val="es-CO" w:eastAsia="es-CO"/>
    </w:rPr>
  </w:style>
  <w:style w:type="paragraph" w:styleId="NormalWeb">
    <w:name w:val="Normal (Web)"/>
    <w:basedOn w:val="Normal"/>
    <w:uiPriority w:val="99"/>
    <w:unhideWhenUsed/>
    <w:rsid w:val="0013684A"/>
    <w:pPr>
      <w:spacing w:before="100" w:beforeAutospacing="1" w:after="100" w:afterAutospacing="1"/>
    </w:pPr>
    <w:rPr>
      <w:snapToGrid/>
      <w:sz w:val="24"/>
      <w:szCs w:val="24"/>
      <w:lang w:val="es-CO" w:eastAsia="es-CO"/>
    </w:rPr>
  </w:style>
  <w:style w:type="paragraph" w:styleId="Revisin">
    <w:name w:val="Revision"/>
    <w:hidden/>
    <w:uiPriority w:val="99"/>
    <w:semiHidden/>
    <w:rsid w:val="0013684A"/>
    <w:pPr>
      <w:spacing w:after="0" w:line="240" w:lineRule="auto"/>
    </w:pPr>
    <w:rPr>
      <w:rFonts w:ascii="Times New Roman" w:eastAsia="Times New Roman" w:hAnsi="Times New Roman" w:cs="Times New Roman"/>
      <w:snapToGrid w:val="0"/>
      <w:sz w:val="20"/>
      <w:szCs w:val="20"/>
      <w:lang w:val="es-ES_tradnl" w:eastAsia="es-ES"/>
    </w:rPr>
  </w:style>
  <w:style w:type="paragraph" w:customStyle="1" w:styleId="xl78">
    <w:name w:val="xl78"/>
    <w:basedOn w:val="Normal"/>
    <w:rsid w:val="0013684A"/>
    <w:pPr>
      <w:pBdr>
        <w:top w:val="single" w:sz="4" w:space="0" w:color="auto"/>
        <w:left w:val="single" w:sz="4" w:space="0" w:color="auto"/>
        <w:bottom w:val="single" w:sz="4" w:space="0" w:color="auto"/>
        <w:right w:val="single" w:sz="4" w:space="0" w:color="auto"/>
      </w:pBdr>
      <w:shd w:val="clear" w:color="99CC00" w:fill="D9D9D9"/>
      <w:spacing w:before="100" w:beforeAutospacing="1" w:after="100" w:afterAutospacing="1"/>
      <w:jc w:val="center"/>
      <w:textAlignment w:val="center"/>
    </w:pPr>
    <w:rPr>
      <w:rFonts w:ascii="Arial" w:hAnsi="Arial" w:cs="Arial"/>
      <w:b/>
      <w:bCs/>
      <w:snapToGrid/>
      <w:sz w:val="16"/>
      <w:szCs w:val="16"/>
      <w:lang w:val="es-CO" w:eastAsia="es-CO"/>
    </w:rPr>
  </w:style>
  <w:style w:type="paragraph" w:customStyle="1" w:styleId="xl79">
    <w:name w:val="xl79"/>
    <w:basedOn w:val="Normal"/>
    <w:rsid w:val="0013684A"/>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w:hAnsi="Arial" w:cs="Arial"/>
      <w:snapToGrid/>
      <w:sz w:val="16"/>
      <w:szCs w:val="16"/>
      <w:lang w:val="es-CO" w:eastAsia="es-CO"/>
    </w:rPr>
  </w:style>
  <w:style w:type="paragraph" w:customStyle="1" w:styleId="xl80">
    <w:name w:val="xl80"/>
    <w:basedOn w:val="Normal"/>
    <w:rsid w:val="0013684A"/>
    <w:pPr>
      <w:pBdr>
        <w:top w:val="single" w:sz="4" w:space="0" w:color="auto"/>
        <w:left w:val="single" w:sz="4" w:space="0" w:color="auto"/>
        <w:bottom w:val="single" w:sz="4" w:space="0" w:color="auto"/>
        <w:right w:val="single" w:sz="4" w:space="0" w:color="auto"/>
      </w:pBdr>
      <w:shd w:val="clear" w:color="99CC00" w:fill="DCE6F1"/>
      <w:spacing w:before="100" w:beforeAutospacing="1" w:after="100" w:afterAutospacing="1"/>
      <w:jc w:val="both"/>
      <w:textAlignment w:val="center"/>
    </w:pPr>
    <w:rPr>
      <w:rFonts w:ascii="Arial" w:hAnsi="Arial" w:cs="Arial"/>
      <w:snapToGrid/>
      <w:sz w:val="16"/>
      <w:szCs w:val="16"/>
      <w:lang w:val="es-CO" w:eastAsia="es-CO"/>
    </w:rPr>
  </w:style>
  <w:style w:type="paragraph" w:customStyle="1" w:styleId="xl81">
    <w:name w:val="xl81"/>
    <w:basedOn w:val="Normal"/>
    <w:rsid w:val="0013684A"/>
    <w:pPr>
      <w:pBdr>
        <w:top w:val="single" w:sz="4" w:space="0" w:color="auto"/>
        <w:left w:val="single" w:sz="4" w:space="0" w:color="auto"/>
        <w:bottom w:val="single" w:sz="4" w:space="0" w:color="auto"/>
        <w:right w:val="single" w:sz="4" w:space="0" w:color="auto"/>
      </w:pBdr>
      <w:shd w:val="clear" w:color="99CC00" w:fill="DCE6F1"/>
      <w:spacing w:before="100" w:beforeAutospacing="1" w:after="100" w:afterAutospacing="1"/>
      <w:jc w:val="center"/>
      <w:textAlignment w:val="center"/>
    </w:pPr>
    <w:rPr>
      <w:rFonts w:ascii="Arial" w:hAnsi="Arial" w:cs="Arial"/>
      <w:snapToGrid/>
      <w:sz w:val="16"/>
      <w:szCs w:val="16"/>
      <w:lang w:val="es-CO" w:eastAsia="es-CO"/>
    </w:rPr>
  </w:style>
  <w:style w:type="paragraph" w:customStyle="1" w:styleId="xl82">
    <w:name w:val="xl82"/>
    <w:basedOn w:val="Normal"/>
    <w:rsid w:val="0013684A"/>
    <w:pPr>
      <w:shd w:val="clear" w:color="000000" w:fill="C0504D"/>
      <w:spacing w:before="100" w:beforeAutospacing="1" w:after="100" w:afterAutospacing="1"/>
    </w:pPr>
    <w:rPr>
      <w:rFonts w:ascii="Arial" w:hAnsi="Arial" w:cs="Arial"/>
      <w:snapToGrid/>
      <w:sz w:val="16"/>
      <w:szCs w:val="16"/>
      <w:lang w:val="es-CO" w:eastAsia="es-CO"/>
    </w:rPr>
  </w:style>
  <w:style w:type="paragraph" w:customStyle="1" w:styleId="xl83">
    <w:name w:val="xl83"/>
    <w:basedOn w:val="Normal"/>
    <w:rsid w:val="0013684A"/>
    <w:pPr>
      <w:pBdr>
        <w:top w:val="single" w:sz="4" w:space="0" w:color="auto"/>
        <w:left w:val="single" w:sz="4" w:space="0" w:color="auto"/>
        <w:bottom w:val="single" w:sz="4" w:space="0" w:color="auto"/>
        <w:right w:val="single" w:sz="4" w:space="0" w:color="auto"/>
      </w:pBdr>
      <w:shd w:val="clear" w:color="000000" w:fill="C0504D"/>
      <w:spacing w:before="100" w:beforeAutospacing="1" w:after="100" w:afterAutospacing="1"/>
      <w:textAlignment w:val="center"/>
    </w:pPr>
    <w:rPr>
      <w:rFonts w:ascii="Arial" w:hAnsi="Arial" w:cs="Arial"/>
      <w:snapToGrid/>
      <w:sz w:val="16"/>
      <w:szCs w:val="16"/>
      <w:lang w:val="es-CO" w:eastAsia="es-CO"/>
    </w:rPr>
  </w:style>
  <w:style w:type="paragraph" w:customStyle="1" w:styleId="xl84">
    <w:name w:val="xl84"/>
    <w:basedOn w:val="Normal"/>
    <w:rsid w:val="0013684A"/>
    <w:pPr>
      <w:pBdr>
        <w:top w:val="single" w:sz="4" w:space="0" w:color="auto"/>
        <w:left w:val="single" w:sz="4" w:space="0" w:color="auto"/>
        <w:bottom w:val="single" w:sz="4" w:space="0" w:color="auto"/>
        <w:right w:val="single" w:sz="4" w:space="0" w:color="auto"/>
      </w:pBdr>
      <w:shd w:val="clear" w:color="000000" w:fill="C0504D"/>
      <w:spacing w:before="100" w:beforeAutospacing="1" w:after="100" w:afterAutospacing="1"/>
      <w:jc w:val="center"/>
      <w:textAlignment w:val="center"/>
    </w:pPr>
    <w:rPr>
      <w:rFonts w:ascii="Arial" w:hAnsi="Arial" w:cs="Arial"/>
      <w:snapToGrid/>
      <w:sz w:val="16"/>
      <w:szCs w:val="16"/>
      <w:lang w:val="es-CO" w:eastAsia="es-CO"/>
    </w:rPr>
  </w:style>
  <w:style w:type="paragraph" w:customStyle="1" w:styleId="xl85">
    <w:name w:val="xl85"/>
    <w:basedOn w:val="Normal"/>
    <w:rsid w:val="0013684A"/>
    <w:pPr>
      <w:pBdr>
        <w:top w:val="single" w:sz="4" w:space="0" w:color="auto"/>
        <w:left w:val="single" w:sz="4" w:space="0" w:color="auto"/>
        <w:bottom w:val="single" w:sz="4" w:space="0" w:color="auto"/>
        <w:right w:val="single" w:sz="4" w:space="0" w:color="auto"/>
      </w:pBdr>
      <w:shd w:val="clear" w:color="99CC00" w:fill="C0504D"/>
      <w:spacing w:before="100" w:beforeAutospacing="1" w:after="100" w:afterAutospacing="1"/>
      <w:jc w:val="center"/>
      <w:textAlignment w:val="center"/>
    </w:pPr>
    <w:rPr>
      <w:rFonts w:ascii="Arial" w:hAnsi="Arial" w:cs="Arial"/>
      <w:snapToGrid/>
      <w:sz w:val="16"/>
      <w:szCs w:val="16"/>
      <w:lang w:val="es-CO" w:eastAsia="es-CO"/>
    </w:rPr>
  </w:style>
  <w:style w:type="paragraph" w:customStyle="1" w:styleId="xl86">
    <w:name w:val="xl86"/>
    <w:basedOn w:val="Normal"/>
    <w:rsid w:val="0013684A"/>
    <w:pPr>
      <w:pBdr>
        <w:top w:val="single" w:sz="4" w:space="0" w:color="auto"/>
        <w:left w:val="single" w:sz="4" w:space="0" w:color="auto"/>
        <w:bottom w:val="single" w:sz="4" w:space="0" w:color="auto"/>
        <w:right w:val="single" w:sz="4" w:space="0" w:color="auto"/>
      </w:pBdr>
      <w:shd w:val="clear" w:color="99CC00" w:fill="C0504D"/>
      <w:spacing w:before="100" w:beforeAutospacing="1" w:after="100" w:afterAutospacing="1"/>
      <w:jc w:val="both"/>
      <w:textAlignment w:val="center"/>
    </w:pPr>
    <w:rPr>
      <w:rFonts w:ascii="Arial" w:hAnsi="Arial" w:cs="Arial"/>
      <w:snapToGrid/>
      <w:sz w:val="16"/>
      <w:szCs w:val="16"/>
      <w:lang w:val="es-CO" w:eastAsia="es-CO"/>
    </w:rPr>
  </w:style>
  <w:style w:type="paragraph" w:styleId="Sinespaciado">
    <w:name w:val="No Spacing"/>
    <w:uiPriority w:val="1"/>
    <w:qFormat/>
    <w:rsid w:val="0013684A"/>
    <w:pPr>
      <w:spacing w:after="0" w:line="240" w:lineRule="auto"/>
    </w:pPr>
    <w:rPr>
      <w:rFonts w:ascii="Calibri" w:eastAsia="Calibri" w:hAnsi="Calibri" w:cs="Times New Roman"/>
    </w:rPr>
  </w:style>
  <w:style w:type="paragraph" w:styleId="TDC1">
    <w:name w:val="toc 1"/>
    <w:basedOn w:val="Normal"/>
    <w:next w:val="Normal"/>
    <w:autoRedefine/>
    <w:uiPriority w:val="39"/>
    <w:rsid w:val="0013684A"/>
    <w:pPr>
      <w:spacing w:before="120" w:after="120"/>
    </w:pPr>
    <w:rPr>
      <w:rFonts w:ascii="Calibri" w:hAnsi="Calibri" w:cs="Calibri"/>
      <w:b/>
      <w:bCs/>
      <w:caps/>
    </w:rPr>
  </w:style>
  <w:style w:type="paragraph" w:styleId="TDC2">
    <w:name w:val="toc 2"/>
    <w:basedOn w:val="Normal"/>
    <w:next w:val="Normal"/>
    <w:autoRedefine/>
    <w:uiPriority w:val="39"/>
    <w:rsid w:val="0013684A"/>
    <w:pPr>
      <w:ind w:left="200"/>
    </w:pPr>
    <w:rPr>
      <w:rFonts w:ascii="Calibri" w:hAnsi="Calibri" w:cs="Calibri"/>
      <w:smallCaps/>
    </w:rPr>
  </w:style>
  <w:style w:type="paragraph" w:styleId="TDC3">
    <w:name w:val="toc 3"/>
    <w:basedOn w:val="Normal"/>
    <w:next w:val="Normal"/>
    <w:autoRedefine/>
    <w:uiPriority w:val="39"/>
    <w:rsid w:val="0013684A"/>
    <w:pPr>
      <w:ind w:left="400"/>
    </w:pPr>
    <w:rPr>
      <w:rFonts w:ascii="Calibri" w:hAnsi="Calibri" w:cs="Calibri"/>
      <w:i/>
      <w:iCs/>
    </w:rPr>
  </w:style>
  <w:style w:type="paragraph" w:styleId="TDC4">
    <w:name w:val="toc 4"/>
    <w:basedOn w:val="Normal"/>
    <w:next w:val="Normal"/>
    <w:autoRedefine/>
    <w:rsid w:val="0013684A"/>
    <w:pPr>
      <w:ind w:left="600"/>
    </w:pPr>
    <w:rPr>
      <w:rFonts w:ascii="Calibri" w:hAnsi="Calibri" w:cs="Calibri"/>
      <w:sz w:val="18"/>
      <w:szCs w:val="18"/>
    </w:rPr>
  </w:style>
  <w:style w:type="paragraph" w:styleId="TDC5">
    <w:name w:val="toc 5"/>
    <w:basedOn w:val="Normal"/>
    <w:next w:val="Normal"/>
    <w:autoRedefine/>
    <w:rsid w:val="0013684A"/>
    <w:pPr>
      <w:ind w:left="800"/>
    </w:pPr>
    <w:rPr>
      <w:rFonts w:ascii="Calibri" w:hAnsi="Calibri" w:cs="Calibri"/>
      <w:sz w:val="18"/>
      <w:szCs w:val="18"/>
    </w:rPr>
  </w:style>
  <w:style w:type="paragraph" w:styleId="TDC6">
    <w:name w:val="toc 6"/>
    <w:basedOn w:val="Normal"/>
    <w:next w:val="Normal"/>
    <w:autoRedefine/>
    <w:rsid w:val="0013684A"/>
    <w:pPr>
      <w:ind w:left="1000"/>
    </w:pPr>
    <w:rPr>
      <w:rFonts w:ascii="Calibri" w:hAnsi="Calibri" w:cs="Calibri"/>
      <w:sz w:val="18"/>
      <w:szCs w:val="18"/>
    </w:rPr>
  </w:style>
  <w:style w:type="paragraph" w:styleId="TDC7">
    <w:name w:val="toc 7"/>
    <w:basedOn w:val="Normal"/>
    <w:next w:val="Normal"/>
    <w:autoRedefine/>
    <w:rsid w:val="0013684A"/>
    <w:pPr>
      <w:ind w:left="1200"/>
    </w:pPr>
    <w:rPr>
      <w:rFonts w:ascii="Calibri" w:hAnsi="Calibri" w:cs="Calibri"/>
      <w:sz w:val="18"/>
      <w:szCs w:val="18"/>
    </w:rPr>
  </w:style>
  <w:style w:type="paragraph" w:styleId="TDC8">
    <w:name w:val="toc 8"/>
    <w:basedOn w:val="Normal"/>
    <w:next w:val="Normal"/>
    <w:autoRedefine/>
    <w:rsid w:val="0013684A"/>
    <w:pPr>
      <w:ind w:left="1400"/>
    </w:pPr>
    <w:rPr>
      <w:rFonts w:ascii="Calibri" w:hAnsi="Calibri" w:cs="Calibri"/>
      <w:sz w:val="18"/>
      <w:szCs w:val="18"/>
    </w:rPr>
  </w:style>
  <w:style w:type="paragraph" w:styleId="TDC9">
    <w:name w:val="toc 9"/>
    <w:basedOn w:val="Normal"/>
    <w:next w:val="Normal"/>
    <w:autoRedefine/>
    <w:rsid w:val="0013684A"/>
    <w:pPr>
      <w:ind w:left="1600"/>
    </w:pPr>
    <w:rPr>
      <w:rFonts w:ascii="Calibri" w:hAnsi="Calibri" w:cs="Calibri"/>
      <w:sz w:val="18"/>
      <w:szCs w:val="18"/>
    </w:rPr>
  </w:style>
  <w:style w:type="character" w:styleId="Textodelmarcadordeposicin">
    <w:name w:val="Placeholder Text"/>
    <w:uiPriority w:val="99"/>
    <w:semiHidden/>
    <w:rsid w:val="0013684A"/>
    <w:rPr>
      <w:color w:val="808080"/>
    </w:rPr>
  </w:style>
  <w:style w:type="paragraph" w:styleId="Textoindependiente3">
    <w:name w:val="Body Text 3"/>
    <w:basedOn w:val="Normal"/>
    <w:link w:val="Textoindependiente3Car"/>
    <w:rsid w:val="0013684A"/>
    <w:pPr>
      <w:spacing w:after="120"/>
    </w:pPr>
    <w:rPr>
      <w:sz w:val="16"/>
      <w:szCs w:val="16"/>
    </w:rPr>
  </w:style>
  <w:style w:type="character" w:customStyle="1" w:styleId="Textoindependiente3Car">
    <w:name w:val="Texto independiente 3 Car"/>
    <w:basedOn w:val="Fuentedeprrafopredeter"/>
    <w:link w:val="Textoindependiente3"/>
    <w:rsid w:val="0013684A"/>
    <w:rPr>
      <w:rFonts w:ascii="Times New Roman" w:eastAsia="Times New Roman" w:hAnsi="Times New Roman" w:cs="Times New Roman"/>
      <w:snapToGrid w:val="0"/>
      <w:sz w:val="16"/>
      <w:szCs w:val="16"/>
      <w:lang w:val="es-ES_tradnl" w:eastAsia="es-ES"/>
    </w:rPr>
  </w:style>
  <w:style w:type="table" w:styleId="Tablaconcuadrcula">
    <w:name w:val="Table Grid"/>
    <w:basedOn w:val="Tablanormal"/>
    <w:uiPriority w:val="59"/>
    <w:rsid w:val="002A5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9pt">
    <w:name w:val="Normal + 9 pt"/>
    <w:aliases w:val="Sin Expandido / Comprimido"/>
    <w:basedOn w:val="Textoindependiente"/>
    <w:rsid w:val="00D82E50"/>
    <w:pPr>
      <w:numPr>
        <w:numId w:val="12"/>
      </w:numPr>
      <w:spacing w:line="240" w:lineRule="auto"/>
    </w:pPr>
    <w:rPr>
      <w:rFonts w:cs="Arial"/>
      <w:i/>
      <w:snapToGrid/>
      <w:spacing w:val="0"/>
      <w:sz w:val="18"/>
      <w:szCs w:val="18"/>
      <w:lang w:val="es-MX" w:eastAsia="es-CO"/>
    </w:rPr>
  </w:style>
  <w:style w:type="character" w:customStyle="1" w:styleId="UnresolvedMention">
    <w:name w:val="Unresolved Mention"/>
    <w:basedOn w:val="Fuentedeprrafopredeter"/>
    <w:uiPriority w:val="99"/>
    <w:semiHidden/>
    <w:unhideWhenUsed/>
    <w:rsid w:val="005E4C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29847">
      <w:bodyDiv w:val="1"/>
      <w:marLeft w:val="0"/>
      <w:marRight w:val="0"/>
      <w:marTop w:val="0"/>
      <w:marBottom w:val="0"/>
      <w:divBdr>
        <w:top w:val="none" w:sz="0" w:space="0" w:color="auto"/>
        <w:left w:val="none" w:sz="0" w:space="0" w:color="auto"/>
        <w:bottom w:val="none" w:sz="0" w:space="0" w:color="auto"/>
        <w:right w:val="none" w:sz="0" w:space="0" w:color="auto"/>
      </w:divBdr>
    </w:div>
    <w:div w:id="214706420">
      <w:bodyDiv w:val="1"/>
      <w:marLeft w:val="0"/>
      <w:marRight w:val="0"/>
      <w:marTop w:val="0"/>
      <w:marBottom w:val="0"/>
      <w:divBdr>
        <w:top w:val="none" w:sz="0" w:space="0" w:color="auto"/>
        <w:left w:val="none" w:sz="0" w:space="0" w:color="auto"/>
        <w:bottom w:val="none" w:sz="0" w:space="0" w:color="auto"/>
        <w:right w:val="none" w:sz="0" w:space="0" w:color="auto"/>
      </w:divBdr>
    </w:div>
    <w:div w:id="270556214">
      <w:bodyDiv w:val="1"/>
      <w:marLeft w:val="0"/>
      <w:marRight w:val="0"/>
      <w:marTop w:val="0"/>
      <w:marBottom w:val="0"/>
      <w:divBdr>
        <w:top w:val="none" w:sz="0" w:space="0" w:color="auto"/>
        <w:left w:val="none" w:sz="0" w:space="0" w:color="auto"/>
        <w:bottom w:val="none" w:sz="0" w:space="0" w:color="auto"/>
        <w:right w:val="none" w:sz="0" w:space="0" w:color="auto"/>
      </w:divBdr>
    </w:div>
    <w:div w:id="365104273">
      <w:bodyDiv w:val="1"/>
      <w:marLeft w:val="0"/>
      <w:marRight w:val="0"/>
      <w:marTop w:val="0"/>
      <w:marBottom w:val="0"/>
      <w:divBdr>
        <w:top w:val="none" w:sz="0" w:space="0" w:color="auto"/>
        <w:left w:val="none" w:sz="0" w:space="0" w:color="auto"/>
        <w:bottom w:val="none" w:sz="0" w:space="0" w:color="auto"/>
        <w:right w:val="none" w:sz="0" w:space="0" w:color="auto"/>
      </w:divBdr>
    </w:div>
    <w:div w:id="375740037">
      <w:bodyDiv w:val="1"/>
      <w:marLeft w:val="0"/>
      <w:marRight w:val="0"/>
      <w:marTop w:val="0"/>
      <w:marBottom w:val="0"/>
      <w:divBdr>
        <w:top w:val="none" w:sz="0" w:space="0" w:color="auto"/>
        <w:left w:val="none" w:sz="0" w:space="0" w:color="auto"/>
        <w:bottom w:val="none" w:sz="0" w:space="0" w:color="auto"/>
        <w:right w:val="none" w:sz="0" w:space="0" w:color="auto"/>
      </w:divBdr>
    </w:div>
    <w:div w:id="519197160">
      <w:bodyDiv w:val="1"/>
      <w:marLeft w:val="0"/>
      <w:marRight w:val="0"/>
      <w:marTop w:val="0"/>
      <w:marBottom w:val="0"/>
      <w:divBdr>
        <w:top w:val="none" w:sz="0" w:space="0" w:color="auto"/>
        <w:left w:val="none" w:sz="0" w:space="0" w:color="auto"/>
        <w:bottom w:val="none" w:sz="0" w:space="0" w:color="auto"/>
        <w:right w:val="none" w:sz="0" w:space="0" w:color="auto"/>
      </w:divBdr>
    </w:div>
    <w:div w:id="586157176">
      <w:bodyDiv w:val="1"/>
      <w:marLeft w:val="0"/>
      <w:marRight w:val="0"/>
      <w:marTop w:val="0"/>
      <w:marBottom w:val="0"/>
      <w:divBdr>
        <w:top w:val="none" w:sz="0" w:space="0" w:color="auto"/>
        <w:left w:val="none" w:sz="0" w:space="0" w:color="auto"/>
        <w:bottom w:val="none" w:sz="0" w:space="0" w:color="auto"/>
        <w:right w:val="none" w:sz="0" w:space="0" w:color="auto"/>
      </w:divBdr>
    </w:div>
    <w:div w:id="602342552">
      <w:bodyDiv w:val="1"/>
      <w:marLeft w:val="0"/>
      <w:marRight w:val="0"/>
      <w:marTop w:val="0"/>
      <w:marBottom w:val="0"/>
      <w:divBdr>
        <w:top w:val="none" w:sz="0" w:space="0" w:color="auto"/>
        <w:left w:val="none" w:sz="0" w:space="0" w:color="auto"/>
        <w:bottom w:val="none" w:sz="0" w:space="0" w:color="auto"/>
        <w:right w:val="none" w:sz="0" w:space="0" w:color="auto"/>
      </w:divBdr>
      <w:divsChild>
        <w:div w:id="1175530458">
          <w:marLeft w:val="547"/>
          <w:marRight w:val="0"/>
          <w:marTop w:val="0"/>
          <w:marBottom w:val="0"/>
          <w:divBdr>
            <w:top w:val="none" w:sz="0" w:space="0" w:color="auto"/>
            <w:left w:val="none" w:sz="0" w:space="0" w:color="auto"/>
            <w:bottom w:val="none" w:sz="0" w:space="0" w:color="auto"/>
            <w:right w:val="none" w:sz="0" w:space="0" w:color="auto"/>
          </w:divBdr>
        </w:div>
        <w:div w:id="1190608538">
          <w:marLeft w:val="547"/>
          <w:marRight w:val="0"/>
          <w:marTop w:val="0"/>
          <w:marBottom w:val="0"/>
          <w:divBdr>
            <w:top w:val="none" w:sz="0" w:space="0" w:color="auto"/>
            <w:left w:val="none" w:sz="0" w:space="0" w:color="auto"/>
            <w:bottom w:val="none" w:sz="0" w:space="0" w:color="auto"/>
            <w:right w:val="none" w:sz="0" w:space="0" w:color="auto"/>
          </w:divBdr>
        </w:div>
      </w:divsChild>
    </w:div>
    <w:div w:id="634062047">
      <w:bodyDiv w:val="1"/>
      <w:marLeft w:val="0"/>
      <w:marRight w:val="0"/>
      <w:marTop w:val="0"/>
      <w:marBottom w:val="0"/>
      <w:divBdr>
        <w:top w:val="none" w:sz="0" w:space="0" w:color="auto"/>
        <w:left w:val="none" w:sz="0" w:space="0" w:color="auto"/>
        <w:bottom w:val="none" w:sz="0" w:space="0" w:color="auto"/>
        <w:right w:val="none" w:sz="0" w:space="0" w:color="auto"/>
      </w:divBdr>
    </w:div>
    <w:div w:id="646129714">
      <w:bodyDiv w:val="1"/>
      <w:marLeft w:val="0"/>
      <w:marRight w:val="0"/>
      <w:marTop w:val="0"/>
      <w:marBottom w:val="0"/>
      <w:divBdr>
        <w:top w:val="none" w:sz="0" w:space="0" w:color="auto"/>
        <w:left w:val="none" w:sz="0" w:space="0" w:color="auto"/>
        <w:bottom w:val="none" w:sz="0" w:space="0" w:color="auto"/>
        <w:right w:val="none" w:sz="0" w:space="0" w:color="auto"/>
      </w:divBdr>
    </w:div>
    <w:div w:id="708145456">
      <w:bodyDiv w:val="1"/>
      <w:marLeft w:val="0"/>
      <w:marRight w:val="0"/>
      <w:marTop w:val="0"/>
      <w:marBottom w:val="0"/>
      <w:divBdr>
        <w:top w:val="none" w:sz="0" w:space="0" w:color="auto"/>
        <w:left w:val="none" w:sz="0" w:space="0" w:color="auto"/>
        <w:bottom w:val="none" w:sz="0" w:space="0" w:color="auto"/>
        <w:right w:val="none" w:sz="0" w:space="0" w:color="auto"/>
      </w:divBdr>
    </w:div>
    <w:div w:id="787773140">
      <w:bodyDiv w:val="1"/>
      <w:marLeft w:val="0"/>
      <w:marRight w:val="0"/>
      <w:marTop w:val="0"/>
      <w:marBottom w:val="0"/>
      <w:divBdr>
        <w:top w:val="none" w:sz="0" w:space="0" w:color="auto"/>
        <w:left w:val="none" w:sz="0" w:space="0" w:color="auto"/>
        <w:bottom w:val="none" w:sz="0" w:space="0" w:color="auto"/>
        <w:right w:val="none" w:sz="0" w:space="0" w:color="auto"/>
      </w:divBdr>
    </w:div>
    <w:div w:id="795097707">
      <w:bodyDiv w:val="1"/>
      <w:marLeft w:val="0"/>
      <w:marRight w:val="0"/>
      <w:marTop w:val="0"/>
      <w:marBottom w:val="0"/>
      <w:divBdr>
        <w:top w:val="none" w:sz="0" w:space="0" w:color="auto"/>
        <w:left w:val="none" w:sz="0" w:space="0" w:color="auto"/>
        <w:bottom w:val="none" w:sz="0" w:space="0" w:color="auto"/>
        <w:right w:val="none" w:sz="0" w:space="0" w:color="auto"/>
      </w:divBdr>
    </w:div>
    <w:div w:id="836728825">
      <w:bodyDiv w:val="1"/>
      <w:marLeft w:val="0"/>
      <w:marRight w:val="0"/>
      <w:marTop w:val="0"/>
      <w:marBottom w:val="0"/>
      <w:divBdr>
        <w:top w:val="none" w:sz="0" w:space="0" w:color="auto"/>
        <w:left w:val="none" w:sz="0" w:space="0" w:color="auto"/>
        <w:bottom w:val="none" w:sz="0" w:space="0" w:color="auto"/>
        <w:right w:val="none" w:sz="0" w:space="0" w:color="auto"/>
      </w:divBdr>
    </w:div>
    <w:div w:id="949164875">
      <w:bodyDiv w:val="1"/>
      <w:marLeft w:val="0"/>
      <w:marRight w:val="0"/>
      <w:marTop w:val="0"/>
      <w:marBottom w:val="0"/>
      <w:divBdr>
        <w:top w:val="none" w:sz="0" w:space="0" w:color="auto"/>
        <w:left w:val="none" w:sz="0" w:space="0" w:color="auto"/>
        <w:bottom w:val="none" w:sz="0" w:space="0" w:color="auto"/>
        <w:right w:val="none" w:sz="0" w:space="0" w:color="auto"/>
      </w:divBdr>
    </w:div>
    <w:div w:id="1043865848">
      <w:bodyDiv w:val="1"/>
      <w:marLeft w:val="0"/>
      <w:marRight w:val="0"/>
      <w:marTop w:val="0"/>
      <w:marBottom w:val="0"/>
      <w:divBdr>
        <w:top w:val="none" w:sz="0" w:space="0" w:color="auto"/>
        <w:left w:val="none" w:sz="0" w:space="0" w:color="auto"/>
        <w:bottom w:val="none" w:sz="0" w:space="0" w:color="auto"/>
        <w:right w:val="none" w:sz="0" w:space="0" w:color="auto"/>
      </w:divBdr>
    </w:div>
    <w:div w:id="1054430126">
      <w:bodyDiv w:val="1"/>
      <w:marLeft w:val="0"/>
      <w:marRight w:val="0"/>
      <w:marTop w:val="0"/>
      <w:marBottom w:val="0"/>
      <w:divBdr>
        <w:top w:val="none" w:sz="0" w:space="0" w:color="auto"/>
        <w:left w:val="none" w:sz="0" w:space="0" w:color="auto"/>
        <w:bottom w:val="none" w:sz="0" w:space="0" w:color="auto"/>
        <w:right w:val="none" w:sz="0" w:space="0" w:color="auto"/>
      </w:divBdr>
    </w:div>
    <w:div w:id="1075665928">
      <w:bodyDiv w:val="1"/>
      <w:marLeft w:val="0"/>
      <w:marRight w:val="0"/>
      <w:marTop w:val="0"/>
      <w:marBottom w:val="0"/>
      <w:divBdr>
        <w:top w:val="none" w:sz="0" w:space="0" w:color="auto"/>
        <w:left w:val="none" w:sz="0" w:space="0" w:color="auto"/>
        <w:bottom w:val="none" w:sz="0" w:space="0" w:color="auto"/>
        <w:right w:val="none" w:sz="0" w:space="0" w:color="auto"/>
      </w:divBdr>
    </w:div>
    <w:div w:id="1125781385">
      <w:bodyDiv w:val="1"/>
      <w:marLeft w:val="0"/>
      <w:marRight w:val="0"/>
      <w:marTop w:val="0"/>
      <w:marBottom w:val="0"/>
      <w:divBdr>
        <w:top w:val="none" w:sz="0" w:space="0" w:color="auto"/>
        <w:left w:val="none" w:sz="0" w:space="0" w:color="auto"/>
        <w:bottom w:val="none" w:sz="0" w:space="0" w:color="auto"/>
        <w:right w:val="none" w:sz="0" w:space="0" w:color="auto"/>
      </w:divBdr>
    </w:div>
    <w:div w:id="1146168073">
      <w:bodyDiv w:val="1"/>
      <w:marLeft w:val="0"/>
      <w:marRight w:val="0"/>
      <w:marTop w:val="0"/>
      <w:marBottom w:val="0"/>
      <w:divBdr>
        <w:top w:val="none" w:sz="0" w:space="0" w:color="auto"/>
        <w:left w:val="none" w:sz="0" w:space="0" w:color="auto"/>
        <w:bottom w:val="none" w:sz="0" w:space="0" w:color="auto"/>
        <w:right w:val="none" w:sz="0" w:space="0" w:color="auto"/>
      </w:divBdr>
      <w:divsChild>
        <w:div w:id="911888262">
          <w:marLeft w:val="547"/>
          <w:marRight w:val="0"/>
          <w:marTop w:val="0"/>
          <w:marBottom w:val="0"/>
          <w:divBdr>
            <w:top w:val="none" w:sz="0" w:space="0" w:color="auto"/>
            <w:left w:val="none" w:sz="0" w:space="0" w:color="auto"/>
            <w:bottom w:val="none" w:sz="0" w:space="0" w:color="auto"/>
            <w:right w:val="none" w:sz="0" w:space="0" w:color="auto"/>
          </w:divBdr>
        </w:div>
        <w:div w:id="442769575">
          <w:marLeft w:val="547"/>
          <w:marRight w:val="0"/>
          <w:marTop w:val="0"/>
          <w:marBottom w:val="0"/>
          <w:divBdr>
            <w:top w:val="none" w:sz="0" w:space="0" w:color="auto"/>
            <w:left w:val="none" w:sz="0" w:space="0" w:color="auto"/>
            <w:bottom w:val="none" w:sz="0" w:space="0" w:color="auto"/>
            <w:right w:val="none" w:sz="0" w:space="0" w:color="auto"/>
          </w:divBdr>
        </w:div>
      </w:divsChild>
    </w:div>
    <w:div w:id="1245262787">
      <w:bodyDiv w:val="1"/>
      <w:marLeft w:val="0"/>
      <w:marRight w:val="0"/>
      <w:marTop w:val="0"/>
      <w:marBottom w:val="0"/>
      <w:divBdr>
        <w:top w:val="none" w:sz="0" w:space="0" w:color="auto"/>
        <w:left w:val="none" w:sz="0" w:space="0" w:color="auto"/>
        <w:bottom w:val="none" w:sz="0" w:space="0" w:color="auto"/>
        <w:right w:val="none" w:sz="0" w:space="0" w:color="auto"/>
      </w:divBdr>
    </w:div>
    <w:div w:id="1265846999">
      <w:bodyDiv w:val="1"/>
      <w:marLeft w:val="0"/>
      <w:marRight w:val="0"/>
      <w:marTop w:val="0"/>
      <w:marBottom w:val="0"/>
      <w:divBdr>
        <w:top w:val="none" w:sz="0" w:space="0" w:color="auto"/>
        <w:left w:val="none" w:sz="0" w:space="0" w:color="auto"/>
        <w:bottom w:val="none" w:sz="0" w:space="0" w:color="auto"/>
        <w:right w:val="none" w:sz="0" w:space="0" w:color="auto"/>
      </w:divBdr>
    </w:div>
    <w:div w:id="1329019688">
      <w:bodyDiv w:val="1"/>
      <w:marLeft w:val="0"/>
      <w:marRight w:val="0"/>
      <w:marTop w:val="0"/>
      <w:marBottom w:val="0"/>
      <w:divBdr>
        <w:top w:val="none" w:sz="0" w:space="0" w:color="auto"/>
        <w:left w:val="none" w:sz="0" w:space="0" w:color="auto"/>
        <w:bottom w:val="none" w:sz="0" w:space="0" w:color="auto"/>
        <w:right w:val="none" w:sz="0" w:space="0" w:color="auto"/>
      </w:divBdr>
      <w:divsChild>
        <w:div w:id="541744207">
          <w:marLeft w:val="446"/>
          <w:marRight w:val="0"/>
          <w:marTop w:val="0"/>
          <w:marBottom w:val="0"/>
          <w:divBdr>
            <w:top w:val="none" w:sz="0" w:space="0" w:color="auto"/>
            <w:left w:val="none" w:sz="0" w:space="0" w:color="auto"/>
            <w:bottom w:val="none" w:sz="0" w:space="0" w:color="auto"/>
            <w:right w:val="none" w:sz="0" w:space="0" w:color="auto"/>
          </w:divBdr>
        </w:div>
        <w:div w:id="1584221999">
          <w:marLeft w:val="446"/>
          <w:marRight w:val="0"/>
          <w:marTop w:val="0"/>
          <w:marBottom w:val="0"/>
          <w:divBdr>
            <w:top w:val="none" w:sz="0" w:space="0" w:color="auto"/>
            <w:left w:val="none" w:sz="0" w:space="0" w:color="auto"/>
            <w:bottom w:val="none" w:sz="0" w:space="0" w:color="auto"/>
            <w:right w:val="none" w:sz="0" w:space="0" w:color="auto"/>
          </w:divBdr>
        </w:div>
      </w:divsChild>
    </w:div>
    <w:div w:id="1379816639">
      <w:bodyDiv w:val="1"/>
      <w:marLeft w:val="0"/>
      <w:marRight w:val="0"/>
      <w:marTop w:val="0"/>
      <w:marBottom w:val="0"/>
      <w:divBdr>
        <w:top w:val="none" w:sz="0" w:space="0" w:color="auto"/>
        <w:left w:val="none" w:sz="0" w:space="0" w:color="auto"/>
        <w:bottom w:val="none" w:sz="0" w:space="0" w:color="auto"/>
        <w:right w:val="none" w:sz="0" w:space="0" w:color="auto"/>
      </w:divBdr>
    </w:div>
    <w:div w:id="1717925017">
      <w:bodyDiv w:val="1"/>
      <w:marLeft w:val="0"/>
      <w:marRight w:val="0"/>
      <w:marTop w:val="0"/>
      <w:marBottom w:val="0"/>
      <w:divBdr>
        <w:top w:val="none" w:sz="0" w:space="0" w:color="auto"/>
        <w:left w:val="none" w:sz="0" w:space="0" w:color="auto"/>
        <w:bottom w:val="none" w:sz="0" w:space="0" w:color="auto"/>
        <w:right w:val="none" w:sz="0" w:space="0" w:color="auto"/>
      </w:divBdr>
    </w:div>
    <w:div w:id="1762869049">
      <w:bodyDiv w:val="1"/>
      <w:marLeft w:val="0"/>
      <w:marRight w:val="0"/>
      <w:marTop w:val="0"/>
      <w:marBottom w:val="0"/>
      <w:divBdr>
        <w:top w:val="none" w:sz="0" w:space="0" w:color="auto"/>
        <w:left w:val="none" w:sz="0" w:space="0" w:color="auto"/>
        <w:bottom w:val="none" w:sz="0" w:space="0" w:color="auto"/>
        <w:right w:val="none" w:sz="0" w:space="0" w:color="auto"/>
      </w:divBdr>
    </w:div>
    <w:div w:id="1782915891">
      <w:bodyDiv w:val="1"/>
      <w:marLeft w:val="0"/>
      <w:marRight w:val="0"/>
      <w:marTop w:val="0"/>
      <w:marBottom w:val="0"/>
      <w:divBdr>
        <w:top w:val="none" w:sz="0" w:space="0" w:color="auto"/>
        <w:left w:val="none" w:sz="0" w:space="0" w:color="auto"/>
        <w:bottom w:val="none" w:sz="0" w:space="0" w:color="auto"/>
        <w:right w:val="none" w:sz="0" w:space="0" w:color="auto"/>
      </w:divBdr>
    </w:div>
    <w:div w:id="1796481015">
      <w:bodyDiv w:val="1"/>
      <w:marLeft w:val="0"/>
      <w:marRight w:val="0"/>
      <w:marTop w:val="0"/>
      <w:marBottom w:val="0"/>
      <w:divBdr>
        <w:top w:val="none" w:sz="0" w:space="0" w:color="auto"/>
        <w:left w:val="none" w:sz="0" w:space="0" w:color="auto"/>
        <w:bottom w:val="none" w:sz="0" w:space="0" w:color="auto"/>
        <w:right w:val="none" w:sz="0" w:space="0" w:color="auto"/>
      </w:divBdr>
      <w:divsChild>
        <w:div w:id="1064451553">
          <w:marLeft w:val="446"/>
          <w:marRight w:val="0"/>
          <w:marTop w:val="0"/>
          <w:marBottom w:val="0"/>
          <w:divBdr>
            <w:top w:val="none" w:sz="0" w:space="0" w:color="auto"/>
            <w:left w:val="none" w:sz="0" w:space="0" w:color="auto"/>
            <w:bottom w:val="none" w:sz="0" w:space="0" w:color="auto"/>
            <w:right w:val="none" w:sz="0" w:space="0" w:color="auto"/>
          </w:divBdr>
        </w:div>
      </w:divsChild>
    </w:div>
    <w:div w:id="1911035329">
      <w:bodyDiv w:val="1"/>
      <w:marLeft w:val="0"/>
      <w:marRight w:val="0"/>
      <w:marTop w:val="0"/>
      <w:marBottom w:val="0"/>
      <w:divBdr>
        <w:top w:val="none" w:sz="0" w:space="0" w:color="auto"/>
        <w:left w:val="none" w:sz="0" w:space="0" w:color="auto"/>
        <w:bottom w:val="none" w:sz="0" w:space="0" w:color="auto"/>
        <w:right w:val="none" w:sz="0" w:space="0" w:color="auto"/>
      </w:divBdr>
    </w:div>
    <w:div w:id="2112161237">
      <w:bodyDiv w:val="1"/>
      <w:marLeft w:val="0"/>
      <w:marRight w:val="0"/>
      <w:marTop w:val="0"/>
      <w:marBottom w:val="0"/>
      <w:divBdr>
        <w:top w:val="none" w:sz="0" w:space="0" w:color="auto"/>
        <w:left w:val="none" w:sz="0" w:space="0" w:color="auto"/>
        <w:bottom w:val="none" w:sz="0" w:space="0" w:color="auto"/>
        <w:right w:val="none" w:sz="0" w:space="0" w:color="auto"/>
      </w:divBdr>
    </w:div>
    <w:div w:id="213308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uperfinanciera.gov.co/jsp/150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perfinanciera.gov.co/descargas?com=institucional&amp;name=pubFile13093&amp;downloadname=codigoscalificaciones.xl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EA94A-C059-42B3-87E0-B2346811A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15</Pages>
  <Words>9537</Words>
  <Characters>52454</Characters>
  <Application>Microsoft Office Word</Application>
  <DocSecurity>0</DocSecurity>
  <Lines>437</Lines>
  <Paragraphs>123</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61868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dalopez</dc:creator>
  <cp:keywords/>
  <dc:description/>
  <cp:lastModifiedBy>Superintendencia Financiera de Colombia</cp:lastModifiedBy>
  <cp:revision>30</cp:revision>
  <cp:lastPrinted>2019-08-21T15:38:00Z</cp:lastPrinted>
  <dcterms:created xsi:type="dcterms:W3CDTF">2019-08-30T18:35:00Z</dcterms:created>
  <dcterms:modified xsi:type="dcterms:W3CDTF">2019-09-06T14:40:00Z</dcterms:modified>
</cp:coreProperties>
</file>