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01B" w:rsidRPr="001A3E3E" w:rsidRDefault="00A3501B" w:rsidP="00A3501B">
      <w:pPr>
        <w:ind w:left="1416" w:hanging="1416"/>
        <w:jc w:val="center"/>
        <w:rPr>
          <w:b/>
          <w:bCs/>
          <w:spacing w:val="0"/>
          <w:sz w:val="18"/>
          <w:szCs w:val="18"/>
          <w:lang w:val="es-CO"/>
        </w:rPr>
      </w:pPr>
    </w:p>
    <w:p w:rsidR="00A3501B" w:rsidRPr="001A3E3E" w:rsidRDefault="00A3501B" w:rsidP="00A3501B">
      <w:pPr>
        <w:ind w:left="1410" w:hanging="1410"/>
        <w:jc w:val="center"/>
        <w:outlineLvl w:val="0"/>
        <w:rPr>
          <w:b/>
          <w:bCs/>
          <w:spacing w:val="0"/>
          <w:sz w:val="18"/>
          <w:szCs w:val="18"/>
          <w:lang w:val="es-CO"/>
        </w:rPr>
      </w:pPr>
      <w:r>
        <w:rPr>
          <w:b/>
          <w:bCs/>
          <w:spacing w:val="0"/>
          <w:sz w:val="18"/>
          <w:szCs w:val="18"/>
          <w:lang w:val="es-CO"/>
        </w:rPr>
        <w:t>ANEXO 4</w:t>
      </w:r>
    </w:p>
    <w:p w:rsidR="00A3501B" w:rsidRPr="001A3E3E" w:rsidRDefault="00A3501B" w:rsidP="00A3501B">
      <w:pPr>
        <w:ind w:left="1410" w:hanging="1410"/>
        <w:jc w:val="center"/>
        <w:outlineLvl w:val="0"/>
        <w:rPr>
          <w:b/>
          <w:bCs/>
          <w:spacing w:val="0"/>
          <w:sz w:val="18"/>
          <w:szCs w:val="18"/>
          <w:lang w:val="es-CO"/>
        </w:rPr>
      </w:pPr>
      <w:r w:rsidRPr="001A3E3E">
        <w:rPr>
          <w:b/>
          <w:bCs/>
          <w:spacing w:val="0"/>
          <w:sz w:val="18"/>
          <w:szCs w:val="18"/>
          <w:lang w:val="es-CO"/>
        </w:rPr>
        <w:t xml:space="preserve"> </w:t>
      </w:r>
    </w:p>
    <w:p w:rsidR="00A3501B" w:rsidRPr="001A3E3E" w:rsidRDefault="00A3501B" w:rsidP="00A3501B">
      <w:pPr>
        <w:jc w:val="center"/>
        <w:outlineLvl w:val="0"/>
        <w:rPr>
          <w:b/>
          <w:bCs/>
          <w:spacing w:val="0"/>
          <w:sz w:val="18"/>
          <w:szCs w:val="18"/>
          <w:lang w:val="es-CO"/>
        </w:rPr>
      </w:pPr>
      <w:r w:rsidRPr="001A3E3E">
        <w:rPr>
          <w:b/>
          <w:bCs/>
          <w:spacing w:val="0"/>
          <w:sz w:val="18"/>
          <w:szCs w:val="18"/>
          <w:lang w:val="es-CO"/>
        </w:rPr>
        <w:t xml:space="preserve">METODOLOGÍA PARA LA MEDICIÓN Y REPORTE ESTÁNDAR DEL </w:t>
      </w:r>
      <w:r>
        <w:rPr>
          <w:b/>
          <w:bCs/>
          <w:spacing w:val="0"/>
          <w:sz w:val="18"/>
          <w:szCs w:val="18"/>
          <w:lang w:val="es-CO"/>
        </w:rPr>
        <w:t>COEFICIENTE DE FONDEO ESTABLE NETO</w:t>
      </w:r>
      <w:r w:rsidRPr="001A3E3E">
        <w:rPr>
          <w:b/>
          <w:bCs/>
          <w:spacing w:val="0"/>
          <w:sz w:val="18"/>
          <w:szCs w:val="18"/>
          <w:lang w:val="es-CO"/>
        </w:rPr>
        <w:t xml:space="preserve"> DE LOS ESTABLECIMIENTOS DE CRÉDITO, ORGANISMOS COOPERATIVOS DE GRADO SUPERIOR </w:t>
      </w:r>
      <w:r w:rsidRPr="00E40129">
        <w:rPr>
          <w:b/>
          <w:bCs/>
          <w:spacing w:val="0"/>
          <w:sz w:val="18"/>
          <w:szCs w:val="18"/>
          <w:lang w:val="es-CO"/>
        </w:rPr>
        <w:t>Y ALGUNAS</w:t>
      </w:r>
      <w:r w:rsidRPr="001A3E3E">
        <w:rPr>
          <w:b/>
          <w:bCs/>
          <w:spacing w:val="0"/>
          <w:sz w:val="18"/>
          <w:szCs w:val="18"/>
          <w:lang w:val="es-CO"/>
        </w:rPr>
        <w:t xml:space="preserve"> INSTITUCIONES OFICIALES ESPECIALES (</w:t>
      </w:r>
      <w:proofErr w:type="spellStart"/>
      <w:r w:rsidRPr="001A3E3E">
        <w:rPr>
          <w:b/>
          <w:bCs/>
          <w:spacing w:val="0"/>
          <w:sz w:val="18"/>
          <w:szCs w:val="18"/>
          <w:lang w:val="es-CO"/>
        </w:rPr>
        <w:t>IOEs</w:t>
      </w:r>
      <w:proofErr w:type="spellEnd"/>
      <w:r w:rsidRPr="001A3E3E">
        <w:rPr>
          <w:b/>
          <w:bCs/>
          <w:spacing w:val="0"/>
          <w:sz w:val="18"/>
          <w:szCs w:val="18"/>
          <w:lang w:val="es-CO"/>
        </w:rPr>
        <w:t>)</w:t>
      </w:r>
    </w:p>
    <w:p w:rsidR="00A3501B" w:rsidRPr="001A3E3E" w:rsidRDefault="00A3501B" w:rsidP="00A3501B">
      <w:pPr>
        <w:pStyle w:val="Textoindependiente"/>
        <w:rPr>
          <w:spacing w:val="0"/>
          <w:sz w:val="18"/>
          <w:szCs w:val="18"/>
          <w:lang w:val="es-CO"/>
        </w:rPr>
      </w:pPr>
    </w:p>
    <w:p w:rsidR="00A3501B" w:rsidRPr="001A3E3E" w:rsidRDefault="00A3501B" w:rsidP="00A3501B">
      <w:pPr>
        <w:pStyle w:val="Textoindependiente"/>
        <w:rPr>
          <w:spacing w:val="0"/>
          <w:sz w:val="18"/>
          <w:szCs w:val="18"/>
          <w:lang w:val="es-CO"/>
        </w:rPr>
      </w:pPr>
    </w:p>
    <w:p w:rsidR="00A3501B" w:rsidRPr="001A3E3E" w:rsidRDefault="00A3501B" w:rsidP="00A3501B">
      <w:pPr>
        <w:pStyle w:val="Normal9pt"/>
        <w:numPr>
          <w:ilvl w:val="0"/>
          <w:numId w:val="2"/>
        </w:numPr>
        <w:rPr>
          <w:b/>
          <w:lang w:val="es-CO"/>
        </w:rPr>
      </w:pPr>
      <w:r w:rsidRPr="001A3E3E">
        <w:rPr>
          <w:b/>
          <w:lang w:val="es-CO"/>
        </w:rPr>
        <w:t>CONSIDERACIONES GENERALES</w:t>
      </w:r>
    </w:p>
    <w:p w:rsidR="00A3501B" w:rsidRPr="001A3E3E" w:rsidRDefault="00A3501B" w:rsidP="00A3501B">
      <w:pPr>
        <w:pStyle w:val="Textoindependiente"/>
        <w:rPr>
          <w:spacing w:val="0"/>
          <w:sz w:val="18"/>
          <w:szCs w:val="18"/>
          <w:lang w:val="es-CO"/>
        </w:rPr>
      </w:pPr>
    </w:p>
    <w:p w:rsidR="00A3501B" w:rsidRDefault="00A3501B" w:rsidP="00A3501B">
      <w:pPr>
        <w:jc w:val="both"/>
        <w:rPr>
          <w:spacing w:val="0"/>
          <w:sz w:val="18"/>
          <w:szCs w:val="18"/>
          <w:lang w:val="es-CO"/>
        </w:rPr>
      </w:pPr>
      <w:r w:rsidRPr="001A3E3E">
        <w:rPr>
          <w:spacing w:val="0"/>
          <w:sz w:val="18"/>
          <w:szCs w:val="18"/>
          <w:lang w:val="es-CO"/>
        </w:rPr>
        <w:t xml:space="preserve">En el presente Anexo se establece la metodología para la medición y las características del reporte del </w:t>
      </w:r>
      <w:r>
        <w:rPr>
          <w:spacing w:val="0"/>
          <w:sz w:val="18"/>
          <w:szCs w:val="18"/>
          <w:lang w:val="es-CO"/>
        </w:rPr>
        <w:t>Coeficiente de Fondeo Estable Neto (CFEN)</w:t>
      </w:r>
      <w:r w:rsidRPr="001A3E3E">
        <w:rPr>
          <w:spacing w:val="0"/>
          <w:sz w:val="18"/>
          <w:szCs w:val="18"/>
          <w:lang w:val="es-CO"/>
        </w:rPr>
        <w:t xml:space="preserve"> que debe ser remitido </w:t>
      </w:r>
      <w:r>
        <w:rPr>
          <w:spacing w:val="0"/>
          <w:sz w:val="18"/>
          <w:szCs w:val="18"/>
          <w:lang w:val="es-CO"/>
        </w:rPr>
        <w:t>mensualmente</w:t>
      </w:r>
      <w:r w:rsidRPr="001A3E3E">
        <w:rPr>
          <w:spacing w:val="0"/>
          <w:sz w:val="18"/>
          <w:szCs w:val="18"/>
          <w:lang w:val="es-CO"/>
        </w:rPr>
        <w:t xml:space="preserve"> por los establecimientos de crédito, organismos cooperativos de grado superio</w:t>
      </w:r>
      <w:r w:rsidRPr="00550357">
        <w:rPr>
          <w:spacing w:val="0"/>
          <w:sz w:val="18"/>
          <w:szCs w:val="18"/>
          <w:lang w:val="es-CO"/>
        </w:rPr>
        <w:t xml:space="preserve">r e </w:t>
      </w:r>
      <w:proofErr w:type="spellStart"/>
      <w:r w:rsidRPr="00550357">
        <w:rPr>
          <w:spacing w:val="0"/>
          <w:sz w:val="18"/>
          <w:szCs w:val="18"/>
          <w:lang w:val="es-CO"/>
        </w:rPr>
        <w:t>IOEs</w:t>
      </w:r>
      <w:proofErr w:type="spellEnd"/>
      <w:r w:rsidRPr="00550357">
        <w:rPr>
          <w:spacing w:val="0"/>
          <w:sz w:val="18"/>
          <w:szCs w:val="18"/>
          <w:lang w:val="es-CO"/>
        </w:rPr>
        <w:t xml:space="preserve"> señaladas en el </w:t>
      </w:r>
      <w:proofErr w:type="spellStart"/>
      <w:r w:rsidRPr="00550357">
        <w:rPr>
          <w:spacing w:val="0"/>
          <w:sz w:val="18"/>
          <w:szCs w:val="18"/>
          <w:lang w:val="es-CO"/>
        </w:rPr>
        <w:t>subnumeral</w:t>
      </w:r>
      <w:proofErr w:type="spellEnd"/>
      <w:r w:rsidRPr="00550357">
        <w:rPr>
          <w:spacing w:val="0"/>
          <w:sz w:val="18"/>
          <w:szCs w:val="18"/>
          <w:lang w:val="es-CO"/>
        </w:rPr>
        <w:t xml:space="preserve"> i) del numeral 5.2.1 de este Capítulo, en adelante las entidades</w:t>
      </w:r>
      <w:r>
        <w:rPr>
          <w:spacing w:val="0"/>
          <w:sz w:val="18"/>
          <w:szCs w:val="18"/>
          <w:lang w:val="es-CO"/>
        </w:rPr>
        <w:t>, conforme a sus estados financieros separados</w:t>
      </w:r>
      <w:r w:rsidRPr="00550357">
        <w:rPr>
          <w:spacing w:val="0"/>
          <w:sz w:val="18"/>
          <w:szCs w:val="18"/>
          <w:lang w:val="es-CO"/>
        </w:rPr>
        <w:t>.</w:t>
      </w:r>
    </w:p>
    <w:p w:rsidR="00A3501B" w:rsidRDefault="00A3501B" w:rsidP="00A3501B">
      <w:pPr>
        <w:jc w:val="both"/>
        <w:rPr>
          <w:spacing w:val="0"/>
          <w:sz w:val="18"/>
          <w:szCs w:val="18"/>
          <w:lang w:val="es-CO"/>
        </w:rPr>
      </w:pPr>
    </w:p>
    <w:p w:rsidR="00A3501B" w:rsidRPr="00335A60" w:rsidRDefault="00A3501B" w:rsidP="00A3501B">
      <w:pPr>
        <w:jc w:val="both"/>
        <w:rPr>
          <w:spacing w:val="0"/>
          <w:sz w:val="18"/>
          <w:szCs w:val="18"/>
          <w:lang w:val="es-CO"/>
        </w:rPr>
      </w:pPr>
      <w:r w:rsidRPr="00335A60">
        <w:rPr>
          <w:spacing w:val="0"/>
          <w:sz w:val="18"/>
          <w:szCs w:val="18"/>
          <w:lang w:val="es-CO"/>
        </w:rPr>
        <w:t>La transformación de</w:t>
      </w:r>
      <w:r>
        <w:rPr>
          <w:spacing w:val="0"/>
          <w:sz w:val="18"/>
          <w:szCs w:val="18"/>
          <w:lang w:val="es-CO"/>
        </w:rPr>
        <w:t xml:space="preserve"> vencimientos realizada por las entidades </w:t>
      </w:r>
      <w:r w:rsidRPr="00335A60">
        <w:rPr>
          <w:spacing w:val="0"/>
          <w:sz w:val="18"/>
          <w:szCs w:val="18"/>
          <w:lang w:val="es-CO"/>
        </w:rPr>
        <w:t xml:space="preserve">constituye una pieza fundamental de la intermediación financiera. Sin embargo, las entidades </w:t>
      </w:r>
      <w:r>
        <w:rPr>
          <w:spacing w:val="0"/>
          <w:sz w:val="18"/>
          <w:szCs w:val="18"/>
          <w:lang w:val="es-CO"/>
        </w:rPr>
        <w:t>pueden tener</w:t>
      </w:r>
      <w:r w:rsidRPr="00335A60">
        <w:rPr>
          <w:spacing w:val="0"/>
          <w:sz w:val="18"/>
          <w:szCs w:val="18"/>
          <w:lang w:val="es-CO"/>
        </w:rPr>
        <w:t xml:space="preserve"> incentivos débiles para limitar la excesiva dependencia de </w:t>
      </w:r>
      <w:r>
        <w:rPr>
          <w:spacing w:val="0"/>
          <w:sz w:val="18"/>
          <w:szCs w:val="18"/>
          <w:lang w:val="es-CO"/>
        </w:rPr>
        <w:t>un fondeo</w:t>
      </w:r>
      <w:r w:rsidRPr="00335A60">
        <w:rPr>
          <w:spacing w:val="0"/>
          <w:sz w:val="18"/>
          <w:szCs w:val="18"/>
          <w:lang w:val="es-CO"/>
        </w:rPr>
        <w:t xml:space="preserve"> inestable de los activos estratégicos, que a menudo son ilíquidos. Así mismo, existen incentivos para que las entidades incrementen su nivel de apalancamiento recurriendo a la financiación mayorista a corto plazo, dado que esta alternativa se presenta generalmente de manera abundante y a bajo costo. </w:t>
      </w:r>
    </w:p>
    <w:p w:rsidR="00A3501B" w:rsidRPr="00335A60"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En consecuencia, las entidades deben gestionar adecuadamente su capacidad para responder ante perturbaciones de liquidez</w:t>
      </w:r>
      <w:r w:rsidRPr="00335A60">
        <w:rPr>
          <w:spacing w:val="0"/>
          <w:sz w:val="18"/>
          <w:szCs w:val="18"/>
          <w:lang w:val="es-CO"/>
        </w:rPr>
        <w:t xml:space="preserve"> </w:t>
      </w:r>
      <w:r>
        <w:rPr>
          <w:spacing w:val="0"/>
          <w:sz w:val="18"/>
          <w:szCs w:val="18"/>
          <w:lang w:val="es-CO"/>
        </w:rPr>
        <w:t xml:space="preserve">y evitar así implicaciones </w:t>
      </w:r>
      <w:r w:rsidR="00E75760">
        <w:rPr>
          <w:spacing w:val="0"/>
          <w:sz w:val="18"/>
          <w:szCs w:val="18"/>
          <w:lang w:val="es-CO"/>
        </w:rPr>
        <w:t>sobre la estabilidad financiera</w:t>
      </w:r>
      <w:r>
        <w:rPr>
          <w:spacing w:val="0"/>
          <w:sz w:val="18"/>
          <w:szCs w:val="18"/>
          <w:lang w:val="es-CO"/>
        </w:rPr>
        <w:t>. En ese sentido, el CFEN busca que las entidades internalicen</w:t>
      </w:r>
      <w:r w:rsidRPr="00335A60">
        <w:rPr>
          <w:spacing w:val="0"/>
          <w:sz w:val="18"/>
          <w:szCs w:val="18"/>
          <w:lang w:val="es-CO"/>
        </w:rPr>
        <w:t xml:space="preserve"> los costos asociados a los desajustes de </w:t>
      </w:r>
      <w:r>
        <w:rPr>
          <w:spacing w:val="0"/>
          <w:sz w:val="18"/>
          <w:szCs w:val="18"/>
          <w:lang w:val="es-CO"/>
        </w:rPr>
        <w:t>fondeo</w:t>
      </w:r>
      <w:r w:rsidRPr="00335A60">
        <w:rPr>
          <w:spacing w:val="0"/>
          <w:sz w:val="18"/>
          <w:szCs w:val="18"/>
          <w:lang w:val="es-CO"/>
        </w:rPr>
        <w:t xml:space="preserve">, </w:t>
      </w:r>
      <w:r>
        <w:rPr>
          <w:spacing w:val="0"/>
          <w:sz w:val="18"/>
          <w:szCs w:val="18"/>
          <w:lang w:val="es-CO"/>
        </w:rPr>
        <w:t>exigiendo que mantengan</w:t>
      </w:r>
      <w:r w:rsidRPr="00335A60">
        <w:rPr>
          <w:spacing w:val="0"/>
          <w:sz w:val="18"/>
          <w:szCs w:val="18"/>
          <w:lang w:val="es-CO"/>
        </w:rPr>
        <w:t xml:space="preserve"> un perfil de </w:t>
      </w:r>
      <w:r>
        <w:rPr>
          <w:spacing w:val="0"/>
          <w:sz w:val="18"/>
          <w:szCs w:val="18"/>
          <w:lang w:val="es-CO"/>
        </w:rPr>
        <w:t>fondeo</w:t>
      </w:r>
      <w:r w:rsidRPr="00335A60">
        <w:rPr>
          <w:spacing w:val="0"/>
          <w:sz w:val="18"/>
          <w:szCs w:val="18"/>
          <w:lang w:val="es-CO"/>
        </w:rPr>
        <w:t xml:space="preserve"> estable en relación con</w:t>
      </w:r>
      <w:r>
        <w:rPr>
          <w:spacing w:val="0"/>
          <w:sz w:val="18"/>
          <w:szCs w:val="18"/>
          <w:lang w:val="es-CO"/>
        </w:rPr>
        <w:t xml:space="preserve"> la composición de sus activos.</w:t>
      </w:r>
    </w:p>
    <w:p w:rsidR="00A3501B" w:rsidRPr="001A3E3E" w:rsidRDefault="00A3501B" w:rsidP="00A3501B">
      <w:pPr>
        <w:jc w:val="both"/>
        <w:rPr>
          <w:spacing w:val="0"/>
          <w:sz w:val="18"/>
          <w:szCs w:val="18"/>
          <w:lang w:val="es-CO"/>
        </w:rPr>
      </w:pPr>
    </w:p>
    <w:p w:rsidR="00A3501B" w:rsidRPr="001A3E3E" w:rsidRDefault="00A3501B" w:rsidP="00A3501B">
      <w:pPr>
        <w:pStyle w:val="Textoindependiente"/>
        <w:rPr>
          <w:spacing w:val="0"/>
          <w:sz w:val="18"/>
          <w:szCs w:val="18"/>
          <w:lang w:val="es-CO"/>
        </w:rPr>
      </w:pPr>
    </w:p>
    <w:p w:rsidR="00A3501B" w:rsidRPr="001A3E3E" w:rsidRDefault="00A3501B" w:rsidP="00A3501B">
      <w:pPr>
        <w:pStyle w:val="Normal9pt"/>
        <w:numPr>
          <w:ilvl w:val="0"/>
          <w:numId w:val="2"/>
        </w:numPr>
        <w:rPr>
          <w:b/>
          <w:lang w:val="es-CO"/>
        </w:rPr>
      </w:pPr>
      <w:r w:rsidRPr="001A3E3E">
        <w:rPr>
          <w:b/>
          <w:lang w:val="es-CO"/>
        </w:rPr>
        <w:t>METODOLOGÍA ESTÁNDAR DE MEDICIÓN</w:t>
      </w:r>
    </w:p>
    <w:p w:rsidR="00A3501B" w:rsidRPr="001A3E3E" w:rsidRDefault="00A3501B" w:rsidP="00A3501B">
      <w:pPr>
        <w:pStyle w:val="Normal9pt"/>
        <w:numPr>
          <w:ilvl w:val="0"/>
          <w:numId w:val="0"/>
        </w:numPr>
        <w:ind w:left="360"/>
        <w:rPr>
          <w:b/>
          <w:lang w:val="es-CO"/>
        </w:rPr>
      </w:pPr>
    </w:p>
    <w:p w:rsidR="00A3501B" w:rsidRPr="001A3E3E" w:rsidRDefault="00A3501B" w:rsidP="00A3501B">
      <w:pPr>
        <w:pStyle w:val="Normal9pt"/>
        <w:numPr>
          <w:ilvl w:val="1"/>
          <w:numId w:val="3"/>
        </w:numPr>
        <w:rPr>
          <w:b/>
          <w:lang w:val="es-CO"/>
        </w:rPr>
      </w:pPr>
      <w:r>
        <w:rPr>
          <w:b/>
          <w:lang w:val="es-CO"/>
        </w:rPr>
        <w:t>Fondeo Estable Disponible (FED)</w:t>
      </w:r>
    </w:p>
    <w:p w:rsidR="00A3501B" w:rsidRPr="001A3E3E" w:rsidRDefault="00A3501B" w:rsidP="00A3501B">
      <w:pPr>
        <w:pStyle w:val="Normal9pt"/>
        <w:numPr>
          <w:ilvl w:val="0"/>
          <w:numId w:val="0"/>
        </w:numPr>
        <w:rPr>
          <w:b/>
          <w:lang w:val="es-CO"/>
        </w:rPr>
      </w:pPr>
    </w:p>
    <w:p w:rsidR="00A3501B" w:rsidRDefault="00A3501B" w:rsidP="00A3501B">
      <w:pPr>
        <w:jc w:val="both"/>
        <w:rPr>
          <w:spacing w:val="0"/>
          <w:sz w:val="18"/>
          <w:szCs w:val="18"/>
          <w:lang w:val="es-CO"/>
        </w:rPr>
      </w:pPr>
      <w:r>
        <w:rPr>
          <w:spacing w:val="0"/>
          <w:sz w:val="18"/>
          <w:szCs w:val="18"/>
          <w:lang w:val="es-CO"/>
        </w:rPr>
        <w:t>El FED se mide en función de las características generales de la estabilidad relativa de las fuentes de fondeo de las entidades, incluidas el plazo al vencimiento contractual de sus pasivos y la propensión al retiro por parte de los proveedores de financiación.</w:t>
      </w:r>
    </w:p>
    <w:p w:rsidR="00A3501B"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El monto de</w:t>
      </w:r>
      <w:r w:rsidR="00664C2B">
        <w:rPr>
          <w:spacing w:val="0"/>
          <w:sz w:val="18"/>
          <w:szCs w:val="18"/>
          <w:lang w:val="es-CO"/>
        </w:rPr>
        <w:t>l</w:t>
      </w:r>
      <w:r>
        <w:rPr>
          <w:spacing w:val="0"/>
          <w:sz w:val="18"/>
          <w:szCs w:val="18"/>
          <w:lang w:val="es-CO"/>
        </w:rPr>
        <w:t xml:space="preserve"> FED se calcula multiplicando el valor contable total expresado en moneda legal de cada uno de los rubros del pasivo y </w:t>
      </w:r>
      <w:bookmarkStart w:id="0" w:name="_GoBack"/>
      <w:bookmarkEnd w:id="0"/>
      <w:r>
        <w:rPr>
          <w:spacing w:val="0"/>
          <w:sz w:val="18"/>
          <w:szCs w:val="18"/>
          <w:lang w:val="es-CO"/>
        </w:rPr>
        <w:t>patrimonio que se definen más adelante, por su factor FED, y posteriormente agregando todos los rubros ponderados.</w:t>
      </w:r>
    </w:p>
    <w:p w:rsidR="00A3501B"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Al determinar el vencimiento de un instrumento incluido en los recursos propios o ajenos, se deberá tomar el tiempo restante hasta el vencimiento contractual de la obligación. En los casos de instrumentos que prevean la opción de ser redimidos anticipadamente, se debe suponer que el tenedor del instrumento ejerce una opción de redención anticipada en la primera fecha posible del instrumento.</w:t>
      </w:r>
    </w:p>
    <w:p w:rsidR="00A3501B"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En el caso de los pasivos con vencimiento residual mayor a 1 año, únicamente la porción de los flujos cuyo plazo residual sea igual o superior a los horizontes temporales de seis meses y un año deberá tratarse como si su vencimiento residual efectivo fuera igual o superior a seis meses e igual o superior a un año, respectivamente.</w:t>
      </w:r>
    </w:p>
    <w:p w:rsidR="00A3501B"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 xml:space="preserve">Se debe excluir del cálculo del FED </w:t>
      </w:r>
      <w:r w:rsidRPr="00611352">
        <w:rPr>
          <w:spacing w:val="0"/>
          <w:sz w:val="18"/>
          <w:szCs w:val="18"/>
          <w:lang w:val="es-CO"/>
        </w:rPr>
        <w:t xml:space="preserve">los </w:t>
      </w:r>
      <w:r>
        <w:rPr>
          <w:spacing w:val="0"/>
          <w:sz w:val="18"/>
          <w:szCs w:val="18"/>
          <w:lang w:val="es-CO"/>
        </w:rPr>
        <w:t xml:space="preserve">pasivos correspondientes a </w:t>
      </w:r>
      <w:r w:rsidRPr="00611352">
        <w:rPr>
          <w:spacing w:val="0"/>
          <w:sz w:val="18"/>
          <w:szCs w:val="18"/>
          <w:lang w:val="es-CO"/>
        </w:rPr>
        <w:t xml:space="preserve">créditos de redescuento </w:t>
      </w:r>
      <w:r>
        <w:rPr>
          <w:spacing w:val="0"/>
          <w:sz w:val="18"/>
          <w:szCs w:val="18"/>
          <w:lang w:val="es-CO"/>
        </w:rPr>
        <w:t>recibidos por la entidad. Adicionalmente, los instrumentos del pasivo que hagan parte del Patrimonio Técnico no deben contabilizarse en el rubro correspondiente del pasivo.</w:t>
      </w:r>
    </w:p>
    <w:p w:rsidR="00A3501B" w:rsidRDefault="00A3501B" w:rsidP="00A3501B">
      <w:pPr>
        <w:jc w:val="both"/>
        <w:rPr>
          <w:spacing w:val="0"/>
          <w:sz w:val="18"/>
          <w:szCs w:val="18"/>
          <w:lang w:val="es-CO"/>
        </w:rPr>
      </w:pPr>
    </w:p>
    <w:p w:rsidR="00A3501B" w:rsidRDefault="00A3501B" w:rsidP="00A3501B">
      <w:pPr>
        <w:jc w:val="both"/>
        <w:rPr>
          <w:b/>
          <w:spacing w:val="0"/>
          <w:sz w:val="18"/>
          <w:szCs w:val="18"/>
          <w:lang w:val="es-CO"/>
        </w:rPr>
      </w:pPr>
      <w:r w:rsidRPr="00EE6D3E">
        <w:rPr>
          <w:b/>
          <w:spacing w:val="0"/>
          <w:sz w:val="18"/>
          <w:szCs w:val="18"/>
          <w:lang w:val="es-CO"/>
        </w:rPr>
        <w:t xml:space="preserve">2.1.1 </w:t>
      </w:r>
      <w:r>
        <w:rPr>
          <w:b/>
          <w:spacing w:val="0"/>
          <w:sz w:val="18"/>
          <w:szCs w:val="18"/>
          <w:lang w:val="es-CO"/>
        </w:rPr>
        <w:t>C</w:t>
      </w:r>
      <w:r w:rsidRPr="00EE6D3E">
        <w:rPr>
          <w:b/>
          <w:spacing w:val="0"/>
          <w:sz w:val="18"/>
          <w:szCs w:val="18"/>
          <w:lang w:val="es-CO"/>
        </w:rPr>
        <w:t>ategor</w:t>
      </w:r>
      <w:r>
        <w:rPr>
          <w:b/>
          <w:spacing w:val="0"/>
          <w:sz w:val="18"/>
          <w:szCs w:val="18"/>
          <w:lang w:val="es-CO"/>
        </w:rPr>
        <w:t>ías de pasivo</w:t>
      </w:r>
      <w:r w:rsidRPr="00EE6D3E">
        <w:rPr>
          <w:b/>
          <w:spacing w:val="0"/>
          <w:sz w:val="18"/>
          <w:szCs w:val="18"/>
          <w:lang w:val="es-CO"/>
        </w:rPr>
        <w:t xml:space="preserve"> y patrimonio que se incluyen </w:t>
      </w:r>
      <w:r>
        <w:rPr>
          <w:b/>
          <w:spacing w:val="0"/>
          <w:sz w:val="18"/>
          <w:szCs w:val="18"/>
          <w:lang w:val="es-CO"/>
        </w:rPr>
        <w:t>en</w:t>
      </w:r>
      <w:r w:rsidRPr="00EE6D3E">
        <w:rPr>
          <w:b/>
          <w:spacing w:val="0"/>
          <w:sz w:val="18"/>
          <w:szCs w:val="18"/>
          <w:lang w:val="es-CO"/>
        </w:rPr>
        <w:t xml:space="preserve"> </w:t>
      </w:r>
      <w:r>
        <w:rPr>
          <w:b/>
          <w:spacing w:val="0"/>
          <w:sz w:val="18"/>
          <w:szCs w:val="18"/>
          <w:lang w:val="es-CO"/>
        </w:rPr>
        <w:t>el</w:t>
      </w:r>
      <w:r w:rsidRPr="00EE6D3E">
        <w:rPr>
          <w:b/>
          <w:spacing w:val="0"/>
          <w:sz w:val="18"/>
          <w:szCs w:val="18"/>
          <w:lang w:val="es-CO"/>
        </w:rPr>
        <w:t xml:space="preserve"> FED</w:t>
      </w:r>
    </w:p>
    <w:p w:rsidR="00A3501B" w:rsidRDefault="00A3501B" w:rsidP="00A3501B">
      <w:pPr>
        <w:jc w:val="both"/>
        <w:rPr>
          <w:b/>
          <w:spacing w:val="0"/>
          <w:sz w:val="18"/>
          <w:szCs w:val="18"/>
          <w:lang w:val="es-CO"/>
        </w:rPr>
      </w:pPr>
    </w:p>
    <w:tbl>
      <w:tblPr>
        <w:tblStyle w:val="Tablaconcuadrcula"/>
        <w:tblW w:w="0" w:type="auto"/>
        <w:tblLook w:val="04A0" w:firstRow="1" w:lastRow="0" w:firstColumn="1" w:lastColumn="0" w:noHBand="0" w:noVBand="1"/>
      </w:tblPr>
      <w:tblGrid>
        <w:gridCol w:w="846"/>
        <w:gridCol w:w="7500"/>
        <w:gridCol w:w="767"/>
      </w:tblGrid>
      <w:tr w:rsidR="00A3501B" w:rsidRPr="00ED10A8" w:rsidTr="00BB366C">
        <w:trPr>
          <w:trHeight w:val="300"/>
        </w:trPr>
        <w:tc>
          <w:tcPr>
            <w:tcW w:w="9113" w:type="dxa"/>
            <w:gridSpan w:val="3"/>
            <w:noWrap/>
            <w:vAlign w:val="center"/>
            <w:hideMark/>
          </w:tcPr>
          <w:p w:rsidR="00A3501B" w:rsidRPr="00ED10A8" w:rsidRDefault="00A3501B" w:rsidP="00BB366C">
            <w:pPr>
              <w:jc w:val="center"/>
              <w:rPr>
                <w:b/>
                <w:bCs/>
                <w:spacing w:val="0"/>
                <w:sz w:val="18"/>
                <w:szCs w:val="18"/>
                <w:lang w:val="es-CO"/>
              </w:rPr>
            </w:pPr>
            <w:r w:rsidRPr="00ED10A8">
              <w:rPr>
                <w:b/>
                <w:bCs/>
                <w:spacing w:val="0"/>
                <w:sz w:val="18"/>
                <w:szCs w:val="18"/>
              </w:rPr>
              <w:t>FONDEO ESTABLE DISPONIBLE - FED</w:t>
            </w:r>
          </w:p>
        </w:tc>
      </w:tr>
      <w:tr w:rsidR="00A3501B" w:rsidRPr="00ED10A8" w:rsidTr="00BB366C">
        <w:trPr>
          <w:trHeight w:val="300"/>
        </w:trPr>
        <w:tc>
          <w:tcPr>
            <w:tcW w:w="846" w:type="dxa"/>
            <w:noWrap/>
            <w:vAlign w:val="center"/>
            <w:hideMark/>
          </w:tcPr>
          <w:p w:rsidR="00A3501B" w:rsidRPr="00ED10A8" w:rsidRDefault="00A3501B" w:rsidP="00BB366C">
            <w:pPr>
              <w:jc w:val="center"/>
              <w:rPr>
                <w:b/>
                <w:bCs/>
                <w:spacing w:val="0"/>
                <w:sz w:val="18"/>
                <w:szCs w:val="18"/>
              </w:rPr>
            </w:pPr>
            <w:r w:rsidRPr="00ED10A8">
              <w:rPr>
                <w:b/>
                <w:bCs/>
                <w:spacing w:val="0"/>
                <w:sz w:val="18"/>
                <w:szCs w:val="18"/>
              </w:rPr>
              <w:t>Rubro</w:t>
            </w:r>
          </w:p>
        </w:tc>
        <w:tc>
          <w:tcPr>
            <w:tcW w:w="7500" w:type="dxa"/>
            <w:noWrap/>
            <w:vAlign w:val="center"/>
            <w:hideMark/>
          </w:tcPr>
          <w:p w:rsidR="00A3501B" w:rsidRPr="00ED10A8" w:rsidRDefault="00A3501B" w:rsidP="00BB366C">
            <w:pPr>
              <w:jc w:val="center"/>
              <w:rPr>
                <w:b/>
                <w:bCs/>
                <w:spacing w:val="0"/>
                <w:sz w:val="18"/>
                <w:szCs w:val="18"/>
              </w:rPr>
            </w:pPr>
            <w:r w:rsidRPr="00ED10A8">
              <w:rPr>
                <w:b/>
                <w:bCs/>
                <w:spacing w:val="0"/>
                <w:sz w:val="18"/>
                <w:szCs w:val="18"/>
              </w:rPr>
              <w:t>Concepto</w:t>
            </w:r>
          </w:p>
        </w:tc>
        <w:tc>
          <w:tcPr>
            <w:tcW w:w="767" w:type="dxa"/>
            <w:vAlign w:val="center"/>
            <w:hideMark/>
          </w:tcPr>
          <w:p w:rsidR="00A3501B" w:rsidRPr="00ED10A8" w:rsidRDefault="00A3501B" w:rsidP="00BB366C">
            <w:pPr>
              <w:jc w:val="center"/>
              <w:rPr>
                <w:b/>
                <w:bCs/>
                <w:spacing w:val="0"/>
                <w:sz w:val="18"/>
                <w:szCs w:val="18"/>
              </w:rPr>
            </w:pPr>
            <w:r w:rsidRPr="00ED10A8">
              <w:rPr>
                <w:b/>
                <w:bCs/>
                <w:spacing w:val="0"/>
                <w:sz w:val="18"/>
                <w:szCs w:val="18"/>
              </w:rPr>
              <w:t>Factor</w:t>
            </w:r>
          </w:p>
        </w:tc>
      </w:tr>
      <w:tr w:rsidR="00A3501B" w:rsidRPr="00ED10A8"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Patrimonio Técnico (excluyendo el Patrimonio Adicional con vencimiento residual inferior a un año)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ED10A8"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Otros instrumentos de Capital (que no hagan parte del PT)</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ED10A8"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la vista de Minoristas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95%</w:t>
            </w:r>
          </w:p>
        </w:tc>
      </w:tr>
      <w:tr w:rsidR="00A3501B" w:rsidRPr="00ED10A8"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4</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la vista de PYMES y Personas Naturales Medianas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95%</w:t>
            </w:r>
          </w:p>
        </w:tc>
      </w:tr>
      <w:tr w:rsidR="00A3501B" w:rsidRPr="00ED10A8"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5</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Judiciales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95%</w:t>
            </w:r>
          </w:p>
        </w:tc>
      </w:tr>
      <w:tr w:rsidR="00A3501B" w:rsidRPr="00ED10A8"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6</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la vista de Mayoristas Sector Real y Personas Naturales Grandes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90%</w:t>
            </w:r>
          </w:p>
        </w:tc>
      </w:tr>
      <w:tr w:rsidR="00A3501B" w:rsidRPr="00ED10A8"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7</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la vista de Sector Gobierno No Financiero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bl>
    <w:p w:rsidR="00A3501B" w:rsidRDefault="00A3501B" w:rsidP="00A3501B">
      <w:pPr>
        <w:jc w:val="both"/>
        <w:rPr>
          <w:spacing w:val="0"/>
          <w:sz w:val="18"/>
          <w:szCs w:val="18"/>
          <w:highlight w:val="yellow"/>
          <w:lang w:val="es-CO"/>
        </w:rPr>
        <w:sectPr w:rsidR="00A3501B" w:rsidSect="00434185">
          <w:headerReference w:type="default" r:id="rId7"/>
          <w:footerReference w:type="default" r:id="rId8"/>
          <w:pgSz w:w="12242" w:h="18722" w:code="14"/>
          <w:pgMar w:top="1701" w:right="1418" w:bottom="1418" w:left="1701" w:header="567" w:footer="1418" w:gutter="0"/>
          <w:paperSrc w:first="15" w:other="15"/>
          <w:pgNumType w:start="3"/>
          <w:cols w:space="720"/>
          <w:docGrid w:linePitch="381"/>
        </w:sectPr>
      </w:pPr>
    </w:p>
    <w:tbl>
      <w:tblPr>
        <w:tblStyle w:val="Tablaconcuadrcula"/>
        <w:tblW w:w="0" w:type="auto"/>
        <w:tblLook w:val="04A0" w:firstRow="1" w:lastRow="0" w:firstColumn="1" w:lastColumn="0" w:noHBand="0" w:noVBand="1"/>
      </w:tblPr>
      <w:tblGrid>
        <w:gridCol w:w="846"/>
        <w:gridCol w:w="7500"/>
        <w:gridCol w:w="767"/>
      </w:tblGrid>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lastRenderedPageBreak/>
              <w:t>8</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la vista de Mayoristas Extranjeros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25%</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9</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la vista de Entidades Financieras Vigiladas</w:t>
            </w:r>
          </w:p>
        </w:tc>
        <w:tc>
          <w:tcPr>
            <w:tcW w:w="767" w:type="dxa"/>
            <w:vAlign w:val="center"/>
            <w:hideMark/>
          </w:tcPr>
          <w:p w:rsidR="00A3501B" w:rsidRPr="002732DD" w:rsidRDefault="00A3501B" w:rsidP="00BB366C">
            <w:pPr>
              <w:jc w:val="center"/>
              <w:rPr>
                <w:spacing w:val="0"/>
                <w:sz w:val="18"/>
                <w:szCs w:val="18"/>
              </w:rPr>
            </w:pPr>
            <w:r>
              <w:rPr>
                <w:spacing w:val="0"/>
                <w:sz w:val="18"/>
                <w:szCs w:val="18"/>
              </w:rPr>
              <w:t>25</w:t>
            </w:r>
            <w:r w:rsidRPr="002732DD">
              <w:rPr>
                <w:spacing w:val="0"/>
                <w:sz w:val="18"/>
                <w:szCs w:val="18"/>
              </w:rPr>
              <w:t>%</w:t>
            </w:r>
            <w:r>
              <w:rPr>
                <w:spacing w:val="0"/>
                <w:sz w:val="18"/>
                <w:szCs w:val="18"/>
              </w:rPr>
              <w:t>*</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10</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 xml:space="preserve">Depósitos a la vista de </w:t>
            </w:r>
            <w:proofErr w:type="spellStart"/>
            <w:r w:rsidRPr="002732DD">
              <w:rPr>
                <w:spacing w:val="0"/>
                <w:sz w:val="18"/>
                <w:szCs w:val="18"/>
              </w:rPr>
              <w:t>FICs</w:t>
            </w:r>
            <w:proofErr w:type="spellEnd"/>
            <w:r w:rsidRPr="002732DD">
              <w:rPr>
                <w:spacing w:val="0"/>
                <w:sz w:val="18"/>
                <w:szCs w:val="18"/>
              </w:rPr>
              <w:t xml:space="preserve"> Abiertos sin Pacto de Permanencia</w:t>
            </w:r>
          </w:p>
        </w:tc>
        <w:tc>
          <w:tcPr>
            <w:tcW w:w="767" w:type="dxa"/>
            <w:vAlign w:val="center"/>
            <w:hideMark/>
          </w:tcPr>
          <w:p w:rsidR="00A3501B" w:rsidRPr="002732DD" w:rsidRDefault="00A3501B" w:rsidP="00BB366C">
            <w:pPr>
              <w:jc w:val="center"/>
              <w:rPr>
                <w:spacing w:val="0"/>
                <w:sz w:val="18"/>
                <w:szCs w:val="18"/>
              </w:rPr>
            </w:pPr>
            <w:r>
              <w:rPr>
                <w:spacing w:val="0"/>
                <w:sz w:val="18"/>
                <w:szCs w:val="18"/>
              </w:rPr>
              <w:t>25</w:t>
            </w:r>
            <w:r w:rsidRPr="002732DD">
              <w:rPr>
                <w:spacing w:val="0"/>
                <w:sz w:val="18"/>
                <w:szCs w:val="18"/>
              </w:rPr>
              <w:t>%</w:t>
            </w:r>
            <w:r>
              <w:rPr>
                <w:spacing w:val="0"/>
                <w:sz w:val="18"/>
                <w:szCs w:val="18"/>
              </w:rPr>
              <w:t>*</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11</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(mayor o igual a 1 año)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12</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(menor a 6 meses) de Minoristas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95%</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13</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(menor a 6 meses) de PYMES y Personas Naturales Medianas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95%</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14</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(mayor o igual a 6 meses y menor a 1 año) de Minoristas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95%</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15</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(mayor o igual a 6 meses y menor a 1 año) de PYMES y Personas Naturales Medianas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95%</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16</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(menor a 6 meses) de Mayoristas Sector Real y Personas Naturales Grandes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17</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(mayor o igual a 6 meses y menor a 1 año) de Mayoristas Sector Real y Personas Naturales Grandes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18</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(menor a 6 meses) de Sector Gobierno No Financiero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19</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(mayor o igual a 6 meses y menor a 1 año) de Sector Gobierno No Financiero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20</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(mayor o igual a 6 meses y menor a 1 año) de Mayoristas Extranjeros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21</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(mayor o igual a 6 meses y menor a 1 año) de Entidades Financieras Vigiladas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22</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 xml:space="preserve">Depósitos a plazo (mayor o igual a 6 meses y menor a 1 año) de </w:t>
            </w:r>
            <w:proofErr w:type="spellStart"/>
            <w:r w:rsidRPr="002732DD">
              <w:rPr>
                <w:spacing w:val="0"/>
                <w:sz w:val="18"/>
                <w:szCs w:val="18"/>
              </w:rPr>
              <w:t>FICs</w:t>
            </w:r>
            <w:proofErr w:type="spellEnd"/>
            <w:r w:rsidRPr="002732DD">
              <w:rPr>
                <w:spacing w:val="0"/>
                <w:sz w:val="18"/>
                <w:szCs w:val="18"/>
              </w:rPr>
              <w:t xml:space="preserve"> Abiertos sin Pacto de Permanencia</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23</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(menor a 6 meses) de Mayoristas Extranjeros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25%</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24</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Depósitos a plazo (menor a 6 meses) de Entidades Financieras Vigiladas</w:t>
            </w:r>
          </w:p>
        </w:tc>
        <w:tc>
          <w:tcPr>
            <w:tcW w:w="767" w:type="dxa"/>
            <w:vAlign w:val="center"/>
            <w:hideMark/>
          </w:tcPr>
          <w:p w:rsidR="00A3501B" w:rsidRPr="002732DD" w:rsidRDefault="00A3501B" w:rsidP="00BB366C">
            <w:pPr>
              <w:jc w:val="center"/>
              <w:rPr>
                <w:spacing w:val="0"/>
                <w:sz w:val="18"/>
                <w:szCs w:val="18"/>
              </w:rPr>
            </w:pPr>
            <w:r>
              <w:rPr>
                <w:spacing w:val="0"/>
                <w:sz w:val="18"/>
                <w:szCs w:val="18"/>
              </w:rPr>
              <w:t>25</w:t>
            </w:r>
            <w:r w:rsidRPr="002732DD">
              <w:rPr>
                <w:spacing w:val="0"/>
                <w:sz w:val="18"/>
                <w:szCs w:val="18"/>
              </w:rPr>
              <w:t>%</w:t>
            </w:r>
            <w:r>
              <w:rPr>
                <w:spacing w:val="0"/>
                <w:sz w:val="18"/>
                <w:szCs w:val="18"/>
              </w:rPr>
              <w:t>*</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25</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 xml:space="preserve">Depósitos a plazo (menor a 6 meses) de </w:t>
            </w:r>
            <w:proofErr w:type="spellStart"/>
            <w:r w:rsidRPr="002732DD">
              <w:rPr>
                <w:spacing w:val="0"/>
                <w:sz w:val="18"/>
                <w:szCs w:val="18"/>
              </w:rPr>
              <w:t>FICs</w:t>
            </w:r>
            <w:proofErr w:type="spellEnd"/>
            <w:r w:rsidRPr="002732DD">
              <w:rPr>
                <w:spacing w:val="0"/>
                <w:sz w:val="18"/>
                <w:szCs w:val="18"/>
              </w:rPr>
              <w:t xml:space="preserve"> Abiertos sin Pacto de Permanencia</w:t>
            </w:r>
          </w:p>
        </w:tc>
        <w:tc>
          <w:tcPr>
            <w:tcW w:w="767" w:type="dxa"/>
            <w:vAlign w:val="center"/>
            <w:hideMark/>
          </w:tcPr>
          <w:p w:rsidR="00A3501B" w:rsidRPr="002732DD" w:rsidRDefault="00A3501B" w:rsidP="00BB366C">
            <w:pPr>
              <w:jc w:val="center"/>
              <w:rPr>
                <w:spacing w:val="0"/>
                <w:sz w:val="18"/>
                <w:szCs w:val="18"/>
              </w:rPr>
            </w:pPr>
            <w:r>
              <w:rPr>
                <w:spacing w:val="0"/>
                <w:sz w:val="18"/>
                <w:szCs w:val="18"/>
              </w:rPr>
              <w:t>25</w:t>
            </w:r>
            <w:r w:rsidRPr="002732DD">
              <w:rPr>
                <w:spacing w:val="0"/>
                <w:sz w:val="18"/>
                <w:szCs w:val="18"/>
              </w:rPr>
              <w:t>%</w:t>
            </w:r>
            <w:r>
              <w:rPr>
                <w:spacing w:val="0"/>
                <w:sz w:val="18"/>
                <w:szCs w:val="18"/>
              </w:rPr>
              <w:t>*</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26</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Bonos con plazo mayor o igual a 1 año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27</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Bonos y Papeles Comerciales con Plazo mayor o igual a 6 meses y menor a 1 año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95%</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28</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Bonos y Papeles Comerciales con plazo menor a 6 meses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29</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Créditos y Otras Obligaciones Financieras con plazo mayor o igual a 1 año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2732DD" w:rsidTr="00BB366C">
        <w:trPr>
          <w:trHeight w:val="48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30</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Créditos y Otras Obligaciones Financieras con Multilaterales, Soberanos, Entidades Públicas y Bancas de Desarrollo con plazo menor a 6 meses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48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31</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Créditos y Otras Obligaciones Financieras con Multilaterales, Soberanos, Entidades Públicas y Bancas de Desarrollo con plazo mayor o igual a 6 meses y menor a 1 año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32</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Créditos y Otras Obligaciones Financieras con Bancos Centrales con plazo mayor o igual a 6 meses y menor a 1 año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33</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Créditos y Otras Obligaciones Financieras con Instituciones Financieras con plazo mayor o igual a 6 meses y menor a 1 año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34</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Créditos y Otras Obligaciones Financieras con Otras Contrapartes con plazo mayor o igual a 6 meses y menor a 1 año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35</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Créditos y Otras Obligaciones Financieras con Bancos Centrales con plazo menor a 6 meses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36</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Créditos y Otras Obligaciones Financieras con Instituciones Financieras con plazo menor a 6 meses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37</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Créditos y Otras Obligaciones Financieras con Otras Contrapartes con plazo menor a 6 meses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0%</w:t>
            </w:r>
          </w:p>
        </w:tc>
      </w:tr>
      <w:tr w:rsidR="00A3501B" w:rsidRPr="002732DD" w:rsidTr="00BB366C">
        <w:trPr>
          <w:trHeight w:val="30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38</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Pasivo por impuesto diferido</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0%</w:t>
            </w:r>
          </w:p>
        </w:tc>
      </w:tr>
      <w:tr w:rsidR="00A3501B" w:rsidRPr="002732DD" w:rsidTr="00BB366C">
        <w:trPr>
          <w:trHeight w:val="480"/>
        </w:trPr>
        <w:tc>
          <w:tcPr>
            <w:tcW w:w="846" w:type="dxa"/>
            <w:noWrap/>
            <w:vAlign w:val="center"/>
            <w:hideMark/>
          </w:tcPr>
          <w:p w:rsidR="00A3501B" w:rsidRPr="002732DD" w:rsidRDefault="00A3501B" w:rsidP="00BB366C">
            <w:pPr>
              <w:jc w:val="center"/>
              <w:rPr>
                <w:spacing w:val="0"/>
                <w:sz w:val="18"/>
                <w:szCs w:val="18"/>
              </w:rPr>
            </w:pPr>
            <w:r w:rsidRPr="002732DD">
              <w:rPr>
                <w:spacing w:val="0"/>
                <w:sz w:val="18"/>
                <w:szCs w:val="18"/>
              </w:rPr>
              <w:t>39</w:t>
            </w:r>
          </w:p>
        </w:tc>
        <w:tc>
          <w:tcPr>
            <w:tcW w:w="7500" w:type="dxa"/>
            <w:vAlign w:val="center"/>
            <w:hideMark/>
          </w:tcPr>
          <w:p w:rsidR="00A3501B" w:rsidRPr="002732DD" w:rsidRDefault="00A3501B" w:rsidP="00BB366C">
            <w:pPr>
              <w:jc w:val="center"/>
              <w:rPr>
                <w:spacing w:val="0"/>
                <w:sz w:val="18"/>
                <w:szCs w:val="18"/>
              </w:rPr>
            </w:pPr>
            <w:r w:rsidRPr="002732DD">
              <w:rPr>
                <w:spacing w:val="0"/>
                <w:sz w:val="18"/>
                <w:szCs w:val="18"/>
              </w:rPr>
              <w:t>Derivados pasivos a efectos del CFEN netos de derivados activos a efectos del CFEN si los primeros son superiores a los segundos</w:t>
            </w:r>
          </w:p>
        </w:tc>
        <w:tc>
          <w:tcPr>
            <w:tcW w:w="767" w:type="dxa"/>
            <w:vAlign w:val="center"/>
            <w:hideMark/>
          </w:tcPr>
          <w:p w:rsidR="00A3501B" w:rsidRPr="002732DD" w:rsidRDefault="00A3501B" w:rsidP="00BB366C">
            <w:pPr>
              <w:jc w:val="center"/>
              <w:rPr>
                <w:spacing w:val="0"/>
                <w:sz w:val="18"/>
                <w:szCs w:val="18"/>
              </w:rPr>
            </w:pPr>
            <w:r w:rsidRPr="002732DD">
              <w:rPr>
                <w:spacing w:val="0"/>
                <w:sz w:val="18"/>
                <w:szCs w:val="18"/>
              </w:rPr>
              <w:t>0%</w:t>
            </w:r>
          </w:p>
        </w:tc>
      </w:tr>
    </w:tbl>
    <w:p w:rsidR="00A3501B" w:rsidRDefault="00A3501B" w:rsidP="00A3501B">
      <w:pPr>
        <w:jc w:val="both"/>
        <w:rPr>
          <w:spacing w:val="0"/>
          <w:sz w:val="18"/>
          <w:szCs w:val="18"/>
          <w:highlight w:val="yellow"/>
          <w:lang w:val="es-CO"/>
        </w:rPr>
      </w:pPr>
    </w:p>
    <w:p w:rsidR="00A3501B" w:rsidRPr="00F45664" w:rsidRDefault="00A3501B" w:rsidP="00A3501B">
      <w:pPr>
        <w:jc w:val="both"/>
        <w:rPr>
          <w:spacing w:val="0"/>
          <w:sz w:val="18"/>
          <w:szCs w:val="18"/>
          <w:lang w:val="es-CO"/>
        </w:rPr>
      </w:pPr>
      <w:r w:rsidRPr="00F45664">
        <w:rPr>
          <w:spacing w:val="0"/>
          <w:sz w:val="18"/>
          <w:szCs w:val="18"/>
          <w:lang w:val="es-CO"/>
        </w:rPr>
        <w:t>*Para estos rubros, el factor será de 0% a partir del corte del 31 de marzo de 2022.</w:t>
      </w:r>
    </w:p>
    <w:p w:rsidR="00A3501B" w:rsidRPr="00F45664" w:rsidRDefault="00A3501B" w:rsidP="00A3501B">
      <w:pPr>
        <w:jc w:val="both"/>
        <w:rPr>
          <w:b/>
          <w:spacing w:val="0"/>
          <w:sz w:val="18"/>
          <w:szCs w:val="18"/>
          <w:lang w:val="es-CO"/>
        </w:rPr>
      </w:pPr>
    </w:p>
    <w:p w:rsidR="00A3501B" w:rsidRPr="002F042A" w:rsidRDefault="00A3501B" w:rsidP="00A3501B">
      <w:pPr>
        <w:jc w:val="both"/>
        <w:rPr>
          <w:b/>
          <w:spacing w:val="0"/>
          <w:sz w:val="18"/>
          <w:szCs w:val="18"/>
          <w:lang w:val="es-CO"/>
        </w:rPr>
      </w:pPr>
      <w:r w:rsidRPr="00F45664">
        <w:rPr>
          <w:b/>
          <w:spacing w:val="0"/>
          <w:sz w:val="18"/>
          <w:szCs w:val="18"/>
          <w:lang w:val="es-CO"/>
        </w:rPr>
        <w:t>2.1.2 Tratamiento de los derivados pasivos</w:t>
      </w:r>
      <w:r w:rsidR="00061194" w:rsidRPr="00F45664">
        <w:rPr>
          <w:b/>
          <w:spacing w:val="0"/>
          <w:sz w:val="18"/>
          <w:szCs w:val="18"/>
          <w:lang w:val="es-CO"/>
        </w:rPr>
        <w:t xml:space="preserve"> para efectos del FED</w:t>
      </w:r>
    </w:p>
    <w:p w:rsidR="00A3501B" w:rsidRDefault="00A3501B" w:rsidP="00A3501B">
      <w:pPr>
        <w:jc w:val="both"/>
        <w:rPr>
          <w:spacing w:val="0"/>
          <w:sz w:val="18"/>
          <w:szCs w:val="18"/>
          <w:lang w:val="es-CO"/>
        </w:rPr>
      </w:pPr>
    </w:p>
    <w:p w:rsidR="00A3501B" w:rsidRPr="001A3E3E" w:rsidRDefault="00A3501B" w:rsidP="00A3501B">
      <w:pPr>
        <w:jc w:val="both"/>
        <w:rPr>
          <w:spacing w:val="0"/>
          <w:sz w:val="18"/>
          <w:szCs w:val="18"/>
          <w:lang w:val="es-CO"/>
        </w:rPr>
      </w:pPr>
      <w:r>
        <w:rPr>
          <w:spacing w:val="0"/>
          <w:sz w:val="18"/>
          <w:szCs w:val="18"/>
          <w:lang w:val="es-CO"/>
        </w:rPr>
        <w:t xml:space="preserve">Los derivados pasivos se calculan con base en su valor razonable. Para calcular el monto de los derivados pasivos para efectos del FED, primero deben descontarse las garantías totales constituidas por concepto de margen de variación y posteriormente hacerse el </w:t>
      </w:r>
      <w:proofErr w:type="spellStart"/>
      <w:r>
        <w:rPr>
          <w:spacing w:val="0"/>
          <w:sz w:val="18"/>
          <w:szCs w:val="18"/>
          <w:lang w:val="es-CO"/>
        </w:rPr>
        <w:t>neteo</w:t>
      </w:r>
      <w:proofErr w:type="spellEnd"/>
      <w:r>
        <w:rPr>
          <w:spacing w:val="0"/>
          <w:sz w:val="18"/>
          <w:szCs w:val="18"/>
          <w:lang w:val="es-CO"/>
        </w:rPr>
        <w:t xml:space="preserve"> con el monto de derivados activos (calculados con base en el numeral 2.2.2 del presente anexo), siempre y cuando el monto pasivo sea superior al monto activo. En caso contrario, el monto de derivados pasivos para efectos del FED será cero.</w:t>
      </w:r>
    </w:p>
    <w:p w:rsidR="00A3501B" w:rsidRDefault="00A3501B" w:rsidP="00A3501B">
      <w:pPr>
        <w:jc w:val="both"/>
        <w:rPr>
          <w:spacing w:val="0"/>
          <w:sz w:val="18"/>
          <w:szCs w:val="18"/>
          <w:lang w:val="es-CO"/>
        </w:rPr>
        <w:sectPr w:rsidR="00A3501B" w:rsidSect="00CD1E7F">
          <w:headerReference w:type="default" r:id="rId9"/>
          <w:pgSz w:w="12242" w:h="18722" w:code="14"/>
          <w:pgMar w:top="1701" w:right="1418" w:bottom="1418" w:left="1701" w:header="567" w:footer="1418" w:gutter="0"/>
          <w:paperSrc w:first="2" w:other="2"/>
          <w:pgNumType w:start="3"/>
          <w:cols w:space="720"/>
          <w:docGrid w:linePitch="381"/>
        </w:sectPr>
      </w:pPr>
    </w:p>
    <w:p w:rsidR="00A3501B" w:rsidRPr="007D1C11" w:rsidRDefault="00A3501B" w:rsidP="00A3501B">
      <w:pPr>
        <w:jc w:val="both"/>
        <w:rPr>
          <w:spacing w:val="0"/>
          <w:sz w:val="18"/>
          <w:szCs w:val="18"/>
          <w:lang w:val="es-CO"/>
        </w:rPr>
      </w:pPr>
    </w:p>
    <w:p w:rsidR="00A3501B" w:rsidRDefault="00A3501B" w:rsidP="00A3501B">
      <w:pPr>
        <w:numPr>
          <w:ilvl w:val="1"/>
          <w:numId w:val="3"/>
        </w:numPr>
        <w:jc w:val="both"/>
        <w:rPr>
          <w:b/>
          <w:spacing w:val="0"/>
          <w:sz w:val="18"/>
          <w:szCs w:val="18"/>
          <w:lang w:val="es-CO"/>
        </w:rPr>
      </w:pPr>
      <w:r>
        <w:rPr>
          <w:b/>
          <w:spacing w:val="0"/>
          <w:sz w:val="18"/>
          <w:szCs w:val="18"/>
          <w:lang w:val="es-CO"/>
        </w:rPr>
        <w:t>Fondeo Estable Requerido (FER)</w:t>
      </w:r>
    </w:p>
    <w:p w:rsidR="00A3501B" w:rsidRPr="007D1C11"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 xml:space="preserve">El FER se calcula en función de las características generales del perfil de riesgo de liquidez de los activos y de las posiciones fuera de balance de las entidades. </w:t>
      </w:r>
      <w:r w:rsidR="004E6C16">
        <w:rPr>
          <w:spacing w:val="0"/>
          <w:sz w:val="18"/>
          <w:szCs w:val="18"/>
          <w:lang w:val="es-CO"/>
        </w:rPr>
        <w:t>Este rubro</w:t>
      </w:r>
      <w:r>
        <w:rPr>
          <w:spacing w:val="0"/>
          <w:sz w:val="18"/>
          <w:szCs w:val="18"/>
          <w:lang w:val="es-CO"/>
        </w:rPr>
        <w:t xml:space="preserve"> se determina multiplicando el valor contable de cada uno de los activos y de las posiciones fuera de balance que se definen más adelante por su factor FER, y posteriormente agregando todos los rubros ponderados.</w:t>
      </w:r>
    </w:p>
    <w:p w:rsidR="00A3501B"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Los factores FER pretenden aproximar el monto de un activo concreto que tendría que ser financiado, ya sea porque será renovado, o porque no podría ser liquidado mediante su venta o porque está comprometido en una operación de mercado monetario, en el transcurso de un año sin incurrir en pérdidas significativas. Dicho monto, deberá ser financiado con fuentes de fondeo estable (FED).</w:t>
      </w:r>
    </w:p>
    <w:p w:rsidR="00A3501B"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Al determinar el vencimiento de un instrumento o posición fuera de balance, se debe suponer que las contrapartes ejercen cualquier opción para prolongar el plazo al vencimiento. En el caso de los créditos, se deben tomar los saldos de cartera neta de provisiones, y para el tratamiento de los flujos que se van amortizando, la proporción de los flujos (</w:t>
      </w:r>
      <w:r w:rsidRPr="00BE586D">
        <w:rPr>
          <w:spacing w:val="0"/>
          <w:sz w:val="18"/>
          <w:szCs w:val="18"/>
          <w:lang w:val="es-CO"/>
        </w:rPr>
        <w:t>incluyendo capital, intereses y otros conceptos</w:t>
      </w:r>
      <w:r>
        <w:rPr>
          <w:spacing w:val="0"/>
          <w:sz w:val="18"/>
          <w:szCs w:val="18"/>
          <w:lang w:val="es-CO"/>
        </w:rPr>
        <w:t>) que vence dentro del horizonte de 6 meses o de un año, podrá recibir el tratamiento aplicable a la respectiva categoría con vencimiento residual inferior a 6 meses o inferior a un año, según corresponda. Se debe</w:t>
      </w:r>
      <w:r w:rsidR="004E6C16">
        <w:rPr>
          <w:spacing w:val="0"/>
          <w:sz w:val="18"/>
          <w:szCs w:val="18"/>
          <w:lang w:val="es-CO"/>
        </w:rPr>
        <w:t>n</w:t>
      </w:r>
      <w:r>
        <w:rPr>
          <w:spacing w:val="0"/>
          <w:sz w:val="18"/>
          <w:szCs w:val="18"/>
          <w:lang w:val="es-CO"/>
        </w:rPr>
        <w:t xml:space="preserve"> excluir de los rubros de cartera los activos correspondientes a créditos de redescuento otorgados por las entidades intermediarias, sin embargo, las entidades de redescuento deben incluir dicha cartera en el cálculo del FER en los rubros que corresponda.</w:t>
      </w:r>
    </w:p>
    <w:p w:rsidR="00A3501B"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En el cálculo del FER, la entidad debe incluir los instrumentos financieros y divisas sobre las cuales se haya realizado una operación de compra y excluir aquellos sobre los cuales se haya realizado una operación de venta, aun cuando estas no hayan sido registradas en el balance por tener un modelo contable basado en la fecha de liquidación y no en la fecha de realización de la operación. Lo anterior, siempre y cuando dichas operaciones no sean clasificadas como derivados u operaciones del mercado monetario y que los efectos de dichas transacciones queden consignados en el balance de la entidad en la fecha de liquidación de la operación.</w:t>
      </w:r>
    </w:p>
    <w:p w:rsidR="00A3501B"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L</w:t>
      </w:r>
      <w:r w:rsidRPr="00550357">
        <w:rPr>
          <w:spacing w:val="0"/>
          <w:sz w:val="18"/>
          <w:szCs w:val="18"/>
          <w:lang w:val="es-CO"/>
        </w:rPr>
        <w:t xml:space="preserve">os </w:t>
      </w:r>
      <w:r>
        <w:rPr>
          <w:spacing w:val="0"/>
          <w:sz w:val="18"/>
          <w:szCs w:val="18"/>
          <w:lang w:val="es-CO"/>
        </w:rPr>
        <w:t xml:space="preserve">activos sujetos a restricciones, </w:t>
      </w:r>
      <w:r w:rsidRPr="00550357">
        <w:rPr>
          <w:spacing w:val="0"/>
          <w:sz w:val="18"/>
          <w:szCs w:val="18"/>
          <w:lang w:val="es-CO"/>
        </w:rPr>
        <w:t>cualquier tipo de gravamen, medida preventiva o de cualquier naturaleza, que impida su libre cesión o transferencia</w:t>
      </w:r>
      <w:r>
        <w:rPr>
          <w:spacing w:val="0"/>
          <w:sz w:val="18"/>
          <w:szCs w:val="18"/>
          <w:lang w:val="es-CO"/>
        </w:rPr>
        <w:t xml:space="preserve">, durante un periodo igual o mayor a un año recibirán un factor FER del 100%, aquellos sujetos a restricciones durante un periodo de entre seis meses y menos de un año </w:t>
      </w:r>
      <w:r w:rsidR="00200A43">
        <w:rPr>
          <w:spacing w:val="0"/>
          <w:sz w:val="18"/>
          <w:szCs w:val="18"/>
          <w:lang w:val="es-CO"/>
        </w:rPr>
        <w:t>tendrán</w:t>
      </w:r>
      <w:r>
        <w:rPr>
          <w:spacing w:val="0"/>
          <w:sz w:val="18"/>
          <w:szCs w:val="18"/>
          <w:lang w:val="es-CO"/>
        </w:rPr>
        <w:t xml:space="preserve"> el mayor factor entre el 50% y el que </w:t>
      </w:r>
      <w:r w:rsidR="00200A43">
        <w:rPr>
          <w:spacing w:val="0"/>
          <w:sz w:val="18"/>
          <w:szCs w:val="18"/>
          <w:lang w:val="es-CO"/>
        </w:rPr>
        <w:t>obtendrían</w:t>
      </w:r>
      <w:r>
        <w:rPr>
          <w:spacing w:val="0"/>
          <w:sz w:val="18"/>
          <w:szCs w:val="18"/>
          <w:lang w:val="es-CO"/>
        </w:rPr>
        <w:t xml:space="preserve"> si estuvieran libres de cargas, y finalmente, aquellos sujetos a restricciones durante un periodo inferior a seis meses, </w:t>
      </w:r>
      <w:r w:rsidR="00200A43">
        <w:rPr>
          <w:spacing w:val="0"/>
          <w:sz w:val="18"/>
          <w:szCs w:val="18"/>
          <w:lang w:val="es-CO"/>
        </w:rPr>
        <w:t>se les asignará</w:t>
      </w:r>
      <w:r>
        <w:rPr>
          <w:spacing w:val="0"/>
          <w:sz w:val="18"/>
          <w:szCs w:val="18"/>
          <w:lang w:val="es-CO"/>
        </w:rPr>
        <w:t xml:space="preserve"> el factor FER del activo como si estuviera libre de cargas.</w:t>
      </w:r>
    </w:p>
    <w:p w:rsidR="00A3501B" w:rsidRDefault="00A3501B" w:rsidP="00A3501B">
      <w:pPr>
        <w:jc w:val="both"/>
        <w:rPr>
          <w:spacing w:val="0"/>
          <w:sz w:val="18"/>
          <w:szCs w:val="18"/>
          <w:lang w:val="es-CO"/>
        </w:rPr>
      </w:pPr>
    </w:p>
    <w:p w:rsidR="00A3501B" w:rsidRPr="002F042A" w:rsidRDefault="00A3501B" w:rsidP="00A3501B">
      <w:pPr>
        <w:jc w:val="both"/>
        <w:rPr>
          <w:spacing w:val="0"/>
          <w:sz w:val="18"/>
          <w:szCs w:val="18"/>
          <w:lang w:val="es-CO"/>
        </w:rPr>
      </w:pPr>
      <w:r>
        <w:rPr>
          <w:spacing w:val="0"/>
          <w:sz w:val="18"/>
          <w:szCs w:val="18"/>
          <w:lang w:val="es-CO"/>
        </w:rPr>
        <w:t>Se deben excluir del cálculo del FER, los activos que hayan sido entregados como garantía en operaciones pasivas de mercado monetario (repos, simultáneas y transferencias temporales de valores). A</w:t>
      </w:r>
      <w:r w:rsidRPr="002F042A">
        <w:rPr>
          <w:spacing w:val="0"/>
          <w:sz w:val="18"/>
          <w:szCs w:val="18"/>
          <w:lang w:val="es-CO"/>
        </w:rPr>
        <w:t xml:space="preserve">dicionalmente </w:t>
      </w:r>
      <w:r>
        <w:rPr>
          <w:spacing w:val="0"/>
          <w:sz w:val="18"/>
          <w:szCs w:val="18"/>
          <w:lang w:val="es-CO"/>
        </w:rPr>
        <w:t>deben incluirse en el cálculo del FER, los activos,</w:t>
      </w:r>
      <w:r w:rsidRPr="002F042A">
        <w:rPr>
          <w:spacing w:val="0"/>
          <w:sz w:val="18"/>
          <w:szCs w:val="18"/>
          <w:lang w:val="es-CO"/>
        </w:rPr>
        <w:t xml:space="preserve"> títulos o cupones transferidos a la entidad en desarrollo de operaciones activas de mercado monetario realizadas por ésta y que no hayan sido utilizados posteriormente en operaciones pasivas en el mercado monetario.</w:t>
      </w:r>
      <w:r>
        <w:rPr>
          <w:spacing w:val="0"/>
          <w:sz w:val="18"/>
          <w:szCs w:val="18"/>
          <w:lang w:val="es-CO"/>
        </w:rPr>
        <w:t xml:space="preserve"> Estos últimos activos,</w:t>
      </w:r>
      <w:r w:rsidRPr="002F042A">
        <w:rPr>
          <w:spacing w:val="0"/>
          <w:sz w:val="18"/>
          <w:szCs w:val="18"/>
          <w:lang w:val="es-CO"/>
        </w:rPr>
        <w:t xml:space="preserve"> títulos o cupones</w:t>
      </w:r>
      <w:r>
        <w:rPr>
          <w:spacing w:val="0"/>
          <w:sz w:val="18"/>
          <w:szCs w:val="18"/>
          <w:lang w:val="es-CO"/>
        </w:rPr>
        <w:t xml:space="preserve"> recibirán un factor FER del 100% si se trata de operaciones de mercado monetario con plazo residual igual o superior a un año, </w:t>
      </w:r>
      <w:r w:rsidR="005F4B97">
        <w:rPr>
          <w:spacing w:val="0"/>
          <w:sz w:val="18"/>
          <w:szCs w:val="18"/>
          <w:lang w:val="es-CO"/>
        </w:rPr>
        <w:t>tendrán</w:t>
      </w:r>
      <w:r>
        <w:rPr>
          <w:spacing w:val="0"/>
          <w:sz w:val="18"/>
          <w:szCs w:val="18"/>
          <w:lang w:val="es-CO"/>
        </w:rPr>
        <w:t xml:space="preserve"> el mayor factor </w:t>
      </w:r>
      <w:r w:rsidR="005F4B97">
        <w:rPr>
          <w:spacing w:val="0"/>
          <w:sz w:val="18"/>
          <w:szCs w:val="18"/>
          <w:lang w:val="es-CO"/>
        </w:rPr>
        <w:t>entre el 50% y el que obtendrían</w:t>
      </w:r>
      <w:r>
        <w:rPr>
          <w:spacing w:val="0"/>
          <w:sz w:val="18"/>
          <w:szCs w:val="18"/>
          <w:lang w:val="es-CO"/>
        </w:rPr>
        <w:t xml:space="preserve"> si estuvieran libres de cargas si se trata de operaciones de mercado monetario con plazo residual de entre seis meses y menos de</w:t>
      </w:r>
      <w:r w:rsidR="005F4B97">
        <w:rPr>
          <w:spacing w:val="0"/>
          <w:sz w:val="18"/>
          <w:szCs w:val="18"/>
          <w:lang w:val="es-CO"/>
        </w:rPr>
        <w:t xml:space="preserve"> un año, y finalmente, se les asignará</w:t>
      </w:r>
      <w:r>
        <w:rPr>
          <w:spacing w:val="0"/>
          <w:sz w:val="18"/>
          <w:szCs w:val="18"/>
          <w:lang w:val="es-CO"/>
        </w:rPr>
        <w:t xml:space="preserve"> el factor FER del activo como si estuviera libre de cargas</w:t>
      </w:r>
      <w:r w:rsidRPr="00DA2100">
        <w:rPr>
          <w:spacing w:val="0"/>
          <w:sz w:val="18"/>
          <w:szCs w:val="18"/>
          <w:lang w:val="es-CO"/>
        </w:rPr>
        <w:t xml:space="preserve"> </w:t>
      </w:r>
      <w:r>
        <w:rPr>
          <w:spacing w:val="0"/>
          <w:sz w:val="18"/>
          <w:szCs w:val="18"/>
          <w:lang w:val="es-CO"/>
        </w:rPr>
        <w:t>si se trata de operaciones de mercado monetario con plazo residual inferior a seis meses.</w:t>
      </w:r>
    </w:p>
    <w:p w:rsidR="00A3501B" w:rsidRDefault="00A3501B" w:rsidP="00A3501B">
      <w:pPr>
        <w:jc w:val="both"/>
        <w:rPr>
          <w:spacing w:val="0"/>
          <w:sz w:val="18"/>
          <w:szCs w:val="18"/>
          <w:lang w:val="es-CO"/>
        </w:rPr>
      </w:pPr>
    </w:p>
    <w:p w:rsidR="00A3501B" w:rsidRDefault="00A3501B" w:rsidP="00A3501B">
      <w:pPr>
        <w:jc w:val="both"/>
        <w:rPr>
          <w:spacing w:val="0"/>
          <w:sz w:val="18"/>
          <w:szCs w:val="18"/>
          <w:lang w:val="es-CO"/>
        </w:rPr>
      </w:pPr>
      <w:r>
        <w:rPr>
          <w:spacing w:val="0"/>
          <w:sz w:val="18"/>
          <w:szCs w:val="18"/>
          <w:lang w:val="es-CO"/>
        </w:rPr>
        <w:t>Para el cálculo de los rubros de activos que hagan parte de los Activos Líquidos (ALM) según lo estipulado para el IRL, aplicarán las definiciones del Anexo 1 del Capítulo VI de la CBCF. Finalmente, se debe excluir del rubro correspondiente del FER, la porción del valor de los activos que haya sido deducida del Patrimonio Técnico.</w:t>
      </w:r>
    </w:p>
    <w:p w:rsidR="00A3501B" w:rsidRDefault="00A3501B" w:rsidP="00A3501B">
      <w:pPr>
        <w:jc w:val="both"/>
        <w:rPr>
          <w:spacing w:val="0"/>
          <w:sz w:val="18"/>
          <w:szCs w:val="18"/>
          <w:lang w:val="es-CO"/>
        </w:rPr>
      </w:pPr>
    </w:p>
    <w:p w:rsidR="00A3501B" w:rsidRDefault="00A3501B" w:rsidP="00A3501B">
      <w:pPr>
        <w:jc w:val="both"/>
        <w:rPr>
          <w:b/>
          <w:spacing w:val="0"/>
          <w:sz w:val="18"/>
          <w:szCs w:val="18"/>
          <w:lang w:val="es-CO"/>
        </w:rPr>
      </w:pPr>
      <w:r w:rsidRPr="00EE6D3E">
        <w:rPr>
          <w:b/>
          <w:spacing w:val="0"/>
          <w:sz w:val="18"/>
          <w:szCs w:val="18"/>
          <w:lang w:val="es-CO"/>
        </w:rPr>
        <w:t xml:space="preserve">2.2.1 Categorías de activos y posiciones fuera de balance que se incluyen en </w:t>
      </w:r>
      <w:r>
        <w:rPr>
          <w:b/>
          <w:spacing w:val="0"/>
          <w:sz w:val="18"/>
          <w:szCs w:val="18"/>
          <w:lang w:val="es-CO"/>
        </w:rPr>
        <w:t>el</w:t>
      </w:r>
      <w:r w:rsidRPr="00EE6D3E">
        <w:rPr>
          <w:b/>
          <w:spacing w:val="0"/>
          <w:sz w:val="18"/>
          <w:szCs w:val="18"/>
          <w:lang w:val="es-CO"/>
        </w:rPr>
        <w:t xml:space="preserve"> FER</w:t>
      </w:r>
    </w:p>
    <w:p w:rsidR="00A3501B" w:rsidRDefault="00A3501B" w:rsidP="00A3501B">
      <w:pPr>
        <w:jc w:val="both"/>
        <w:rPr>
          <w:b/>
          <w:spacing w:val="0"/>
          <w:sz w:val="18"/>
          <w:szCs w:val="18"/>
          <w:lang w:val="es-CO"/>
        </w:rPr>
      </w:pPr>
    </w:p>
    <w:tbl>
      <w:tblPr>
        <w:tblStyle w:val="Tablaconcuadrcula"/>
        <w:tblW w:w="0" w:type="auto"/>
        <w:tblLook w:val="04A0" w:firstRow="1" w:lastRow="0" w:firstColumn="1" w:lastColumn="0" w:noHBand="0" w:noVBand="1"/>
      </w:tblPr>
      <w:tblGrid>
        <w:gridCol w:w="746"/>
        <w:gridCol w:w="7586"/>
        <w:gridCol w:w="781"/>
      </w:tblGrid>
      <w:tr w:rsidR="00A3501B" w:rsidRPr="00ED10A8" w:rsidTr="00BB366C">
        <w:trPr>
          <w:trHeight w:val="300"/>
        </w:trPr>
        <w:tc>
          <w:tcPr>
            <w:tcW w:w="9113" w:type="dxa"/>
            <w:gridSpan w:val="3"/>
            <w:noWrap/>
            <w:vAlign w:val="center"/>
            <w:hideMark/>
          </w:tcPr>
          <w:p w:rsidR="00A3501B" w:rsidRPr="00ED10A8" w:rsidRDefault="00A3501B" w:rsidP="00BB366C">
            <w:pPr>
              <w:jc w:val="center"/>
              <w:rPr>
                <w:b/>
                <w:bCs/>
                <w:spacing w:val="0"/>
                <w:sz w:val="18"/>
                <w:szCs w:val="18"/>
                <w:lang w:val="es-CO"/>
              </w:rPr>
            </w:pPr>
            <w:r w:rsidRPr="00ED10A8">
              <w:rPr>
                <w:b/>
                <w:bCs/>
                <w:spacing w:val="0"/>
                <w:sz w:val="18"/>
                <w:szCs w:val="18"/>
              </w:rPr>
              <w:t>FONDEO ESTABLE REQUERIDO - FER</w:t>
            </w:r>
          </w:p>
        </w:tc>
      </w:tr>
      <w:tr w:rsidR="00A3501B" w:rsidRPr="00ED10A8" w:rsidTr="00BB366C">
        <w:trPr>
          <w:trHeight w:val="300"/>
        </w:trPr>
        <w:tc>
          <w:tcPr>
            <w:tcW w:w="746" w:type="dxa"/>
            <w:noWrap/>
            <w:vAlign w:val="center"/>
            <w:hideMark/>
          </w:tcPr>
          <w:p w:rsidR="00A3501B" w:rsidRPr="00ED10A8" w:rsidRDefault="00A3501B" w:rsidP="00BB366C">
            <w:pPr>
              <w:jc w:val="center"/>
              <w:rPr>
                <w:b/>
                <w:bCs/>
                <w:spacing w:val="0"/>
                <w:sz w:val="18"/>
                <w:szCs w:val="18"/>
              </w:rPr>
            </w:pPr>
            <w:r w:rsidRPr="00ED10A8">
              <w:rPr>
                <w:b/>
                <w:bCs/>
                <w:spacing w:val="0"/>
                <w:sz w:val="18"/>
                <w:szCs w:val="18"/>
              </w:rPr>
              <w:t>Rubro</w:t>
            </w:r>
          </w:p>
        </w:tc>
        <w:tc>
          <w:tcPr>
            <w:tcW w:w="7586" w:type="dxa"/>
            <w:noWrap/>
            <w:vAlign w:val="center"/>
            <w:hideMark/>
          </w:tcPr>
          <w:p w:rsidR="00A3501B" w:rsidRPr="00ED10A8" w:rsidRDefault="00A3501B" w:rsidP="00BB366C">
            <w:pPr>
              <w:jc w:val="center"/>
              <w:rPr>
                <w:b/>
                <w:bCs/>
                <w:spacing w:val="0"/>
                <w:sz w:val="18"/>
                <w:szCs w:val="18"/>
              </w:rPr>
            </w:pPr>
            <w:r w:rsidRPr="00ED10A8">
              <w:rPr>
                <w:b/>
                <w:bCs/>
                <w:spacing w:val="0"/>
                <w:sz w:val="18"/>
                <w:szCs w:val="18"/>
              </w:rPr>
              <w:t>Concepto</w:t>
            </w:r>
          </w:p>
        </w:tc>
        <w:tc>
          <w:tcPr>
            <w:tcW w:w="781" w:type="dxa"/>
            <w:vAlign w:val="center"/>
            <w:hideMark/>
          </w:tcPr>
          <w:p w:rsidR="00A3501B" w:rsidRPr="00ED10A8" w:rsidRDefault="00A3501B" w:rsidP="00BB366C">
            <w:pPr>
              <w:jc w:val="center"/>
              <w:rPr>
                <w:b/>
                <w:bCs/>
                <w:spacing w:val="0"/>
                <w:sz w:val="18"/>
                <w:szCs w:val="18"/>
              </w:rPr>
            </w:pPr>
            <w:r w:rsidRPr="00ED10A8">
              <w:rPr>
                <w:b/>
                <w:bCs/>
                <w:spacing w:val="0"/>
                <w:sz w:val="18"/>
                <w:szCs w:val="18"/>
              </w:rPr>
              <w:t>Factor</w:t>
            </w:r>
          </w:p>
        </w:tc>
      </w:tr>
      <w:tr w:rsidR="00A3501B" w:rsidRPr="00ED10A8"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40</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Efectivo</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0%</w:t>
            </w:r>
          </w:p>
        </w:tc>
      </w:tr>
      <w:tr w:rsidR="00A3501B" w:rsidRPr="00ED10A8"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41</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Encaje</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0%</w:t>
            </w:r>
          </w:p>
        </w:tc>
      </w:tr>
      <w:tr w:rsidR="00A3501B" w:rsidRPr="00ED10A8"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42</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ALAC sin efectivo y encaje</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5%</w:t>
            </w:r>
          </w:p>
        </w:tc>
      </w:tr>
      <w:tr w:rsidR="00A3501B" w:rsidRPr="00ED10A8"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43</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Otros activos líquidos con calificación crediticia de largo plazo AA- o superior o de corto plazo grado de inversión</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15%</w:t>
            </w:r>
          </w:p>
        </w:tc>
      </w:tr>
      <w:tr w:rsidR="00A3501B" w:rsidRPr="00ED10A8"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44</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Otros activos líquidos con calificación crediticia de largo plazo A+ o inferior o de corto plazo grado especulativo o sin calificación</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ED10A8"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45</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Cartera con entidades vigiladas con plazo menor a 6 meses y cuya garantía sean títulos emitidos o respaldados por la Nación</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10%</w:t>
            </w:r>
          </w:p>
        </w:tc>
      </w:tr>
      <w:tr w:rsidR="00A3501B" w:rsidRPr="00ED10A8"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46</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Cartera con entidades vigiladas con plazo menor a 6 meses y garantía diferente a títulos emitidos o respaldados por la nación</w:t>
            </w:r>
            <w:r>
              <w:rPr>
                <w:spacing w:val="0"/>
                <w:sz w:val="18"/>
                <w:szCs w:val="18"/>
              </w:rPr>
              <w:t xml:space="preserve"> o sin garantía</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15%</w:t>
            </w:r>
          </w:p>
        </w:tc>
      </w:tr>
    </w:tbl>
    <w:p w:rsidR="00A3501B" w:rsidRDefault="00A3501B" w:rsidP="00A3501B">
      <w:pPr>
        <w:jc w:val="both"/>
        <w:rPr>
          <w:b/>
          <w:spacing w:val="0"/>
          <w:sz w:val="18"/>
          <w:szCs w:val="18"/>
          <w:lang w:val="es-CO"/>
        </w:rPr>
      </w:pPr>
    </w:p>
    <w:p w:rsidR="00A3501B" w:rsidRDefault="00A3501B" w:rsidP="00A3501B">
      <w:pPr>
        <w:jc w:val="both"/>
        <w:rPr>
          <w:b/>
          <w:spacing w:val="0"/>
          <w:sz w:val="18"/>
          <w:szCs w:val="18"/>
          <w:lang w:val="es-CO"/>
        </w:rPr>
        <w:sectPr w:rsidR="00A3501B" w:rsidSect="00CD1E7F">
          <w:headerReference w:type="default" r:id="rId10"/>
          <w:pgSz w:w="12242" w:h="18722" w:code="14"/>
          <w:pgMar w:top="1701" w:right="1418" w:bottom="1418" w:left="1701" w:header="567" w:footer="1418" w:gutter="0"/>
          <w:paperSrc w:first="2" w:other="2"/>
          <w:pgNumType w:start="3"/>
          <w:cols w:space="720"/>
          <w:docGrid w:linePitch="381"/>
        </w:sectPr>
      </w:pPr>
    </w:p>
    <w:tbl>
      <w:tblPr>
        <w:tblStyle w:val="Tablaconcuadrcula"/>
        <w:tblW w:w="0" w:type="auto"/>
        <w:tblLook w:val="04A0" w:firstRow="1" w:lastRow="0" w:firstColumn="1" w:lastColumn="0" w:noHBand="0" w:noVBand="1"/>
      </w:tblPr>
      <w:tblGrid>
        <w:gridCol w:w="746"/>
        <w:gridCol w:w="7586"/>
        <w:gridCol w:w="781"/>
      </w:tblGrid>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lastRenderedPageBreak/>
              <w:t>47</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Cartera con entidades vigiladas con plazo mayor o igual a 6 meses y menor a 1 año</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48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48</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Cartera con personas naturales y jurídicas (no vigiladas) con plazo menor a 1 año, que no esté incluida en las demás categorías de cartera con plazo menor a 1 año</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746" w:type="dxa"/>
            <w:vAlign w:val="center"/>
            <w:hideMark/>
          </w:tcPr>
          <w:p w:rsidR="00A3501B" w:rsidRPr="005F4B97" w:rsidRDefault="00A3501B" w:rsidP="00BB366C">
            <w:pPr>
              <w:jc w:val="center"/>
              <w:rPr>
                <w:spacing w:val="0"/>
                <w:sz w:val="18"/>
                <w:szCs w:val="18"/>
              </w:rPr>
            </w:pPr>
            <w:r w:rsidRPr="005F4B97">
              <w:rPr>
                <w:spacing w:val="0"/>
                <w:sz w:val="18"/>
                <w:szCs w:val="18"/>
              </w:rPr>
              <w:t>49</w:t>
            </w:r>
          </w:p>
        </w:tc>
        <w:tc>
          <w:tcPr>
            <w:tcW w:w="7586" w:type="dxa"/>
            <w:vAlign w:val="center"/>
            <w:hideMark/>
          </w:tcPr>
          <w:p w:rsidR="00A3501B" w:rsidRPr="005F4B97" w:rsidRDefault="00A3501B" w:rsidP="00BB366C">
            <w:pPr>
              <w:jc w:val="center"/>
              <w:rPr>
                <w:spacing w:val="0"/>
                <w:sz w:val="18"/>
                <w:szCs w:val="18"/>
              </w:rPr>
            </w:pPr>
            <w:r w:rsidRPr="005F4B97">
              <w:rPr>
                <w:spacing w:val="0"/>
                <w:sz w:val="18"/>
                <w:szCs w:val="18"/>
              </w:rPr>
              <w:t xml:space="preserve">Cartera de Vivienda con plazo mayor o igual a 1 año y que tenga una ponderación en los </w:t>
            </w:r>
            <w:proofErr w:type="spellStart"/>
            <w:r w:rsidRPr="005F4B97">
              <w:rPr>
                <w:spacing w:val="0"/>
                <w:sz w:val="18"/>
                <w:szCs w:val="18"/>
              </w:rPr>
              <w:t>APNRs</w:t>
            </w:r>
            <w:proofErr w:type="spellEnd"/>
            <w:r w:rsidRPr="005F4B97">
              <w:rPr>
                <w:spacing w:val="0"/>
                <w:sz w:val="18"/>
                <w:szCs w:val="18"/>
              </w:rPr>
              <w:t xml:space="preserve"> del 35% o menor</w:t>
            </w:r>
          </w:p>
        </w:tc>
        <w:tc>
          <w:tcPr>
            <w:tcW w:w="781" w:type="dxa"/>
            <w:vAlign w:val="center"/>
            <w:hideMark/>
          </w:tcPr>
          <w:p w:rsidR="00A3501B" w:rsidRPr="005F4B97" w:rsidRDefault="00A3501B" w:rsidP="00BB366C">
            <w:pPr>
              <w:jc w:val="center"/>
              <w:rPr>
                <w:spacing w:val="0"/>
                <w:sz w:val="18"/>
                <w:szCs w:val="18"/>
              </w:rPr>
            </w:pPr>
            <w:r w:rsidRPr="005F4B97">
              <w:rPr>
                <w:spacing w:val="0"/>
                <w:sz w:val="18"/>
                <w:szCs w:val="18"/>
              </w:rPr>
              <w:t>65%</w:t>
            </w:r>
          </w:p>
        </w:tc>
      </w:tr>
      <w:tr w:rsidR="00A3501B" w:rsidRPr="002732DD" w:rsidTr="00BB366C">
        <w:trPr>
          <w:trHeight w:val="480"/>
        </w:trPr>
        <w:tc>
          <w:tcPr>
            <w:tcW w:w="746" w:type="dxa"/>
            <w:vAlign w:val="center"/>
            <w:hideMark/>
          </w:tcPr>
          <w:p w:rsidR="00A3501B" w:rsidRPr="005F4B97" w:rsidRDefault="00A3501B" w:rsidP="00BB366C">
            <w:pPr>
              <w:jc w:val="center"/>
              <w:rPr>
                <w:spacing w:val="0"/>
                <w:sz w:val="18"/>
                <w:szCs w:val="18"/>
              </w:rPr>
            </w:pPr>
            <w:r w:rsidRPr="005F4B97">
              <w:rPr>
                <w:spacing w:val="0"/>
                <w:sz w:val="18"/>
                <w:szCs w:val="18"/>
              </w:rPr>
              <w:t>50</w:t>
            </w:r>
          </w:p>
        </w:tc>
        <w:tc>
          <w:tcPr>
            <w:tcW w:w="7586" w:type="dxa"/>
            <w:vAlign w:val="center"/>
            <w:hideMark/>
          </w:tcPr>
          <w:p w:rsidR="00A3501B" w:rsidRPr="005F4B97" w:rsidRDefault="00A3501B" w:rsidP="00BB366C">
            <w:pPr>
              <w:jc w:val="center"/>
              <w:rPr>
                <w:spacing w:val="0"/>
                <w:sz w:val="18"/>
                <w:szCs w:val="18"/>
              </w:rPr>
            </w:pPr>
            <w:r w:rsidRPr="005F4B97">
              <w:rPr>
                <w:spacing w:val="0"/>
                <w:sz w:val="18"/>
                <w:szCs w:val="18"/>
              </w:rPr>
              <w:t xml:space="preserve">Cartera diferente a vivienda con personas naturales y jurídicas (no vigiladas) con plazo mayor o igual a 1 año y que tenga una ponderación en los </w:t>
            </w:r>
            <w:proofErr w:type="spellStart"/>
            <w:r w:rsidRPr="005F4B97">
              <w:rPr>
                <w:spacing w:val="0"/>
                <w:sz w:val="18"/>
                <w:szCs w:val="18"/>
              </w:rPr>
              <w:t>APNRs</w:t>
            </w:r>
            <w:proofErr w:type="spellEnd"/>
            <w:r w:rsidRPr="005F4B97">
              <w:rPr>
                <w:spacing w:val="0"/>
                <w:sz w:val="18"/>
                <w:szCs w:val="18"/>
              </w:rPr>
              <w:t xml:space="preserve"> del 35% o menor</w:t>
            </w:r>
          </w:p>
        </w:tc>
        <w:tc>
          <w:tcPr>
            <w:tcW w:w="781" w:type="dxa"/>
            <w:vAlign w:val="center"/>
            <w:hideMark/>
          </w:tcPr>
          <w:p w:rsidR="00A3501B" w:rsidRPr="005F4B97" w:rsidRDefault="00A3501B" w:rsidP="00BB366C">
            <w:pPr>
              <w:jc w:val="center"/>
              <w:rPr>
                <w:spacing w:val="0"/>
                <w:sz w:val="18"/>
                <w:szCs w:val="18"/>
              </w:rPr>
            </w:pPr>
            <w:r w:rsidRPr="005F4B97">
              <w:rPr>
                <w:spacing w:val="0"/>
                <w:sz w:val="18"/>
                <w:szCs w:val="18"/>
              </w:rPr>
              <w:t>65%</w:t>
            </w:r>
          </w:p>
        </w:tc>
      </w:tr>
      <w:tr w:rsidR="00A3501B" w:rsidRPr="002732DD" w:rsidTr="00BB366C">
        <w:trPr>
          <w:trHeight w:val="48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51</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Cartera con personas naturales y jurídicas (no vigiladas) con plazo mayor o igual a 1 año, que no esté incluida en las demás categorías de cartera con plazo mayor o igual a 1 año</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85%</w:t>
            </w:r>
          </w:p>
        </w:tc>
      </w:tr>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52</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Cartera Vencida (mora mayor a 30 días)</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53</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Cartera con entidades vigiladas con plazo mayor o igual a 1 año</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54</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Acciones líquidas</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85%</w:t>
            </w:r>
          </w:p>
        </w:tc>
      </w:tr>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55</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Acciones no líquidas (incluyendo participaciones en subordinadas)</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2732DD" w:rsidTr="00BB366C">
        <w:trPr>
          <w:trHeight w:val="48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56</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Activos con características de ALM en garantía en operaciones de mercado monetario con plazo mayor o igual a 6 meses y menor a 1 año</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50%</w:t>
            </w:r>
          </w:p>
        </w:tc>
      </w:tr>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57</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Activos sujetos a cargas durante un periodo igual o superior a un año</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58</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Otros activos no englobados en categorías anteriores</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59</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Facilidades de crédito y de liquidez irrevocables y condicionalmente revocables otorgadas a cualquier cliente</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5%</w:t>
            </w:r>
          </w:p>
        </w:tc>
      </w:tr>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60</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Facilidades o cupos de crédito y de liquidez incondicionalmente revocables otorgadas mediante tarjetas de crédito</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5%</w:t>
            </w:r>
          </w:p>
        </w:tc>
      </w:tr>
      <w:tr w:rsidR="00A3501B" w:rsidRPr="002732DD" w:rsidTr="00BB366C">
        <w:trPr>
          <w:trHeight w:val="96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61</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Otras obligaciones de financiación contingente, incluyendo: (i) facilidades de crédito y liquidez incondicionalmente revocables (excluyendo las otorgadas mediante tarjetas de crédito), (ii) las obligaciones relacionadas con cartera (incluidas garantías y cartas de crédito) y (iii) obligaciones no contractuales como las posibles solicitudes de recompra de deuda de la propia deuda del establecimiento de crédito</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5%</w:t>
            </w:r>
          </w:p>
        </w:tc>
      </w:tr>
      <w:tr w:rsidR="00A3501B" w:rsidRPr="002732DD" w:rsidTr="00BB366C">
        <w:trPr>
          <w:trHeight w:val="48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62</w:t>
            </w:r>
          </w:p>
        </w:tc>
        <w:tc>
          <w:tcPr>
            <w:tcW w:w="7586" w:type="dxa"/>
            <w:vAlign w:val="center"/>
            <w:hideMark/>
          </w:tcPr>
          <w:p w:rsidR="00A3501B" w:rsidRPr="002732DD" w:rsidRDefault="00A3501B" w:rsidP="00BB366C">
            <w:pPr>
              <w:jc w:val="center"/>
              <w:rPr>
                <w:spacing w:val="0"/>
                <w:sz w:val="18"/>
                <w:szCs w:val="18"/>
              </w:rPr>
            </w:pPr>
            <w:r w:rsidRPr="005B3897">
              <w:rPr>
                <w:spacing w:val="0"/>
                <w:sz w:val="18"/>
                <w:szCs w:val="18"/>
              </w:rPr>
              <w:t xml:space="preserve">Efectivo, títulos y otros activos constituidos en concepto de margen inicial en contratos de derivados y efectivo u otros activos aportados como contribución al "default </w:t>
            </w:r>
            <w:proofErr w:type="spellStart"/>
            <w:r w:rsidRPr="005B3897">
              <w:rPr>
                <w:spacing w:val="0"/>
                <w:sz w:val="18"/>
                <w:szCs w:val="18"/>
              </w:rPr>
              <w:t>fund</w:t>
            </w:r>
            <w:proofErr w:type="spellEnd"/>
            <w:r w:rsidRPr="005B3897">
              <w:rPr>
                <w:spacing w:val="0"/>
                <w:sz w:val="18"/>
                <w:szCs w:val="18"/>
              </w:rPr>
              <w:t>" de una Cámara de Riesgo Central de Contraparte (CCRC)</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85%</w:t>
            </w:r>
          </w:p>
        </w:tc>
      </w:tr>
      <w:tr w:rsidR="00A3501B" w:rsidRPr="002732DD" w:rsidTr="00BB366C">
        <w:trPr>
          <w:trHeight w:val="48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63</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Derivados activos a efectos del CFEN</w:t>
            </w:r>
            <w:r w:rsidR="00FC0295">
              <w:rPr>
                <w:spacing w:val="0"/>
                <w:sz w:val="18"/>
                <w:szCs w:val="18"/>
              </w:rPr>
              <w:t>,</w:t>
            </w:r>
            <w:r w:rsidRPr="002732DD">
              <w:rPr>
                <w:spacing w:val="0"/>
                <w:sz w:val="18"/>
                <w:szCs w:val="18"/>
              </w:rPr>
              <w:t xml:space="preserve"> netos de deriv</w:t>
            </w:r>
            <w:r w:rsidR="00FC0295">
              <w:rPr>
                <w:spacing w:val="0"/>
                <w:sz w:val="18"/>
                <w:szCs w:val="18"/>
              </w:rPr>
              <w:t xml:space="preserve">ados pasivos a efectos del CFEN, </w:t>
            </w:r>
            <w:r w:rsidRPr="002732DD">
              <w:rPr>
                <w:spacing w:val="0"/>
                <w:sz w:val="18"/>
                <w:szCs w:val="18"/>
              </w:rPr>
              <w:t>si los primeros son superiores a los segundos.</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r w:rsidR="00A3501B" w:rsidRPr="002732DD" w:rsidTr="00BB366C">
        <w:trPr>
          <w:trHeight w:val="300"/>
        </w:trPr>
        <w:tc>
          <w:tcPr>
            <w:tcW w:w="746" w:type="dxa"/>
            <w:vAlign w:val="center"/>
            <w:hideMark/>
          </w:tcPr>
          <w:p w:rsidR="00A3501B" w:rsidRPr="002732DD" w:rsidRDefault="00A3501B" w:rsidP="00BB366C">
            <w:pPr>
              <w:jc w:val="center"/>
              <w:rPr>
                <w:spacing w:val="0"/>
                <w:sz w:val="18"/>
                <w:szCs w:val="18"/>
              </w:rPr>
            </w:pPr>
            <w:r w:rsidRPr="002732DD">
              <w:rPr>
                <w:spacing w:val="0"/>
                <w:sz w:val="18"/>
                <w:szCs w:val="18"/>
              </w:rPr>
              <w:t>64</w:t>
            </w:r>
          </w:p>
        </w:tc>
        <w:tc>
          <w:tcPr>
            <w:tcW w:w="7586" w:type="dxa"/>
            <w:vAlign w:val="center"/>
            <w:hideMark/>
          </w:tcPr>
          <w:p w:rsidR="00A3501B" w:rsidRPr="002732DD" w:rsidRDefault="00A3501B" w:rsidP="00BB366C">
            <w:pPr>
              <w:jc w:val="center"/>
              <w:rPr>
                <w:spacing w:val="0"/>
                <w:sz w:val="18"/>
                <w:szCs w:val="18"/>
              </w:rPr>
            </w:pPr>
            <w:r w:rsidRPr="002732DD">
              <w:rPr>
                <w:spacing w:val="0"/>
                <w:sz w:val="18"/>
                <w:szCs w:val="18"/>
              </w:rPr>
              <w:t xml:space="preserve">El 5% de los derivados pasivos (sin </w:t>
            </w:r>
            <w:proofErr w:type="spellStart"/>
            <w:r w:rsidRPr="002732DD">
              <w:rPr>
                <w:spacing w:val="0"/>
                <w:sz w:val="18"/>
                <w:szCs w:val="18"/>
              </w:rPr>
              <w:t>netear</w:t>
            </w:r>
            <w:proofErr w:type="spellEnd"/>
            <w:r w:rsidRPr="002732DD">
              <w:rPr>
                <w:spacing w:val="0"/>
                <w:sz w:val="18"/>
                <w:szCs w:val="18"/>
              </w:rPr>
              <w:t xml:space="preserve"> con los activos derivados)</w:t>
            </w:r>
          </w:p>
        </w:tc>
        <w:tc>
          <w:tcPr>
            <w:tcW w:w="781" w:type="dxa"/>
            <w:vAlign w:val="center"/>
            <w:hideMark/>
          </w:tcPr>
          <w:p w:rsidR="00A3501B" w:rsidRPr="002732DD" w:rsidRDefault="00A3501B" w:rsidP="00BB366C">
            <w:pPr>
              <w:jc w:val="center"/>
              <w:rPr>
                <w:spacing w:val="0"/>
                <w:sz w:val="18"/>
                <w:szCs w:val="18"/>
              </w:rPr>
            </w:pPr>
            <w:r w:rsidRPr="002732DD">
              <w:rPr>
                <w:spacing w:val="0"/>
                <w:sz w:val="18"/>
                <w:szCs w:val="18"/>
              </w:rPr>
              <w:t>100%</w:t>
            </w:r>
          </w:p>
        </w:tc>
      </w:tr>
    </w:tbl>
    <w:p w:rsidR="00A3501B" w:rsidRDefault="00A3501B" w:rsidP="00A3501B">
      <w:pPr>
        <w:jc w:val="both"/>
        <w:rPr>
          <w:b/>
          <w:spacing w:val="0"/>
          <w:sz w:val="18"/>
          <w:szCs w:val="18"/>
          <w:lang w:val="es-CO"/>
        </w:rPr>
      </w:pPr>
    </w:p>
    <w:p w:rsidR="00A3501B" w:rsidRPr="002F042A" w:rsidRDefault="00A3501B" w:rsidP="00A3501B">
      <w:pPr>
        <w:jc w:val="both"/>
        <w:rPr>
          <w:b/>
          <w:spacing w:val="0"/>
          <w:sz w:val="18"/>
          <w:szCs w:val="18"/>
          <w:lang w:val="es-CO"/>
        </w:rPr>
      </w:pPr>
      <w:r>
        <w:rPr>
          <w:b/>
          <w:spacing w:val="0"/>
          <w:sz w:val="18"/>
          <w:szCs w:val="18"/>
          <w:lang w:val="es-CO"/>
        </w:rPr>
        <w:t>2.2.2</w:t>
      </w:r>
      <w:r w:rsidRPr="002F042A">
        <w:rPr>
          <w:b/>
          <w:spacing w:val="0"/>
          <w:sz w:val="18"/>
          <w:szCs w:val="18"/>
          <w:lang w:val="es-CO"/>
        </w:rPr>
        <w:t xml:space="preserve"> Tratamiento de los derivados activos</w:t>
      </w:r>
      <w:r w:rsidR="00061194">
        <w:rPr>
          <w:b/>
          <w:spacing w:val="0"/>
          <w:sz w:val="18"/>
          <w:szCs w:val="18"/>
          <w:lang w:val="es-CO"/>
        </w:rPr>
        <w:t xml:space="preserve"> para efectos del FER</w:t>
      </w:r>
    </w:p>
    <w:p w:rsidR="00A3501B" w:rsidRPr="00A3501B" w:rsidRDefault="00A3501B" w:rsidP="00A3501B">
      <w:pPr>
        <w:jc w:val="both"/>
        <w:rPr>
          <w:spacing w:val="0"/>
          <w:sz w:val="16"/>
          <w:szCs w:val="18"/>
          <w:lang w:val="es-CO"/>
        </w:rPr>
      </w:pPr>
    </w:p>
    <w:p w:rsidR="00A3501B" w:rsidRPr="001A3E3E" w:rsidRDefault="00A3501B" w:rsidP="00A3501B">
      <w:pPr>
        <w:jc w:val="both"/>
        <w:rPr>
          <w:spacing w:val="0"/>
          <w:sz w:val="18"/>
          <w:szCs w:val="18"/>
          <w:lang w:val="es-CO"/>
        </w:rPr>
      </w:pPr>
      <w:r>
        <w:rPr>
          <w:spacing w:val="0"/>
          <w:sz w:val="18"/>
          <w:szCs w:val="18"/>
          <w:lang w:val="es-CO"/>
        </w:rPr>
        <w:t xml:space="preserve">Los derivados activos se calculan con base en su valor razonable en el caso de contratos de derivados que tienen valor razonable positivo. Para calcular el monto de los derivados activos para efectos del FER, deben descontarse las garantías </w:t>
      </w:r>
      <w:r w:rsidRPr="006179C1">
        <w:rPr>
          <w:spacing w:val="0"/>
          <w:sz w:val="18"/>
          <w:szCs w:val="18"/>
          <w:lang w:val="es-CO"/>
        </w:rPr>
        <w:t>totales constituidas como margen de variación</w:t>
      </w:r>
      <w:r>
        <w:rPr>
          <w:spacing w:val="0"/>
          <w:sz w:val="18"/>
          <w:szCs w:val="18"/>
          <w:lang w:val="es-CO"/>
        </w:rPr>
        <w:t xml:space="preserve">. Además, se debe </w:t>
      </w:r>
      <w:proofErr w:type="spellStart"/>
      <w:r>
        <w:rPr>
          <w:spacing w:val="0"/>
          <w:sz w:val="18"/>
          <w:szCs w:val="18"/>
          <w:lang w:val="es-CO"/>
        </w:rPr>
        <w:t>netear</w:t>
      </w:r>
      <w:proofErr w:type="spellEnd"/>
      <w:r>
        <w:rPr>
          <w:spacing w:val="0"/>
          <w:sz w:val="18"/>
          <w:szCs w:val="18"/>
          <w:lang w:val="es-CO"/>
        </w:rPr>
        <w:t xml:space="preserve"> el monto de derivados activos con el monto de derivados pasivos (calculados con base en el numeral 2.1.2 del presente anexo), siempre y cuando el monto activo sea superior al monto pasivo. En caso contrario, el monto de derivados activos para efectos del FER será cero.</w:t>
      </w:r>
    </w:p>
    <w:p w:rsidR="00A3501B" w:rsidRPr="00A3501B" w:rsidRDefault="00A3501B" w:rsidP="00A3501B">
      <w:pPr>
        <w:jc w:val="both"/>
        <w:rPr>
          <w:spacing w:val="0"/>
          <w:sz w:val="16"/>
          <w:szCs w:val="18"/>
          <w:lang w:val="es-CO"/>
        </w:rPr>
      </w:pPr>
    </w:p>
    <w:p w:rsidR="00A3501B" w:rsidRDefault="00A3501B" w:rsidP="00A3501B">
      <w:pPr>
        <w:jc w:val="both"/>
        <w:rPr>
          <w:spacing w:val="0"/>
          <w:sz w:val="18"/>
          <w:szCs w:val="18"/>
          <w:lang w:val="es-CO"/>
        </w:rPr>
      </w:pPr>
      <w:r>
        <w:rPr>
          <w:spacing w:val="0"/>
          <w:sz w:val="18"/>
          <w:szCs w:val="18"/>
          <w:lang w:val="es-CO"/>
        </w:rPr>
        <w:t>Adicionalmente, se debe contemplar el 5</w:t>
      </w:r>
      <w:r w:rsidRPr="006179C1">
        <w:rPr>
          <w:spacing w:val="0"/>
          <w:sz w:val="18"/>
          <w:szCs w:val="18"/>
          <w:lang w:val="es-CO"/>
        </w:rPr>
        <w:t xml:space="preserve">% de los </w:t>
      </w:r>
      <w:r>
        <w:rPr>
          <w:spacing w:val="0"/>
          <w:sz w:val="18"/>
          <w:szCs w:val="18"/>
          <w:lang w:val="es-CO"/>
        </w:rPr>
        <w:t>derivados pasivos</w:t>
      </w:r>
      <w:r w:rsidRPr="006179C1">
        <w:rPr>
          <w:spacing w:val="0"/>
          <w:sz w:val="18"/>
          <w:szCs w:val="18"/>
          <w:lang w:val="es-CO"/>
        </w:rPr>
        <w:t xml:space="preserve"> </w:t>
      </w:r>
      <w:r>
        <w:rPr>
          <w:spacing w:val="0"/>
          <w:sz w:val="18"/>
          <w:szCs w:val="18"/>
          <w:lang w:val="es-CO"/>
        </w:rPr>
        <w:t xml:space="preserve">a efectos del CFEN </w:t>
      </w:r>
      <w:r w:rsidRPr="006179C1">
        <w:rPr>
          <w:spacing w:val="0"/>
          <w:sz w:val="18"/>
          <w:szCs w:val="18"/>
          <w:lang w:val="es-CO"/>
        </w:rPr>
        <w:t xml:space="preserve">(sin </w:t>
      </w:r>
      <w:proofErr w:type="spellStart"/>
      <w:r w:rsidRPr="006179C1">
        <w:rPr>
          <w:spacing w:val="0"/>
          <w:sz w:val="18"/>
          <w:szCs w:val="18"/>
          <w:lang w:val="es-CO"/>
        </w:rPr>
        <w:t>netear</w:t>
      </w:r>
      <w:proofErr w:type="spellEnd"/>
      <w:r w:rsidRPr="006179C1">
        <w:rPr>
          <w:spacing w:val="0"/>
          <w:sz w:val="18"/>
          <w:szCs w:val="18"/>
          <w:lang w:val="es-CO"/>
        </w:rPr>
        <w:t xml:space="preserve"> con los derivados activos)</w:t>
      </w:r>
      <w:r>
        <w:rPr>
          <w:spacing w:val="0"/>
          <w:sz w:val="18"/>
          <w:szCs w:val="18"/>
          <w:lang w:val="es-CO"/>
        </w:rPr>
        <w:t xml:space="preserve">. </w:t>
      </w:r>
      <w:r w:rsidRPr="006179C1">
        <w:rPr>
          <w:spacing w:val="0"/>
          <w:sz w:val="18"/>
          <w:szCs w:val="18"/>
          <w:lang w:val="es-CO"/>
        </w:rPr>
        <w:t>Los pasivos derivados a efectos del CFEN se calculan con base en su valor razonable y descontando las garantías totales constituidas como margen de variación.</w:t>
      </w:r>
    </w:p>
    <w:p w:rsidR="00A3501B" w:rsidRPr="001A3E3E" w:rsidRDefault="00A3501B" w:rsidP="00A3501B">
      <w:pPr>
        <w:jc w:val="both"/>
        <w:rPr>
          <w:spacing w:val="0"/>
          <w:sz w:val="18"/>
          <w:szCs w:val="18"/>
          <w:lang w:val="es-CO"/>
        </w:rPr>
      </w:pPr>
    </w:p>
    <w:p w:rsidR="00A3501B" w:rsidRPr="001A3E3E" w:rsidRDefault="00A3501B" w:rsidP="00A3501B">
      <w:pPr>
        <w:jc w:val="both"/>
        <w:rPr>
          <w:b/>
          <w:spacing w:val="0"/>
          <w:sz w:val="18"/>
          <w:szCs w:val="18"/>
          <w:lang w:val="es-CO"/>
        </w:rPr>
      </w:pPr>
      <w:r>
        <w:rPr>
          <w:b/>
          <w:spacing w:val="0"/>
          <w:sz w:val="18"/>
          <w:szCs w:val="18"/>
          <w:lang w:val="es-CO"/>
        </w:rPr>
        <w:t>2.3</w:t>
      </w:r>
      <w:r w:rsidRPr="001A3E3E">
        <w:rPr>
          <w:b/>
          <w:spacing w:val="0"/>
          <w:sz w:val="18"/>
          <w:szCs w:val="18"/>
          <w:lang w:val="es-CO"/>
        </w:rPr>
        <w:t xml:space="preserve"> Cálculo del </w:t>
      </w:r>
      <w:r>
        <w:rPr>
          <w:b/>
          <w:spacing w:val="0"/>
          <w:sz w:val="18"/>
          <w:szCs w:val="18"/>
          <w:lang w:val="es-CO"/>
        </w:rPr>
        <w:t>Coeficiente de Financiación Estable Neto (CFEN)</w:t>
      </w:r>
    </w:p>
    <w:p w:rsidR="00A3501B" w:rsidRPr="001A3E3E" w:rsidRDefault="00A3501B" w:rsidP="00A3501B">
      <w:pPr>
        <w:jc w:val="both"/>
        <w:rPr>
          <w:spacing w:val="0"/>
          <w:sz w:val="18"/>
          <w:szCs w:val="18"/>
          <w:lang w:val="es-CO"/>
        </w:rPr>
      </w:pPr>
    </w:p>
    <w:p w:rsidR="00A3501B" w:rsidRDefault="00A3501B" w:rsidP="00A3501B">
      <w:pPr>
        <w:jc w:val="both"/>
        <w:rPr>
          <w:spacing w:val="0"/>
          <w:sz w:val="18"/>
          <w:szCs w:val="18"/>
          <w:lang w:val="es-CO"/>
        </w:rPr>
      </w:pPr>
      <w:r w:rsidRPr="001A3E3E">
        <w:rPr>
          <w:spacing w:val="0"/>
          <w:sz w:val="18"/>
          <w:szCs w:val="18"/>
          <w:lang w:val="es-CO"/>
        </w:rPr>
        <w:t xml:space="preserve">El </w:t>
      </w:r>
      <w:r>
        <w:rPr>
          <w:spacing w:val="0"/>
          <w:sz w:val="18"/>
          <w:szCs w:val="18"/>
          <w:lang w:val="es-CO"/>
        </w:rPr>
        <w:t>CFEN</w:t>
      </w:r>
      <w:r w:rsidRPr="001A3E3E">
        <w:rPr>
          <w:spacing w:val="0"/>
          <w:sz w:val="18"/>
          <w:szCs w:val="18"/>
          <w:lang w:val="es-CO"/>
        </w:rPr>
        <w:t xml:space="preserve"> en cada fecha de evaluación será </w:t>
      </w:r>
      <w:r w:rsidR="00E109BA">
        <w:rPr>
          <w:spacing w:val="0"/>
          <w:sz w:val="18"/>
          <w:szCs w:val="18"/>
          <w:lang w:val="es-CO"/>
        </w:rPr>
        <w:t>el cociente</w:t>
      </w:r>
      <w:r>
        <w:rPr>
          <w:spacing w:val="0"/>
          <w:sz w:val="18"/>
          <w:szCs w:val="18"/>
          <w:lang w:val="es-CO"/>
        </w:rPr>
        <w:t xml:space="preserve"> entre el monto de FED y de FER</w:t>
      </w:r>
      <w:r w:rsidRPr="001A3E3E">
        <w:rPr>
          <w:spacing w:val="0"/>
          <w:sz w:val="18"/>
          <w:szCs w:val="18"/>
          <w:lang w:val="es-CO"/>
        </w:rPr>
        <w:t xml:space="preserve">. </w:t>
      </w:r>
      <w:r w:rsidR="00E109BA">
        <w:rPr>
          <w:spacing w:val="0"/>
          <w:sz w:val="18"/>
          <w:szCs w:val="18"/>
          <w:lang w:val="es-CO"/>
        </w:rPr>
        <w:t xml:space="preserve">Tanto el numerador como el denominador, </w:t>
      </w:r>
      <w:r>
        <w:rPr>
          <w:spacing w:val="0"/>
          <w:sz w:val="18"/>
          <w:szCs w:val="18"/>
          <w:lang w:val="es-CO"/>
        </w:rPr>
        <w:t>corresponde</w:t>
      </w:r>
      <w:r w:rsidR="00E109BA">
        <w:rPr>
          <w:spacing w:val="0"/>
          <w:sz w:val="18"/>
          <w:szCs w:val="18"/>
          <w:lang w:val="es-CO"/>
        </w:rPr>
        <w:t>n</w:t>
      </w:r>
      <w:r>
        <w:rPr>
          <w:spacing w:val="0"/>
          <w:sz w:val="18"/>
          <w:szCs w:val="18"/>
          <w:lang w:val="es-CO"/>
        </w:rPr>
        <w:t xml:space="preserve"> a la suma de todos los rubros que componen dichas categorías según la definición de los numerales anteriores multiplicados por su respectivo factor de ponderación. </w:t>
      </w:r>
      <w:r w:rsidRPr="001A3E3E">
        <w:rPr>
          <w:spacing w:val="0"/>
          <w:sz w:val="18"/>
          <w:szCs w:val="18"/>
          <w:lang w:val="es-CO"/>
        </w:rPr>
        <w:t>Tal cálculo se e</w:t>
      </w:r>
      <w:r>
        <w:rPr>
          <w:spacing w:val="0"/>
          <w:sz w:val="18"/>
          <w:szCs w:val="18"/>
          <w:lang w:val="es-CO"/>
        </w:rPr>
        <w:t xml:space="preserve">xpresa de la siguiente manera: </w:t>
      </w:r>
    </w:p>
    <w:p w:rsidR="00A3501B" w:rsidRDefault="00A3501B" w:rsidP="00A3501B">
      <w:pPr>
        <w:jc w:val="both"/>
        <w:rPr>
          <w:spacing w:val="0"/>
          <w:sz w:val="18"/>
          <w:szCs w:val="18"/>
          <w:lang w:val="es-CO"/>
        </w:rPr>
      </w:pPr>
    </w:p>
    <w:p w:rsidR="00A3501B" w:rsidRPr="00550357" w:rsidRDefault="00A3501B" w:rsidP="00A3501B">
      <w:pPr>
        <w:jc w:val="both"/>
        <w:rPr>
          <w:spacing w:val="0"/>
          <w:sz w:val="18"/>
          <w:szCs w:val="18"/>
          <w:lang w:val="es-CO"/>
        </w:rPr>
      </w:pPr>
      <m:oMathPara>
        <m:oMath>
          <m:r>
            <w:rPr>
              <w:rFonts w:ascii="Cambria Math" w:hAnsi="Cambria Math"/>
              <w:spacing w:val="0"/>
              <w:sz w:val="18"/>
              <w:szCs w:val="18"/>
              <w:lang w:val="es-CO"/>
            </w:rPr>
            <m:t>CFEN=</m:t>
          </m:r>
          <m:f>
            <m:fPr>
              <m:ctrlPr>
                <w:rPr>
                  <w:rFonts w:ascii="Cambria Math" w:hAnsi="Cambria Math"/>
                  <w:i/>
                  <w:spacing w:val="0"/>
                  <w:sz w:val="18"/>
                  <w:szCs w:val="18"/>
                  <w:lang w:val="es-CO"/>
                </w:rPr>
              </m:ctrlPr>
            </m:fPr>
            <m:num>
              <m:r>
                <w:rPr>
                  <w:rFonts w:ascii="Cambria Math" w:hAnsi="Cambria Math"/>
                  <w:spacing w:val="0"/>
                  <w:sz w:val="18"/>
                  <w:szCs w:val="18"/>
                  <w:lang w:val="es-CO"/>
                </w:rPr>
                <m:t>FED</m:t>
              </m:r>
            </m:num>
            <m:den>
              <m:r>
                <w:rPr>
                  <w:rFonts w:ascii="Cambria Math" w:hAnsi="Cambria Math"/>
                  <w:spacing w:val="0"/>
                  <w:sz w:val="18"/>
                  <w:szCs w:val="18"/>
                  <w:lang w:val="es-CO"/>
                </w:rPr>
                <m:t>FER</m:t>
              </m:r>
            </m:den>
          </m:f>
        </m:oMath>
      </m:oMathPara>
    </w:p>
    <w:p w:rsidR="00A3501B" w:rsidRPr="001A3E3E" w:rsidRDefault="00A3501B" w:rsidP="00A3501B">
      <w:pPr>
        <w:jc w:val="both"/>
        <w:rPr>
          <w:spacing w:val="0"/>
          <w:sz w:val="18"/>
          <w:szCs w:val="18"/>
          <w:lang w:val="es-CO"/>
        </w:rPr>
      </w:pPr>
      <w:r w:rsidRPr="001A3E3E">
        <w:rPr>
          <w:spacing w:val="0"/>
          <w:sz w:val="18"/>
          <w:szCs w:val="18"/>
          <w:lang w:val="es-CO"/>
        </w:rPr>
        <w:t>Donde:</w:t>
      </w:r>
    </w:p>
    <w:p w:rsidR="00A3501B" w:rsidRDefault="00A3501B" w:rsidP="00A3501B">
      <w:pPr>
        <w:jc w:val="both"/>
        <w:rPr>
          <w:spacing w:val="0"/>
          <w:sz w:val="18"/>
          <w:szCs w:val="18"/>
          <w:lang w:val="es-CO"/>
        </w:rPr>
      </w:pPr>
    </w:p>
    <w:p w:rsidR="00A3501B" w:rsidRPr="00550357" w:rsidRDefault="00A3501B" w:rsidP="00A3501B">
      <w:pPr>
        <w:jc w:val="both"/>
        <w:rPr>
          <w:spacing w:val="0"/>
          <w:sz w:val="18"/>
          <w:szCs w:val="18"/>
          <w:lang w:val="es-CO"/>
        </w:rPr>
      </w:pPr>
      <m:oMathPara>
        <m:oMath>
          <m:r>
            <w:rPr>
              <w:rFonts w:ascii="Cambria Math" w:hAnsi="Cambria Math"/>
              <w:spacing w:val="0"/>
              <w:sz w:val="18"/>
              <w:szCs w:val="18"/>
              <w:lang w:val="es-CO"/>
            </w:rPr>
            <m:t>FED=</m:t>
          </m:r>
          <m:nary>
            <m:naryPr>
              <m:chr m:val="∑"/>
              <m:limLoc m:val="undOvr"/>
              <m:supHide m:val="1"/>
              <m:ctrlPr>
                <w:rPr>
                  <w:rFonts w:ascii="Cambria Math" w:hAnsi="Cambria Math"/>
                  <w:i/>
                  <w:spacing w:val="0"/>
                  <w:sz w:val="18"/>
                  <w:szCs w:val="18"/>
                  <w:lang w:val="es-CO"/>
                </w:rPr>
              </m:ctrlPr>
            </m:naryPr>
            <m:sub>
              <m:r>
                <w:rPr>
                  <w:rFonts w:ascii="Cambria Math" w:hAnsi="Cambria Math"/>
                  <w:spacing w:val="0"/>
                  <w:sz w:val="18"/>
                  <w:szCs w:val="18"/>
                  <w:lang w:val="es-CO"/>
                </w:rPr>
                <m:t>i</m:t>
              </m:r>
            </m:sub>
            <m:sup/>
            <m:e>
              <m:r>
                <w:rPr>
                  <w:rFonts w:ascii="Cambria Math" w:hAnsi="Cambria Math"/>
                  <w:spacing w:val="0"/>
                  <w:sz w:val="18"/>
                  <w:szCs w:val="18"/>
                  <w:lang w:val="es-CO"/>
                </w:rPr>
                <m:t>(</m:t>
              </m:r>
              <m:sSub>
                <m:sSubPr>
                  <m:ctrlPr>
                    <w:rPr>
                      <w:rFonts w:ascii="Cambria Math" w:hAnsi="Cambria Math"/>
                      <w:i/>
                      <w:spacing w:val="0"/>
                      <w:sz w:val="18"/>
                      <w:szCs w:val="18"/>
                      <w:lang w:val="es-CO"/>
                    </w:rPr>
                  </m:ctrlPr>
                </m:sSubPr>
                <m:e>
                  <m:r>
                    <w:rPr>
                      <w:rFonts w:ascii="Cambria Math" w:hAnsi="Cambria Math"/>
                      <w:spacing w:val="0"/>
                      <w:sz w:val="18"/>
                      <w:szCs w:val="18"/>
                      <w:lang w:val="es-CO"/>
                    </w:rPr>
                    <m:t>Valor Contable del Rubro</m:t>
                  </m:r>
                </m:e>
                <m:sub>
                  <m:r>
                    <w:rPr>
                      <w:rFonts w:ascii="Cambria Math" w:hAnsi="Cambria Math"/>
                      <w:spacing w:val="0"/>
                      <w:sz w:val="18"/>
                      <w:szCs w:val="18"/>
                      <w:lang w:val="es-CO"/>
                    </w:rPr>
                    <m:t>i</m:t>
                  </m:r>
                </m:sub>
              </m:sSub>
              <m:r>
                <w:rPr>
                  <w:rFonts w:ascii="Cambria Math" w:hAnsi="Cambria Math"/>
                  <w:spacing w:val="0"/>
                  <w:sz w:val="18"/>
                  <w:szCs w:val="18"/>
                  <w:lang w:val="es-CO"/>
                </w:rPr>
                <m:t>*</m:t>
              </m:r>
              <m:sSub>
                <m:sSubPr>
                  <m:ctrlPr>
                    <w:rPr>
                      <w:rFonts w:ascii="Cambria Math" w:hAnsi="Cambria Math"/>
                      <w:i/>
                      <w:spacing w:val="0"/>
                      <w:sz w:val="18"/>
                      <w:szCs w:val="18"/>
                      <w:lang w:val="es-CO"/>
                    </w:rPr>
                  </m:ctrlPr>
                </m:sSubPr>
                <m:e>
                  <m:r>
                    <w:rPr>
                      <w:rFonts w:ascii="Cambria Math" w:hAnsi="Cambria Math"/>
                      <w:spacing w:val="0"/>
                      <w:sz w:val="18"/>
                      <w:szCs w:val="18"/>
                      <w:lang w:val="es-CO"/>
                    </w:rPr>
                    <m:t>Factor FED</m:t>
                  </m:r>
                </m:e>
                <m:sub>
                  <m:r>
                    <w:rPr>
                      <w:rFonts w:ascii="Cambria Math" w:hAnsi="Cambria Math"/>
                      <w:spacing w:val="0"/>
                      <w:sz w:val="18"/>
                      <w:szCs w:val="18"/>
                      <w:lang w:val="es-CO"/>
                    </w:rPr>
                    <m:t>i</m:t>
                  </m:r>
                </m:sub>
              </m:sSub>
              <m:r>
                <w:rPr>
                  <w:rFonts w:ascii="Cambria Math" w:hAnsi="Cambria Math"/>
                  <w:spacing w:val="0"/>
                  <w:sz w:val="18"/>
                  <w:szCs w:val="18"/>
                  <w:lang w:val="es-CO"/>
                </w:rPr>
                <m:t>)</m:t>
              </m:r>
            </m:e>
          </m:nary>
        </m:oMath>
      </m:oMathPara>
    </w:p>
    <w:p w:rsidR="00A3501B" w:rsidRPr="00550357" w:rsidRDefault="00A3501B" w:rsidP="00A3501B">
      <w:pPr>
        <w:jc w:val="both"/>
        <w:rPr>
          <w:spacing w:val="0"/>
          <w:sz w:val="18"/>
          <w:szCs w:val="18"/>
          <w:lang w:val="es-CO"/>
        </w:rPr>
      </w:pPr>
      <m:oMathPara>
        <m:oMath>
          <m:r>
            <w:rPr>
              <w:rFonts w:ascii="Cambria Math" w:hAnsi="Cambria Math"/>
              <w:spacing w:val="0"/>
              <w:sz w:val="18"/>
              <w:szCs w:val="18"/>
              <w:lang w:val="es-CO"/>
            </w:rPr>
            <m:t>FER=</m:t>
          </m:r>
          <m:nary>
            <m:naryPr>
              <m:chr m:val="∑"/>
              <m:limLoc m:val="undOvr"/>
              <m:supHide m:val="1"/>
              <m:ctrlPr>
                <w:rPr>
                  <w:rFonts w:ascii="Cambria Math" w:hAnsi="Cambria Math"/>
                  <w:i/>
                  <w:spacing w:val="0"/>
                  <w:sz w:val="18"/>
                  <w:szCs w:val="18"/>
                  <w:lang w:val="es-CO"/>
                </w:rPr>
              </m:ctrlPr>
            </m:naryPr>
            <m:sub>
              <m:r>
                <w:rPr>
                  <w:rFonts w:ascii="Cambria Math" w:hAnsi="Cambria Math"/>
                  <w:spacing w:val="0"/>
                  <w:sz w:val="18"/>
                  <w:szCs w:val="18"/>
                  <w:lang w:val="es-CO"/>
                </w:rPr>
                <m:t>j</m:t>
              </m:r>
            </m:sub>
            <m:sup/>
            <m:e>
              <m:r>
                <w:rPr>
                  <w:rFonts w:ascii="Cambria Math" w:hAnsi="Cambria Math"/>
                  <w:spacing w:val="0"/>
                  <w:sz w:val="18"/>
                  <w:szCs w:val="18"/>
                  <w:lang w:val="es-CO"/>
                </w:rPr>
                <m:t>(</m:t>
              </m:r>
              <m:sSub>
                <m:sSubPr>
                  <m:ctrlPr>
                    <w:rPr>
                      <w:rFonts w:ascii="Cambria Math" w:hAnsi="Cambria Math"/>
                      <w:i/>
                      <w:spacing w:val="0"/>
                      <w:sz w:val="18"/>
                      <w:szCs w:val="18"/>
                      <w:lang w:val="es-CO"/>
                    </w:rPr>
                  </m:ctrlPr>
                </m:sSubPr>
                <m:e>
                  <m:r>
                    <w:rPr>
                      <w:rFonts w:ascii="Cambria Math" w:hAnsi="Cambria Math"/>
                      <w:spacing w:val="0"/>
                      <w:sz w:val="18"/>
                      <w:szCs w:val="18"/>
                      <w:lang w:val="es-CO"/>
                    </w:rPr>
                    <m:t>Valor Contable del Rubro</m:t>
                  </m:r>
                </m:e>
                <m:sub>
                  <m:r>
                    <w:rPr>
                      <w:rFonts w:ascii="Cambria Math" w:hAnsi="Cambria Math"/>
                      <w:spacing w:val="0"/>
                      <w:sz w:val="18"/>
                      <w:szCs w:val="18"/>
                      <w:lang w:val="es-CO"/>
                    </w:rPr>
                    <m:t>j</m:t>
                  </m:r>
                </m:sub>
              </m:sSub>
              <m:r>
                <w:rPr>
                  <w:rFonts w:ascii="Cambria Math" w:hAnsi="Cambria Math"/>
                  <w:spacing w:val="0"/>
                  <w:sz w:val="18"/>
                  <w:szCs w:val="18"/>
                  <w:lang w:val="es-CO"/>
                </w:rPr>
                <m:t>*</m:t>
              </m:r>
              <m:sSub>
                <m:sSubPr>
                  <m:ctrlPr>
                    <w:rPr>
                      <w:rFonts w:ascii="Cambria Math" w:hAnsi="Cambria Math"/>
                      <w:i/>
                      <w:spacing w:val="0"/>
                      <w:sz w:val="18"/>
                      <w:szCs w:val="18"/>
                      <w:lang w:val="es-CO"/>
                    </w:rPr>
                  </m:ctrlPr>
                </m:sSubPr>
                <m:e>
                  <m:r>
                    <w:rPr>
                      <w:rFonts w:ascii="Cambria Math" w:hAnsi="Cambria Math"/>
                      <w:spacing w:val="0"/>
                      <w:sz w:val="18"/>
                      <w:szCs w:val="18"/>
                      <w:lang w:val="es-CO"/>
                    </w:rPr>
                    <m:t>Factor FER</m:t>
                  </m:r>
                </m:e>
                <m:sub>
                  <m:r>
                    <w:rPr>
                      <w:rFonts w:ascii="Cambria Math" w:hAnsi="Cambria Math"/>
                      <w:spacing w:val="0"/>
                      <w:sz w:val="18"/>
                      <w:szCs w:val="18"/>
                      <w:lang w:val="es-CO"/>
                    </w:rPr>
                    <m:t>j</m:t>
                  </m:r>
                </m:sub>
              </m:sSub>
              <m:r>
                <w:rPr>
                  <w:rFonts w:ascii="Cambria Math" w:hAnsi="Cambria Math"/>
                  <w:spacing w:val="0"/>
                  <w:sz w:val="18"/>
                  <w:szCs w:val="18"/>
                  <w:lang w:val="es-CO"/>
                </w:rPr>
                <m:t>)</m:t>
              </m:r>
            </m:e>
          </m:nary>
        </m:oMath>
      </m:oMathPara>
    </w:p>
    <w:p w:rsidR="00A3501B" w:rsidRDefault="00A3501B" w:rsidP="00A3501B">
      <w:pPr>
        <w:jc w:val="both"/>
        <w:rPr>
          <w:spacing w:val="0"/>
          <w:sz w:val="18"/>
          <w:szCs w:val="18"/>
          <w:lang w:val="es-CO"/>
        </w:rPr>
      </w:pPr>
    </w:p>
    <w:p w:rsidR="00022F65" w:rsidRPr="00A3501B" w:rsidRDefault="00A3501B" w:rsidP="00A3501B">
      <w:pPr>
        <w:jc w:val="both"/>
        <w:rPr>
          <w:spacing w:val="0"/>
          <w:sz w:val="18"/>
          <w:szCs w:val="18"/>
          <w:lang w:val="es-CO"/>
        </w:rPr>
      </w:pPr>
      <w:r>
        <w:rPr>
          <w:spacing w:val="0"/>
          <w:sz w:val="18"/>
          <w:szCs w:val="18"/>
          <w:lang w:val="es-CO"/>
        </w:rPr>
        <w:t xml:space="preserve">Para todos los </w:t>
      </w:r>
      <m:oMath>
        <m:r>
          <w:rPr>
            <w:rFonts w:ascii="Cambria Math" w:hAnsi="Cambria Math"/>
            <w:spacing w:val="0"/>
            <w:sz w:val="18"/>
            <w:szCs w:val="18"/>
            <w:lang w:val="es-CO"/>
          </w:rPr>
          <m:t>i</m:t>
        </m:r>
      </m:oMath>
      <w:r>
        <w:rPr>
          <w:spacing w:val="0"/>
          <w:sz w:val="18"/>
          <w:szCs w:val="18"/>
          <w:lang w:val="es-CO"/>
        </w:rPr>
        <w:t xml:space="preserve"> rubros del pasivo y del patrimonio que hacen parte del FED y los </w:t>
      </w:r>
      <m:oMath>
        <m:r>
          <w:rPr>
            <w:rFonts w:ascii="Cambria Math" w:hAnsi="Cambria Math"/>
            <w:spacing w:val="0"/>
            <w:sz w:val="18"/>
            <w:szCs w:val="18"/>
            <w:lang w:val="es-CO"/>
          </w:rPr>
          <m:t>j</m:t>
        </m:r>
      </m:oMath>
      <w:r>
        <w:rPr>
          <w:spacing w:val="0"/>
          <w:sz w:val="18"/>
          <w:szCs w:val="18"/>
          <w:lang w:val="es-CO"/>
        </w:rPr>
        <w:t xml:space="preserve"> rubros del activo y de las posiciones fuera de balance que hacen parte del FER.</w:t>
      </w:r>
    </w:p>
    <w:sectPr w:rsidR="00022F65" w:rsidRPr="00A3501B" w:rsidSect="00CD1E7F">
      <w:headerReference w:type="default" r:id="rId11"/>
      <w:pgSz w:w="12242" w:h="18722" w:code="14"/>
      <w:pgMar w:top="1701" w:right="1418" w:bottom="1418" w:left="1701" w:header="567" w:footer="1418" w:gutter="0"/>
      <w:paperSrc w:first="2" w:other="2"/>
      <w:pgNumType w:start="3"/>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0813" w:rsidRDefault="000E0813" w:rsidP="00A3501B">
      <w:r>
        <w:separator/>
      </w:r>
    </w:p>
  </w:endnote>
  <w:endnote w:type="continuationSeparator" w:id="0">
    <w:p w:rsidR="000E0813" w:rsidRDefault="000E0813" w:rsidP="00A35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E7F" w:rsidRPr="00044A2F" w:rsidRDefault="00A3501B" w:rsidP="001A3E3E">
    <w:pPr>
      <w:jc w:val="both"/>
      <w:outlineLvl w:val="0"/>
      <w:rPr>
        <w:b/>
        <w:bCs/>
        <w:spacing w:val="0"/>
        <w:sz w:val="18"/>
        <w:szCs w:val="18"/>
      </w:rPr>
    </w:pPr>
    <w:r w:rsidRPr="00F93DB1">
      <w:rPr>
        <w:rStyle w:val="Nmerodepgina"/>
        <w:b/>
        <w:bCs/>
        <w:spacing w:val="0"/>
        <w:sz w:val="18"/>
        <w:szCs w:val="18"/>
      </w:rPr>
      <w:t>Anexo I</w:t>
    </w:r>
    <w:r>
      <w:rPr>
        <w:rStyle w:val="Nmerodepgina"/>
        <w:b/>
        <w:bCs/>
        <w:spacing w:val="0"/>
        <w:sz w:val="18"/>
        <w:szCs w:val="18"/>
      </w:rPr>
      <w:t xml:space="preserve"> </w:t>
    </w:r>
    <w:r w:rsidRPr="00F93DB1">
      <w:rPr>
        <w:rStyle w:val="Nmerodepgina"/>
        <w:b/>
        <w:bCs/>
        <w:spacing w:val="0"/>
        <w:sz w:val="20"/>
        <w:szCs w:val="20"/>
      </w:rPr>
      <w:t>-</w:t>
    </w:r>
    <w:r>
      <w:rPr>
        <w:rStyle w:val="Nmerodepgina"/>
        <w:b/>
        <w:bCs/>
        <w:spacing w:val="0"/>
        <w:sz w:val="20"/>
        <w:szCs w:val="20"/>
      </w:rPr>
      <w:t xml:space="preserve"> </w:t>
    </w:r>
    <w:r w:rsidRPr="00F93DB1">
      <w:rPr>
        <w:rStyle w:val="Nmerodepgina"/>
        <w:b/>
        <w:bCs/>
        <w:spacing w:val="0"/>
        <w:sz w:val="20"/>
        <w:szCs w:val="20"/>
      </w:rPr>
      <w:t>M</w:t>
    </w:r>
    <w:r w:rsidRPr="00044A2F">
      <w:rPr>
        <w:b/>
        <w:bCs/>
        <w:spacing w:val="0"/>
        <w:sz w:val="18"/>
        <w:szCs w:val="18"/>
      </w:rPr>
      <w:t xml:space="preserve">etodología para la </w:t>
    </w:r>
    <w:r>
      <w:rPr>
        <w:b/>
        <w:bCs/>
        <w:spacing w:val="0"/>
        <w:sz w:val="18"/>
        <w:szCs w:val="18"/>
      </w:rPr>
      <w:t>medición y reporte estándar</w:t>
    </w:r>
    <w:r w:rsidRPr="00044A2F">
      <w:rPr>
        <w:b/>
        <w:bCs/>
        <w:spacing w:val="0"/>
        <w:sz w:val="18"/>
        <w:szCs w:val="18"/>
      </w:rPr>
      <w:t xml:space="preserve"> del </w:t>
    </w:r>
    <w:r>
      <w:rPr>
        <w:b/>
        <w:bCs/>
        <w:spacing w:val="0"/>
        <w:sz w:val="18"/>
        <w:szCs w:val="18"/>
      </w:rPr>
      <w:t>Coeficiente de Financiación Estable Neto (CFEN)</w:t>
    </w:r>
  </w:p>
  <w:p w:rsidR="00CD1E7F" w:rsidRPr="00CD01DC" w:rsidRDefault="000E0813" w:rsidP="001A3E3E">
    <w:pPr>
      <w:pStyle w:val="Piedepgina"/>
      <w:rPr>
        <w:rStyle w:val="Nmerodepgina"/>
        <w:b/>
        <w:bCs/>
        <w:spacing w:val="0"/>
        <w:sz w:val="20"/>
        <w:szCs w:val="20"/>
      </w:rPr>
    </w:pPr>
  </w:p>
  <w:p w:rsidR="00CD1E7F" w:rsidRPr="001A3E3E" w:rsidRDefault="00A3501B" w:rsidP="001A3E3E">
    <w:pPr>
      <w:pStyle w:val="Piedepgina"/>
      <w:rPr>
        <w:sz w:val="18"/>
        <w:szCs w:val="18"/>
        <w:lang w:val="pt-BR"/>
      </w:rPr>
    </w:pPr>
    <w:proofErr w:type="gramStart"/>
    <w:r w:rsidRPr="00953A58">
      <w:rPr>
        <w:rStyle w:val="Nmerodepgina"/>
        <w:b/>
        <w:bCs/>
        <w:spacing w:val="0"/>
        <w:sz w:val="18"/>
        <w:szCs w:val="18"/>
        <w:lang w:val="pt-BR"/>
      </w:rPr>
      <w:t>Circular Externa</w:t>
    </w:r>
    <w:proofErr w:type="gramEnd"/>
    <w:r w:rsidRPr="00953A58">
      <w:rPr>
        <w:rStyle w:val="Nmerodepgina"/>
        <w:b/>
        <w:bCs/>
        <w:spacing w:val="0"/>
        <w:sz w:val="18"/>
        <w:szCs w:val="18"/>
        <w:lang w:val="pt-BR"/>
      </w:rPr>
      <w:t xml:space="preserve"> </w:t>
    </w:r>
    <w:r w:rsidR="00280BDA">
      <w:rPr>
        <w:rStyle w:val="Nmerodepgina"/>
        <w:b/>
        <w:bCs/>
        <w:spacing w:val="0"/>
        <w:sz w:val="18"/>
        <w:szCs w:val="18"/>
        <w:lang w:val="pt-BR"/>
      </w:rPr>
      <w:t>019</w:t>
    </w:r>
    <w:r>
      <w:rPr>
        <w:rStyle w:val="Nmerodepgina"/>
        <w:b/>
        <w:bCs/>
        <w:spacing w:val="0"/>
        <w:sz w:val="18"/>
        <w:szCs w:val="18"/>
        <w:lang w:val="pt-BR"/>
      </w:rPr>
      <w:t xml:space="preserve"> </w:t>
    </w:r>
    <w:r w:rsidRPr="00953A58">
      <w:rPr>
        <w:rStyle w:val="Nmerodepgina"/>
        <w:b/>
        <w:bCs/>
        <w:spacing w:val="0"/>
        <w:sz w:val="18"/>
        <w:szCs w:val="18"/>
        <w:lang w:val="pt-BR"/>
      </w:rPr>
      <w:t>de 20</w:t>
    </w:r>
    <w:r w:rsidR="00434185">
      <w:rPr>
        <w:rStyle w:val="Nmerodepgina"/>
        <w:b/>
        <w:bCs/>
        <w:spacing w:val="0"/>
        <w:sz w:val="18"/>
        <w:szCs w:val="18"/>
        <w:lang w:val="pt-BR"/>
      </w:rPr>
      <w:t>19</w:t>
    </w:r>
    <w:r w:rsidR="00434185">
      <w:rPr>
        <w:rStyle w:val="Nmerodepgina"/>
        <w:b/>
        <w:bCs/>
        <w:spacing w:val="0"/>
        <w:sz w:val="18"/>
        <w:szCs w:val="18"/>
        <w:lang w:val="pt-BR"/>
      </w:rPr>
      <w:tab/>
    </w:r>
    <w:r w:rsidR="00434185">
      <w:rPr>
        <w:rStyle w:val="Nmerodepgina"/>
        <w:b/>
        <w:bCs/>
        <w:spacing w:val="0"/>
        <w:sz w:val="18"/>
        <w:szCs w:val="18"/>
        <w:lang w:val="pt-BR"/>
      </w:rPr>
      <w:tab/>
      <w:t xml:space="preserve">     </w:t>
    </w:r>
    <w:proofErr w:type="spellStart"/>
    <w:r w:rsidR="00434185">
      <w:rPr>
        <w:rStyle w:val="Nmerodepgina"/>
        <w:b/>
        <w:bCs/>
        <w:spacing w:val="0"/>
        <w:sz w:val="18"/>
        <w:szCs w:val="18"/>
        <w:lang w:val="pt-BR"/>
      </w:rPr>
      <w:t>Jul</w:t>
    </w:r>
    <w:r>
      <w:rPr>
        <w:rStyle w:val="Nmerodepgina"/>
        <w:b/>
        <w:bCs/>
        <w:spacing w:val="0"/>
        <w:sz w:val="18"/>
        <w:szCs w:val="18"/>
        <w:lang w:val="pt-BR"/>
      </w:rPr>
      <w:t>io</w:t>
    </w:r>
    <w:proofErr w:type="spellEnd"/>
    <w:r>
      <w:rPr>
        <w:rStyle w:val="Nmerodepgina"/>
        <w:b/>
        <w:bCs/>
        <w:spacing w:val="0"/>
        <w:sz w:val="18"/>
        <w:szCs w:val="18"/>
        <w:lang w:val="pt-BR"/>
      </w:rPr>
      <w:t xml:space="preserve"> de</w:t>
    </w:r>
    <w:r w:rsidRPr="00953A58">
      <w:rPr>
        <w:rStyle w:val="Nmerodepgina"/>
        <w:b/>
        <w:bCs/>
        <w:spacing w:val="0"/>
        <w:sz w:val="18"/>
        <w:szCs w:val="18"/>
        <w:lang w:val="pt-BR"/>
      </w:rPr>
      <w:t xml:space="preserve"> 20</w:t>
    </w:r>
    <w:r>
      <w:rPr>
        <w:rStyle w:val="Nmerodepgina"/>
        <w:b/>
        <w:bCs/>
        <w:spacing w:val="0"/>
        <w:sz w:val="18"/>
        <w:szCs w:val="18"/>
        <w:lang w:val="pt-BR"/>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0813" w:rsidRDefault="000E0813" w:rsidP="00A3501B">
      <w:r>
        <w:separator/>
      </w:r>
    </w:p>
  </w:footnote>
  <w:footnote w:type="continuationSeparator" w:id="0">
    <w:p w:rsidR="000E0813" w:rsidRDefault="000E0813" w:rsidP="00A35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E7F" w:rsidRDefault="00A3501B" w:rsidP="001A3E3E">
    <w:pPr>
      <w:pStyle w:val="Encabezado"/>
      <w:jc w:val="center"/>
      <w:rPr>
        <w:rFonts w:ascii="Arial (W1)" w:hAnsi="Arial (W1)"/>
        <w:b/>
        <w:spacing w:val="0"/>
        <w:sz w:val="24"/>
        <w:szCs w:val="24"/>
      </w:rPr>
    </w:pPr>
    <w:r>
      <w:rPr>
        <w:rFonts w:ascii="Arial (W1)" w:hAnsi="Arial (W1)"/>
        <w:b/>
        <w:spacing w:val="0"/>
        <w:sz w:val="24"/>
        <w:szCs w:val="24"/>
      </w:rPr>
      <w:t>SUPERINTENDENCIA FINANCIERA DE COLOMBIA</w:t>
    </w:r>
  </w:p>
  <w:p w:rsidR="00CD1E7F" w:rsidRPr="001A3E3E" w:rsidRDefault="000E0813" w:rsidP="001A3E3E">
    <w:pPr>
      <w:pStyle w:val="Encabezado"/>
      <w:jc w:val="center"/>
      <w:rPr>
        <w:rFonts w:ascii="Arial (W1)" w:hAnsi="Arial (W1)"/>
        <w:b/>
        <w:spacing w:val="0"/>
        <w:sz w:val="18"/>
        <w:szCs w:val="18"/>
      </w:rPr>
    </w:pPr>
  </w:p>
  <w:p w:rsidR="00CD1E7F" w:rsidRPr="001A3E3E" w:rsidRDefault="00A3501B" w:rsidP="001A3E3E">
    <w:pPr>
      <w:pStyle w:val="Encabezado"/>
      <w:ind w:right="-21"/>
      <w:rPr>
        <w:rFonts w:ascii="Arial (W1)" w:hAnsi="Arial (W1)"/>
        <w:b/>
        <w:spacing w:val="0"/>
        <w:sz w:val="18"/>
        <w:szCs w:val="18"/>
      </w:rPr>
    </w:pPr>
    <w:r>
      <w:rPr>
        <w:rFonts w:ascii="Arial (W1)" w:hAnsi="Arial (W1)"/>
        <w:b/>
        <w:spacing w:val="0"/>
        <w:sz w:val="18"/>
        <w:szCs w:val="18"/>
      </w:rPr>
      <w:t xml:space="preserve">CAPITULO </w:t>
    </w:r>
    <w:r w:rsidRPr="001A3E3E">
      <w:rPr>
        <w:rFonts w:ascii="Arial (W1)" w:hAnsi="Arial (W1)"/>
        <w:b/>
        <w:spacing w:val="0"/>
        <w:sz w:val="18"/>
        <w:szCs w:val="18"/>
      </w:rPr>
      <w:t>VI REGLAS RELATIVAS AL SISTEMA DE ADMINISTRACIÓN DEL RIESGO DE LIQUIDEZ</w:t>
    </w:r>
  </w:p>
  <w:p w:rsidR="00CD1E7F" w:rsidRDefault="00A3501B" w:rsidP="001A3E3E">
    <w:pPr>
      <w:pStyle w:val="Encabezado"/>
      <w:rPr>
        <w:rFonts w:ascii="Arial (W1)" w:hAnsi="Arial (W1)"/>
        <w:b/>
        <w:spacing w:val="0"/>
        <w:sz w:val="18"/>
        <w:szCs w:val="18"/>
      </w:rPr>
    </w:pPr>
    <w:r w:rsidRPr="001A3E3E">
      <w:rPr>
        <w:rFonts w:ascii="Arial (W1)" w:hAnsi="Arial (W1)"/>
        <w:b/>
        <w:spacing w:val="0"/>
        <w:sz w:val="18"/>
        <w:szCs w:val="18"/>
      </w:rPr>
      <w:t>Página</w:t>
    </w:r>
    <w:r>
      <w:rPr>
        <w:rFonts w:ascii="Arial (W1)" w:hAnsi="Arial (W1)"/>
        <w:b/>
        <w:spacing w:val="0"/>
        <w:sz w:val="18"/>
        <w:szCs w:val="18"/>
      </w:rPr>
      <w:t xml:space="preserve"> 1</w:t>
    </w:r>
  </w:p>
  <w:p w:rsidR="00550357" w:rsidRPr="001A3E3E" w:rsidRDefault="000E0813" w:rsidP="001A3E3E">
    <w:pPr>
      <w:pStyle w:val="Encabezado"/>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01B" w:rsidRDefault="00A3501B" w:rsidP="001A3E3E">
    <w:pPr>
      <w:pStyle w:val="Encabezado"/>
      <w:jc w:val="center"/>
      <w:rPr>
        <w:rFonts w:ascii="Arial (W1)" w:hAnsi="Arial (W1)"/>
        <w:b/>
        <w:spacing w:val="0"/>
        <w:sz w:val="24"/>
        <w:szCs w:val="24"/>
      </w:rPr>
    </w:pPr>
    <w:r>
      <w:rPr>
        <w:rFonts w:ascii="Arial (W1)" w:hAnsi="Arial (W1)"/>
        <w:b/>
        <w:spacing w:val="0"/>
        <w:sz w:val="24"/>
        <w:szCs w:val="24"/>
      </w:rPr>
      <w:t>SUPERINTENDENCIA FINANCIERA DE COLOMBIA</w:t>
    </w:r>
  </w:p>
  <w:p w:rsidR="00A3501B" w:rsidRPr="001A3E3E" w:rsidRDefault="00A3501B" w:rsidP="001A3E3E">
    <w:pPr>
      <w:pStyle w:val="Encabezado"/>
      <w:jc w:val="center"/>
      <w:rPr>
        <w:rFonts w:ascii="Arial (W1)" w:hAnsi="Arial (W1)"/>
        <w:b/>
        <w:spacing w:val="0"/>
        <w:sz w:val="18"/>
        <w:szCs w:val="18"/>
      </w:rPr>
    </w:pPr>
  </w:p>
  <w:p w:rsidR="00A3501B" w:rsidRPr="001A3E3E" w:rsidRDefault="00A3501B" w:rsidP="001A3E3E">
    <w:pPr>
      <w:pStyle w:val="Encabezado"/>
      <w:ind w:right="-21"/>
      <w:rPr>
        <w:rFonts w:ascii="Arial (W1)" w:hAnsi="Arial (W1)"/>
        <w:b/>
        <w:spacing w:val="0"/>
        <w:sz w:val="18"/>
        <w:szCs w:val="18"/>
      </w:rPr>
    </w:pPr>
    <w:r>
      <w:rPr>
        <w:rFonts w:ascii="Arial (W1)" w:hAnsi="Arial (W1)"/>
        <w:b/>
        <w:spacing w:val="0"/>
        <w:sz w:val="18"/>
        <w:szCs w:val="18"/>
      </w:rPr>
      <w:t xml:space="preserve">CAPITULO </w:t>
    </w:r>
    <w:r w:rsidRPr="001A3E3E">
      <w:rPr>
        <w:rFonts w:ascii="Arial (W1)" w:hAnsi="Arial (W1)"/>
        <w:b/>
        <w:spacing w:val="0"/>
        <w:sz w:val="18"/>
        <w:szCs w:val="18"/>
      </w:rPr>
      <w:t>VI REGLAS RELATIVAS AL SISTEMA DE ADMINISTRACIÓN DEL RIESGO DE LIQUIDEZ</w:t>
    </w:r>
  </w:p>
  <w:p w:rsidR="00A3501B" w:rsidRDefault="00A3501B" w:rsidP="001A3E3E">
    <w:pPr>
      <w:pStyle w:val="Encabezado"/>
      <w:rPr>
        <w:rFonts w:ascii="Arial (W1)" w:hAnsi="Arial (W1)"/>
        <w:b/>
        <w:spacing w:val="0"/>
        <w:sz w:val="18"/>
        <w:szCs w:val="18"/>
      </w:rPr>
    </w:pPr>
    <w:r w:rsidRPr="001A3E3E">
      <w:rPr>
        <w:rFonts w:ascii="Arial (W1)" w:hAnsi="Arial (W1)"/>
        <w:b/>
        <w:spacing w:val="0"/>
        <w:sz w:val="18"/>
        <w:szCs w:val="18"/>
      </w:rPr>
      <w:t>Página</w:t>
    </w:r>
    <w:r>
      <w:rPr>
        <w:rFonts w:ascii="Arial (W1)" w:hAnsi="Arial (W1)"/>
        <w:b/>
        <w:spacing w:val="0"/>
        <w:sz w:val="18"/>
        <w:szCs w:val="18"/>
      </w:rPr>
      <w:t xml:space="preserve"> 2</w:t>
    </w:r>
  </w:p>
  <w:p w:rsidR="00A3501B" w:rsidRPr="001A3E3E" w:rsidRDefault="00A3501B" w:rsidP="001A3E3E">
    <w:pPr>
      <w:pStyle w:val="Encabezado"/>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73D" w:rsidRDefault="00A3501B" w:rsidP="001A3E3E">
    <w:pPr>
      <w:pStyle w:val="Encabezado"/>
      <w:jc w:val="center"/>
      <w:rPr>
        <w:rFonts w:ascii="Arial (W1)" w:hAnsi="Arial (W1)"/>
        <w:b/>
        <w:spacing w:val="0"/>
        <w:sz w:val="24"/>
        <w:szCs w:val="24"/>
      </w:rPr>
    </w:pPr>
    <w:r>
      <w:rPr>
        <w:rFonts w:ascii="Arial (W1)" w:hAnsi="Arial (W1)"/>
        <w:b/>
        <w:spacing w:val="0"/>
        <w:sz w:val="24"/>
        <w:szCs w:val="24"/>
      </w:rPr>
      <w:t>SUPERINTENDENCIA FINANCIERA DE COLOMBIA</w:t>
    </w:r>
  </w:p>
  <w:p w:rsidR="00FB473D" w:rsidRPr="001A3E3E" w:rsidRDefault="000E0813" w:rsidP="001A3E3E">
    <w:pPr>
      <w:pStyle w:val="Encabezado"/>
      <w:jc w:val="center"/>
      <w:rPr>
        <w:rFonts w:ascii="Arial (W1)" w:hAnsi="Arial (W1)"/>
        <w:b/>
        <w:spacing w:val="0"/>
        <w:sz w:val="18"/>
        <w:szCs w:val="18"/>
      </w:rPr>
    </w:pPr>
  </w:p>
  <w:p w:rsidR="00FB473D" w:rsidRPr="001A3E3E" w:rsidRDefault="00A3501B" w:rsidP="001A3E3E">
    <w:pPr>
      <w:pStyle w:val="Encabezado"/>
      <w:ind w:right="-21"/>
      <w:rPr>
        <w:rFonts w:ascii="Arial (W1)" w:hAnsi="Arial (W1)"/>
        <w:b/>
        <w:spacing w:val="0"/>
        <w:sz w:val="18"/>
        <w:szCs w:val="18"/>
      </w:rPr>
    </w:pPr>
    <w:r>
      <w:rPr>
        <w:rFonts w:ascii="Arial (W1)" w:hAnsi="Arial (W1)"/>
        <w:b/>
        <w:spacing w:val="0"/>
        <w:sz w:val="18"/>
        <w:szCs w:val="18"/>
      </w:rPr>
      <w:t xml:space="preserve">CAPITULO </w:t>
    </w:r>
    <w:r w:rsidRPr="001A3E3E">
      <w:rPr>
        <w:rFonts w:ascii="Arial (W1)" w:hAnsi="Arial (W1)"/>
        <w:b/>
        <w:spacing w:val="0"/>
        <w:sz w:val="18"/>
        <w:szCs w:val="18"/>
      </w:rPr>
      <w:t>VI REGLAS RELATIVAS AL SISTEMA DE ADMINISTRACIÓN DEL RIESGO DE LIQUIDEZ</w:t>
    </w:r>
  </w:p>
  <w:p w:rsidR="00FB473D" w:rsidRDefault="00A3501B" w:rsidP="001A3E3E">
    <w:pPr>
      <w:pStyle w:val="Encabezado"/>
      <w:rPr>
        <w:rFonts w:ascii="Arial (W1)" w:hAnsi="Arial (W1)"/>
        <w:b/>
        <w:spacing w:val="0"/>
        <w:sz w:val="18"/>
        <w:szCs w:val="18"/>
      </w:rPr>
    </w:pPr>
    <w:r w:rsidRPr="001A3E3E">
      <w:rPr>
        <w:rFonts w:ascii="Arial (W1)" w:hAnsi="Arial (W1)"/>
        <w:b/>
        <w:spacing w:val="0"/>
        <w:sz w:val="18"/>
        <w:szCs w:val="18"/>
      </w:rPr>
      <w:t>Página</w:t>
    </w:r>
    <w:r>
      <w:rPr>
        <w:rFonts w:ascii="Arial (W1)" w:hAnsi="Arial (W1)"/>
        <w:b/>
        <w:spacing w:val="0"/>
        <w:sz w:val="18"/>
        <w:szCs w:val="18"/>
      </w:rPr>
      <w:t xml:space="preserve"> 3</w:t>
    </w:r>
  </w:p>
  <w:p w:rsidR="00FB473D" w:rsidRPr="001A3E3E" w:rsidRDefault="000E0813" w:rsidP="001A3E3E">
    <w:pPr>
      <w:pStyle w:val="Encabezado"/>
      <w:rPr>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01B" w:rsidRDefault="00A3501B" w:rsidP="001A3E3E">
    <w:pPr>
      <w:pStyle w:val="Encabezado"/>
      <w:jc w:val="center"/>
      <w:rPr>
        <w:rFonts w:ascii="Arial (W1)" w:hAnsi="Arial (W1)"/>
        <w:b/>
        <w:spacing w:val="0"/>
        <w:sz w:val="24"/>
        <w:szCs w:val="24"/>
      </w:rPr>
    </w:pPr>
    <w:r>
      <w:rPr>
        <w:rFonts w:ascii="Arial (W1)" w:hAnsi="Arial (W1)"/>
        <w:b/>
        <w:spacing w:val="0"/>
        <w:sz w:val="24"/>
        <w:szCs w:val="24"/>
      </w:rPr>
      <w:t>SUPERINTENDENCIA FINANCIERA DE COLOMBIA</w:t>
    </w:r>
  </w:p>
  <w:p w:rsidR="00A3501B" w:rsidRPr="001A3E3E" w:rsidRDefault="00A3501B" w:rsidP="001A3E3E">
    <w:pPr>
      <w:pStyle w:val="Encabezado"/>
      <w:jc w:val="center"/>
      <w:rPr>
        <w:rFonts w:ascii="Arial (W1)" w:hAnsi="Arial (W1)"/>
        <w:b/>
        <w:spacing w:val="0"/>
        <w:sz w:val="18"/>
        <w:szCs w:val="18"/>
      </w:rPr>
    </w:pPr>
  </w:p>
  <w:p w:rsidR="00A3501B" w:rsidRPr="001A3E3E" w:rsidRDefault="00A3501B" w:rsidP="001A3E3E">
    <w:pPr>
      <w:pStyle w:val="Encabezado"/>
      <w:ind w:right="-21"/>
      <w:rPr>
        <w:rFonts w:ascii="Arial (W1)" w:hAnsi="Arial (W1)"/>
        <w:b/>
        <w:spacing w:val="0"/>
        <w:sz w:val="18"/>
        <w:szCs w:val="18"/>
      </w:rPr>
    </w:pPr>
    <w:r>
      <w:rPr>
        <w:rFonts w:ascii="Arial (W1)" w:hAnsi="Arial (W1)"/>
        <w:b/>
        <w:spacing w:val="0"/>
        <w:sz w:val="18"/>
        <w:szCs w:val="18"/>
      </w:rPr>
      <w:t xml:space="preserve">CAPITULO </w:t>
    </w:r>
    <w:r w:rsidRPr="001A3E3E">
      <w:rPr>
        <w:rFonts w:ascii="Arial (W1)" w:hAnsi="Arial (W1)"/>
        <w:b/>
        <w:spacing w:val="0"/>
        <w:sz w:val="18"/>
        <w:szCs w:val="18"/>
      </w:rPr>
      <w:t>VI REGLAS RELATIVAS AL SISTEMA DE ADMINISTRACIÓN DEL RIESGO DE LIQUIDEZ</w:t>
    </w:r>
  </w:p>
  <w:p w:rsidR="00A3501B" w:rsidRDefault="00A3501B" w:rsidP="001A3E3E">
    <w:pPr>
      <w:pStyle w:val="Encabezado"/>
      <w:rPr>
        <w:rFonts w:ascii="Arial (W1)" w:hAnsi="Arial (W1)"/>
        <w:b/>
        <w:spacing w:val="0"/>
        <w:sz w:val="18"/>
        <w:szCs w:val="18"/>
      </w:rPr>
    </w:pPr>
    <w:r w:rsidRPr="001A3E3E">
      <w:rPr>
        <w:rFonts w:ascii="Arial (W1)" w:hAnsi="Arial (W1)"/>
        <w:b/>
        <w:spacing w:val="0"/>
        <w:sz w:val="18"/>
        <w:szCs w:val="18"/>
      </w:rPr>
      <w:t>Página</w:t>
    </w:r>
    <w:r>
      <w:rPr>
        <w:rFonts w:ascii="Arial (W1)" w:hAnsi="Arial (W1)"/>
        <w:b/>
        <w:spacing w:val="0"/>
        <w:sz w:val="18"/>
        <w:szCs w:val="18"/>
      </w:rPr>
      <w:t xml:space="preserve"> 4</w:t>
    </w:r>
  </w:p>
  <w:p w:rsidR="00A3501B" w:rsidRPr="001A3E3E" w:rsidRDefault="00A3501B" w:rsidP="001A3E3E">
    <w:pPr>
      <w:pStyle w:val="Encabezado"/>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32932"/>
    <w:multiLevelType w:val="multilevel"/>
    <w:tmpl w:val="2ECE13F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15:restartNumberingAfterBreak="0">
    <w:nsid w:val="628A2688"/>
    <w:multiLevelType w:val="hybridMultilevel"/>
    <w:tmpl w:val="439E53F0"/>
    <w:lvl w:ilvl="0" w:tplc="C6507078">
      <w:start w:val="1"/>
      <w:numFmt w:val="decimal"/>
      <w:lvlText w:val="%1"/>
      <w:lvlJc w:val="left"/>
      <w:pPr>
        <w:tabs>
          <w:tab w:val="num" w:pos="360"/>
        </w:tabs>
        <w:ind w:left="360" w:hanging="360"/>
      </w:pPr>
      <w:rPr>
        <w:rFonts w:hint="default"/>
      </w:rPr>
    </w:lvl>
    <w:lvl w:ilvl="1" w:tplc="F69A02BC">
      <w:numFmt w:val="none"/>
      <w:lvlText w:val=""/>
      <w:lvlJc w:val="left"/>
      <w:pPr>
        <w:tabs>
          <w:tab w:val="num" w:pos="360"/>
        </w:tabs>
      </w:pPr>
    </w:lvl>
    <w:lvl w:ilvl="2" w:tplc="2C38E55E">
      <w:numFmt w:val="none"/>
      <w:lvlText w:val=""/>
      <w:lvlJc w:val="left"/>
      <w:pPr>
        <w:tabs>
          <w:tab w:val="num" w:pos="360"/>
        </w:tabs>
      </w:pPr>
    </w:lvl>
    <w:lvl w:ilvl="3" w:tplc="FF6C6FE2">
      <w:numFmt w:val="none"/>
      <w:lvlText w:val=""/>
      <w:lvlJc w:val="left"/>
      <w:pPr>
        <w:tabs>
          <w:tab w:val="num" w:pos="360"/>
        </w:tabs>
      </w:pPr>
    </w:lvl>
    <w:lvl w:ilvl="4" w:tplc="A586B800">
      <w:numFmt w:val="none"/>
      <w:lvlText w:val=""/>
      <w:lvlJc w:val="left"/>
      <w:pPr>
        <w:tabs>
          <w:tab w:val="num" w:pos="360"/>
        </w:tabs>
      </w:pPr>
    </w:lvl>
    <w:lvl w:ilvl="5" w:tplc="4BC40FC4">
      <w:numFmt w:val="none"/>
      <w:lvlText w:val=""/>
      <w:lvlJc w:val="left"/>
      <w:pPr>
        <w:tabs>
          <w:tab w:val="num" w:pos="360"/>
        </w:tabs>
      </w:pPr>
    </w:lvl>
    <w:lvl w:ilvl="6" w:tplc="5492E5B0">
      <w:numFmt w:val="none"/>
      <w:lvlText w:val=""/>
      <w:lvlJc w:val="left"/>
      <w:pPr>
        <w:tabs>
          <w:tab w:val="num" w:pos="360"/>
        </w:tabs>
      </w:pPr>
    </w:lvl>
    <w:lvl w:ilvl="7" w:tplc="3B9C4C36">
      <w:numFmt w:val="none"/>
      <w:lvlText w:val=""/>
      <w:lvlJc w:val="left"/>
      <w:pPr>
        <w:tabs>
          <w:tab w:val="num" w:pos="360"/>
        </w:tabs>
      </w:pPr>
    </w:lvl>
    <w:lvl w:ilvl="8" w:tplc="32CAC3CE">
      <w:numFmt w:val="none"/>
      <w:lvlText w:val=""/>
      <w:lvlJc w:val="left"/>
      <w:pPr>
        <w:tabs>
          <w:tab w:val="num" w:pos="360"/>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1B"/>
    <w:rsid w:val="00022F65"/>
    <w:rsid w:val="00061194"/>
    <w:rsid w:val="000E0813"/>
    <w:rsid w:val="00200A43"/>
    <w:rsid w:val="00280BDA"/>
    <w:rsid w:val="00361694"/>
    <w:rsid w:val="00434185"/>
    <w:rsid w:val="00491403"/>
    <w:rsid w:val="00495489"/>
    <w:rsid w:val="004E6C16"/>
    <w:rsid w:val="005F4B97"/>
    <w:rsid w:val="00664C2B"/>
    <w:rsid w:val="00735494"/>
    <w:rsid w:val="00915AA6"/>
    <w:rsid w:val="00A3501B"/>
    <w:rsid w:val="00DB43F0"/>
    <w:rsid w:val="00E109BA"/>
    <w:rsid w:val="00E75760"/>
    <w:rsid w:val="00F43DA8"/>
    <w:rsid w:val="00F45664"/>
    <w:rsid w:val="00FC02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23D88"/>
  <w15:chartTrackingRefBased/>
  <w15:docId w15:val="{ACEDEA79-84FE-4FE1-9791-CFFC72B53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501B"/>
    <w:pPr>
      <w:spacing w:after="0" w:line="240" w:lineRule="auto"/>
    </w:pPr>
    <w:rPr>
      <w:rFonts w:ascii="Arial" w:eastAsia="Times New Roman" w:hAnsi="Arial" w:cs="Arial"/>
      <w:spacing w:val="20"/>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3501B"/>
    <w:pPr>
      <w:jc w:val="both"/>
    </w:pPr>
    <w:rPr>
      <w:sz w:val="24"/>
      <w:szCs w:val="24"/>
      <w:lang w:val="es-MX"/>
    </w:rPr>
  </w:style>
  <w:style w:type="character" w:customStyle="1" w:styleId="TextoindependienteCar">
    <w:name w:val="Texto independiente Car"/>
    <w:basedOn w:val="Fuentedeprrafopredeter"/>
    <w:link w:val="Textoindependiente"/>
    <w:rsid w:val="00A3501B"/>
    <w:rPr>
      <w:rFonts w:ascii="Arial" w:eastAsia="Times New Roman" w:hAnsi="Arial" w:cs="Arial"/>
      <w:spacing w:val="20"/>
      <w:sz w:val="24"/>
      <w:szCs w:val="24"/>
      <w:lang w:eastAsia="es-ES"/>
    </w:rPr>
  </w:style>
  <w:style w:type="paragraph" w:styleId="Piedepgina">
    <w:name w:val="footer"/>
    <w:basedOn w:val="Normal"/>
    <w:link w:val="PiedepginaCar"/>
    <w:rsid w:val="00A3501B"/>
    <w:pPr>
      <w:tabs>
        <w:tab w:val="center" w:pos="4252"/>
        <w:tab w:val="right" w:pos="8504"/>
      </w:tabs>
    </w:pPr>
  </w:style>
  <w:style w:type="character" w:customStyle="1" w:styleId="PiedepginaCar">
    <w:name w:val="Pie de página Car"/>
    <w:basedOn w:val="Fuentedeprrafopredeter"/>
    <w:link w:val="Piedepgina"/>
    <w:rsid w:val="00A3501B"/>
    <w:rPr>
      <w:rFonts w:ascii="Arial" w:eastAsia="Times New Roman" w:hAnsi="Arial" w:cs="Arial"/>
      <w:spacing w:val="20"/>
      <w:sz w:val="28"/>
      <w:szCs w:val="28"/>
      <w:lang w:val="es-ES" w:eastAsia="es-ES"/>
    </w:rPr>
  </w:style>
  <w:style w:type="character" w:styleId="Nmerodepgina">
    <w:name w:val="page number"/>
    <w:rsid w:val="00A3501B"/>
    <w:rPr>
      <w:rFonts w:cs="Times New Roman"/>
    </w:rPr>
  </w:style>
  <w:style w:type="paragraph" w:styleId="Encabezado">
    <w:name w:val="header"/>
    <w:basedOn w:val="Normal"/>
    <w:link w:val="EncabezadoCar"/>
    <w:uiPriority w:val="99"/>
    <w:rsid w:val="00A3501B"/>
    <w:pPr>
      <w:tabs>
        <w:tab w:val="center" w:pos="4252"/>
        <w:tab w:val="right" w:pos="8504"/>
      </w:tabs>
    </w:pPr>
  </w:style>
  <w:style w:type="character" w:customStyle="1" w:styleId="EncabezadoCar">
    <w:name w:val="Encabezado Car"/>
    <w:basedOn w:val="Fuentedeprrafopredeter"/>
    <w:link w:val="Encabezado"/>
    <w:uiPriority w:val="99"/>
    <w:rsid w:val="00A3501B"/>
    <w:rPr>
      <w:rFonts w:ascii="Arial" w:eastAsia="Times New Roman" w:hAnsi="Arial" w:cs="Arial"/>
      <w:spacing w:val="20"/>
      <w:sz w:val="28"/>
      <w:szCs w:val="28"/>
      <w:lang w:val="es-ES" w:eastAsia="es-ES"/>
    </w:rPr>
  </w:style>
  <w:style w:type="paragraph" w:customStyle="1" w:styleId="Normal9pt">
    <w:name w:val="Normal + 9 pt"/>
    <w:aliases w:val="Sin Expandido / Comprimido"/>
    <w:basedOn w:val="Textoindependiente"/>
    <w:rsid w:val="00A3501B"/>
    <w:pPr>
      <w:numPr>
        <w:numId w:val="1"/>
      </w:numPr>
    </w:pPr>
    <w:rPr>
      <w:spacing w:val="0"/>
      <w:sz w:val="18"/>
      <w:szCs w:val="18"/>
    </w:rPr>
  </w:style>
  <w:style w:type="table" w:styleId="Tablaconcuadrcula">
    <w:name w:val="Table Grid"/>
    <w:basedOn w:val="Tablanormal"/>
    <w:uiPriority w:val="39"/>
    <w:rsid w:val="00A3501B"/>
    <w:pPr>
      <w:spacing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2533</Words>
  <Characters>13936</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Guzman Isaza</dc:creator>
  <cp:keywords/>
  <dc:description/>
  <cp:lastModifiedBy>Gabriel Armando Ospina Garcia</cp:lastModifiedBy>
  <cp:revision>4</cp:revision>
  <dcterms:created xsi:type="dcterms:W3CDTF">2019-07-10T16:46:00Z</dcterms:created>
  <dcterms:modified xsi:type="dcterms:W3CDTF">2019-07-23T16:25:00Z</dcterms:modified>
</cp:coreProperties>
</file>