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A298C" w14:textId="77777777" w:rsidR="00441762" w:rsidRPr="002233D4" w:rsidRDefault="00441762" w:rsidP="00441762">
      <w:pPr>
        <w:tabs>
          <w:tab w:val="left" w:pos="540"/>
        </w:tabs>
        <w:jc w:val="center"/>
        <w:outlineLvl w:val="0"/>
        <w:rPr>
          <w:rFonts w:ascii="Arial" w:hAnsi="Arial" w:cs="Arial"/>
          <w:b/>
          <w:sz w:val="18"/>
          <w:szCs w:val="18"/>
        </w:rPr>
      </w:pPr>
      <w:r w:rsidRPr="002233D4">
        <w:rPr>
          <w:rFonts w:ascii="Arial" w:hAnsi="Arial" w:cs="Arial"/>
          <w:b/>
          <w:sz w:val="18"/>
          <w:szCs w:val="18"/>
        </w:rPr>
        <w:t>CAPITULO VI</w:t>
      </w:r>
    </w:p>
    <w:p w14:paraId="7E08C589" w14:textId="77777777" w:rsidR="00441762" w:rsidRPr="002233D4" w:rsidRDefault="00441762" w:rsidP="00441762">
      <w:pPr>
        <w:jc w:val="center"/>
        <w:rPr>
          <w:rFonts w:ascii="Arial" w:hAnsi="Arial" w:cs="Arial"/>
          <w:b/>
          <w:sz w:val="18"/>
          <w:szCs w:val="18"/>
        </w:rPr>
      </w:pPr>
    </w:p>
    <w:p w14:paraId="318F0544" w14:textId="77777777" w:rsidR="00441762" w:rsidRPr="002233D4" w:rsidRDefault="00441762" w:rsidP="00441762">
      <w:pPr>
        <w:jc w:val="center"/>
        <w:rPr>
          <w:rFonts w:ascii="Arial" w:hAnsi="Arial" w:cs="Arial"/>
          <w:b/>
          <w:sz w:val="18"/>
          <w:szCs w:val="18"/>
        </w:rPr>
      </w:pPr>
      <w:r w:rsidRPr="002233D4">
        <w:rPr>
          <w:rFonts w:ascii="Arial" w:hAnsi="Arial" w:cs="Arial"/>
          <w:b/>
          <w:sz w:val="18"/>
          <w:szCs w:val="18"/>
        </w:rPr>
        <w:t>REGLAS RELATIVAS AL SISTEMA DE ADMINISTRACIÓN DEL</w:t>
      </w:r>
    </w:p>
    <w:p w14:paraId="56C9DC24" w14:textId="77777777" w:rsidR="00441762" w:rsidRPr="002233D4" w:rsidRDefault="00441762" w:rsidP="00441762">
      <w:pPr>
        <w:jc w:val="center"/>
        <w:rPr>
          <w:rFonts w:ascii="Arial" w:hAnsi="Arial" w:cs="Arial"/>
          <w:b/>
          <w:sz w:val="18"/>
          <w:szCs w:val="18"/>
        </w:rPr>
      </w:pPr>
      <w:r w:rsidRPr="002233D4">
        <w:rPr>
          <w:rFonts w:ascii="Arial" w:hAnsi="Arial" w:cs="Arial"/>
          <w:b/>
          <w:sz w:val="18"/>
          <w:szCs w:val="18"/>
        </w:rPr>
        <w:t>RIESGO DE LIQUIDEZ</w:t>
      </w:r>
    </w:p>
    <w:p w14:paraId="190F3423" w14:textId="77777777" w:rsidR="00441762" w:rsidRPr="002233D4" w:rsidRDefault="00441762" w:rsidP="00441762">
      <w:pPr>
        <w:jc w:val="center"/>
        <w:rPr>
          <w:rFonts w:ascii="Arial" w:hAnsi="Arial" w:cs="Arial"/>
          <w:b/>
          <w:sz w:val="18"/>
          <w:szCs w:val="18"/>
        </w:rPr>
      </w:pPr>
    </w:p>
    <w:p w14:paraId="774FDB22" w14:textId="77777777" w:rsidR="00441762" w:rsidRPr="002233D4" w:rsidRDefault="00441762" w:rsidP="00441762">
      <w:pPr>
        <w:jc w:val="center"/>
        <w:rPr>
          <w:rFonts w:ascii="Arial" w:hAnsi="Arial" w:cs="Arial"/>
          <w:b/>
          <w:sz w:val="18"/>
          <w:szCs w:val="18"/>
        </w:rPr>
      </w:pPr>
    </w:p>
    <w:p w14:paraId="4D969EF0" w14:textId="77777777" w:rsidR="00441762" w:rsidRPr="002233D4" w:rsidRDefault="00441762" w:rsidP="00441762">
      <w:pPr>
        <w:jc w:val="center"/>
        <w:rPr>
          <w:rFonts w:ascii="Arial" w:hAnsi="Arial" w:cs="Arial"/>
          <w:b/>
          <w:sz w:val="18"/>
          <w:szCs w:val="18"/>
        </w:rPr>
      </w:pPr>
      <w:r w:rsidRPr="002233D4">
        <w:rPr>
          <w:rFonts w:ascii="Arial" w:hAnsi="Arial" w:cs="Arial"/>
          <w:b/>
          <w:sz w:val="18"/>
          <w:szCs w:val="18"/>
        </w:rPr>
        <w:t>CONTENIDO</w:t>
      </w:r>
    </w:p>
    <w:p w14:paraId="265C3322" w14:textId="77777777" w:rsidR="00441762" w:rsidRPr="002233D4" w:rsidRDefault="00441762" w:rsidP="00441762">
      <w:pPr>
        <w:jc w:val="center"/>
        <w:rPr>
          <w:rFonts w:ascii="Arial" w:hAnsi="Arial" w:cs="Arial"/>
          <w:b/>
          <w:sz w:val="18"/>
          <w:szCs w:val="18"/>
        </w:rPr>
      </w:pPr>
    </w:p>
    <w:p w14:paraId="3A225FF1" w14:textId="77777777" w:rsidR="00441762" w:rsidRPr="002233D4" w:rsidRDefault="00441762" w:rsidP="00441762">
      <w:pPr>
        <w:jc w:val="center"/>
        <w:rPr>
          <w:rFonts w:ascii="Arial" w:hAnsi="Arial" w:cs="Arial"/>
          <w:b/>
          <w:sz w:val="18"/>
          <w:szCs w:val="18"/>
        </w:rPr>
      </w:pPr>
    </w:p>
    <w:p w14:paraId="53C76A0E" w14:textId="77777777" w:rsidR="00441762" w:rsidRPr="003F6922" w:rsidRDefault="00441762" w:rsidP="003F6922">
      <w:pPr>
        <w:pBdr>
          <w:left w:val="single" w:sz="4" w:space="1" w:color="auto"/>
        </w:pBdr>
        <w:jc w:val="center"/>
        <w:rPr>
          <w:rFonts w:ascii="Arial" w:hAnsi="Arial" w:cs="Arial"/>
          <w:b/>
          <w:sz w:val="18"/>
          <w:szCs w:val="18"/>
        </w:rPr>
      </w:pPr>
    </w:p>
    <w:p w14:paraId="243C7C32" w14:textId="77777777" w:rsidR="00441762" w:rsidRPr="003F6922" w:rsidRDefault="00441762" w:rsidP="003F6922">
      <w:pPr>
        <w:pStyle w:val="Sangradetextonormal"/>
        <w:pBdr>
          <w:left w:val="single" w:sz="4" w:space="1" w:color="auto"/>
        </w:pBdr>
        <w:ind w:left="0" w:firstLine="0"/>
        <w:rPr>
          <w:b/>
          <w:sz w:val="18"/>
        </w:rPr>
      </w:pPr>
      <w:r w:rsidRPr="003F6922">
        <w:rPr>
          <w:b/>
          <w:sz w:val="18"/>
        </w:rPr>
        <w:t>Consideraciones generales</w:t>
      </w:r>
    </w:p>
    <w:p w14:paraId="3F754D3A" w14:textId="77777777" w:rsidR="00441762" w:rsidRPr="003F6922" w:rsidRDefault="00441762" w:rsidP="003F6922">
      <w:pPr>
        <w:pBdr>
          <w:left w:val="single" w:sz="4" w:space="1" w:color="auto"/>
        </w:pBdr>
        <w:tabs>
          <w:tab w:val="left" w:pos="540"/>
          <w:tab w:val="left" w:pos="3682"/>
        </w:tabs>
        <w:jc w:val="both"/>
        <w:rPr>
          <w:rFonts w:ascii="Arial" w:hAnsi="Arial" w:cs="Arial"/>
          <w:b/>
          <w:sz w:val="18"/>
          <w:szCs w:val="18"/>
        </w:rPr>
      </w:pPr>
    </w:p>
    <w:p w14:paraId="1220735A" w14:textId="77777777" w:rsidR="00441762" w:rsidRPr="003F6922" w:rsidRDefault="003F6922" w:rsidP="003F6922">
      <w:pPr>
        <w:pStyle w:val="Ttulo1"/>
        <w:pBdr>
          <w:left w:val="single" w:sz="4" w:space="1" w:color="auto"/>
        </w:pBdr>
        <w:rPr>
          <w:sz w:val="18"/>
        </w:rPr>
      </w:pPr>
      <w:r w:rsidRPr="003F6922">
        <w:rPr>
          <w:sz w:val="18"/>
        </w:rPr>
        <w:t xml:space="preserve">1. </w:t>
      </w:r>
      <w:r w:rsidR="00441762" w:rsidRPr="003F6922">
        <w:rPr>
          <w:sz w:val="18"/>
        </w:rPr>
        <w:t>Definiciones</w:t>
      </w:r>
    </w:p>
    <w:p w14:paraId="01F60FE7" w14:textId="77777777" w:rsidR="00441762" w:rsidRPr="003F6922" w:rsidRDefault="00441762" w:rsidP="003F6922">
      <w:pPr>
        <w:pBdr>
          <w:left w:val="single" w:sz="4" w:space="1" w:color="auto"/>
        </w:pBdr>
        <w:tabs>
          <w:tab w:val="left" w:pos="540"/>
        </w:tabs>
        <w:jc w:val="both"/>
        <w:rPr>
          <w:rFonts w:ascii="Arial" w:hAnsi="Arial" w:cs="Arial"/>
          <w:b/>
          <w:sz w:val="18"/>
          <w:szCs w:val="18"/>
        </w:rPr>
      </w:pPr>
    </w:p>
    <w:p w14:paraId="57CCB9FA" w14:textId="77777777" w:rsidR="00441762" w:rsidRPr="003F6922" w:rsidRDefault="003F6922" w:rsidP="003F6922">
      <w:pPr>
        <w:pStyle w:val="Titulo2"/>
        <w:pBdr>
          <w:left w:val="single" w:sz="4" w:space="1" w:color="auto"/>
        </w:pBdr>
        <w:rPr>
          <w:sz w:val="18"/>
          <w:szCs w:val="18"/>
        </w:rPr>
      </w:pPr>
      <w:r w:rsidRPr="003F6922">
        <w:rPr>
          <w:sz w:val="18"/>
          <w:szCs w:val="18"/>
        </w:rPr>
        <w:t xml:space="preserve">2. </w:t>
      </w:r>
      <w:r w:rsidR="00441762" w:rsidRPr="003F6922">
        <w:rPr>
          <w:sz w:val="18"/>
          <w:szCs w:val="18"/>
        </w:rPr>
        <w:t>Riesgo de Liquidez</w:t>
      </w:r>
    </w:p>
    <w:p w14:paraId="64079A57" w14:textId="77777777" w:rsidR="00441762" w:rsidRPr="003F6922" w:rsidRDefault="00441762" w:rsidP="003F6922">
      <w:pPr>
        <w:pStyle w:val="Titulo2"/>
        <w:pBdr>
          <w:left w:val="single" w:sz="4" w:space="1" w:color="auto"/>
        </w:pBdr>
        <w:rPr>
          <w:sz w:val="18"/>
          <w:szCs w:val="18"/>
        </w:rPr>
      </w:pPr>
    </w:p>
    <w:p w14:paraId="12B8E961" w14:textId="77777777" w:rsidR="00441762" w:rsidRPr="003F6922" w:rsidRDefault="003F6922" w:rsidP="003F6922">
      <w:pPr>
        <w:pStyle w:val="Titulo2"/>
        <w:pBdr>
          <w:left w:val="single" w:sz="4" w:space="1" w:color="auto"/>
        </w:pBdr>
        <w:rPr>
          <w:sz w:val="18"/>
          <w:szCs w:val="18"/>
        </w:rPr>
      </w:pPr>
      <w:r w:rsidRPr="003F6922">
        <w:rPr>
          <w:sz w:val="18"/>
          <w:szCs w:val="18"/>
        </w:rPr>
        <w:t xml:space="preserve">3. </w:t>
      </w:r>
      <w:r w:rsidR="00441762" w:rsidRPr="003F6922">
        <w:rPr>
          <w:sz w:val="18"/>
          <w:szCs w:val="18"/>
        </w:rPr>
        <w:t>Ámbito de aplicación</w:t>
      </w:r>
    </w:p>
    <w:p w14:paraId="5ADDE5AF" w14:textId="77777777" w:rsidR="00441762" w:rsidRPr="003F6922" w:rsidRDefault="00441762" w:rsidP="003F6922">
      <w:pPr>
        <w:pBdr>
          <w:left w:val="single" w:sz="4" w:space="1" w:color="auto"/>
        </w:pBdr>
        <w:tabs>
          <w:tab w:val="left" w:pos="540"/>
        </w:tabs>
        <w:jc w:val="both"/>
        <w:rPr>
          <w:rFonts w:ascii="Arial" w:hAnsi="Arial" w:cs="Arial"/>
          <w:b/>
          <w:sz w:val="18"/>
          <w:szCs w:val="18"/>
        </w:rPr>
      </w:pPr>
    </w:p>
    <w:p w14:paraId="0DC1544D" w14:textId="77777777" w:rsidR="00441762" w:rsidRPr="003F6922" w:rsidRDefault="003F6922" w:rsidP="003F6922">
      <w:pPr>
        <w:pStyle w:val="Titulo2"/>
        <w:pBdr>
          <w:left w:val="single" w:sz="4" w:space="1" w:color="auto"/>
        </w:pBdr>
        <w:rPr>
          <w:sz w:val="18"/>
          <w:szCs w:val="18"/>
        </w:rPr>
      </w:pPr>
      <w:r w:rsidRPr="003F6922">
        <w:rPr>
          <w:sz w:val="18"/>
          <w:szCs w:val="18"/>
        </w:rPr>
        <w:t xml:space="preserve">4. </w:t>
      </w:r>
      <w:r w:rsidR="00441762" w:rsidRPr="003F6922">
        <w:rPr>
          <w:sz w:val="18"/>
          <w:szCs w:val="18"/>
        </w:rPr>
        <w:t>Alcance del Sistema de Administración de Riesgo de Liquidez (SARL)</w:t>
      </w:r>
    </w:p>
    <w:p w14:paraId="4CCBCCC3" w14:textId="77777777" w:rsidR="00441762" w:rsidRPr="003F6922" w:rsidRDefault="00441762" w:rsidP="003F6922">
      <w:pPr>
        <w:pBdr>
          <w:left w:val="single" w:sz="4" w:space="1" w:color="auto"/>
        </w:pBdr>
        <w:tabs>
          <w:tab w:val="left" w:pos="540"/>
        </w:tabs>
        <w:jc w:val="both"/>
        <w:rPr>
          <w:rFonts w:ascii="Arial" w:hAnsi="Arial" w:cs="Arial"/>
          <w:b/>
          <w:sz w:val="18"/>
          <w:szCs w:val="18"/>
        </w:rPr>
      </w:pPr>
    </w:p>
    <w:p w14:paraId="417B36EC" w14:textId="77777777" w:rsidR="00441762" w:rsidRPr="003F6922" w:rsidRDefault="003F6922" w:rsidP="003F6922">
      <w:pPr>
        <w:pStyle w:val="Titulo2"/>
        <w:pBdr>
          <w:left w:val="single" w:sz="4" w:space="1" w:color="auto"/>
        </w:pBdr>
        <w:rPr>
          <w:rStyle w:val="Titulo3Car"/>
          <w:b/>
          <w:sz w:val="18"/>
          <w:szCs w:val="18"/>
        </w:rPr>
      </w:pPr>
      <w:r w:rsidRPr="003F6922">
        <w:rPr>
          <w:rStyle w:val="Titulo3Car"/>
          <w:b/>
          <w:sz w:val="18"/>
          <w:szCs w:val="18"/>
        </w:rPr>
        <w:t xml:space="preserve">5. </w:t>
      </w:r>
      <w:r w:rsidR="00441762" w:rsidRPr="003F6922">
        <w:rPr>
          <w:rStyle w:val="Titulo3Car"/>
          <w:b/>
          <w:sz w:val="18"/>
          <w:szCs w:val="18"/>
        </w:rPr>
        <w:t>Etapas del SARL</w:t>
      </w:r>
    </w:p>
    <w:p w14:paraId="2EF6CCA9" w14:textId="77777777" w:rsidR="00441762" w:rsidRPr="003F6922" w:rsidRDefault="003F6922" w:rsidP="0090040D">
      <w:pPr>
        <w:pStyle w:val="Titulo"/>
        <w:pBdr>
          <w:left w:val="single" w:sz="4" w:space="1" w:color="auto"/>
        </w:pBdr>
        <w:rPr>
          <w:sz w:val="18"/>
          <w:szCs w:val="18"/>
        </w:rPr>
      </w:pPr>
      <w:r w:rsidRPr="003F6922">
        <w:rPr>
          <w:rStyle w:val="Titulo3Car"/>
          <w:b/>
          <w:sz w:val="18"/>
          <w:szCs w:val="18"/>
        </w:rPr>
        <w:t>5.1. Identificación</w:t>
      </w:r>
    </w:p>
    <w:p w14:paraId="4D162977" w14:textId="77777777" w:rsidR="003F6922" w:rsidRPr="0090040D" w:rsidRDefault="003F6922" w:rsidP="003F6922">
      <w:pPr>
        <w:pStyle w:val="Titulo"/>
        <w:pBdr>
          <w:left w:val="single" w:sz="4" w:space="1" w:color="auto"/>
        </w:pBdr>
        <w:rPr>
          <w:bCs w:val="0"/>
          <w:sz w:val="18"/>
          <w:szCs w:val="18"/>
        </w:rPr>
      </w:pPr>
      <w:r w:rsidRPr="003F6922">
        <w:rPr>
          <w:rStyle w:val="Titulo3Car"/>
          <w:b/>
          <w:sz w:val="18"/>
          <w:szCs w:val="18"/>
        </w:rPr>
        <w:t>5.2. Medición</w:t>
      </w:r>
    </w:p>
    <w:p w14:paraId="66418B4D" w14:textId="77777777" w:rsidR="003F692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5.2.1. </w:t>
      </w:r>
      <w:r w:rsidR="00441762" w:rsidRPr="003F6922">
        <w:rPr>
          <w:rStyle w:val="Titulo3Car"/>
          <w:b/>
          <w:sz w:val="18"/>
          <w:szCs w:val="18"/>
        </w:rPr>
        <w:t>Metodología para la medición del Riesgo de Liquidez</w:t>
      </w:r>
    </w:p>
    <w:p w14:paraId="7B89F757"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5.2.2. </w:t>
      </w:r>
      <w:r w:rsidR="00441762" w:rsidRPr="003F6922">
        <w:rPr>
          <w:rStyle w:val="Titulo3Car"/>
          <w:b/>
          <w:sz w:val="18"/>
          <w:szCs w:val="18"/>
        </w:rPr>
        <w:t xml:space="preserve">Reglas relativas al desarrollo de modelos internos </w:t>
      </w:r>
    </w:p>
    <w:p w14:paraId="76E2B3CC"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5.2.2.1. </w:t>
      </w:r>
      <w:r w:rsidR="00441762" w:rsidRPr="003F6922">
        <w:rPr>
          <w:rStyle w:val="Titulo3Car"/>
          <w:b/>
          <w:sz w:val="18"/>
          <w:szCs w:val="18"/>
        </w:rPr>
        <w:t>Estándares cualitativos y cuantitativos para los modelos internos</w:t>
      </w:r>
    </w:p>
    <w:p w14:paraId="7218883A"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5.2.2.2. </w:t>
      </w:r>
      <w:r w:rsidR="00441762" w:rsidRPr="003F6922">
        <w:rPr>
          <w:rStyle w:val="Titulo3Car"/>
          <w:b/>
          <w:sz w:val="18"/>
          <w:szCs w:val="18"/>
        </w:rPr>
        <w:t>Pruebas de desempeño de los modelos internos</w:t>
      </w:r>
    </w:p>
    <w:p w14:paraId="322F014C" w14:textId="77777777" w:rsidR="00441762" w:rsidRPr="003F6922" w:rsidRDefault="003F6922" w:rsidP="00417481">
      <w:pPr>
        <w:pStyle w:val="Titulo"/>
        <w:pBdr>
          <w:left w:val="single" w:sz="4" w:space="1" w:color="auto"/>
        </w:pBdr>
        <w:rPr>
          <w:rStyle w:val="Titulo3Car"/>
          <w:b/>
          <w:sz w:val="18"/>
          <w:szCs w:val="18"/>
        </w:rPr>
      </w:pPr>
      <w:r w:rsidRPr="003F6922">
        <w:rPr>
          <w:rStyle w:val="Titulo3Car"/>
          <w:b/>
          <w:sz w:val="18"/>
          <w:szCs w:val="18"/>
        </w:rPr>
        <w:t xml:space="preserve">5.2.2.3. </w:t>
      </w:r>
      <w:r w:rsidR="00441762" w:rsidRPr="003F6922">
        <w:rPr>
          <w:rStyle w:val="Titulo3Car"/>
          <w:b/>
          <w:sz w:val="18"/>
          <w:szCs w:val="18"/>
        </w:rPr>
        <w:t>Combinación de los modelos internos y la metodología estándar</w:t>
      </w:r>
    </w:p>
    <w:p w14:paraId="50518D8F" w14:textId="77777777" w:rsidR="00441762" w:rsidRPr="003F6922" w:rsidRDefault="003F6922" w:rsidP="00417481">
      <w:pPr>
        <w:pStyle w:val="Titulo"/>
        <w:pBdr>
          <w:left w:val="single" w:sz="4" w:space="1" w:color="auto"/>
        </w:pBdr>
        <w:rPr>
          <w:rStyle w:val="Titulo3Car"/>
          <w:b/>
          <w:sz w:val="18"/>
          <w:szCs w:val="18"/>
        </w:rPr>
      </w:pPr>
      <w:r w:rsidRPr="003F6922">
        <w:rPr>
          <w:rStyle w:val="Titulo3Car"/>
          <w:b/>
          <w:sz w:val="18"/>
          <w:szCs w:val="18"/>
        </w:rPr>
        <w:t xml:space="preserve">5.2.2.4. </w:t>
      </w:r>
      <w:r w:rsidR="00441762" w:rsidRPr="003F6922">
        <w:rPr>
          <w:rStyle w:val="Titulo3Car"/>
          <w:b/>
          <w:sz w:val="18"/>
          <w:szCs w:val="18"/>
        </w:rPr>
        <w:t>Cálculo de la exposición al Riesgo de Liquidez con los modelos internos</w:t>
      </w:r>
    </w:p>
    <w:p w14:paraId="63B095B1" w14:textId="77777777" w:rsidR="00441762" w:rsidRPr="003F6922" w:rsidRDefault="003F6922" w:rsidP="00417481">
      <w:pPr>
        <w:pStyle w:val="Sangradetextonormal"/>
        <w:pBdr>
          <w:left w:val="single" w:sz="4" w:space="1" w:color="auto"/>
        </w:pBdr>
        <w:ind w:left="0" w:firstLine="0"/>
        <w:rPr>
          <w:b/>
          <w:sz w:val="18"/>
          <w:lang w:val="es-ES_tradnl"/>
        </w:rPr>
      </w:pPr>
      <w:r w:rsidRPr="003F6922">
        <w:rPr>
          <w:b/>
          <w:sz w:val="18"/>
          <w:lang w:val="es-ES_tradnl"/>
        </w:rPr>
        <w:t xml:space="preserve">5.2.3. </w:t>
      </w:r>
      <w:r w:rsidR="00441762" w:rsidRPr="003F6922">
        <w:rPr>
          <w:b/>
          <w:sz w:val="18"/>
          <w:lang w:val="es-ES_tradnl"/>
        </w:rPr>
        <w:t xml:space="preserve">Límite del Indicador de Riesgo de Liquidez – IRL </w:t>
      </w:r>
      <w:r w:rsidR="007C4EF6" w:rsidRPr="003F6922">
        <w:rPr>
          <w:b/>
          <w:sz w:val="18"/>
          <w:lang w:val="es-ES_tradnl"/>
        </w:rPr>
        <w:t>y CFEN</w:t>
      </w:r>
    </w:p>
    <w:p w14:paraId="086B92FA" w14:textId="77777777" w:rsidR="00441762" w:rsidRPr="003F6922" w:rsidRDefault="003F6922" w:rsidP="00417481">
      <w:pPr>
        <w:pStyle w:val="Sangradetextonormal"/>
        <w:pBdr>
          <w:left w:val="single" w:sz="4" w:space="1" w:color="auto"/>
        </w:pBdr>
        <w:ind w:left="0" w:firstLine="0"/>
        <w:rPr>
          <w:b/>
          <w:sz w:val="18"/>
          <w:lang w:val="es-ES_tradnl"/>
        </w:rPr>
      </w:pPr>
      <w:r w:rsidRPr="003F6922">
        <w:rPr>
          <w:b/>
          <w:sz w:val="18"/>
          <w:lang w:val="es-ES_tradnl"/>
        </w:rPr>
        <w:t xml:space="preserve">5.2.4. </w:t>
      </w:r>
      <w:r w:rsidR="00441762" w:rsidRPr="003F6922">
        <w:rPr>
          <w:b/>
          <w:sz w:val="18"/>
          <w:lang w:val="es-ES_tradnl"/>
        </w:rPr>
        <w:t>Exposición significativa al riesgo de liquidez</w:t>
      </w:r>
    </w:p>
    <w:p w14:paraId="21F234F9" w14:textId="77777777" w:rsidR="00441762" w:rsidRPr="003F6922" w:rsidRDefault="00441762" w:rsidP="00381F8F">
      <w:pPr>
        <w:pStyle w:val="Sangradetextonormal"/>
        <w:pBdr>
          <w:left w:val="single" w:sz="4" w:space="1" w:color="auto"/>
        </w:pBdr>
        <w:tabs>
          <w:tab w:val="clear" w:pos="720"/>
          <w:tab w:val="left" w:pos="567"/>
        </w:tabs>
        <w:ind w:left="567" w:hanging="567"/>
        <w:rPr>
          <w:b/>
          <w:sz w:val="18"/>
          <w:lang w:val="es-ES_tradnl"/>
        </w:rPr>
      </w:pPr>
      <w:r w:rsidRPr="003F6922">
        <w:rPr>
          <w:b/>
          <w:sz w:val="18"/>
          <w:lang w:val="es-ES_tradnl"/>
        </w:rPr>
        <w:t>5.2.5</w:t>
      </w:r>
      <w:r w:rsidR="003F6922" w:rsidRPr="003F6922">
        <w:rPr>
          <w:b/>
          <w:sz w:val="18"/>
          <w:lang w:val="es-ES_tradnl"/>
        </w:rPr>
        <w:t xml:space="preserve">. </w:t>
      </w:r>
      <w:r w:rsidRPr="003F6922">
        <w:rPr>
          <w:b/>
          <w:sz w:val="18"/>
          <w:lang w:val="es-ES_tradnl"/>
        </w:rPr>
        <w:t>Medidas prudenciales para contrarrestar la exposición significativa al riesgo de liquidez de los establecimientos de crédito</w:t>
      </w:r>
    </w:p>
    <w:p w14:paraId="63E6F81E" w14:textId="77777777" w:rsidR="00441762" w:rsidRPr="003F6922" w:rsidRDefault="003F6922" w:rsidP="00381F8F">
      <w:pPr>
        <w:pStyle w:val="Sangradetextonormal"/>
        <w:pBdr>
          <w:left w:val="single" w:sz="4" w:space="1" w:color="auto"/>
        </w:pBdr>
        <w:tabs>
          <w:tab w:val="clear" w:pos="720"/>
          <w:tab w:val="left" w:pos="567"/>
        </w:tabs>
        <w:ind w:left="567" w:hanging="567"/>
        <w:rPr>
          <w:b/>
          <w:sz w:val="18"/>
          <w:lang w:val="es-ES_tradnl"/>
        </w:rPr>
      </w:pPr>
      <w:r w:rsidRPr="003F6922">
        <w:rPr>
          <w:b/>
          <w:sz w:val="18"/>
          <w:lang w:val="es-ES_tradnl"/>
        </w:rPr>
        <w:t xml:space="preserve">5.2.6. </w:t>
      </w:r>
      <w:r w:rsidR="00441762" w:rsidRPr="003F6922">
        <w:rPr>
          <w:b/>
          <w:sz w:val="18"/>
          <w:lang w:val="es-ES_tradnl"/>
        </w:rPr>
        <w:t xml:space="preserve">Medidas correctivas para contrarrestar la exposición significativa al riesgo de liquidez de </w:t>
      </w:r>
      <w:r w:rsidR="00CC7AC8">
        <w:rPr>
          <w:b/>
          <w:sz w:val="18"/>
          <w:lang w:val="es-ES_tradnl"/>
        </w:rPr>
        <w:t>los establecimientos de crédito</w:t>
      </w:r>
    </w:p>
    <w:p w14:paraId="2EC97190" w14:textId="77777777" w:rsidR="00441762" w:rsidRPr="003F6922" w:rsidRDefault="003F6922" w:rsidP="00381F8F">
      <w:pPr>
        <w:pStyle w:val="Sangradetextonormal"/>
        <w:pBdr>
          <w:left w:val="single" w:sz="4" w:space="1" w:color="auto"/>
        </w:pBdr>
        <w:tabs>
          <w:tab w:val="clear" w:pos="720"/>
          <w:tab w:val="left" w:pos="567"/>
        </w:tabs>
        <w:ind w:left="567" w:hanging="567"/>
        <w:rPr>
          <w:b/>
          <w:sz w:val="18"/>
          <w:lang w:val="es-ES_tradnl"/>
        </w:rPr>
      </w:pPr>
      <w:r w:rsidRPr="003F6922">
        <w:rPr>
          <w:b/>
          <w:sz w:val="18"/>
          <w:lang w:val="es-ES_tradnl"/>
        </w:rPr>
        <w:t xml:space="preserve">5.2.7. </w:t>
      </w:r>
      <w:r w:rsidR="00441762" w:rsidRPr="003F6922">
        <w:rPr>
          <w:b/>
          <w:sz w:val="18"/>
          <w:lang w:val="es-ES_tradnl"/>
        </w:rPr>
        <w:t>Medidas prudenciales para contrarrestar la exposición significativa al riesgo de liquidez de las sociedades comisionistas de bolsa de valores</w:t>
      </w:r>
    </w:p>
    <w:p w14:paraId="011672EA" w14:textId="77777777" w:rsidR="00441762" w:rsidRPr="003F6922" w:rsidRDefault="003F6922" w:rsidP="00381F8F">
      <w:pPr>
        <w:pStyle w:val="Sangradetextonormal"/>
        <w:pBdr>
          <w:left w:val="single" w:sz="4" w:space="1" w:color="auto"/>
        </w:pBdr>
        <w:tabs>
          <w:tab w:val="clear" w:pos="720"/>
          <w:tab w:val="left" w:pos="567"/>
        </w:tabs>
        <w:ind w:left="567" w:hanging="567"/>
        <w:rPr>
          <w:b/>
          <w:sz w:val="18"/>
          <w:lang w:val="es-ES_tradnl"/>
        </w:rPr>
      </w:pPr>
      <w:r w:rsidRPr="003F6922">
        <w:rPr>
          <w:b/>
          <w:sz w:val="18"/>
          <w:lang w:val="es-ES_tradnl"/>
        </w:rPr>
        <w:t xml:space="preserve">5.2.8. </w:t>
      </w:r>
      <w:r w:rsidR="00441762" w:rsidRPr="003F6922">
        <w:rPr>
          <w:b/>
          <w:sz w:val="18"/>
          <w:lang w:val="es-ES_tradnl"/>
        </w:rPr>
        <w:t>Medidas correctivas para contrarrestar la exposición significativa al riesgo de liquidez de las    sociedades comisionistas de bolsa de valores</w:t>
      </w:r>
    </w:p>
    <w:p w14:paraId="55432711" w14:textId="77777777" w:rsidR="00441762" w:rsidRPr="003F6922" w:rsidRDefault="003F6922" w:rsidP="003F6922">
      <w:pPr>
        <w:pStyle w:val="Sangradetextonormal"/>
        <w:pBdr>
          <w:left w:val="single" w:sz="4" w:space="1" w:color="auto"/>
        </w:pBdr>
        <w:ind w:left="709" w:hanging="709"/>
        <w:rPr>
          <w:b/>
          <w:sz w:val="18"/>
          <w:lang w:val="es-ES_tradnl"/>
        </w:rPr>
      </w:pPr>
      <w:r w:rsidRPr="003F6922">
        <w:rPr>
          <w:b/>
          <w:sz w:val="18"/>
          <w:lang w:val="es-ES_tradnl"/>
        </w:rPr>
        <w:t xml:space="preserve">5.2.9. </w:t>
      </w:r>
      <w:r w:rsidR="00441762" w:rsidRPr="003F6922">
        <w:rPr>
          <w:b/>
          <w:sz w:val="18"/>
          <w:lang w:val="es-ES_tradnl"/>
        </w:rPr>
        <w:t xml:space="preserve">Medidas prudenciales para contrarrestar la exposición significativa al riesgo de liquidez de los </w:t>
      </w:r>
      <w:proofErr w:type="spellStart"/>
      <w:r w:rsidR="00441762" w:rsidRPr="003F6922">
        <w:rPr>
          <w:b/>
          <w:sz w:val="18"/>
          <w:lang w:val="es-ES_tradnl"/>
        </w:rPr>
        <w:t>FICs</w:t>
      </w:r>
      <w:proofErr w:type="spellEnd"/>
    </w:p>
    <w:p w14:paraId="0C3E8987" w14:textId="77777777" w:rsidR="00441762" w:rsidRPr="003F6922" w:rsidRDefault="003F6922" w:rsidP="003F6922">
      <w:pPr>
        <w:pStyle w:val="Sangradetextonormal"/>
        <w:pBdr>
          <w:left w:val="single" w:sz="4" w:space="1" w:color="auto"/>
        </w:pBdr>
        <w:ind w:left="709" w:hanging="709"/>
        <w:rPr>
          <w:b/>
          <w:sz w:val="18"/>
          <w:lang w:val="es-ES_tradnl"/>
        </w:rPr>
      </w:pPr>
      <w:r w:rsidRPr="003F6922">
        <w:rPr>
          <w:b/>
          <w:sz w:val="18"/>
          <w:lang w:val="es-ES_tradnl"/>
        </w:rPr>
        <w:t xml:space="preserve">5.2.9.1. </w:t>
      </w:r>
      <w:r w:rsidR="00441762" w:rsidRPr="003F6922">
        <w:rPr>
          <w:b/>
          <w:sz w:val="18"/>
          <w:lang w:val="es-ES_tradnl"/>
        </w:rPr>
        <w:t>Deber de información sobre la exposición significativa al Riesgo de Liquidez a la SFC.</w:t>
      </w:r>
    </w:p>
    <w:p w14:paraId="562EB085" w14:textId="77777777" w:rsidR="00441762" w:rsidRPr="003F6922" w:rsidRDefault="003F6922" w:rsidP="003F6922">
      <w:pPr>
        <w:pStyle w:val="Sangradetextonormal"/>
        <w:pBdr>
          <w:left w:val="single" w:sz="4" w:space="1" w:color="auto"/>
        </w:pBdr>
        <w:ind w:left="709" w:hanging="709"/>
        <w:rPr>
          <w:b/>
          <w:sz w:val="18"/>
          <w:lang w:val="es-ES_tradnl"/>
        </w:rPr>
      </w:pPr>
      <w:r w:rsidRPr="003F6922">
        <w:rPr>
          <w:b/>
          <w:sz w:val="18"/>
          <w:lang w:val="es-ES_tradnl"/>
        </w:rPr>
        <w:t xml:space="preserve">5.2.9.2. </w:t>
      </w:r>
      <w:r w:rsidR="00441762" w:rsidRPr="003F6922">
        <w:rPr>
          <w:b/>
          <w:sz w:val="18"/>
          <w:lang w:val="es-ES_tradnl"/>
        </w:rPr>
        <w:t>Requerimiento Plan de ajuste</w:t>
      </w:r>
    </w:p>
    <w:p w14:paraId="5836CC29" w14:textId="77777777" w:rsidR="003F6922" w:rsidRPr="0090040D" w:rsidRDefault="003F6922" w:rsidP="0090040D">
      <w:pPr>
        <w:pStyle w:val="Sangradetextonormal"/>
        <w:pBdr>
          <w:left w:val="single" w:sz="4" w:space="1" w:color="auto"/>
        </w:pBdr>
        <w:ind w:left="709" w:hanging="709"/>
        <w:rPr>
          <w:b/>
          <w:sz w:val="18"/>
          <w:lang w:val="es-ES_tradnl"/>
        </w:rPr>
      </w:pPr>
      <w:r w:rsidRPr="003F6922">
        <w:rPr>
          <w:b/>
          <w:sz w:val="18"/>
          <w:lang w:val="es-ES_tradnl"/>
        </w:rPr>
        <w:t xml:space="preserve">5.2.10. </w:t>
      </w:r>
      <w:r w:rsidR="00441762" w:rsidRPr="003F6922">
        <w:rPr>
          <w:b/>
          <w:sz w:val="18"/>
          <w:lang w:val="es-ES_tradnl"/>
        </w:rPr>
        <w:t xml:space="preserve">Medidas correctivas para contrarrestar la exposición significativa al riesgo de liquidez de los </w:t>
      </w:r>
      <w:proofErr w:type="spellStart"/>
      <w:r w:rsidR="00441762" w:rsidRPr="003F6922">
        <w:rPr>
          <w:b/>
          <w:sz w:val="18"/>
          <w:lang w:val="es-ES_tradnl"/>
        </w:rPr>
        <w:t>FICs</w:t>
      </w:r>
      <w:proofErr w:type="spellEnd"/>
    </w:p>
    <w:p w14:paraId="494325AC" w14:textId="77777777" w:rsidR="003F6922" w:rsidRPr="003F6922" w:rsidRDefault="003F6922" w:rsidP="003F6922">
      <w:pPr>
        <w:pStyle w:val="Titulo"/>
        <w:pBdr>
          <w:left w:val="single" w:sz="4" w:space="1" w:color="auto"/>
        </w:pBdr>
        <w:rPr>
          <w:rStyle w:val="Titulo3Car"/>
          <w:b/>
          <w:sz w:val="18"/>
          <w:szCs w:val="18"/>
        </w:rPr>
      </w:pPr>
      <w:r w:rsidRPr="003F6922">
        <w:rPr>
          <w:bCs w:val="0"/>
          <w:sz w:val="18"/>
          <w:szCs w:val="18"/>
          <w:lang w:val="es-ES_tradnl"/>
        </w:rPr>
        <w:t xml:space="preserve">5.3. </w:t>
      </w:r>
      <w:r w:rsidR="00441762" w:rsidRPr="003F6922">
        <w:rPr>
          <w:rStyle w:val="Titulo3Car"/>
          <w:b/>
          <w:sz w:val="18"/>
          <w:szCs w:val="18"/>
        </w:rPr>
        <w:t>Control</w:t>
      </w:r>
    </w:p>
    <w:p w14:paraId="30091D17"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5.4. </w:t>
      </w:r>
      <w:r w:rsidR="00441762" w:rsidRPr="003F6922">
        <w:rPr>
          <w:rStyle w:val="Titulo3Car"/>
          <w:b/>
          <w:sz w:val="18"/>
          <w:szCs w:val="18"/>
        </w:rPr>
        <w:t>Monitoreo</w:t>
      </w:r>
    </w:p>
    <w:p w14:paraId="68ADBA85" w14:textId="77777777" w:rsidR="00441762" w:rsidRPr="003F6922" w:rsidRDefault="00441762" w:rsidP="00381F8F">
      <w:pPr>
        <w:pStyle w:val="Textoindependiente2"/>
        <w:pBdr>
          <w:left w:val="single" w:sz="4" w:space="1" w:color="auto"/>
        </w:pBdr>
        <w:rPr>
          <w:rFonts w:cs="Arial"/>
          <w:b/>
          <w:szCs w:val="18"/>
          <w:lang w:val="es-CO"/>
        </w:rPr>
      </w:pPr>
    </w:p>
    <w:p w14:paraId="6BD95EE0" w14:textId="77777777" w:rsidR="00441762" w:rsidRPr="003F6922" w:rsidRDefault="003F6922" w:rsidP="003F6922">
      <w:pPr>
        <w:pStyle w:val="Titulo2"/>
        <w:pBdr>
          <w:left w:val="single" w:sz="4" w:space="1" w:color="auto"/>
        </w:pBdr>
        <w:rPr>
          <w:rStyle w:val="Titulo3Car"/>
          <w:b/>
          <w:sz w:val="18"/>
          <w:szCs w:val="18"/>
        </w:rPr>
      </w:pPr>
      <w:r w:rsidRPr="003F6922">
        <w:rPr>
          <w:rStyle w:val="Titulo3Car"/>
          <w:b/>
          <w:sz w:val="18"/>
          <w:szCs w:val="18"/>
        </w:rPr>
        <w:t xml:space="preserve">6. </w:t>
      </w:r>
      <w:r w:rsidR="00441762" w:rsidRPr="003F6922">
        <w:rPr>
          <w:rStyle w:val="Titulo3Car"/>
          <w:b/>
          <w:sz w:val="18"/>
          <w:szCs w:val="18"/>
        </w:rPr>
        <w:t>Elementos del SARL</w:t>
      </w:r>
    </w:p>
    <w:p w14:paraId="0D199A0F"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6.1. </w:t>
      </w:r>
      <w:r w:rsidR="00441762" w:rsidRPr="003F6922">
        <w:rPr>
          <w:rStyle w:val="Titulo3Car"/>
          <w:b/>
          <w:sz w:val="18"/>
          <w:szCs w:val="18"/>
        </w:rPr>
        <w:t>Políticas</w:t>
      </w:r>
    </w:p>
    <w:p w14:paraId="2A37ED78"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6.1.1. </w:t>
      </w:r>
      <w:r w:rsidR="00441762" w:rsidRPr="003F6922">
        <w:rPr>
          <w:rStyle w:val="Titulo3Car"/>
          <w:b/>
          <w:sz w:val="18"/>
          <w:szCs w:val="18"/>
        </w:rPr>
        <w:t xml:space="preserve">Políticas en materia de límites </w:t>
      </w:r>
    </w:p>
    <w:p w14:paraId="3E9DDB07" w14:textId="77777777" w:rsidR="00441762" w:rsidRPr="003F6922" w:rsidRDefault="00441762" w:rsidP="003F6922">
      <w:pPr>
        <w:pBdr>
          <w:left w:val="single" w:sz="4" w:space="1" w:color="auto"/>
        </w:pBdr>
        <w:jc w:val="both"/>
        <w:rPr>
          <w:rFonts w:ascii="Arial" w:hAnsi="Arial" w:cs="Arial"/>
          <w:b/>
          <w:sz w:val="18"/>
          <w:szCs w:val="18"/>
          <w:lang w:val="es-ES_tradnl"/>
        </w:rPr>
      </w:pPr>
      <w:r w:rsidRPr="003F6922">
        <w:rPr>
          <w:rFonts w:ascii="Arial" w:hAnsi="Arial" w:cs="Arial"/>
          <w:b/>
          <w:sz w:val="18"/>
          <w:szCs w:val="18"/>
          <w:lang w:val="es-ES_tradnl"/>
        </w:rPr>
        <w:t>6.1.2</w:t>
      </w:r>
      <w:r w:rsidR="003F6922" w:rsidRPr="003F6922">
        <w:rPr>
          <w:rFonts w:ascii="Arial" w:hAnsi="Arial" w:cs="Arial"/>
          <w:b/>
          <w:sz w:val="18"/>
          <w:szCs w:val="18"/>
          <w:lang w:val="es-ES_tradnl"/>
        </w:rPr>
        <w:t xml:space="preserve">. </w:t>
      </w:r>
      <w:r w:rsidRPr="003F6922">
        <w:rPr>
          <w:rFonts w:ascii="Arial" w:hAnsi="Arial" w:cs="Arial"/>
          <w:b/>
          <w:sz w:val="18"/>
          <w:szCs w:val="18"/>
          <w:lang w:val="es-ES_tradnl"/>
        </w:rPr>
        <w:t>Políticas en materia de mitigación del riesgo de liquidez y planes de contingencia</w:t>
      </w:r>
    </w:p>
    <w:p w14:paraId="48E86B7E"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6.2. </w:t>
      </w:r>
      <w:r w:rsidR="00441762" w:rsidRPr="003F6922">
        <w:rPr>
          <w:rStyle w:val="Titulo3Car"/>
          <w:b/>
          <w:sz w:val="18"/>
          <w:szCs w:val="18"/>
        </w:rPr>
        <w:t>Procedimientos</w:t>
      </w:r>
    </w:p>
    <w:p w14:paraId="17709359"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6.3. </w:t>
      </w:r>
      <w:r w:rsidR="00441762" w:rsidRPr="003F6922">
        <w:rPr>
          <w:rStyle w:val="Titulo3Car"/>
          <w:b/>
          <w:sz w:val="18"/>
          <w:szCs w:val="18"/>
        </w:rPr>
        <w:t>Documentación</w:t>
      </w:r>
    </w:p>
    <w:p w14:paraId="54D17740"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6.4. </w:t>
      </w:r>
      <w:r w:rsidR="00441762" w:rsidRPr="003F6922">
        <w:rPr>
          <w:rStyle w:val="Titulo3Car"/>
          <w:b/>
          <w:sz w:val="18"/>
          <w:szCs w:val="18"/>
        </w:rPr>
        <w:t>Estructura organizacional</w:t>
      </w:r>
    </w:p>
    <w:p w14:paraId="02D8BBC1"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6.4.1. </w:t>
      </w:r>
      <w:r w:rsidR="00441762" w:rsidRPr="003F6922">
        <w:rPr>
          <w:rStyle w:val="Titulo3Car"/>
          <w:b/>
          <w:sz w:val="18"/>
          <w:szCs w:val="18"/>
        </w:rPr>
        <w:t>Junta directiva o quien haga sus veces</w:t>
      </w:r>
    </w:p>
    <w:p w14:paraId="4FA784FF"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6.4.2. </w:t>
      </w:r>
      <w:r w:rsidR="00441762" w:rsidRPr="003F6922">
        <w:rPr>
          <w:rStyle w:val="Titulo3Car"/>
          <w:b/>
          <w:sz w:val="18"/>
          <w:szCs w:val="18"/>
        </w:rPr>
        <w:t>Representante legal</w:t>
      </w:r>
    </w:p>
    <w:p w14:paraId="68A61915"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6.4.3. </w:t>
      </w:r>
      <w:r w:rsidR="00441762" w:rsidRPr="003F6922">
        <w:rPr>
          <w:rStyle w:val="Titulo3Car"/>
          <w:b/>
          <w:sz w:val="18"/>
          <w:szCs w:val="18"/>
        </w:rPr>
        <w:t>Unidad o área de administración del riesgo de liquidez</w:t>
      </w:r>
    </w:p>
    <w:p w14:paraId="471D216E" w14:textId="77777777" w:rsidR="00441762" w:rsidRPr="003F6922" w:rsidRDefault="00441762" w:rsidP="003F6922">
      <w:pPr>
        <w:pStyle w:val="Titulo"/>
        <w:numPr>
          <w:ilvl w:val="1"/>
          <w:numId w:val="47"/>
        </w:numPr>
        <w:pBdr>
          <w:left w:val="single" w:sz="4" w:space="1" w:color="auto"/>
        </w:pBdr>
        <w:rPr>
          <w:rStyle w:val="Titulo3Car"/>
          <w:b/>
          <w:sz w:val="18"/>
          <w:szCs w:val="18"/>
        </w:rPr>
      </w:pPr>
      <w:r w:rsidRPr="003F6922">
        <w:rPr>
          <w:rStyle w:val="Titulo3Car"/>
          <w:b/>
          <w:sz w:val="18"/>
          <w:szCs w:val="18"/>
        </w:rPr>
        <w:t>Órganos de control</w:t>
      </w:r>
    </w:p>
    <w:p w14:paraId="43985AE4"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6.5.1. </w:t>
      </w:r>
      <w:r w:rsidR="00441762" w:rsidRPr="003F6922">
        <w:rPr>
          <w:rStyle w:val="Titulo3Car"/>
          <w:b/>
          <w:sz w:val="18"/>
          <w:szCs w:val="18"/>
        </w:rPr>
        <w:t>Revisoría fiscal</w:t>
      </w:r>
    </w:p>
    <w:p w14:paraId="46E3C62D" w14:textId="77777777" w:rsidR="003F6922" w:rsidRPr="003F6922" w:rsidRDefault="00441762" w:rsidP="003F6922">
      <w:pPr>
        <w:pStyle w:val="Titulo"/>
        <w:numPr>
          <w:ilvl w:val="1"/>
          <w:numId w:val="47"/>
        </w:numPr>
        <w:pBdr>
          <w:left w:val="single" w:sz="4" w:space="1" w:color="auto"/>
        </w:pBdr>
        <w:rPr>
          <w:rStyle w:val="Titulo3Car"/>
          <w:b/>
          <w:sz w:val="18"/>
          <w:szCs w:val="18"/>
        </w:rPr>
      </w:pPr>
      <w:r w:rsidRPr="003F6922">
        <w:rPr>
          <w:rStyle w:val="Titulo3Car"/>
          <w:b/>
          <w:sz w:val="18"/>
          <w:szCs w:val="18"/>
        </w:rPr>
        <w:t>Infraestructura tecnológica</w:t>
      </w:r>
    </w:p>
    <w:p w14:paraId="2B369506" w14:textId="77777777" w:rsidR="00441762" w:rsidRPr="003F6922" w:rsidRDefault="00441762" w:rsidP="003F6922">
      <w:pPr>
        <w:pStyle w:val="Titulo"/>
        <w:numPr>
          <w:ilvl w:val="1"/>
          <w:numId w:val="47"/>
        </w:numPr>
        <w:pBdr>
          <w:left w:val="single" w:sz="4" w:space="1" w:color="auto"/>
        </w:pBdr>
        <w:rPr>
          <w:rStyle w:val="Titulo3Car"/>
          <w:b/>
          <w:sz w:val="18"/>
          <w:szCs w:val="18"/>
        </w:rPr>
      </w:pPr>
      <w:r w:rsidRPr="003F6922">
        <w:rPr>
          <w:rStyle w:val="Titulo3Car"/>
          <w:b/>
          <w:sz w:val="18"/>
          <w:szCs w:val="18"/>
        </w:rPr>
        <w:t>Divulgación de información</w:t>
      </w:r>
    </w:p>
    <w:p w14:paraId="67FFD780"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6.7.1. </w:t>
      </w:r>
      <w:r w:rsidR="00441762" w:rsidRPr="003F6922">
        <w:rPr>
          <w:rStyle w:val="Titulo3Car"/>
          <w:b/>
          <w:sz w:val="18"/>
          <w:szCs w:val="18"/>
        </w:rPr>
        <w:t>Interna</w:t>
      </w:r>
    </w:p>
    <w:p w14:paraId="5CFB3EE9" w14:textId="77777777" w:rsidR="00441762" w:rsidRPr="003F6922" w:rsidRDefault="003F6922" w:rsidP="003F6922">
      <w:pPr>
        <w:pStyle w:val="Titulo"/>
        <w:pBdr>
          <w:left w:val="single" w:sz="4" w:space="1" w:color="auto"/>
        </w:pBdr>
        <w:rPr>
          <w:rStyle w:val="Titulo3Car"/>
          <w:b/>
          <w:sz w:val="18"/>
          <w:szCs w:val="18"/>
        </w:rPr>
      </w:pPr>
      <w:r w:rsidRPr="003F6922">
        <w:rPr>
          <w:rStyle w:val="Titulo3Car"/>
          <w:b/>
          <w:sz w:val="18"/>
          <w:szCs w:val="18"/>
        </w:rPr>
        <w:t xml:space="preserve">6.7.2. </w:t>
      </w:r>
      <w:r w:rsidR="00441762" w:rsidRPr="003F6922">
        <w:rPr>
          <w:rStyle w:val="Titulo3Car"/>
          <w:b/>
          <w:sz w:val="18"/>
          <w:szCs w:val="18"/>
        </w:rPr>
        <w:t>Externa</w:t>
      </w:r>
    </w:p>
    <w:p w14:paraId="2DA962B0" w14:textId="77777777" w:rsidR="00DB6BF0" w:rsidRPr="003F6922" w:rsidRDefault="003F6922" w:rsidP="003F6922">
      <w:pPr>
        <w:pStyle w:val="Textoindependiente2"/>
        <w:pBdr>
          <w:left w:val="single" w:sz="4" w:space="1" w:color="auto"/>
        </w:pBdr>
        <w:rPr>
          <w:rFonts w:cs="Arial"/>
          <w:b/>
          <w:szCs w:val="18"/>
          <w:lang w:val="es-ES_tradnl" w:eastAsia="es-ES"/>
        </w:rPr>
      </w:pPr>
      <w:r w:rsidRPr="003F6922">
        <w:rPr>
          <w:rStyle w:val="Titulo3Car"/>
          <w:bCs w:val="0"/>
          <w:sz w:val="18"/>
          <w:szCs w:val="18"/>
        </w:rPr>
        <w:t xml:space="preserve">6.7.3. </w:t>
      </w:r>
      <w:r w:rsidR="00441762" w:rsidRPr="003F6922">
        <w:rPr>
          <w:rStyle w:val="Titulo3Car"/>
          <w:sz w:val="18"/>
          <w:szCs w:val="18"/>
        </w:rPr>
        <w:t>Revelación contable</w:t>
      </w:r>
    </w:p>
    <w:p w14:paraId="563BBEF2" w14:textId="77777777" w:rsidR="003F6922" w:rsidRDefault="003F6922" w:rsidP="00DB6BF0">
      <w:pPr>
        <w:tabs>
          <w:tab w:val="left" w:pos="540"/>
        </w:tabs>
        <w:outlineLvl w:val="0"/>
        <w:rPr>
          <w:rFonts w:ascii="Arial" w:hAnsi="Arial" w:cs="Arial"/>
          <w:b/>
          <w:sz w:val="18"/>
          <w:szCs w:val="18"/>
        </w:rPr>
      </w:pPr>
    </w:p>
    <w:p w14:paraId="4D192EEB" w14:textId="77777777" w:rsidR="003F6922" w:rsidRPr="003F6922" w:rsidRDefault="003F6922" w:rsidP="003F6922">
      <w:pPr>
        <w:rPr>
          <w:rFonts w:ascii="Arial" w:hAnsi="Arial" w:cs="Arial"/>
          <w:sz w:val="18"/>
          <w:szCs w:val="18"/>
        </w:rPr>
      </w:pPr>
    </w:p>
    <w:p w14:paraId="5A29C184" w14:textId="77777777" w:rsidR="003F6922" w:rsidRDefault="003F6922" w:rsidP="003F6922">
      <w:pPr>
        <w:rPr>
          <w:rFonts w:ascii="Arial" w:hAnsi="Arial" w:cs="Arial"/>
          <w:sz w:val="18"/>
          <w:szCs w:val="18"/>
        </w:rPr>
      </w:pPr>
    </w:p>
    <w:p w14:paraId="0EF1BE1F" w14:textId="77777777" w:rsidR="003F6922" w:rsidRDefault="003F6922" w:rsidP="003F6922">
      <w:pPr>
        <w:tabs>
          <w:tab w:val="left" w:pos="3386"/>
        </w:tabs>
        <w:rPr>
          <w:rFonts w:ascii="Arial" w:hAnsi="Arial" w:cs="Arial"/>
          <w:sz w:val="18"/>
          <w:szCs w:val="18"/>
        </w:rPr>
      </w:pPr>
      <w:r>
        <w:rPr>
          <w:rFonts w:ascii="Arial" w:hAnsi="Arial" w:cs="Arial"/>
          <w:sz w:val="18"/>
          <w:szCs w:val="18"/>
        </w:rPr>
        <w:tab/>
      </w:r>
    </w:p>
    <w:p w14:paraId="6B176494" w14:textId="77777777" w:rsidR="00DB6BF0" w:rsidRPr="003F6922" w:rsidRDefault="00DB6BF0" w:rsidP="003F6922">
      <w:pPr>
        <w:tabs>
          <w:tab w:val="left" w:pos="3386"/>
        </w:tabs>
        <w:rPr>
          <w:rFonts w:ascii="Arial" w:hAnsi="Arial" w:cs="Arial"/>
          <w:sz w:val="18"/>
          <w:szCs w:val="18"/>
        </w:rPr>
        <w:sectPr w:rsidR="00DB6BF0" w:rsidRPr="003F6922" w:rsidSect="000A3F48">
          <w:headerReference w:type="default" r:id="rId8"/>
          <w:footerReference w:type="default" r:id="rId9"/>
          <w:headerReference w:type="first" r:id="rId10"/>
          <w:footerReference w:type="first" r:id="rId11"/>
          <w:pgSz w:w="12242" w:h="18722" w:code="14"/>
          <w:pgMar w:top="1412" w:right="1412" w:bottom="1412" w:left="1412" w:header="851" w:footer="454" w:gutter="0"/>
          <w:paperSrc w:first="2" w:other="2"/>
          <w:pgNumType w:start="2"/>
          <w:cols w:space="708"/>
          <w:titlePg/>
          <w:docGrid w:linePitch="360"/>
        </w:sectPr>
      </w:pPr>
    </w:p>
    <w:p w14:paraId="7B7A803E" w14:textId="77777777" w:rsidR="00D9020F" w:rsidRPr="002233D4" w:rsidRDefault="00D9020F" w:rsidP="00D9020F">
      <w:pPr>
        <w:pStyle w:val="Sangradetextonormal"/>
        <w:ind w:left="0" w:firstLine="0"/>
        <w:rPr>
          <w:sz w:val="18"/>
        </w:rPr>
      </w:pPr>
      <w:r w:rsidRPr="002233D4">
        <w:rPr>
          <w:sz w:val="18"/>
        </w:rPr>
        <w:lastRenderedPageBreak/>
        <w:t>uno de crisis, en el que los flujos de caja se alejan significativamente de lo esperado, por efecto de cambios imprevistos en los entornos de los mercados, de la entidad o de ambos.</w:t>
      </w:r>
    </w:p>
    <w:p w14:paraId="2596BBBE" w14:textId="77777777" w:rsidR="00D9020F" w:rsidRPr="002233D4" w:rsidRDefault="00D9020F" w:rsidP="00D9020F">
      <w:pPr>
        <w:pStyle w:val="Textoindependiente"/>
        <w:rPr>
          <w:sz w:val="18"/>
        </w:rPr>
      </w:pPr>
    </w:p>
    <w:p w14:paraId="22AD2D2F" w14:textId="77777777" w:rsidR="00D9020F" w:rsidRPr="002233D4" w:rsidRDefault="00D9020F" w:rsidP="00D54E3E">
      <w:pPr>
        <w:pStyle w:val="Titulo"/>
        <w:numPr>
          <w:ilvl w:val="2"/>
          <w:numId w:val="40"/>
        </w:numPr>
        <w:rPr>
          <w:rStyle w:val="Titulo3Car"/>
          <w:sz w:val="18"/>
          <w:szCs w:val="18"/>
        </w:rPr>
      </w:pPr>
      <w:r w:rsidRPr="002233D4">
        <w:rPr>
          <w:rStyle w:val="Titulo3Car"/>
          <w:sz w:val="18"/>
          <w:szCs w:val="18"/>
        </w:rPr>
        <w:t>Metodología para la medición del Riesgo de Liquidez</w:t>
      </w:r>
    </w:p>
    <w:p w14:paraId="68AB30A6" w14:textId="77777777" w:rsidR="00D9020F" w:rsidRPr="002233D4" w:rsidRDefault="00D9020F" w:rsidP="00D9020F">
      <w:pPr>
        <w:pStyle w:val="Textoindependiente"/>
        <w:rPr>
          <w:sz w:val="18"/>
        </w:rPr>
      </w:pPr>
    </w:p>
    <w:p w14:paraId="0A764293" w14:textId="77777777" w:rsidR="00D9020F" w:rsidRPr="002233D4" w:rsidRDefault="00D9020F" w:rsidP="00D9020F">
      <w:pPr>
        <w:pStyle w:val="Textoindependiente"/>
        <w:rPr>
          <w:sz w:val="18"/>
        </w:rPr>
      </w:pPr>
      <w:r w:rsidRPr="002233D4">
        <w:rPr>
          <w:sz w:val="18"/>
        </w:rPr>
        <w:t xml:space="preserve">Con independencia del modelo de medición que utilicen, es deber de las propias entidades, para los propósitos de su gestión del riesgo, prever los escenarios potenciales que pondrán a prueba su capacidad de generar recursos líquidos suficientes para atender una crisis de liquidez. Vale decir, las entidades deben tener un comportamiento proactivo y prospectivo para identificar descalces de fondeo en varios horizontes de tiempo y el análisis de la liquidez de mercado del portafolio de inversiones, que le permitan crear señales de alerta temprana y establecer límites encaminados a evitar la materialización de eventos adversos del mercado, de la entidad o de ambos, en materia de liquidez. </w:t>
      </w:r>
    </w:p>
    <w:p w14:paraId="75E4B4F3" w14:textId="77777777" w:rsidR="00D9020F" w:rsidRPr="002233D4" w:rsidRDefault="00D9020F" w:rsidP="00D9020F">
      <w:pPr>
        <w:pStyle w:val="Textoindependiente"/>
        <w:rPr>
          <w:sz w:val="18"/>
        </w:rPr>
      </w:pPr>
    </w:p>
    <w:p w14:paraId="61FECD47" w14:textId="77777777" w:rsidR="00D9020F" w:rsidRPr="002233D4" w:rsidRDefault="00D9020F" w:rsidP="00D9020F">
      <w:pPr>
        <w:pStyle w:val="Textoindependiente"/>
        <w:rPr>
          <w:sz w:val="18"/>
        </w:rPr>
      </w:pPr>
      <w:r w:rsidRPr="002233D4">
        <w:rPr>
          <w:sz w:val="18"/>
        </w:rPr>
        <w:t xml:space="preserve">Sin perjuicio de lo anterior, las entidades deben aplicar metodologías para la medición del riesgo de liquidez, de acuerdo con las siguientes reglas: </w:t>
      </w:r>
    </w:p>
    <w:p w14:paraId="07161881" w14:textId="77777777" w:rsidR="00D9020F" w:rsidRPr="002233D4" w:rsidRDefault="00D9020F" w:rsidP="00D9020F">
      <w:pPr>
        <w:pStyle w:val="Textoindependiente"/>
        <w:rPr>
          <w:b/>
          <w:bCs/>
          <w:sz w:val="18"/>
        </w:rPr>
      </w:pPr>
    </w:p>
    <w:p w14:paraId="75B6BC11" w14:textId="77777777" w:rsidR="00D9020F" w:rsidRPr="002233D4" w:rsidRDefault="00D9020F" w:rsidP="00D54E3E">
      <w:pPr>
        <w:pStyle w:val="Textoindependiente"/>
        <w:numPr>
          <w:ilvl w:val="0"/>
          <w:numId w:val="14"/>
        </w:numPr>
        <w:tabs>
          <w:tab w:val="clear" w:pos="720"/>
          <w:tab w:val="num" w:pos="360"/>
        </w:tabs>
        <w:ind w:left="360" w:hanging="360"/>
        <w:rPr>
          <w:b/>
          <w:sz w:val="18"/>
        </w:rPr>
      </w:pPr>
      <w:r w:rsidRPr="002233D4">
        <w:rPr>
          <w:b/>
          <w:sz w:val="18"/>
        </w:rPr>
        <w:t>Los establecimientos de crédito, organismos cooperativos de grado superior e instituciones oficiales especiales (</w:t>
      </w:r>
      <w:proofErr w:type="spellStart"/>
      <w:r w:rsidRPr="002233D4">
        <w:rPr>
          <w:b/>
          <w:sz w:val="18"/>
        </w:rPr>
        <w:t>IOEs</w:t>
      </w:r>
      <w:proofErr w:type="spellEnd"/>
      <w:r w:rsidRPr="002233D4">
        <w:rPr>
          <w:b/>
          <w:sz w:val="18"/>
        </w:rPr>
        <w:t>) que a continuación se especifiquen:</w:t>
      </w:r>
    </w:p>
    <w:p w14:paraId="7E59C2A5" w14:textId="77777777" w:rsidR="00D9020F" w:rsidRPr="002233D4" w:rsidRDefault="00D9020F" w:rsidP="00D9020F">
      <w:pPr>
        <w:pStyle w:val="Textoindependiente"/>
        <w:rPr>
          <w:sz w:val="18"/>
        </w:rPr>
      </w:pPr>
    </w:p>
    <w:p w14:paraId="548D387D" w14:textId="77777777" w:rsidR="00D9020F" w:rsidRPr="002233D4" w:rsidRDefault="00D9020F" w:rsidP="00D9020F">
      <w:pPr>
        <w:pStyle w:val="Textoindependiente"/>
        <w:ind w:left="360"/>
        <w:rPr>
          <w:sz w:val="18"/>
        </w:rPr>
      </w:pPr>
      <w:r w:rsidRPr="002233D4">
        <w:rPr>
          <w:sz w:val="18"/>
        </w:rPr>
        <w:t xml:space="preserve">Las </w:t>
      </w:r>
      <w:proofErr w:type="spellStart"/>
      <w:r w:rsidRPr="002233D4">
        <w:rPr>
          <w:sz w:val="18"/>
        </w:rPr>
        <w:t>IOEs</w:t>
      </w:r>
      <w:proofErr w:type="spellEnd"/>
      <w:r w:rsidRPr="002233D4">
        <w:rPr>
          <w:sz w:val="18"/>
        </w:rPr>
        <w:t xml:space="preserve"> que deben cumplir con los requisitos del presente numeral, son:</w:t>
      </w:r>
    </w:p>
    <w:p w14:paraId="48BCF9B0" w14:textId="77777777" w:rsidR="00D9020F" w:rsidRPr="002233D4" w:rsidRDefault="00D9020F" w:rsidP="00D9020F">
      <w:pPr>
        <w:pStyle w:val="Textoindependiente"/>
        <w:ind w:left="360"/>
        <w:rPr>
          <w:sz w:val="18"/>
        </w:rPr>
      </w:pPr>
    </w:p>
    <w:p w14:paraId="14C3AC75" w14:textId="77777777" w:rsidR="00D9020F" w:rsidRPr="002233D4" w:rsidRDefault="00D9020F" w:rsidP="00D54E3E">
      <w:pPr>
        <w:pStyle w:val="Textoindependiente"/>
        <w:numPr>
          <w:ilvl w:val="0"/>
          <w:numId w:val="18"/>
        </w:numPr>
        <w:rPr>
          <w:sz w:val="18"/>
        </w:rPr>
      </w:pPr>
      <w:r w:rsidRPr="002233D4">
        <w:rPr>
          <w:sz w:val="18"/>
        </w:rPr>
        <w:t xml:space="preserve">Banco de Comercio Exterior de Colombia S.A.- </w:t>
      </w:r>
      <w:proofErr w:type="spellStart"/>
      <w:r w:rsidRPr="002233D4">
        <w:rPr>
          <w:sz w:val="18"/>
        </w:rPr>
        <w:t>Bancoldex</w:t>
      </w:r>
      <w:proofErr w:type="spellEnd"/>
    </w:p>
    <w:p w14:paraId="31BBBDFA" w14:textId="77777777" w:rsidR="00D9020F" w:rsidRPr="002233D4" w:rsidRDefault="00D9020F" w:rsidP="00D54E3E">
      <w:pPr>
        <w:pStyle w:val="Textoindependiente"/>
        <w:numPr>
          <w:ilvl w:val="0"/>
          <w:numId w:val="18"/>
        </w:numPr>
        <w:rPr>
          <w:sz w:val="18"/>
        </w:rPr>
      </w:pPr>
      <w:r w:rsidRPr="002233D4">
        <w:rPr>
          <w:sz w:val="18"/>
        </w:rPr>
        <w:t>Financiera de Desarrollo Territorial S.A. - Findeter</w:t>
      </w:r>
    </w:p>
    <w:p w14:paraId="0A73DF83" w14:textId="77777777" w:rsidR="00D9020F" w:rsidRPr="002233D4" w:rsidRDefault="00D9020F" w:rsidP="00D54E3E">
      <w:pPr>
        <w:pStyle w:val="Textoindependiente"/>
        <w:numPr>
          <w:ilvl w:val="0"/>
          <w:numId w:val="18"/>
        </w:numPr>
        <w:rPr>
          <w:sz w:val="18"/>
        </w:rPr>
      </w:pPr>
      <w:r w:rsidRPr="002233D4">
        <w:rPr>
          <w:sz w:val="18"/>
        </w:rPr>
        <w:t>Fondo para el Financiamiento del Sector Agropecuario - Finagro</w:t>
      </w:r>
    </w:p>
    <w:p w14:paraId="1A526734" w14:textId="77777777" w:rsidR="009C74E5" w:rsidRDefault="009C74E5" w:rsidP="00D9020F">
      <w:pPr>
        <w:pStyle w:val="Textoindependiente"/>
        <w:ind w:left="360"/>
        <w:rPr>
          <w:sz w:val="18"/>
        </w:rPr>
      </w:pPr>
    </w:p>
    <w:p w14:paraId="664DFBB9" w14:textId="77777777" w:rsidR="00D9020F" w:rsidRPr="002233D4" w:rsidRDefault="00D9020F" w:rsidP="00D9020F">
      <w:pPr>
        <w:pStyle w:val="Textoindependiente"/>
        <w:ind w:left="360"/>
        <w:rPr>
          <w:sz w:val="18"/>
        </w:rPr>
      </w:pPr>
      <w:r w:rsidRPr="002233D4">
        <w:rPr>
          <w:sz w:val="18"/>
        </w:rPr>
        <w:t xml:space="preserve">Los establecimientos de crédito, los organismos cooperativos de grado superior y las </w:t>
      </w:r>
      <w:proofErr w:type="spellStart"/>
      <w:r w:rsidRPr="002233D4">
        <w:rPr>
          <w:sz w:val="18"/>
        </w:rPr>
        <w:t>IOEs</w:t>
      </w:r>
      <w:proofErr w:type="spellEnd"/>
      <w:r w:rsidRPr="002233D4">
        <w:rPr>
          <w:sz w:val="18"/>
        </w:rPr>
        <w:t xml:space="preserve"> aquí mencionadas, deben diseñar y aplicar modelos propios para la medición del riesgo de liquidez, incluyendo el diseño de un Indicador de Riesgo de Liquidez para las bandas de tiempo comprendidas desde uno (1) hasta treinta (30) días, </w:t>
      </w:r>
      <w:bookmarkStart w:id="0" w:name="OLE_LINK6"/>
      <w:r w:rsidRPr="002233D4">
        <w:rPr>
          <w:sz w:val="18"/>
        </w:rPr>
        <w:t>y el establecimiento de límites prudenciales para tal indicador, que la respectiva entidad se obliga a cumplir</w:t>
      </w:r>
      <w:bookmarkEnd w:id="0"/>
      <w:r w:rsidRPr="002233D4">
        <w:rPr>
          <w:sz w:val="18"/>
        </w:rPr>
        <w:t xml:space="preserve">. Tales modelos deberán diseñarse atendiendo la naturaleza, línea de negocio o actividad significativa y operaciones autorizadas a las mismas y deberán atender los requisitos mínimos señalados en el numeral 5.2.2. del presente capítulo. </w:t>
      </w:r>
    </w:p>
    <w:p w14:paraId="58BECD22" w14:textId="77777777" w:rsidR="00D9020F" w:rsidRPr="002233D4" w:rsidRDefault="00D9020F" w:rsidP="00D9020F">
      <w:pPr>
        <w:pStyle w:val="Textoindependiente"/>
        <w:rPr>
          <w:sz w:val="18"/>
        </w:rPr>
      </w:pPr>
    </w:p>
    <w:p w14:paraId="2AD084E5" w14:textId="77777777" w:rsidR="00D9020F" w:rsidRPr="002233D4" w:rsidRDefault="00D9020F" w:rsidP="00D9020F">
      <w:pPr>
        <w:pStyle w:val="Textoindependiente"/>
        <w:ind w:left="360"/>
        <w:rPr>
          <w:sz w:val="18"/>
        </w:rPr>
      </w:pPr>
      <w:r w:rsidRPr="002233D4">
        <w:rPr>
          <w:sz w:val="18"/>
        </w:rPr>
        <w:t xml:space="preserve">Los resultados obtenidos con el respectivo modelo interno y, en general toda la documentación sobre los </w:t>
      </w:r>
      <w:bookmarkStart w:id="1" w:name="OLE_LINK8"/>
      <w:bookmarkStart w:id="2" w:name="OLE_LINK9"/>
      <w:r w:rsidRPr="002233D4">
        <w:rPr>
          <w:sz w:val="18"/>
        </w:rPr>
        <w:t>parámetros, supuestos, construcción y funcionamiento del modelo</w:t>
      </w:r>
      <w:bookmarkEnd w:id="1"/>
      <w:bookmarkEnd w:id="2"/>
      <w:r w:rsidRPr="002233D4">
        <w:rPr>
          <w:sz w:val="18"/>
        </w:rPr>
        <w:t xml:space="preserve">, deben estar a disposición de la SFC en cualquier momento. </w:t>
      </w:r>
    </w:p>
    <w:p w14:paraId="1C86FC1E" w14:textId="77777777" w:rsidR="00D9020F" w:rsidRDefault="00D9020F" w:rsidP="00D9020F">
      <w:pPr>
        <w:pStyle w:val="Textoindependiente"/>
        <w:rPr>
          <w:sz w:val="18"/>
        </w:rPr>
      </w:pPr>
    </w:p>
    <w:p w14:paraId="0182C3D9" w14:textId="77777777" w:rsidR="00D9020F" w:rsidRPr="002233D4" w:rsidRDefault="00D9020F" w:rsidP="00D9020F">
      <w:pPr>
        <w:pStyle w:val="Textoindependiente"/>
        <w:ind w:left="360"/>
        <w:rPr>
          <w:sz w:val="18"/>
        </w:rPr>
      </w:pPr>
      <w:r w:rsidRPr="002233D4">
        <w:rPr>
          <w:sz w:val="18"/>
        </w:rPr>
        <w:t xml:space="preserve">En todo caso, para efectos del monitoreo homogéneo y permanente de la SFC de las principales variables relacionadas con la liquidez y de la exposición de las entidades al riesgo de liquidez bajo distintos escenarios,  los establecimientos de crédito, los organismos cooperativos de grado superior y las </w:t>
      </w:r>
      <w:proofErr w:type="spellStart"/>
      <w:r w:rsidRPr="002233D4">
        <w:rPr>
          <w:sz w:val="18"/>
        </w:rPr>
        <w:t>IOEs</w:t>
      </w:r>
      <w:proofErr w:type="spellEnd"/>
      <w:r w:rsidRPr="002233D4">
        <w:rPr>
          <w:sz w:val="18"/>
        </w:rPr>
        <w:t xml:space="preserve"> aquí mencionadas –sin excepción-, deberán reportar semanalmente y a corte de cada mes con los estados financieros, la información que se señala en el Anexo 1 del presente capítulo (</w:t>
      </w:r>
      <w:r w:rsidRPr="002233D4">
        <w:rPr>
          <w:bCs/>
          <w:sz w:val="18"/>
        </w:rPr>
        <w:t>Metodología para la Medición y Reporte Estándar del Riesgo de Liquidez de los Establecimientos de Crédito, Organismos Cooperativos de Grado Superior e Instituciones Oficiales Especiales (</w:t>
      </w:r>
      <w:proofErr w:type="spellStart"/>
      <w:r w:rsidRPr="002233D4">
        <w:rPr>
          <w:bCs/>
          <w:sz w:val="18"/>
        </w:rPr>
        <w:t>IOEs</w:t>
      </w:r>
      <w:proofErr w:type="spellEnd"/>
      <w:r w:rsidRPr="002233D4">
        <w:rPr>
          <w:bCs/>
          <w:sz w:val="18"/>
        </w:rPr>
        <w:t>)</w:t>
      </w:r>
      <w:r w:rsidRPr="002233D4">
        <w:rPr>
          <w:sz w:val="18"/>
        </w:rPr>
        <w:t xml:space="preserve">), en el correspondiente formato que la SFC adopte para tal efecto. </w:t>
      </w:r>
    </w:p>
    <w:p w14:paraId="10A0111C" w14:textId="77777777" w:rsidR="00D9020F" w:rsidRPr="002233D4" w:rsidRDefault="00D9020F" w:rsidP="00D9020F">
      <w:pPr>
        <w:pStyle w:val="Textoindependiente"/>
        <w:ind w:left="360"/>
        <w:rPr>
          <w:sz w:val="18"/>
        </w:rPr>
      </w:pPr>
    </w:p>
    <w:p w14:paraId="67BD1844" w14:textId="77777777" w:rsidR="009C74E5" w:rsidRDefault="00D9020F" w:rsidP="009C74E5">
      <w:pPr>
        <w:pStyle w:val="Textoindependiente"/>
        <w:ind w:left="360"/>
        <w:rPr>
          <w:sz w:val="18"/>
        </w:rPr>
      </w:pPr>
      <w:r w:rsidRPr="002233D4">
        <w:rPr>
          <w:sz w:val="18"/>
        </w:rPr>
        <w:t>La SFC verificará semanalmente y mensualmente con los estados financieros, el cumplimiento del límite mínimo del Indicador de Riesgo de Liquidez -IRL-</w:t>
      </w:r>
      <w:bookmarkStart w:id="3" w:name="OLE_LINK5"/>
      <w:r w:rsidRPr="002233D4">
        <w:rPr>
          <w:sz w:val="18"/>
        </w:rPr>
        <w:t xml:space="preserve"> del modelo estándar</w:t>
      </w:r>
      <w:bookmarkEnd w:id="3"/>
      <w:r w:rsidRPr="002233D4">
        <w:rPr>
          <w:sz w:val="18"/>
        </w:rPr>
        <w:t xml:space="preserve"> sobre la base de la información, metodología y parámetros que se establecen en el Anexo 1 del presente capítulo. </w:t>
      </w:r>
    </w:p>
    <w:p w14:paraId="5C58DDC7" w14:textId="77777777" w:rsidR="009C74E5" w:rsidRPr="009C74E5" w:rsidRDefault="009C74E5" w:rsidP="009C74E5">
      <w:pPr>
        <w:pStyle w:val="Textoindependiente"/>
        <w:ind w:left="360"/>
        <w:rPr>
          <w:sz w:val="18"/>
        </w:rPr>
      </w:pPr>
    </w:p>
    <w:p w14:paraId="58410132" w14:textId="77777777" w:rsidR="008C766C" w:rsidRDefault="008C766C" w:rsidP="00381F8F">
      <w:pPr>
        <w:pStyle w:val="Textoindependiente"/>
        <w:pBdr>
          <w:left w:val="single" w:sz="4" w:space="4" w:color="auto"/>
        </w:pBdr>
        <w:ind w:left="360"/>
        <w:rPr>
          <w:b/>
          <w:sz w:val="18"/>
        </w:rPr>
      </w:pPr>
      <w:r w:rsidRPr="00381F8F">
        <w:rPr>
          <w:b/>
          <w:sz w:val="18"/>
        </w:rPr>
        <w:t xml:space="preserve">Adicionalmente, los establecimientos de crédito, los organismos cooperativos de grado superior y las </w:t>
      </w:r>
      <w:proofErr w:type="spellStart"/>
      <w:r w:rsidRPr="00381F8F">
        <w:rPr>
          <w:b/>
          <w:sz w:val="18"/>
        </w:rPr>
        <w:t>IOEs</w:t>
      </w:r>
      <w:proofErr w:type="spellEnd"/>
      <w:r w:rsidRPr="00381F8F">
        <w:rPr>
          <w:b/>
          <w:sz w:val="18"/>
        </w:rPr>
        <w:t xml:space="preserve"> aquí mencionadas, deben medir la estabilidad de su fondeo en relación con la composición de su activo y de las posiciones fuera de balance</w:t>
      </w:r>
      <w:r w:rsidR="007C4EF6" w:rsidRPr="00381F8F">
        <w:rPr>
          <w:b/>
          <w:sz w:val="18"/>
        </w:rPr>
        <w:t>, en un horizonte de un año</w:t>
      </w:r>
      <w:r w:rsidRPr="00381F8F">
        <w:rPr>
          <w:b/>
          <w:sz w:val="18"/>
        </w:rPr>
        <w:t>. En todo momento, las entidades deben contar con fuentes de fondeo suficientemente estables para que incluso en situaciones de estrés, puedan contar con recursos o colaterales suficientes para continuar con el normal desarrollo de su negocio y hacer los pagos a sus clientes y contrapartes de manera oportuna.</w:t>
      </w:r>
    </w:p>
    <w:p w14:paraId="50D7B634" w14:textId="77777777" w:rsidR="00381F8F" w:rsidRPr="00381F8F" w:rsidRDefault="00381F8F" w:rsidP="00381F8F">
      <w:pPr>
        <w:pStyle w:val="Textoindependiente"/>
        <w:pBdr>
          <w:left w:val="single" w:sz="4" w:space="4" w:color="auto"/>
        </w:pBdr>
        <w:ind w:left="360"/>
        <w:rPr>
          <w:b/>
          <w:sz w:val="18"/>
        </w:rPr>
      </w:pPr>
    </w:p>
    <w:p w14:paraId="7E75B6F6" w14:textId="77777777" w:rsidR="008C766C" w:rsidRPr="00381F8F" w:rsidRDefault="008C766C" w:rsidP="00381F8F">
      <w:pPr>
        <w:pStyle w:val="Textoindependiente"/>
        <w:pBdr>
          <w:left w:val="single" w:sz="4" w:space="4" w:color="auto"/>
        </w:pBdr>
        <w:ind w:left="360"/>
        <w:rPr>
          <w:b/>
          <w:sz w:val="18"/>
        </w:rPr>
      </w:pPr>
      <w:r w:rsidRPr="00381F8F">
        <w:rPr>
          <w:b/>
          <w:sz w:val="18"/>
        </w:rPr>
        <w:t xml:space="preserve">En ese sentido, las mencionadas entidades deben reportar mensualmente la información del Coeficiente de </w:t>
      </w:r>
      <w:r w:rsidR="00465895" w:rsidRPr="00381F8F">
        <w:rPr>
          <w:b/>
          <w:sz w:val="18"/>
        </w:rPr>
        <w:t>Fondeo</w:t>
      </w:r>
      <w:r w:rsidRPr="00381F8F">
        <w:rPr>
          <w:b/>
          <w:sz w:val="18"/>
        </w:rPr>
        <w:t xml:space="preserve"> Estable Neto </w:t>
      </w:r>
      <w:r w:rsidR="00A97E29" w:rsidRPr="00381F8F">
        <w:rPr>
          <w:b/>
          <w:sz w:val="18"/>
        </w:rPr>
        <w:t xml:space="preserve">(CFEN) </w:t>
      </w:r>
      <w:r w:rsidRPr="00381F8F">
        <w:rPr>
          <w:b/>
          <w:sz w:val="18"/>
        </w:rPr>
        <w:t xml:space="preserve">definido en el Anexo 4 del presente Capítulo (Metodología para la Medición y Reporte Estándar del Coeficiente de Financiación Estable Neto), </w:t>
      </w:r>
      <w:r w:rsidR="00465895" w:rsidRPr="00381F8F">
        <w:rPr>
          <w:b/>
          <w:sz w:val="18"/>
        </w:rPr>
        <w:t>según</w:t>
      </w:r>
      <w:r w:rsidRPr="00381F8F">
        <w:rPr>
          <w:b/>
          <w:sz w:val="18"/>
        </w:rPr>
        <w:t xml:space="preserve"> </w:t>
      </w:r>
      <w:r w:rsidR="00465895" w:rsidRPr="00381F8F">
        <w:rPr>
          <w:b/>
          <w:sz w:val="18"/>
        </w:rPr>
        <w:t xml:space="preserve">las instrucciones </w:t>
      </w:r>
      <w:r w:rsidRPr="00381F8F">
        <w:rPr>
          <w:b/>
          <w:sz w:val="18"/>
        </w:rPr>
        <w:t xml:space="preserve">que </w:t>
      </w:r>
      <w:r w:rsidR="00465895" w:rsidRPr="00381F8F">
        <w:rPr>
          <w:b/>
          <w:sz w:val="18"/>
        </w:rPr>
        <w:t xml:space="preserve">imparta </w:t>
      </w:r>
      <w:r w:rsidRPr="00381F8F">
        <w:rPr>
          <w:b/>
          <w:sz w:val="18"/>
        </w:rPr>
        <w:t>la SFC para tal fin.</w:t>
      </w:r>
    </w:p>
    <w:p w14:paraId="04F905EA" w14:textId="77777777" w:rsidR="00D9020F" w:rsidRPr="002233D4" w:rsidRDefault="00D9020F" w:rsidP="00D9020F">
      <w:pPr>
        <w:pStyle w:val="Textoindependiente"/>
        <w:ind w:left="360"/>
        <w:rPr>
          <w:sz w:val="18"/>
        </w:rPr>
      </w:pPr>
    </w:p>
    <w:p w14:paraId="60648FF0" w14:textId="77777777" w:rsidR="00D9020F" w:rsidRPr="002233D4" w:rsidRDefault="00D9020F" w:rsidP="00D54E3E">
      <w:pPr>
        <w:pStyle w:val="Textoindependiente"/>
        <w:numPr>
          <w:ilvl w:val="0"/>
          <w:numId w:val="14"/>
        </w:numPr>
        <w:tabs>
          <w:tab w:val="clear" w:pos="720"/>
          <w:tab w:val="num" w:pos="357"/>
        </w:tabs>
        <w:ind w:left="357" w:hanging="357"/>
        <w:rPr>
          <w:b/>
          <w:sz w:val="18"/>
        </w:rPr>
      </w:pPr>
      <w:r w:rsidRPr="002233D4">
        <w:rPr>
          <w:b/>
          <w:sz w:val="18"/>
        </w:rPr>
        <w:t>L</w:t>
      </w:r>
      <w:r w:rsidRPr="002233D4">
        <w:rPr>
          <w:b/>
          <w:sz w:val="18"/>
          <w:lang w:val="es-CO"/>
        </w:rPr>
        <w:t>as sociedades comisionistas de bolsa de valores:</w:t>
      </w:r>
    </w:p>
    <w:p w14:paraId="0CF2D14B" w14:textId="77777777" w:rsidR="00D9020F" w:rsidRPr="002233D4" w:rsidRDefault="00D9020F" w:rsidP="00D9020F">
      <w:pPr>
        <w:pStyle w:val="Textoindependiente"/>
        <w:rPr>
          <w:b/>
          <w:sz w:val="18"/>
        </w:rPr>
      </w:pPr>
    </w:p>
    <w:p w14:paraId="5A53DB53" w14:textId="77777777" w:rsidR="00D9020F" w:rsidRPr="002233D4" w:rsidRDefault="00D9020F" w:rsidP="00D9020F">
      <w:pPr>
        <w:pStyle w:val="Textoindependiente"/>
        <w:ind w:left="357"/>
        <w:rPr>
          <w:sz w:val="18"/>
        </w:rPr>
      </w:pPr>
      <w:r w:rsidRPr="002233D4">
        <w:rPr>
          <w:sz w:val="18"/>
        </w:rPr>
        <w:t>L</w:t>
      </w:r>
      <w:r w:rsidRPr="002233D4">
        <w:rPr>
          <w:sz w:val="18"/>
          <w:lang w:val="es-CO"/>
        </w:rPr>
        <w:t xml:space="preserve">as sociedades comisionistas de bolsa de valores deben </w:t>
      </w:r>
      <w:r w:rsidRPr="002233D4">
        <w:rPr>
          <w:sz w:val="18"/>
        </w:rPr>
        <w:t>diseñar y aplicar metodologías internas para la medición del riesgo de liquidez derivado de las operaciones por cuenta propia y de las operaciones realizadas por cuenta de terceros; incluyendo el diseño de un Indicador de Riesgo de Liquidez y el establecimiento de límites prudenciales para tal indicador, que la respectiva entidad se obliga a cumplir.</w:t>
      </w:r>
    </w:p>
    <w:p w14:paraId="5E11D804" w14:textId="77777777" w:rsidR="00D9020F" w:rsidRDefault="00D9020F" w:rsidP="00D9020F">
      <w:pPr>
        <w:pStyle w:val="Textoindependiente"/>
        <w:rPr>
          <w:sz w:val="18"/>
        </w:rPr>
      </w:pPr>
    </w:p>
    <w:p w14:paraId="6D98FBA0" w14:textId="77777777" w:rsidR="00381F8F" w:rsidRDefault="00381F8F" w:rsidP="00D9020F">
      <w:pPr>
        <w:pStyle w:val="Textoindependiente"/>
        <w:rPr>
          <w:sz w:val="18"/>
        </w:rPr>
      </w:pPr>
    </w:p>
    <w:p w14:paraId="20FA11BA" w14:textId="77777777" w:rsidR="00381F8F" w:rsidRPr="002233D4" w:rsidRDefault="00381F8F" w:rsidP="00D9020F">
      <w:pPr>
        <w:pStyle w:val="Textoindependiente"/>
        <w:rPr>
          <w:sz w:val="18"/>
        </w:rPr>
      </w:pPr>
    </w:p>
    <w:p w14:paraId="3486D5ED" w14:textId="77777777" w:rsidR="00D9020F" w:rsidRPr="002233D4" w:rsidRDefault="00D9020F" w:rsidP="00D9020F">
      <w:pPr>
        <w:pStyle w:val="Textoindependiente"/>
        <w:ind w:left="360"/>
        <w:rPr>
          <w:sz w:val="18"/>
        </w:rPr>
      </w:pPr>
      <w:r w:rsidRPr="002233D4">
        <w:rPr>
          <w:sz w:val="18"/>
        </w:rPr>
        <w:lastRenderedPageBreak/>
        <w:t>Tales modelos deberán diseñarse atendiendo la naturaleza, línea de negocio o actividad significativa y operaciones autorizadas a las mismas y deberán atender los requisitos mínimos señalados en el numeral 5.2.2. del presente capítulo. Los resultados obtenidos y, en general toda la documentación sobre los parámetros, supuestos, construcción y funcionamiento del modelo interno, deben estar a disposición de la SFC en cualquier momento.</w:t>
      </w:r>
    </w:p>
    <w:p w14:paraId="33C9B845" w14:textId="77777777" w:rsidR="00D9020F" w:rsidRPr="002233D4" w:rsidRDefault="00D9020F" w:rsidP="00D9020F">
      <w:pPr>
        <w:pStyle w:val="Textoindependiente"/>
        <w:ind w:left="360"/>
        <w:rPr>
          <w:sz w:val="18"/>
        </w:rPr>
      </w:pPr>
    </w:p>
    <w:p w14:paraId="5CAEFA5E" w14:textId="77777777" w:rsidR="00541075" w:rsidRPr="002233D4" w:rsidRDefault="00D9020F" w:rsidP="00D9020F">
      <w:pPr>
        <w:pStyle w:val="Textoindependiente"/>
        <w:widowControl w:val="0"/>
        <w:spacing w:after="100" w:afterAutospacing="1"/>
        <w:ind w:left="360"/>
        <w:rPr>
          <w:sz w:val="18"/>
        </w:rPr>
      </w:pPr>
      <w:r w:rsidRPr="002233D4">
        <w:rPr>
          <w:sz w:val="18"/>
        </w:rPr>
        <w:t xml:space="preserve">En todo caso, para efectos del monitoreo homogéneo y permanente por parte de la SFC de las principales </w:t>
      </w:r>
      <w:proofErr w:type="gramStart"/>
      <w:r w:rsidRPr="002233D4">
        <w:rPr>
          <w:sz w:val="18"/>
        </w:rPr>
        <w:t>variables  relacionadas</w:t>
      </w:r>
      <w:proofErr w:type="gramEnd"/>
      <w:r w:rsidRPr="002233D4">
        <w:rPr>
          <w:sz w:val="18"/>
        </w:rPr>
        <w:t xml:space="preserve">    con  la  liquidez  y  de  la  exposición  de   las    entidades   al   riesgo      de       liquidez</w:t>
      </w:r>
    </w:p>
    <w:p w14:paraId="3FC7D70B" w14:textId="77777777" w:rsidR="00486514" w:rsidRPr="002233D4" w:rsidRDefault="00486514" w:rsidP="009C74E5">
      <w:pPr>
        <w:pStyle w:val="Textoindependiente"/>
        <w:widowControl w:val="0"/>
        <w:spacing w:after="100" w:afterAutospacing="1"/>
        <w:rPr>
          <w:sz w:val="18"/>
        </w:rPr>
        <w:sectPr w:rsidR="00486514" w:rsidRPr="002233D4" w:rsidSect="00486514">
          <w:headerReference w:type="default" r:id="rId12"/>
          <w:footerReference w:type="default" r:id="rId13"/>
          <w:headerReference w:type="first" r:id="rId14"/>
          <w:footerReference w:type="first" r:id="rId15"/>
          <w:pgSz w:w="12242" w:h="18722" w:code="14"/>
          <w:pgMar w:top="1412" w:right="1412" w:bottom="1412" w:left="1412" w:header="851" w:footer="454" w:gutter="0"/>
          <w:paperSrc w:first="2" w:other="2"/>
          <w:pgNumType w:start="4"/>
          <w:cols w:space="708"/>
          <w:titlePg/>
          <w:docGrid w:linePitch="360"/>
        </w:sectPr>
      </w:pPr>
    </w:p>
    <w:p w14:paraId="7091943D" w14:textId="77777777" w:rsidR="00801011" w:rsidRPr="002233D4" w:rsidRDefault="00801011" w:rsidP="00801011">
      <w:pPr>
        <w:ind w:right="51"/>
        <w:jc w:val="both"/>
        <w:rPr>
          <w:rFonts w:ascii="Arial" w:hAnsi="Arial" w:cs="Arial"/>
          <w:sz w:val="18"/>
          <w:szCs w:val="18"/>
          <w:lang w:val="es-ES_tradnl"/>
        </w:rPr>
      </w:pPr>
      <w:r w:rsidRPr="002233D4">
        <w:rPr>
          <w:rFonts w:ascii="Arial" w:hAnsi="Arial" w:cs="Arial"/>
          <w:sz w:val="18"/>
          <w:szCs w:val="18"/>
          <w:lang w:val="es-ES_tradnl"/>
        </w:rPr>
        <w:lastRenderedPageBreak/>
        <w:t xml:space="preserve">Las pruebas de desempeño tienen como propósito determinar la consistencia y confiabilidad de los indicadores de riesgo de liquidez estimados. Estas pruebas consisten fundamentalmente en un proceso de revisión permanente por parte de la entidad sobre el modelo interno utilizado y de la validación de los supuestos, parámetros y juicios expertos que subyacen para el cálculo del Indicador de Riesgo de Liquidez. Cuando haya parámetros del modelo que la entidad estime mediante la utilización de procesos estadísticos, las pruebas de desempeño exigen que la entidad compare, también con base en pruebas estadísticas, las proyecciones de tales parámetros con los valores ex-post efectivamente verificados en el período que se trate y efectúe los ajustes que se consideren pertinentes en el modelo. </w:t>
      </w:r>
    </w:p>
    <w:p w14:paraId="1BF0E0CC" w14:textId="77777777" w:rsidR="00801011" w:rsidRPr="002233D4" w:rsidRDefault="00801011" w:rsidP="00801011">
      <w:pPr>
        <w:ind w:right="51"/>
        <w:jc w:val="both"/>
        <w:rPr>
          <w:rFonts w:ascii="Arial" w:hAnsi="Arial" w:cs="Arial"/>
          <w:sz w:val="6"/>
          <w:szCs w:val="6"/>
          <w:lang w:val="es-ES_tradnl"/>
        </w:rPr>
      </w:pPr>
    </w:p>
    <w:p w14:paraId="02ECB6AC" w14:textId="77777777" w:rsidR="00801011" w:rsidRDefault="00801011" w:rsidP="00801011">
      <w:pPr>
        <w:ind w:right="51"/>
        <w:jc w:val="both"/>
        <w:rPr>
          <w:rFonts w:ascii="Arial" w:hAnsi="Arial" w:cs="Arial"/>
          <w:sz w:val="18"/>
          <w:szCs w:val="18"/>
          <w:lang w:val="es-ES_tradnl"/>
        </w:rPr>
      </w:pPr>
      <w:r w:rsidRPr="002233D4">
        <w:rPr>
          <w:rFonts w:ascii="Arial" w:hAnsi="Arial" w:cs="Arial"/>
          <w:sz w:val="18"/>
          <w:szCs w:val="18"/>
          <w:lang w:val="es-ES_tradnl"/>
        </w:rPr>
        <w:t>Las pruebas de desempeño deben realizarse al menos una vez al mes y la metodología empleada por la entidad para su realización, así como los resultados de las pruebas deben estar documentados y a disposición de la SFC cuando ésta los requiera.</w:t>
      </w:r>
    </w:p>
    <w:p w14:paraId="4E289FAD" w14:textId="77777777" w:rsidR="007D2C81" w:rsidRPr="002233D4" w:rsidRDefault="007D2C81" w:rsidP="00801011">
      <w:pPr>
        <w:ind w:right="51"/>
        <w:jc w:val="both"/>
        <w:rPr>
          <w:rFonts w:ascii="Arial" w:hAnsi="Arial" w:cs="Arial"/>
          <w:sz w:val="18"/>
          <w:szCs w:val="18"/>
          <w:lang w:val="es-ES_tradnl"/>
        </w:rPr>
      </w:pPr>
    </w:p>
    <w:p w14:paraId="07829CB9" w14:textId="77777777" w:rsidR="00801011" w:rsidRPr="002233D4" w:rsidRDefault="00801011" w:rsidP="00801011">
      <w:pPr>
        <w:ind w:right="51"/>
        <w:jc w:val="both"/>
        <w:rPr>
          <w:rFonts w:ascii="Arial" w:hAnsi="Arial" w:cs="Arial"/>
          <w:b/>
          <w:bCs/>
          <w:sz w:val="8"/>
          <w:szCs w:val="18"/>
          <w:lang w:val="es-ES_tradnl"/>
        </w:rPr>
      </w:pPr>
    </w:p>
    <w:p w14:paraId="38C32CC4" w14:textId="77777777" w:rsidR="00801011" w:rsidRPr="007D2C81" w:rsidRDefault="00801011" w:rsidP="00D54E3E">
      <w:pPr>
        <w:pStyle w:val="Titulo"/>
        <w:numPr>
          <w:ilvl w:val="3"/>
          <w:numId w:val="21"/>
        </w:numPr>
        <w:tabs>
          <w:tab w:val="left" w:pos="708"/>
        </w:tabs>
        <w:rPr>
          <w:rStyle w:val="Titulo3Car"/>
          <w:b/>
          <w:sz w:val="18"/>
          <w:szCs w:val="18"/>
        </w:rPr>
      </w:pPr>
      <w:r w:rsidRPr="007D2C81">
        <w:rPr>
          <w:rStyle w:val="Titulo3Car"/>
          <w:b/>
          <w:sz w:val="18"/>
          <w:szCs w:val="18"/>
        </w:rPr>
        <w:t xml:space="preserve">Combinación de los modelos internos y la metodología estándar </w:t>
      </w:r>
    </w:p>
    <w:p w14:paraId="32992096" w14:textId="77777777" w:rsidR="00801011" w:rsidRDefault="00801011" w:rsidP="00801011">
      <w:pPr>
        <w:ind w:right="51"/>
        <w:jc w:val="both"/>
        <w:rPr>
          <w:rFonts w:ascii="Arial" w:hAnsi="Arial" w:cs="Arial"/>
          <w:sz w:val="18"/>
          <w:szCs w:val="18"/>
        </w:rPr>
      </w:pPr>
      <w:r w:rsidRPr="002233D4">
        <w:rPr>
          <w:rFonts w:ascii="Arial" w:hAnsi="Arial" w:cs="Arial"/>
          <w:sz w:val="18"/>
          <w:szCs w:val="18"/>
        </w:rPr>
        <w:t>Las entidades podrán utilizar una combinación de sus modelos propios y de la metodología estándar para medir internamente su exposición al riesgo de liquidez. Para lo anterior, deberán tener en cuenta las siguientes consideraciones:</w:t>
      </w:r>
    </w:p>
    <w:p w14:paraId="3783FBFA" w14:textId="77777777" w:rsidR="007D2C81" w:rsidRPr="002233D4" w:rsidRDefault="007D2C81" w:rsidP="00801011">
      <w:pPr>
        <w:ind w:right="51"/>
        <w:jc w:val="both"/>
      </w:pPr>
    </w:p>
    <w:p w14:paraId="5D66655C" w14:textId="77777777" w:rsidR="00801011" w:rsidRPr="002233D4" w:rsidRDefault="00801011" w:rsidP="00D54E3E">
      <w:pPr>
        <w:numPr>
          <w:ilvl w:val="0"/>
          <w:numId w:val="22"/>
        </w:numPr>
        <w:tabs>
          <w:tab w:val="num" w:pos="720"/>
        </w:tabs>
        <w:ind w:left="720" w:right="51"/>
        <w:jc w:val="both"/>
        <w:rPr>
          <w:rFonts w:ascii="Arial" w:hAnsi="Arial" w:cs="Arial"/>
          <w:sz w:val="18"/>
          <w:szCs w:val="18"/>
        </w:rPr>
      </w:pPr>
      <w:r w:rsidRPr="002233D4">
        <w:rPr>
          <w:rFonts w:ascii="Arial" w:hAnsi="Arial" w:cs="Arial"/>
          <w:sz w:val="18"/>
          <w:szCs w:val="18"/>
        </w:rPr>
        <w:t>Podrán escoger entre utilizar el enfoque metodológico interno o estándar para cada uno de los componentes del cálculo del Indicador de Riesgo de Liquidez -IRL-.</w:t>
      </w:r>
    </w:p>
    <w:p w14:paraId="3C4B5576" w14:textId="77777777" w:rsidR="00801011" w:rsidRPr="002233D4" w:rsidRDefault="00801011" w:rsidP="00D54E3E">
      <w:pPr>
        <w:numPr>
          <w:ilvl w:val="0"/>
          <w:numId w:val="22"/>
        </w:numPr>
        <w:tabs>
          <w:tab w:val="num" w:pos="720"/>
        </w:tabs>
        <w:ind w:left="720" w:right="51"/>
        <w:jc w:val="both"/>
        <w:rPr>
          <w:rFonts w:ascii="Arial" w:hAnsi="Arial" w:cs="Arial"/>
          <w:sz w:val="18"/>
          <w:szCs w:val="18"/>
        </w:rPr>
      </w:pPr>
      <w:r w:rsidRPr="002233D4">
        <w:rPr>
          <w:rFonts w:ascii="Arial" w:hAnsi="Arial" w:cs="Arial"/>
          <w:sz w:val="18"/>
          <w:szCs w:val="18"/>
        </w:rPr>
        <w:t>Deberán surtir el procedimiento descrito, a quienes aplique, para obtener un pronunciamiento de no objeción del modelo interno.</w:t>
      </w:r>
    </w:p>
    <w:p w14:paraId="311A5DF2" w14:textId="77777777" w:rsidR="00801011" w:rsidRDefault="00801011" w:rsidP="00D54E3E">
      <w:pPr>
        <w:numPr>
          <w:ilvl w:val="0"/>
          <w:numId w:val="22"/>
        </w:numPr>
        <w:tabs>
          <w:tab w:val="num" w:pos="720"/>
        </w:tabs>
        <w:ind w:left="720" w:right="51"/>
        <w:jc w:val="both"/>
        <w:rPr>
          <w:rFonts w:ascii="Arial" w:hAnsi="Arial" w:cs="Arial"/>
          <w:sz w:val="18"/>
          <w:szCs w:val="18"/>
        </w:rPr>
      </w:pPr>
      <w:r w:rsidRPr="002233D4">
        <w:rPr>
          <w:rFonts w:ascii="Arial" w:hAnsi="Arial" w:cs="Arial"/>
          <w:sz w:val="18"/>
          <w:szCs w:val="18"/>
        </w:rPr>
        <w:t>Deberán cubrir todos los componentes del cálculo del indicador por una u otra aproximación.</w:t>
      </w:r>
    </w:p>
    <w:p w14:paraId="5B92CABB" w14:textId="77777777" w:rsidR="007D2C81" w:rsidRPr="002233D4" w:rsidRDefault="007D2C81" w:rsidP="007D2C81">
      <w:pPr>
        <w:ind w:left="720" w:right="51"/>
        <w:jc w:val="both"/>
        <w:rPr>
          <w:rFonts w:ascii="Arial" w:hAnsi="Arial" w:cs="Arial"/>
          <w:sz w:val="18"/>
          <w:szCs w:val="18"/>
        </w:rPr>
      </w:pPr>
    </w:p>
    <w:p w14:paraId="29783C28" w14:textId="77777777" w:rsidR="00801011" w:rsidRPr="002233D4" w:rsidRDefault="00801011" w:rsidP="00801011">
      <w:pPr>
        <w:ind w:right="51"/>
        <w:jc w:val="both"/>
        <w:rPr>
          <w:rFonts w:ascii="Arial" w:hAnsi="Arial" w:cs="Arial"/>
          <w:b/>
          <w:bCs/>
          <w:sz w:val="8"/>
          <w:szCs w:val="18"/>
        </w:rPr>
      </w:pPr>
    </w:p>
    <w:p w14:paraId="04A8844E" w14:textId="77777777" w:rsidR="00801011" w:rsidRDefault="00801011" w:rsidP="00D54E3E">
      <w:pPr>
        <w:pStyle w:val="Titulo"/>
        <w:numPr>
          <w:ilvl w:val="3"/>
          <w:numId w:val="21"/>
        </w:numPr>
        <w:tabs>
          <w:tab w:val="left" w:pos="708"/>
        </w:tabs>
        <w:rPr>
          <w:rStyle w:val="Titulo3Car"/>
          <w:b/>
          <w:sz w:val="18"/>
          <w:szCs w:val="18"/>
        </w:rPr>
      </w:pPr>
      <w:r w:rsidRPr="007D2C81">
        <w:rPr>
          <w:rStyle w:val="Titulo3Car"/>
          <w:b/>
          <w:sz w:val="18"/>
          <w:szCs w:val="18"/>
        </w:rPr>
        <w:t>Cálculo de la exposición al Riesgo de Liquidez con los modelos internos</w:t>
      </w:r>
    </w:p>
    <w:p w14:paraId="4FE85989" w14:textId="77777777" w:rsidR="007D2C81" w:rsidRPr="007D2C81" w:rsidRDefault="007D2C81" w:rsidP="007D2C81">
      <w:pPr>
        <w:pStyle w:val="Titulo"/>
        <w:tabs>
          <w:tab w:val="left" w:pos="708"/>
        </w:tabs>
        <w:ind w:left="720"/>
        <w:rPr>
          <w:rStyle w:val="Titulo3Car"/>
          <w:b/>
          <w:sz w:val="18"/>
          <w:szCs w:val="18"/>
        </w:rPr>
      </w:pPr>
    </w:p>
    <w:p w14:paraId="1FBFB543" w14:textId="77777777" w:rsidR="00801011" w:rsidRPr="002233D4" w:rsidRDefault="00801011" w:rsidP="00801011">
      <w:pPr>
        <w:pStyle w:val="Textoindependiente"/>
      </w:pPr>
      <w:r w:rsidRPr="002233D4">
        <w:rPr>
          <w:sz w:val="18"/>
        </w:rPr>
        <w:t xml:space="preserve">En el caso de los establecimientos de crédito, los organismos cooperativos de grado superior y las </w:t>
      </w:r>
      <w:proofErr w:type="spellStart"/>
      <w:r w:rsidRPr="002233D4">
        <w:rPr>
          <w:sz w:val="18"/>
        </w:rPr>
        <w:t>IOEs</w:t>
      </w:r>
      <w:proofErr w:type="spellEnd"/>
      <w:r w:rsidRPr="002233D4">
        <w:rPr>
          <w:sz w:val="18"/>
        </w:rPr>
        <w:t xml:space="preserve"> señaladas en el </w:t>
      </w:r>
      <w:proofErr w:type="spellStart"/>
      <w:r w:rsidRPr="002233D4">
        <w:rPr>
          <w:sz w:val="18"/>
        </w:rPr>
        <w:t>subnumeral</w:t>
      </w:r>
      <w:proofErr w:type="spellEnd"/>
      <w:r w:rsidRPr="002233D4">
        <w:rPr>
          <w:sz w:val="18"/>
        </w:rPr>
        <w:t xml:space="preserve"> i) del numeral 5.2.1, la exposición total al riesgo de liquidez con los modelos internos debe reflejarse en un valor del Indicador de Riesgo de Liquidez acumulado para las tres primeras bandas de tiempo (hasta 7 días, hasta 15 días y hasta 30 días calendario).</w:t>
      </w:r>
    </w:p>
    <w:p w14:paraId="189992AD" w14:textId="77777777" w:rsidR="00801011" w:rsidRPr="002233D4" w:rsidRDefault="00801011" w:rsidP="00801011">
      <w:pPr>
        <w:pStyle w:val="Textoindependiente"/>
        <w:rPr>
          <w:sz w:val="8"/>
        </w:rPr>
      </w:pPr>
    </w:p>
    <w:p w14:paraId="569CA753" w14:textId="77777777" w:rsidR="00801011" w:rsidRPr="002233D4" w:rsidRDefault="00801011" w:rsidP="00801011">
      <w:pPr>
        <w:pStyle w:val="Textoindependiente"/>
        <w:rPr>
          <w:sz w:val="18"/>
        </w:rPr>
      </w:pPr>
      <w:r w:rsidRPr="002233D4">
        <w:rPr>
          <w:sz w:val="18"/>
        </w:rPr>
        <w:t>En el caso de las sociedades comisionistas de bolsa de valores, la exposición total al riesgo de liquidez con los modelos internos debe reflejarse en un valor del Indicador de Riesgo de Liquidez para las bandas de tiempo a un (1) día y hasta siete (7) días calendario.</w:t>
      </w:r>
    </w:p>
    <w:p w14:paraId="52CC08FF" w14:textId="77777777" w:rsidR="00801011" w:rsidRPr="002233D4" w:rsidRDefault="00801011" w:rsidP="00801011">
      <w:pPr>
        <w:pStyle w:val="Textoindependiente"/>
        <w:rPr>
          <w:sz w:val="8"/>
        </w:rPr>
      </w:pPr>
    </w:p>
    <w:p w14:paraId="7882036A" w14:textId="77777777" w:rsidR="00801011" w:rsidRDefault="00801011" w:rsidP="00801011">
      <w:pPr>
        <w:pStyle w:val="Textoindependiente"/>
        <w:rPr>
          <w:sz w:val="18"/>
        </w:rPr>
      </w:pPr>
      <w:r w:rsidRPr="002233D4">
        <w:rPr>
          <w:sz w:val="18"/>
        </w:rPr>
        <w:t>En el caso de las demás entidades destinatarias del presente capítulo, cada una presentará y sustentará para aprobación de la SFC, junto con el respectivo modelo interno, una propuesta de indicador para medir su exposición al riesgo de liquidez.</w:t>
      </w:r>
    </w:p>
    <w:p w14:paraId="2EC9DF1D" w14:textId="77777777" w:rsidR="007D2C81" w:rsidRPr="002233D4" w:rsidRDefault="007D2C81" w:rsidP="00801011">
      <w:pPr>
        <w:pStyle w:val="Textoindependiente"/>
        <w:rPr>
          <w:sz w:val="18"/>
        </w:rPr>
      </w:pPr>
    </w:p>
    <w:p w14:paraId="11811AB4" w14:textId="77777777" w:rsidR="00801011" w:rsidRPr="002233D4" w:rsidRDefault="00801011" w:rsidP="00801011">
      <w:pPr>
        <w:pStyle w:val="Textoindependiente"/>
        <w:rPr>
          <w:sz w:val="8"/>
          <w:szCs w:val="8"/>
        </w:rPr>
      </w:pPr>
    </w:p>
    <w:p w14:paraId="20EA2397" w14:textId="77777777" w:rsidR="00801011" w:rsidRDefault="007D2C81" w:rsidP="007D2C81">
      <w:pPr>
        <w:pStyle w:val="Sangradetextonormal"/>
        <w:pBdr>
          <w:left w:val="single" w:sz="4" w:space="4" w:color="auto"/>
        </w:pBdr>
        <w:ind w:left="0" w:firstLine="0"/>
        <w:rPr>
          <w:b/>
          <w:sz w:val="18"/>
          <w:lang w:val="es-ES_tradnl"/>
        </w:rPr>
      </w:pPr>
      <w:r w:rsidRPr="002233D4">
        <w:rPr>
          <w:b/>
          <w:sz w:val="18"/>
          <w:lang w:val="es-ES_tradnl"/>
        </w:rPr>
        <w:t>5.2.3 Límite</w:t>
      </w:r>
      <w:r w:rsidR="00801011" w:rsidRPr="002233D4">
        <w:rPr>
          <w:b/>
          <w:sz w:val="18"/>
          <w:lang w:val="es-ES_tradnl"/>
        </w:rPr>
        <w:t xml:space="preserve"> de</w:t>
      </w:r>
      <w:r w:rsidR="00ED2593">
        <w:rPr>
          <w:b/>
          <w:sz w:val="18"/>
          <w:lang w:val="es-ES_tradnl"/>
        </w:rPr>
        <w:t xml:space="preserve"> </w:t>
      </w:r>
      <w:r w:rsidR="00801011" w:rsidRPr="002233D4">
        <w:rPr>
          <w:b/>
          <w:sz w:val="18"/>
          <w:lang w:val="es-ES_tradnl"/>
        </w:rPr>
        <w:t>l</w:t>
      </w:r>
      <w:r w:rsidR="00ED2593">
        <w:rPr>
          <w:b/>
          <w:sz w:val="18"/>
          <w:lang w:val="es-ES_tradnl"/>
        </w:rPr>
        <w:t>os</w:t>
      </w:r>
      <w:r w:rsidR="00801011" w:rsidRPr="002233D4">
        <w:rPr>
          <w:b/>
          <w:sz w:val="18"/>
          <w:lang w:val="es-ES_tradnl"/>
        </w:rPr>
        <w:t xml:space="preserve"> Indicador</w:t>
      </w:r>
      <w:r w:rsidR="00ED2593">
        <w:rPr>
          <w:b/>
          <w:sz w:val="18"/>
          <w:lang w:val="es-ES_tradnl"/>
        </w:rPr>
        <w:t>es</w:t>
      </w:r>
      <w:r w:rsidR="00801011" w:rsidRPr="002233D4">
        <w:rPr>
          <w:b/>
          <w:sz w:val="18"/>
          <w:lang w:val="es-ES_tradnl"/>
        </w:rPr>
        <w:t xml:space="preserve"> de Riesgo de Liquidez – IRL </w:t>
      </w:r>
      <w:r w:rsidR="00ED2593">
        <w:rPr>
          <w:b/>
          <w:sz w:val="18"/>
          <w:lang w:val="es-ES_tradnl"/>
        </w:rPr>
        <w:t>y CFEN</w:t>
      </w:r>
    </w:p>
    <w:p w14:paraId="5164142C" w14:textId="77777777" w:rsidR="007D2C81" w:rsidRDefault="007D2C81" w:rsidP="00801011">
      <w:pPr>
        <w:pStyle w:val="Sangradetextonormal"/>
        <w:ind w:left="0" w:firstLine="0"/>
        <w:rPr>
          <w:b/>
          <w:sz w:val="18"/>
          <w:lang w:val="es-ES_tradnl"/>
        </w:rPr>
      </w:pPr>
    </w:p>
    <w:p w14:paraId="0766BE4B" w14:textId="77777777" w:rsidR="00801011" w:rsidRPr="002233D4" w:rsidRDefault="00801011" w:rsidP="00801011">
      <w:pPr>
        <w:pStyle w:val="Sangradetextonormal"/>
        <w:ind w:left="0" w:firstLine="0"/>
        <w:rPr>
          <w:sz w:val="18"/>
          <w:lang w:val="es-ES_tradnl"/>
        </w:rPr>
      </w:pPr>
      <w:r w:rsidRPr="002233D4">
        <w:rPr>
          <w:sz w:val="18"/>
          <w:lang w:val="es-ES_tradnl"/>
        </w:rPr>
        <w:t xml:space="preserve">Con independencia del modelo de medición empleado por la entidad para el reporte semanal, el Indicador de Riesgo de Liquidez IRL </w:t>
      </w:r>
      <w:r w:rsidRPr="00465895">
        <w:rPr>
          <w:sz w:val="18"/>
          <w:lang w:val="es-ES_tradnl"/>
        </w:rPr>
        <w:t xml:space="preserve">de los establecimientos de crédito, organismos cooperativos de grado superior e </w:t>
      </w:r>
      <w:proofErr w:type="spellStart"/>
      <w:r w:rsidRPr="00465895">
        <w:rPr>
          <w:sz w:val="18"/>
          <w:lang w:val="es-ES_tradnl"/>
        </w:rPr>
        <w:t>IOEs</w:t>
      </w:r>
      <w:proofErr w:type="spellEnd"/>
      <w:r w:rsidRPr="00465895">
        <w:rPr>
          <w:sz w:val="18"/>
          <w:lang w:val="es-ES_tradnl"/>
        </w:rPr>
        <w:t xml:space="preserve"> señaladas en el </w:t>
      </w:r>
      <w:proofErr w:type="spellStart"/>
      <w:r w:rsidRPr="00465895">
        <w:rPr>
          <w:sz w:val="18"/>
          <w:lang w:val="es-ES_tradnl"/>
        </w:rPr>
        <w:t>subnumeral</w:t>
      </w:r>
      <w:proofErr w:type="spellEnd"/>
      <w:r w:rsidRPr="00465895">
        <w:rPr>
          <w:sz w:val="18"/>
          <w:lang w:val="es-ES_tradnl"/>
        </w:rPr>
        <w:t xml:space="preserve"> i) del numeral 5.2.1, acumulado para los horizontes de siete (7) y treinta (30) días calendario debe ser siempre igual o superior a cero (0) –</w:t>
      </w:r>
      <w:proofErr w:type="spellStart"/>
      <w:r w:rsidRPr="00465895">
        <w:rPr>
          <w:sz w:val="18"/>
          <w:lang w:val="es-ES_tradnl"/>
        </w:rPr>
        <w:t>IRLm</w:t>
      </w:r>
      <w:proofErr w:type="spellEnd"/>
      <w:r w:rsidRPr="00465895">
        <w:rPr>
          <w:sz w:val="18"/>
          <w:lang w:val="es-ES_tradnl"/>
        </w:rPr>
        <w:t>-, y mayor o igual al 100% en el caso de la razón –</w:t>
      </w:r>
      <w:proofErr w:type="spellStart"/>
      <w:r w:rsidRPr="00465895">
        <w:rPr>
          <w:sz w:val="18"/>
          <w:lang w:val="es-ES_tradnl"/>
        </w:rPr>
        <w:t>IRLr</w:t>
      </w:r>
      <w:proofErr w:type="spellEnd"/>
      <w:r w:rsidRPr="002233D4">
        <w:rPr>
          <w:sz w:val="18"/>
          <w:lang w:val="es-ES_tradnl"/>
        </w:rPr>
        <w:t xml:space="preserve">-. Para las demás bandas de tiempo del reporte, los establecimientos de crédito, organismos cooperativos de grado superior e </w:t>
      </w:r>
      <w:proofErr w:type="spellStart"/>
      <w:r w:rsidRPr="002233D4">
        <w:rPr>
          <w:sz w:val="18"/>
          <w:lang w:val="es-ES_tradnl"/>
        </w:rPr>
        <w:t>IOEs</w:t>
      </w:r>
      <w:proofErr w:type="spellEnd"/>
      <w:r w:rsidRPr="002233D4">
        <w:rPr>
          <w:sz w:val="18"/>
          <w:lang w:val="es-ES_tradnl"/>
        </w:rPr>
        <w:t xml:space="preserve"> señaladas en el </w:t>
      </w:r>
      <w:proofErr w:type="spellStart"/>
      <w:r w:rsidRPr="002233D4">
        <w:rPr>
          <w:sz w:val="18"/>
          <w:lang w:val="es-ES_tradnl"/>
        </w:rPr>
        <w:t>subnumeral</w:t>
      </w:r>
      <w:proofErr w:type="spellEnd"/>
      <w:r w:rsidRPr="002233D4">
        <w:rPr>
          <w:sz w:val="18"/>
          <w:lang w:val="es-ES_tradnl"/>
        </w:rPr>
        <w:t xml:space="preserve"> i) del numeral 5.2.1, no están sujetos a límite alguno con respecto al Indicador de Riesgo de Liquidez, sin perjuicio de la obligación de enviar semanalmente la información solicitada en el formato que se establezca para el efecto. No obstante, la SFC podrá eventualmente imponer, con base en estudios u otras consideraciones, límites mínimos al indicador para esas bandas de tiempo.</w:t>
      </w:r>
    </w:p>
    <w:p w14:paraId="0B9F02B7" w14:textId="77777777" w:rsidR="00801011" w:rsidRPr="002233D4" w:rsidRDefault="00801011" w:rsidP="00801011">
      <w:pPr>
        <w:pStyle w:val="Sangradetextonormal"/>
        <w:rPr>
          <w:sz w:val="8"/>
          <w:szCs w:val="8"/>
          <w:lang w:val="es-ES_tradnl"/>
        </w:rPr>
      </w:pPr>
    </w:p>
    <w:p w14:paraId="6E37D42F" w14:textId="77777777" w:rsidR="00801011" w:rsidRPr="007D2C81" w:rsidRDefault="00801011" w:rsidP="007D2C81">
      <w:pPr>
        <w:pStyle w:val="Sangradetextonormal"/>
        <w:ind w:left="0" w:firstLine="0"/>
        <w:rPr>
          <w:sz w:val="18"/>
          <w:lang w:val="es-ES_tradnl"/>
        </w:rPr>
      </w:pPr>
      <w:r w:rsidRPr="007D2C81">
        <w:rPr>
          <w:sz w:val="18"/>
          <w:lang w:val="es-ES_tradnl"/>
        </w:rPr>
        <w:t xml:space="preserve">Las entidades señaladas deben mantener un nivel de activos líquidos de alta calidad, equivalente como mínimo al 70% de los activos líquidos totales definidos en el Anexo 1 del presente capítulo. La característica de alta calidad la poseen el disponible, en todos los casos,  y aquellos activos líquidos que reciba el Banco de la República para sus operaciones de expansión y contracción monetaria, descritos en el numeral 3.1.1 de la Circular Reglamentaria Externa DODM-142 del Banco de la República, cuando la entidad se encuentre habilitada para realizar operaciones repo intradía con conversión a </w:t>
      </w:r>
      <w:r w:rsidRPr="007D2C81">
        <w:rPr>
          <w:i/>
          <w:sz w:val="18"/>
          <w:lang w:val="es-ES_tradnl"/>
        </w:rPr>
        <w:t>overnight</w:t>
      </w:r>
      <w:r w:rsidRPr="007D2C81">
        <w:rPr>
          <w:sz w:val="18"/>
          <w:lang w:val="es-ES_tradnl"/>
        </w:rPr>
        <w:t xml:space="preserve"> por intradía según lo dispuesto en la Circular Reglamentaria Externa DFV-120 del Banco de la República, en el caso en que la entidad no se encuentre habilitada para realizar dichas operaciones se contarán dentro del conjunto de activos líquidos de alta calidad únicamente aquellos títulos que sean de cotización obligatoria en el Programa de Creadores de Mercado de Deuda Pública. Para este propósito, los activos líquidos que no ostenten la característica de alta calidad, se contabilizarán por su valor ajustado por ‘liquidez de mercado’ y riesgo cambiario como parte de los activos líquidos totales hasta por un valor máximo de 3/7 del valor ajustado por ‘liquidez de mercado’ y riesgo cambiario de los activos líquidos de alta calidad.</w:t>
      </w:r>
    </w:p>
    <w:p w14:paraId="6ED407A2" w14:textId="77777777" w:rsidR="00801011" w:rsidRPr="007D2C81" w:rsidRDefault="00801011" w:rsidP="007D2C81">
      <w:pPr>
        <w:pStyle w:val="Sangradetextonormal"/>
        <w:ind w:left="0" w:firstLine="0"/>
        <w:rPr>
          <w:sz w:val="8"/>
          <w:lang w:val="es-ES_tradnl"/>
        </w:rPr>
      </w:pPr>
    </w:p>
    <w:p w14:paraId="5735B5BB" w14:textId="77777777" w:rsidR="00801011" w:rsidRPr="007D2C81" w:rsidRDefault="001B5BF7" w:rsidP="007D2C81">
      <w:pPr>
        <w:pStyle w:val="Sangradetextonormal"/>
        <w:pBdr>
          <w:left w:val="single" w:sz="4" w:space="4" w:color="auto"/>
        </w:pBdr>
        <w:ind w:left="0" w:firstLine="0"/>
        <w:rPr>
          <w:sz w:val="18"/>
          <w:lang w:val="es-ES_tradnl"/>
        </w:rPr>
      </w:pPr>
      <w:r w:rsidRPr="009C74E5">
        <w:rPr>
          <w:b/>
          <w:sz w:val="18"/>
          <w:lang w:val="es-ES_tradnl"/>
        </w:rPr>
        <w:t>C</w:t>
      </w:r>
      <w:r w:rsidR="00801011" w:rsidRPr="007D2C81">
        <w:rPr>
          <w:sz w:val="18"/>
          <w:lang w:val="es-ES_tradnl"/>
        </w:rPr>
        <w:t>on independencia del modelo de medición empleado por la entidad para el reporte diario, el Indicador de Riesgo de Liquidez IRL de las sociedades comisionistas de bolsa de valores, acumulado para los horizontes de uno (1) y siete (7) días calendario debe ser siempre igual o superior a cero (0) –</w:t>
      </w:r>
      <w:proofErr w:type="spellStart"/>
      <w:r w:rsidR="00801011" w:rsidRPr="007D2C81">
        <w:rPr>
          <w:sz w:val="18"/>
          <w:lang w:val="es-ES_tradnl"/>
        </w:rPr>
        <w:t>IRL</w:t>
      </w:r>
      <w:r w:rsidR="00801011" w:rsidRPr="007D2C81">
        <w:rPr>
          <w:sz w:val="18"/>
          <w:vertAlign w:val="subscript"/>
          <w:lang w:val="es-ES_tradnl"/>
        </w:rPr>
        <w:t>m</w:t>
      </w:r>
      <w:proofErr w:type="spellEnd"/>
      <w:r w:rsidR="00801011" w:rsidRPr="007D2C81">
        <w:rPr>
          <w:sz w:val="18"/>
          <w:lang w:val="es-ES_tradnl"/>
        </w:rPr>
        <w:t>-, y mayor o igual al 100% en el caso de la razón –</w:t>
      </w:r>
      <w:proofErr w:type="spellStart"/>
      <w:r w:rsidR="00801011" w:rsidRPr="007D2C81">
        <w:rPr>
          <w:sz w:val="18"/>
          <w:lang w:val="es-ES_tradnl"/>
        </w:rPr>
        <w:t>IRL</w:t>
      </w:r>
      <w:r w:rsidR="00801011" w:rsidRPr="007D2C81">
        <w:rPr>
          <w:sz w:val="18"/>
          <w:vertAlign w:val="subscript"/>
          <w:lang w:val="es-ES_tradnl"/>
        </w:rPr>
        <w:t>r</w:t>
      </w:r>
      <w:proofErr w:type="spellEnd"/>
      <w:r w:rsidR="00801011" w:rsidRPr="007D2C81">
        <w:rPr>
          <w:sz w:val="18"/>
          <w:lang w:val="es-ES_tradnl"/>
        </w:rPr>
        <w:t>-.</w:t>
      </w:r>
    </w:p>
    <w:p w14:paraId="4289A5B8" w14:textId="77777777" w:rsidR="00ED2593" w:rsidRDefault="00ED2593" w:rsidP="00801011">
      <w:pPr>
        <w:pStyle w:val="Sangradetextonormal"/>
        <w:ind w:left="0" w:firstLine="0"/>
        <w:rPr>
          <w:sz w:val="18"/>
          <w:lang w:val="es-ES_tradnl"/>
        </w:rPr>
      </w:pPr>
    </w:p>
    <w:p w14:paraId="35A75511" w14:textId="77777777" w:rsidR="0086678C" w:rsidRDefault="001B5BF7" w:rsidP="007D2C81">
      <w:pPr>
        <w:pStyle w:val="Sangradetextonormal"/>
        <w:pBdr>
          <w:left w:val="single" w:sz="4" w:space="4" w:color="auto"/>
        </w:pBdr>
        <w:ind w:left="0" w:firstLine="0"/>
        <w:rPr>
          <w:b/>
          <w:sz w:val="18"/>
          <w:lang w:val="es-ES_tradnl"/>
        </w:rPr>
      </w:pPr>
      <w:r w:rsidRPr="007D2C81">
        <w:rPr>
          <w:b/>
          <w:sz w:val="18"/>
          <w:lang w:val="es-ES_tradnl"/>
        </w:rPr>
        <w:t>Finalmente, e</w:t>
      </w:r>
      <w:r w:rsidR="00ED2593" w:rsidRPr="007D2C81">
        <w:rPr>
          <w:b/>
          <w:sz w:val="18"/>
          <w:lang w:val="es-ES_tradnl"/>
        </w:rPr>
        <w:t xml:space="preserve">n el caso del CFEN, </w:t>
      </w:r>
      <w:r w:rsidR="0086678C" w:rsidRPr="007D2C81">
        <w:rPr>
          <w:b/>
          <w:sz w:val="18"/>
          <w:lang w:val="es-ES_tradnl"/>
        </w:rPr>
        <w:t xml:space="preserve">el límite mínimo que deben cumplir </w:t>
      </w:r>
      <w:r w:rsidR="00ED2593" w:rsidRPr="007D2C81">
        <w:rPr>
          <w:b/>
          <w:sz w:val="18"/>
          <w:lang w:val="es-ES_tradnl"/>
        </w:rPr>
        <w:t xml:space="preserve">los establecimientos de crédito, organismos cooperativos de grado superior e </w:t>
      </w:r>
      <w:proofErr w:type="spellStart"/>
      <w:r w:rsidR="00ED2593" w:rsidRPr="007D2C81">
        <w:rPr>
          <w:b/>
          <w:sz w:val="18"/>
          <w:lang w:val="es-ES_tradnl"/>
        </w:rPr>
        <w:t>IOEs</w:t>
      </w:r>
      <w:proofErr w:type="spellEnd"/>
      <w:r w:rsidR="00ED2593" w:rsidRPr="007D2C81">
        <w:rPr>
          <w:b/>
          <w:sz w:val="18"/>
          <w:lang w:val="es-ES_tradnl"/>
        </w:rPr>
        <w:t xml:space="preserve"> señaladas en el </w:t>
      </w:r>
      <w:proofErr w:type="spellStart"/>
      <w:r w:rsidR="00ED2593" w:rsidRPr="007D2C81">
        <w:rPr>
          <w:b/>
          <w:sz w:val="18"/>
          <w:lang w:val="es-ES_tradnl"/>
        </w:rPr>
        <w:t>subnumeral</w:t>
      </w:r>
      <w:proofErr w:type="spellEnd"/>
      <w:r w:rsidR="00ED2593" w:rsidRPr="007D2C81">
        <w:rPr>
          <w:b/>
          <w:sz w:val="18"/>
          <w:lang w:val="es-ES_tradnl"/>
        </w:rPr>
        <w:t xml:space="preserve"> i) del numeral 5.2.1, </w:t>
      </w:r>
      <w:r w:rsidR="0086678C" w:rsidRPr="007D2C81">
        <w:rPr>
          <w:b/>
          <w:sz w:val="18"/>
          <w:lang w:val="es-ES_tradnl"/>
        </w:rPr>
        <w:t>se aplicará de la siguiente forma:</w:t>
      </w:r>
    </w:p>
    <w:p w14:paraId="6F77431E" w14:textId="77777777" w:rsidR="00395C1B" w:rsidRPr="002233D4" w:rsidRDefault="00395C1B" w:rsidP="00395C1B">
      <w:pPr>
        <w:pStyle w:val="Textoindependiente"/>
        <w:widowControl w:val="0"/>
        <w:spacing w:after="100" w:afterAutospacing="1"/>
        <w:rPr>
          <w:sz w:val="18"/>
        </w:rPr>
        <w:sectPr w:rsidR="00395C1B" w:rsidRPr="002233D4" w:rsidSect="00486514">
          <w:headerReference w:type="default" r:id="rId16"/>
          <w:footerReference w:type="default" r:id="rId17"/>
          <w:headerReference w:type="first" r:id="rId18"/>
          <w:footerReference w:type="first" r:id="rId19"/>
          <w:pgSz w:w="12242" w:h="18722" w:code="14"/>
          <w:pgMar w:top="1412" w:right="1412" w:bottom="1412" w:left="1412" w:header="851" w:footer="454" w:gutter="0"/>
          <w:paperSrc w:first="2" w:other="2"/>
          <w:pgNumType w:start="4"/>
          <w:cols w:space="708"/>
          <w:titlePg/>
          <w:docGrid w:linePitch="360"/>
        </w:sectPr>
      </w:pPr>
    </w:p>
    <w:p w14:paraId="3FCE33E0" w14:textId="78BF1E10" w:rsidR="0086678C" w:rsidRPr="007D2C81" w:rsidRDefault="0086678C" w:rsidP="00395C1B">
      <w:pPr>
        <w:pStyle w:val="Sangradetextonormal"/>
        <w:pBdr>
          <w:left w:val="single" w:sz="4" w:space="1" w:color="auto"/>
        </w:pBdr>
        <w:ind w:left="0" w:firstLine="0"/>
        <w:rPr>
          <w:b/>
          <w:sz w:val="18"/>
          <w:lang w:val="es-ES_tradnl"/>
        </w:rPr>
      </w:pPr>
      <w:r w:rsidRPr="007D2C81">
        <w:rPr>
          <w:b/>
          <w:sz w:val="18"/>
          <w:lang w:val="es-ES_tradnl"/>
        </w:rPr>
        <w:lastRenderedPageBreak/>
        <w:t>5.2.3.1 Grupo 1: Se refiere a los establecimientos bancarios cuyos activos representen el 2% o más del total de los activos del sector bancario con corte a 31 de diciembre del año inmediatamente anterior a la</w:t>
      </w:r>
      <w:r w:rsidR="004D3D15">
        <w:rPr>
          <w:b/>
          <w:sz w:val="18"/>
          <w:lang w:val="es-ES_tradnl"/>
        </w:rPr>
        <w:t xml:space="preserve"> </w:t>
      </w:r>
      <w:r w:rsidRPr="007D2C81">
        <w:rPr>
          <w:b/>
          <w:sz w:val="18"/>
          <w:lang w:val="es-ES_tradnl"/>
        </w:rPr>
        <w:t xml:space="preserve">fecha de corte del cálculo. </w:t>
      </w:r>
      <w:r w:rsidR="00487E5E" w:rsidRPr="007D2C81">
        <w:rPr>
          <w:b/>
          <w:sz w:val="18"/>
          <w:lang w:val="es-ES_tradnl"/>
        </w:rPr>
        <w:t>Para este grupo de entidades, el CFEN debe ser siempre igual o superior al 100%.</w:t>
      </w:r>
    </w:p>
    <w:p w14:paraId="64A8F98E" w14:textId="77777777" w:rsidR="0086678C" w:rsidRPr="007D2C81" w:rsidRDefault="0086678C" w:rsidP="00395C1B">
      <w:pPr>
        <w:pStyle w:val="Sangradetextonormal"/>
        <w:pBdr>
          <w:left w:val="single" w:sz="4" w:space="1" w:color="auto"/>
        </w:pBdr>
        <w:ind w:left="0" w:firstLine="0"/>
        <w:rPr>
          <w:b/>
          <w:sz w:val="18"/>
          <w:lang w:val="es-ES_tradnl"/>
        </w:rPr>
      </w:pPr>
    </w:p>
    <w:p w14:paraId="417AACFB" w14:textId="39367B9A" w:rsidR="0086678C" w:rsidRPr="007D2C81" w:rsidRDefault="0086678C" w:rsidP="00395C1B">
      <w:pPr>
        <w:pStyle w:val="Sangradetextonormal"/>
        <w:pBdr>
          <w:left w:val="single" w:sz="4" w:space="1" w:color="auto"/>
        </w:pBdr>
        <w:ind w:left="0" w:firstLine="0"/>
        <w:rPr>
          <w:b/>
          <w:sz w:val="18"/>
          <w:lang w:val="es-ES_tradnl"/>
        </w:rPr>
      </w:pPr>
      <w:r w:rsidRPr="007D2C81">
        <w:rPr>
          <w:b/>
          <w:sz w:val="18"/>
          <w:lang w:val="es-ES_tradnl"/>
        </w:rPr>
        <w:t>5.2.3.2 Grupo 2: Se refiere a los establecimientos bancarios cuyos activos representen menos del 2% del total de los activos del sector bancario con corte a 31 de diciembre del año inmediatamente anterior a la fecha de corte del cálculo, las compañías de financiamiento, las corporaciones financieras, las cooperativas financieras</w:t>
      </w:r>
      <w:r w:rsidR="00AC24CC">
        <w:rPr>
          <w:b/>
          <w:sz w:val="18"/>
          <w:lang w:val="es-ES_tradnl"/>
        </w:rPr>
        <w:t xml:space="preserve"> </w:t>
      </w:r>
      <w:r w:rsidR="00AC24CC" w:rsidRPr="007D2C81">
        <w:rPr>
          <w:b/>
          <w:sz w:val="18"/>
          <w:lang w:val="es-ES_tradnl"/>
        </w:rPr>
        <w:t xml:space="preserve">e </w:t>
      </w:r>
      <w:proofErr w:type="spellStart"/>
      <w:r w:rsidR="00AC24CC" w:rsidRPr="007D2C81">
        <w:rPr>
          <w:b/>
          <w:sz w:val="18"/>
          <w:lang w:val="es-ES_tradnl"/>
        </w:rPr>
        <w:t>IOEs</w:t>
      </w:r>
      <w:proofErr w:type="spellEnd"/>
      <w:r w:rsidR="00AC24CC" w:rsidRPr="007D2C81">
        <w:rPr>
          <w:b/>
          <w:sz w:val="18"/>
          <w:lang w:val="es-ES_tradnl"/>
        </w:rPr>
        <w:t xml:space="preserve"> señaladas en el </w:t>
      </w:r>
      <w:proofErr w:type="spellStart"/>
      <w:r w:rsidR="00AC24CC" w:rsidRPr="007D2C81">
        <w:rPr>
          <w:b/>
          <w:sz w:val="18"/>
          <w:lang w:val="es-ES_tradnl"/>
        </w:rPr>
        <w:t>subnumeral</w:t>
      </w:r>
      <w:proofErr w:type="spellEnd"/>
      <w:r w:rsidR="00AC24CC" w:rsidRPr="007D2C81">
        <w:rPr>
          <w:b/>
          <w:sz w:val="18"/>
          <w:lang w:val="es-ES_tradnl"/>
        </w:rPr>
        <w:t xml:space="preserve"> i) del numeral 5.2.1</w:t>
      </w:r>
      <w:r w:rsidR="00AC24CC">
        <w:rPr>
          <w:b/>
          <w:sz w:val="18"/>
          <w:lang w:val="es-ES_tradnl"/>
        </w:rPr>
        <w:t xml:space="preserve">, </w:t>
      </w:r>
      <w:r w:rsidRPr="007D2C81">
        <w:rPr>
          <w:b/>
          <w:sz w:val="18"/>
          <w:lang w:val="es-ES_tradnl"/>
        </w:rPr>
        <w:t>siempre y cuando, dichas entidades tengan como grupo de activos significativo la cartera de créditos y operaciones de leasing.</w:t>
      </w:r>
      <w:r w:rsidR="00487E5E" w:rsidRPr="007D2C81">
        <w:rPr>
          <w:b/>
          <w:sz w:val="18"/>
          <w:lang w:val="es-ES_tradnl"/>
        </w:rPr>
        <w:t xml:space="preserve"> </w:t>
      </w:r>
      <w:r w:rsidR="00E74987" w:rsidRPr="007D2C81">
        <w:rPr>
          <w:b/>
          <w:sz w:val="18"/>
          <w:lang w:val="es-ES_tradnl"/>
        </w:rPr>
        <w:t>Para este grupo de entidades, el CFEN debe ser siempre igual o superior al 80%</w:t>
      </w:r>
      <w:r w:rsidR="009E6F2D">
        <w:rPr>
          <w:b/>
          <w:sz w:val="18"/>
          <w:lang w:val="es-ES_tradnl"/>
        </w:rPr>
        <w:t>. Sin</w:t>
      </w:r>
      <w:r w:rsidR="009C074F">
        <w:rPr>
          <w:b/>
          <w:sz w:val="18"/>
          <w:lang w:val="es-ES_tradnl"/>
        </w:rPr>
        <w:t xml:space="preserve"> perjuicio de lo anterior, la SFC</w:t>
      </w:r>
      <w:r w:rsidR="009E6F2D">
        <w:rPr>
          <w:b/>
          <w:sz w:val="18"/>
          <w:lang w:val="es-ES_tradnl"/>
        </w:rPr>
        <w:t xml:space="preserve"> podrá incrementar este límite hasta el 100%</w:t>
      </w:r>
      <w:r w:rsidR="009C074F">
        <w:rPr>
          <w:b/>
          <w:sz w:val="18"/>
          <w:lang w:val="es-ES_tradnl"/>
        </w:rPr>
        <w:t xml:space="preserve"> a cualquier entidad de este grupo,</w:t>
      </w:r>
      <w:r w:rsidR="009E6F2D">
        <w:rPr>
          <w:b/>
          <w:sz w:val="18"/>
          <w:lang w:val="es-ES_tradnl"/>
        </w:rPr>
        <w:t xml:space="preserve"> cuando derivado de los procesos de supervisión se </w:t>
      </w:r>
      <w:r w:rsidR="00AC24CC" w:rsidRPr="004D3D15">
        <w:rPr>
          <w:b/>
          <w:sz w:val="18"/>
          <w:lang w:val="es-ES_tradnl"/>
        </w:rPr>
        <w:t>considere necesario</w:t>
      </w:r>
      <w:r w:rsidR="00E74987" w:rsidRPr="004D3D15">
        <w:rPr>
          <w:b/>
          <w:sz w:val="18"/>
          <w:lang w:val="es-ES_tradnl"/>
        </w:rPr>
        <w:t>.</w:t>
      </w:r>
    </w:p>
    <w:p w14:paraId="1A4ADE58" w14:textId="77777777" w:rsidR="00487E5E" w:rsidRPr="007D2C81" w:rsidRDefault="00487E5E" w:rsidP="00395C1B">
      <w:pPr>
        <w:pStyle w:val="Sangradetextonormal"/>
        <w:pBdr>
          <w:left w:val="single" w:sz="4" w:space="1" w:color="auto"/>
        </w:pBdr>
        <w:ind w:left="0" w:firstLine="0"/>
        <w:rPr>
          <w:b/>
          <w:sz w:val="18"/>
          <w:lang w:val="es-ES_tradnl"/>
        </w:rPr>
      </w:pPr>
    </w:p>
    <w:p w14:paraId="4540A28C" w14:textId="77777777" w:rsidR="00ED2593" w:rsidRPr="007D2C81" w:rsidRDefault="0086678C" w:rsidP="00395C1B">
      <w:pPr>
        <w:pStyle w:val="Sangradetextonormal"/>
        <w:pBdr>
          <w:left w:val="single" w:sz="4" w:space="1" w:color="auto"/>
        </w:pBdr>
        <w:ind w:left="0" w:firstLine="0"/>
        <w:rPr>
          <w:b/>
          <w:sz w:val="18"/>
          <w:lang w:val="es-ES_tradnl"/>
        </w:rPr>
      </w:pPr>
      <w:r w:rsidRPr="007D2C81">
        <w:rPr>
          <w:b/>
          <w:sz w:val="18"/>
          <w:lang w:val="es-ES_tradnl"/>
        </w:rPr>
        <w:t>5.2.3.3 Grupo 3: Se refiere a los establecimientos bancarios cuyos activos representen menos del 2% del total de los activos del sector bancario con corte a 31 de diciembre del año inmediatamente anterior a la fecha de corte del cálculo, las compañías de financiamiento, las corporaciones financieras, las cooperativas financieras</w:t>
      </w:r>
      <w:r w:rsidR="00AC24CC">
        <w:rPr>
          <w:b/>
          <w:sz w:val="18"/>
          <w:lang w:val="es-ES_tradnl"/>
        </w:rPr>
        <w:t xml:space="preserve"> </w:t>
      </w:r>
      <w:r w:rsidR="00AC24CC" w:rsidRPr="007D2C81">
        <w:rPr>
          <w:b/>
          <w:sz w:val="18"/>
          <w:lang w:val="es-ES_tradnl"/>
        </w:rPr>
        <w:t xml:space="preserve">e </w:t>
      </w:r>
      <w:proofErr w:type="spellStart"/>
      <w:r w:rsidR="00AC24CC" w:rsidRPr="007D2C81">
        <w:rPr>
          <w:b/>
          <w:sz w:val="18"/>
          <w:lang w:val="es-ES_tradnl"/>
        </w:rPr>
        <w:t>IOEs</w:t>
      </w:r>
      <w:proofErr w:type="spellEnd"/>
      <w:r w:rsidR="00AC24CC" w:rsidRPr="007D2C81">
        <w:rPr>
          <w:b/>
          <w:sz w:val="18"/>
          <w:lang w:val="es-ES_tradnl"/>
        </w:rPr>
        <w:t xml:space="preserve"> señaladas en el </w:t>
      </w:r>
      <w:proofErr w:type="spellStart"/>
      <w:r w:rsidR="00AC24CC" w:rsidRPr="007D2C81">
        <w:rPr>
          <w:b/>
          <w:sz w:val="18"/>
          <w:lang w:val="es-ES_tradnl"/>
        </w:rPr>
        <w:t>subnumeral</w:t>
      </w:r>
      <w:proofErr w:type="spellEnd"/>
      <w:r w:rsidR="00AC24CC" w:rsidRPr="007D2C81">
        <w:rPr>
          <w:b/>
          <w:sz w:val="18"/>
          <w:lang w:val="es-ES_tradnl"/>
        </w:rPr>
        <w:t xml:space="preserve"> i) del numeral 5.2.1</w:t>
      </w:r>
      <w:r w:rsidRPr="007D2C81">
        <w:rPr>
          <w:b/>
          <w:sz w:val="18"/>
          <w:lang w:val="es-ES_tradnl"/>
        </w:rPr>
        <w:t>, siempre y cuando, dichas entidades tengan como grupo de activos significativo inversiones y operaciones con derivados.</w:t>
      </w:r>
      <w:r w:rsidR="00487E5E" w:rsidRPr="007D2C81">
        <w:rPr>
          <w:b/>
          <w:sz w:val="18"/>
          <w:lang w:val="es-ES_tradnl"/>
        </w:rPr>
        <w:t xml:space="preserve"> Para este grupo, el nivel de CFEN será de carácter informativo para la SFC.</w:t>
      </w:r>
    </w:p>
    <w:p w14:paraId="5BA8A0C3" w14:textId="77777777" w:rsidR="007D2C81" w:rsidRPr="002233D4" w:rsidRDefault="007D2C81" w:rsidP="007D2C81">
      <w:pPr>
        <w:pStyle w:val="Sangradetextonormal"/>
        <w:ind w:left="360" w:firstLine="0"/>
        <w:rPr>
          <w:sz w:val="18"/>
          <w:lang w:val="es-ES_tradnl"/>
        </w:rPr>
      </w:pPr>
    </w:p>
    <w:p w14:paraId="6F2C32C0" w14:textId="77777777" w:rsidR="00801011" w:rsidRPr="002233D4" w:rsidRDefault="00801011" w:rsidP="00801011">
      <w:pPr>
        <w:pStyle w:val="Sangradetextonormal"/>
        <w:ind w:left="0"/>
        <w:rPr>
          <w:sz w:val="8"/>
          <w:szCs w:val="8"/>
          <w:lang w:val="es-ES_tradnl"/>
        </w:rPr>
      </w:pPr>
    </w:p>
    <w:p w14:paraId="0DA3EEC2" w14:textId="77777777" w:rsidR="00801011" w:rsidRPr="002233D4" w:rsidRDefault="00801011" w:rsidP="00801011">
      <w:pPr>
        <w:pStyle w:val="Sangradetextonormal"/>
        <w:ind w:left="0"/>
        <w:rPr>
          <w:b/>
          <w:sz w:val="18"/>
          <w:lang w:val="es-ES_tradnl"/>
        </w:rPr>
      </w:pPr>
      <w:r w:rsidRPr="002233D4">
        <w:rPr>
          <w:sz w:val="18"/>
          <w:lang w:val="es-ES_tradnl"/>
        </w:rPr>
        <w:tab/>
      </w:r>
      <w:proofErr w:type="gramStart"/>
      <w:r w:rsidRPr="002233D4">
        <w:rPr>
          <w:b/>
          <w:sz w:val="18"/>
          <w:lang w:val="es-ES_tradnl"/>
        </w:rPr>
        <w:t>5.2.4  Exposición</w:t>
      </w:r>
      <w:proofErr w:type="gramEnd"/>
      <w:r w:rsidRPr="002233D4">
        <w:rPr>
          <w:b/>
          <w:sz w:val="18"/>
          <w:lang w:val="es-ES_tradnl"/>
        </w:rPr>
        <w:t xml:space="preserve"> significativa al riesgo de liquidez </w:t>
      </w:r>
    </w:p>
    <w:p w14:paraId="650B3774" w14:textId="77777777" w:rsidR="00487E5E" w:rsidRDefault="00801011" w:rsidP="00801011">
      <w:pPr>
        <w:pStyle w:val="Sangradetextonormal"/>
        <w:ind w:left="0"/>
        <w:rPr>
          <w:sz w:val="18"/>
          <w:lang w:val="es-ES_tradnl"/>
        </w:rPr>
      </w:pPr>
      <w:r w:rsidRPr="002233D4">
        <w:rPr>
          <w:sz w:val="18"/>
          <w:lang w:val="es-ES_tradnl"/>
        </w:rPr>
        <w:tab/>
      </w:r>
    </w:p>
    <w:p w14:paraId="7A5B5912" w14:textId="77777777" w:rsidR="00801011" w:rsidRPr="009C74E5" w:rsidRDefault="00801011" w:rsidP="00FD1290">
      <w:pPr>
        <w:pStyle w:val="Sangradetextonormal"/>
        <w:pBdr>
          <w:left w:val="single" w:sz="4" w:space="4" w:color="auto"/>
        </w:pBdr>
        <w:ind w:left="0" w:firstLine="0"/>
        <w:rPr>
          <w:b/>
          <w:sz w:val="18"/>
          <w:lang w:val="es-ES_tradnl"/>
        </w:rPr>
      </w:pPr>
      <w:r w:rsidRPr="002233D4">
        <w:rPr>
          <w:sz w:val="18"/>
          <w:lang w:val="es-ES_tradnl"/>
        </w:rPr>
        <w:t xml:space="preserve">Se considera que un establecimiento de crédito, organismo cooperativo de grado superior o IOE señalada en el </w:t>
      </w:r>
      <w:proofErr w:type="spellStart"/>
      <w:r w:rsidRPr="002233D4">
        <w:rPr>
          <w:sz w:val="18"/>
          <w:lang w:val="es-ES_tradnl"/>
        </w:rPr>
        <w:t>subnumeral</w:t>
      </w:r>
      <w:proofErr w:type="spellEnd"/>
      <w:r w:rsidRPr="002233D4">
        <w:rPr>
          <w:sz w:val="18"/>
          <w:lang w:val="es-ES_tradnl"/>
        </w:rPr>
        <w:t xml:space="preserve"> i) del numeral 5.2.1, presenta una exposición significativa al riesgo de liquidez cuando en un determinado reporte semanal el Indicador de Riesgo de Liquidez -</w:t>
      </w:r>
      <w:proofErr w:type="spellStart"/>
      <w:r w:rsidRPr="002233D4">
        <w:rPr>
          <w:sz w:val="18"/>
          <w:lang w:val="es-ES_tradnl"/>
        </w:rPr>
        <w:t>IRLm</w:t>
      </w:r>
      <w:proofErr w:type="spellEnd"/>
      <w:r w:rsidRPr="002233D4">
        <w:rPr>
          <w:sz w:val="18"/>
          <w:lang w:val="es-ES_tradnl"/>
        </w:rPr>
        <w:t>- a siete (7) o treinta (30) días, sea negativo</w:t>
      </w:r>
      <w:r w:rsidR="00ED2593">
        <w:rPr>
          <w:sz w:val="18"/>
          <w:lang w:val="es-ES_tradnl"/>
        </w:rPr>
        <w:t xml:space="preserve"> </w:t>
      </w:r>
      <w:r w:rsidR="00487E5E" w:rsidRPr="009C74E5">
        <w:rPr>
          <w:b/>
          <w:sz w:val="18"/>
          <w:lang w:val="es-ES_tradnl"/>
        </w:rPr>
        <w:t>o</w:t>
      </w:r>
      <w:r w:rsidR="00ED2593" w:rsidRPr="009C74E5">
        <w:rPr>
          <w:b/>
          <w:sz w:val="18"/>
          <w:lang w:val="es-ES_tradnl"/>
        </w:rPr>
        <w:t xml:space="preserve"> cuando en un determinado reporte mensual el indicador CFEN sea inferior al mínimo establecido</w:t>
      </w:r>
      <w:r w:rsidR="00487E5E" w:rsidRPr="009C74E5">
        <w:rPr>
          <w:b/>
          <w:sz w:val="18"/>
          <w:lang w:val="es-ES_tradnl"/>
        </w:rPr>
        <w:t xml:space="preserve"> para </w:t>
      </w:r>
      <w:r w:rsidR="001020A3" w:rsidRPr="009C74E5">
        <w:rPr>
          <w:b/>
          <w:sz w:val="18"/>
          <w:lang w:val="es-ES_tradnl"/>
        </w:rPr>
        <w:t xml:space="preserve">el respectivo </w:t>
      </w:r>
      <w:r w:rsidR="00487E5E" w:rsidRPr="009C74E5">
        <w:rPr>
          <w:b/>
          <w:sz w:val="18"/>
          <w:lang w:val="es-ES_tradnl"/>
        </w:rPr>
        <w:t>grupo</w:t>
      </w:r>
      <w:r w:rsidR="00ED2593" w:rsidRPr="009C74E5">
        <w:rPr>
          <w:b/>
          <w:sz w:val="18"/>
          <w:lang w:val="es-ES_tradnl"/>
        </w:rPr>
        <w:t>.</w:t>
      </w:r>
    </w:p>
    <w:p w14:paraId="1D74F204" w14:textId="77777777" w:rsidR="00801011" w:rsidRPr="002233D4" w:rsidRDefault="00801011" w:rsidP="00801011">
      <w:pPr>
        <w:rPr>
          <w:rFonts w:ascii="Arial" w:hAnsi="Arial" w:cs="Arial"/>
          <w:sz w:val="8"/>
          <w:szCs w:val="8"/>
          <w:lang w:val="es-ES_tradnl"/>
        </w:rPr>
      </w:pPr>
    </w:p>
    <w:p w14:paraId="2A753B47" w14:textId="77777777" w:rsidR="00CC2550" w:rsidRDefault="00801011" w:rsidP="009C74E5">
      <w:pPr>
        <w:tabs>
          <w:tab w:val="left" w:pos="1755"/>
        </w:tabs>
        <w:jc w:val="both"/>
        <w:rPr>
          <w:rFonts w:ascii="Arial" w:hAnsi="Arial" w:cs="Arial"/>
          <w:sz w:val="18"/>
          <w:szCs w:val="18"/>
          <w:lang w:val="es-ES_tradnl"/>
        </w:rPr>
      </w:pPr>
      <w:r w:rsidRPr="002233D4">
        <w:rPr>
          <w:rFonts w:ascii="Arial" w:hAnsi="Arial" w:cs="Arial"/>
          <w:sz w:val="18"/>
          <w:szCs w:val="18"/>
          <w:lang w:val="es-ES_tradnl"/>
        </w:rPr>
        <w:t>En el caso de las sociedades comisionistas de bolsa de valores se considera que  una entidad presenta una exposición significativa al riesgo de liquidez cuando en un determinado reporte el Indicador de Riesgo de Liquidez -</w:t>
      </w:r>
      <w:proofErr w:type="spellStart"/>
      <w:r w:rsidRPr="002233D4">
        <w:rPr>
          <w:rFonts w:ascii="Arial" w:hAnsi="Arial" w:cs="Arial"/>
          <w:sz w:val="18"/>
          <w:szCs w:val="18"/>
          <w:lang w:val="es-ES_tradnl"/>
        </w:rPr>
        <w:t>IRL</w:t>
      </w:r>
      <w:r w:rsidRPr="002233D4">
        <w:rPr>
          <w:rFonts w:ascii="Arial" w:hAnsi="Arial" w:cs="Arial"/>
          <w:sz w:val="18"/>
          <w:szCs w:val="18"/>
          <w:vertAlign w:val="subscript"/>
          <w:lang w:val="es-ES_tradnl"/>
        </w:rPr>
        <w:t>m</w:t>
      </w:r>
      <w:proofErr w:type="spellEnd"/>
      <w:r w:rsidRPr="002233D4">
        <w:rPr>
          <w:rFonts w:ascii="Arial" w:hAnsi="Arial" w:cs="Arial"/>
          <w:sz w:val="18"/>
          <w:szCs w:val="18"/>
          <w:lang w:val="es-ES_tradnl"/>
        </w:rPr>
        <w:t>- a un (1) día o  siete (7) días, sea negativo.</w:t>
      </w:r>
      <w:r w:rsidR="00AC24CC">
        <w:rPr>
          <w:rFonts w:ascii="Arial" w:hAnsi="Arial" w:cs="Arial"/>
          <w:sz w:val="18"/>
          <w:szCs w:val="18"/>
          <w:lang w:val="es-ES_tradnl"/>
        </w:rPr>
        <w:t xml:space="preserve"> </w:t>
      </w:r>
      <w:r w:rsidR="00CC2550" w:rsidRPr="009C74E5">
        <w:rPr>
          <w:rFonts w:ascii="Arial" w:hAnsi="Arial" w:cs="Arial"/>
          <w:sz w:val="18"/>
          <w:szCs w:val="18"/>
          <w:lang w:val="es-ES_tradnl"/>
        </w:rPr>
        <w:t xml:space="preserve">En el caso de los </w:t>
      </w:r>
      <w:proofErr w:type="spellStart"/>
      <w:r w:rsidR="00CC2550" w:rsidRPr="009C74E5">
        <w:rPr>
          <w:rFonts w:ascii="Arial" w:hAnsi="Arial" w:cs="Arial"/>
          <w:sz w:val="18"/>
          <w:szCs w:val="18"/>
          <w:lang w:val="es-ES_tradnl"/>
        </w:rPr>
        <w:t>FICs</w:t>
      </w:r>
      <w:proofErr w:type="spellEnd"/>
      <w:r w:rsidR="00CC2550" w:rsidRPr="009C74E5">
        <w:rPr>
          <w:rFonts w:ascii="Arial" w:hAnsi="Arial" w:cs="Arial"/>
          <w:sz w:val="18"/>
          <w:szCs w:val="18"/>
          <w:lang w:val="es-ES_tradnl"/>
        </w:rPr>
        <w:t xml:space="preserve"> abiertos sin pacto de permanencia se considera que un FIC presenta una exposición significativa al riesgo de liquidez cuando en la medición diaria se evidencia el incumplimiento de alguno de los límites descritos en el </w:t>
      </w:r>
      <w:proofErr w:type="spellStart"/>
      <w:r w:rsidR="00CC2550" w:rsidRPr="009C74E5">
        <w:rPr>
          <w:rFonts w:ascii="Arial" w:hAnsi="Arial" w:cs="Arial"/>
          <w:sz w:val="18"/>
          <w:szCs w:val="18"/>
          <w:lang w:val="es-ES_tradnl"/>
        </w:rPr>
        <w:t>subnumeral</w:t>
      </w:r>
      <w:proofErr w:type="spellEnd"/>
      <w:r w:rsidR="00CC2550" w:rsidRPr="009C74E5">
        <w:rPr>
          <w:rFonts w:ascii="Arial" w:hAnsi="Arial" w:cs="Arial"/>
          <w:sz w:val="18"/>
          <w:szCs w:val="18"/>
          <w:lang w:val="es-ES_tradnl"/>
        </w:rPr>
        <w:t xml:space="preserve"> 2.4 del Anexo 3 del presente Capítulo.</w:t>
      </w:r>
    </w:p>
    <w:p w14:paraId="6E6FD2A1" w14:textId="77777777" w:rsidR="009C74E5" w:rsidRPr="002233D4" w:rsidRDefault="009C74E5" w:rsidP="009C74E5">
      <w:pPr>
        <w:tabs>
          <w:tab w:val="left" w:pos="1755"/>
        </w:tabs>
        <w:jc w:val="both"/>
        <w:rPr>
          <w:rFonts w:ascii="Arial" w:hAnsi="Arial" w:cs="Arial"/>
          <w:b/>
          <w:sz w:val="18"/>
          <w:szCs w:val="18"/>
          <w:lang w:val="es-ES_tradnl"/>
        </w:rPr>
      </w:pPr>
    </w:p>
    <w:p w14:paraId="52F06166" w14:textId="77777777" w:rsidR="00CC2550" w:rsidRPr="002233D4" w:rsidRDefault="00CC2550" w:rsidP="00CC2550">
      <w:pPr>
        <w:pStyle w:val="Sangradetextonormal"/>
        <w:ind w:left="0"/>
        <w:rPr>
          <w:sz w:val="8"/>
          <w:szCs w:val="8"/>
          <w:lang w:val="es-ES_tradnl"/>
        </w:rPr>
      </w:pPr>
    </w:p>
    <w:p w14:paraId="6AD56A15" w14:textId="77777777" w:rsidR="00CC2550" w:rsidRDefault="00CC2550" w:rsidP="00CC2550">
      <w:pPr>
        <w:pStyle w:val="Sangradetextonormal"/>
        <w:ind w:left="360"/>
        <w:rPr>
          <w:b/>
          <w:sz w:val="18"/>
          <w:lang w:val="es-ES_tradnl"/>
        </w:rPr>
      </w:pPr>
      <w:r w:rsidRPr="002233D4">
        <w:rPr>
          <w:b/>
          <w:sz w:val="18"/>
          <w:lang w:val="es-ES_tradnl"/>
        </w:rPr>
        <w:t>5.2.5. Medidas prudenciales para contrarrestar la exposición significativa al riesgo de liquidez de los establecimientos de crédito</w:t>
      </w:r>
    </w:p>
    <w:p w14:paraId="18539447" w14:textId="77777777" w:rsidR="00487E5E" w:rsidRDefault="00487E5E" w:rsidP="00CC2550">
      <w:pPr>
        <w:pStyle w:val="Sangradetextonormal"/>
        <w:ind w:left="360"/>
        <w:rPr>
          <w:b/>
          <w:sz w:val="18"/>
          <w:lang w:val="es-ES_tradnl"/>
        </w:rPr>
      </w:pPr>
    </w:p>
    <w:p w14:paraId="596C29F4" w14:textId="77777777" w:rsidR="00395C1B" w:rsidRDefault="00CC2550" w:rsidP="00CC2550">
      <w:pPr>
        <w:pStyle w:val="Textoindependiente2"/>
        <w:rPr>
          <w:lang w:val="es-ES_tradnl"/>
        </w:rPr>
      </w:pPr>
      <w:r w:rsidRPr="002233D4">
        <w:rPr>
          <w:lang w:val="es-ES_tradnl"/>
        </w:rPr>
        <w:t>Cuando una entidad advierta que su IRL es negativo, el Representante Legal de la entidad deberá informar por escrito de manera inmediata a la SFC las razones fundamentales que, de acuerdo con el análisis de la misma, originaron la caída del Indicador de Riesgo de Liquidez –IRL a 7 o 30 días- por debajo del límite establecido, el carácter coyuntural o duradero de tal situación y las acciones y/o medidas que la entidad adoptará para afrontar la situación y restablecer el IRL correspondiente en un valor equivalente al menos al 110% del descalce presentado, en un plazo no mayor al próximo corte de la información –para el caso del reporte del IRL a siete (7) días, o al segundo corte de información -para el caso del reporte del IRL a treinta (30) días-.</w:t>
      </w:r>
    </w:p>
    <w:p w14:paraId="25925E64" w14:textId="77777777" w:rsidR="00F52740" w:rsidRPr="002233D4" w:rsidRDefault="00F52740" w:rsidP="00F52740">
      <w:pPr>
        <w:pStyle w:val="Textoindependiente"/>
        <w:widowControl w:val="0"/>
        <w:spacing w:after="100" w:afterAutospacing="1"/>
        <w:rPr>
          <w:sz w:val="18"/>
        </w:rPr>
        <w:sectPr w:rsidR="00F52740" w:rsidRPr="002233D4" w:rsidSect="00486514">
          <w:headerReference w:type="default" r:id="rId20"/>
          <w:footerReference w:type="default" r:id="rId21"/>
          <w:headerReference w:type="first" r:id="rId22"/>
          <w:footerReference w:type="first" r:id="rId23"/>
          <w:pgSz w:w="12242" w:h="18722" w:code="14"/>
          <w:pgMar w:top="1412" w:right="1412" w:bottom="1412" w:left="1412" w:header="851" w:footer="454" w:gutter="0"/>
          <w:paperSrc w:first="2" w:other="2"/>
          <w:pgNumType w:start="4"/>
          <w:cols w:space="708"/>
          <w:titlePg/>
          <w:docGrid w:linePitch="360"/>
        </w:sectPr>
      </w:pPr>
    </w:p>
    <w:p w14:paraId="7B3BF99E" w14:textId="77777777" w:rsidR="00CC2550" w:rsidRPr="002233D4" w:rsidRDefault="00CC2550" w:rsidP="00CC2550">
      <w:pPr>
        <w:pStyle w:val="Textoindependiente2"/>
        <w:rPr>
          <w:lang w:val="es-ES_tradnl"/>
        </w:rPr>
      </w:pPr>
      <w:r w:rsidRPr="002233D4">
        <w:rPr>
          <w:lang w:val="es-ES_tradnl"/>
        </w:rPr>
        <w:lastRenderedPageBreak/>
        <w:t>Adicionalmente, mientras se mantenga la exposición significativa al riesgo de liquidez la entidad deberá enviar diariamente un reporte de la situación del IRL para los diferentes horizontes de tiempo, a través del formato “Flujo de caja contractuales y medición de estándar de riesgo de liquidez” Formato 458, Proforma F.1000-125.</w:t>
      </w:r>
    </w:p>
    <w:p w14:paraId="46E413B1" w14:textId="77777777" w:rsidR="00CC2550" w:rsidRDefault="00CC2550" w:rsidP="00CC2550">
      <w:pPr>
        <w:pStyle w:val="Textoindependiente2"/>
        <w:rPr>
          <w:rFonts w:cs="Arial"/>
          <w:szCs w:val="18"/>
          <w:lang w:val="es-ES_tradnl" w:eastAsia="es-ES"/>
        </w:rPr>
      </w:pPr>
    </w:p>
    <w:p w14:paraId="36D4395B" w14:textId="68C661B1" w:rsidR="00487E5E" w:rsidRPr="00B609B5" w:rsidRDefault="00625241" w:rsidP="00B609B5">
      <w:pPr>
        <w:pStyle w:val="Textoindependiente2"/>
        <w:pBdr>
          <w:left w:val="single" w:sz="4" w:space="4" w:color="auto"/>
        </w:pBdr>
        <w:rPr>
          <w:rFonts w:cs="Arial"/>
          <w:b/>
          <w:szCs w:val="18"/>
          <w:lang w:val="es-ES_tradnl" w:eastAsia="es-ES"/>
        </w:rPr>
      </w:pPr>
      <w:r>
        <w:rPr>
          <w:b/>
          <w:lang w:val="es-ES_tradnl"/>
        </w:rPr>
        <w:t>Por otro lado</w:t>
      </w:r>
      <w:r w:rsidR="00487E5E" w:rsidRPr="00B609B5">
        <w:rPr>
          <w:b/>
          <w:lang w:val="es-ES_tradnl"/>
        </w:rPr>
        <w:t>, cuando la entidad advierta que su CFEN es inferior al mínimo establecido</w:t>
      </w:r>
      <w:r w:rsidR="001020A3" w:rsidRPr="00B609B5">
        <w:rPr>
          <w:b/>
          <w:lang w:val="es-ES_tradnl"/>
        </w:rPr>
        <w:t xml:space="preserve"> según el grupo al cual pertenece</w:t>
      </w:r>
      <w:r w:rsidR="000E4553">
        <w:rPr>
          <w:b/>
          <w:lang w:val="es-ES_tradnl"/>
        </w:rPr>
        <w:t>, su</w:t>
      </w:r>
      <w:r w:rsidR="00487E5E" w:rsidRPr="00B609B5">
        <w:rPr>
          <w:b/>
          <w:lang w:val="es-ES_tradnl"/>
        </w:rPr>
        <w:t xml:space="preserve"> Re</w:t>
      </w:r>
      <w:r w:rsidR="000E4553">
        <w:rPr>
          <w:b/>
          <w:lang w:val="es-ES_tradnl"/>
        </w:rPr>
        <w:t xml:space="preserve">presentante Legal </w:t>
      </w:r>
      <w:r w:rsidR="00487E5E" w:rsidRPr="00B609B5">
        <w:rPr>
          <w:b/>
          <w:lang w:val="es-ES_tradnl"/>
        </w:rPr>
        <w:t xml:space="preserve">debe informar por escrito de manera inmediata a la SFC las razones </w:t>
      </w:r>
      <w:r w:rsidR="00AB4D41">
        <w:rPr>
          <w:b/>
          <w:lang w:val="es-ES_tradnl"/>
        </w:rPr>
        <w:t>que, de acuerdo con su</w:t>
      </w:r>
      <w:r w:rsidR="00487E5E" w:rsidRPr="00B609B5">
        <w:rPr>
          <w:b/>
          <w:lang w:val="es-ES_tradnl"/>
        </w:rPr>
        <w:t xml:space="preserve"> análisis, originaron la caída del indicador po</w:t>
      </w:r>
      <w:r w:rsidR="00AB4D41">
        <w:rPr>
          <w:b/>
          <w:lang w:val="es-ES_tradnl"/>
        </w:rPr>
        <w:t>r debajo del límite establecido.</w:t>
      </w:r>
      <w:r w:rsidR="00487E5E" w:rsidRPr="00B609B5">
        <w:rPr>
          <w:b/>
          <w:lang w:val="es-ES_tradnl"/>
        </w:rPr>
        <w:t xml:space="preserve"> </w:t>
      </w:r>
      <w:r w:rsidR="00AB4D41">
        <w:rPr>
          <w:b/>
          <w:lang w:val="es-ES_tradnl"/>
        </w:rPr>
        <w:t xml:space="preserve">Igualmente, debe informar </w:t>
      </w:r>
      <w:r w:rsidR="00487E5E" w:rsidRPr="00B609B5">
        <w:rPr>
          <w:b/>
          <w:lang w:val="es-ES_tradnl"/>
        </w:rPr>
        <w:t xml:space="preserve">el carácter coyuntural o duradero de tal situación y las acciones y/o medidas que la entidad adoptará para afrontar la situación y restablecer el CFEN </w:t>
      </w:r>
      <w:r w:rsidR="00AB4D41">
        <w:rPr>
          <w:b/>
          <w:lang w:val="es-ES_tradnl"/>
        </w:rPr>
        <w:t xml:space="preserve">a un nivel </w:t>
      </w:r>
      <w:r w:rsidR="00487E5E" w:rsidRPr="00B609B5">
        <w:rPr>
          <w:b/>
          <w:lang w:val="es-ES_tradnl"/>
        </w:rPr>
        <w:t xml:space="preserve">correspondiente al menos </w:t>
      </w:r>
      <w:r w:rsidR="00AB4D41">
        <w:rPr>
          <w:b/>
          <w:lang w:val="es-ES_tradnl"/>
        </w:rPr>
        <w:t xml:space="preserve">a </w:t>
      </w:r>
      <w:r w:rsidR="00487E5E" w:rsidRPr="00B609B5">
        <w:rPr>
          <w:b/>
          <w:lang w:val="es-ES_tradnl"/>
        </w:rPr>
        <w:t xml:space="preserve">5 puntos porcentuales por encima del mínimo establecido, en un plazo no mayor a </w:t>
      </w:r>
      <w:r w:rsidR="006B3097" w:rsidRPr="00B609B5">
        <w:rPr>
          <w:b/>
          <w:lang w:val="es-ES_tradnl"/>
        </w:rPr>
        <w:t>6</w:t>
      </w:r>
      <w:r w:rsidR="00487E5E" w:rsidRPr="00B609B5">
        <w:rPr>
          <w:b/>
          <w:lang w:val="es-ES_tradnl"/>
        </w:rPr>
        <w:t xml:space="preserve"> meses contados a partir de la fecha de corte de información en la que se evidenció la caída del indicador</w:t>
      </w:r>
      <w:r w:rsidR="00AB4D41">
        <w:rPr>
          <w:b/>
          <w:lang w:val="es-ES_tradnl"/>
        </w:rPr>
        <w:t>. Este</w:t>
      </w:r>
      <w:r w:rsidR="00AC24CC">
        <w:rPr>
          <w:b/>
          <w:lang w:val="es-ES_tradnl"/>
        </w:rPr>
        <w:t xml:space="preserve"> </w:t>
      </w:r>
      <w:r w:rsidR="00AB4D41">
        <w:rPr>
          <w:b/>
          <w:lang w:val="es-ES_tradnl"/>
        </w:rPr>
        <w:t xml:space="preserve">plazo </w:t>
      </w:r>
      <w:r w:rsidR="00AC24CC" w:rsidRPr="004D3D15">
        <w:rPr>
          <w:b/>
          <w:lang w:val="es-ES_tradnl"/>
        </w:rPr>
        <w:t>podrá ser prorrogado máximo por otros 3 meses cuando exista una solicitud motivada por parte de la entidad.</w:t>
      </w:r>
    </w:p>
    <w:p w14:paraId="06A9198D" w14:textId="77777777" w:rsidR="00ED2593" w:rsidRPr="002233D4" w:rsidRDefault="00ED2593" w:rsidP="00CC2550">
      <w:pPr>
        <w:pStyle w:val="Textoindependiente2"/>
        <w:rPr>
          <w:rFonts w:cs="Arial"/>
          <w:szCs w:val="18"/>
          <w:lang w:val="es-ES_tradnl" w:eastAsia="es-ES"/>
        </w:rPr>
      </w:pPr>
    </w:p>
    <w:p w14:paraId="2045E042" w14:textId="77777777" w:rsidR="00CC2550" w:rsidRPr="002233D4" w:rsidRDefault="00CC2550" w:rsidP="00CC2550">
      <w:pPr>
        <w:pStyle w:val="Sangradetextonormal"/>
        <w:ind w:left="0"/>
        <w:rPr>
          <w:b/>
          <w:sz w:val="18"/>
          <w:lang w:val="es-ES_tradnl"/>
        </w:rPr>
      </w:pPr>
      <w:r w:rsidRPr="002233D4">
        <w:rPr>
          <w:sz w:val="18"/>
          <w:lang w:val="es-ES_tradnl"/>
        </w:rPr>
        <w:tab/>
      </w:r>
      <w:r w:rsidRPr="002233D4">
        <w:rPr>
          <w:b/>
          <w:sz w:val="18"/>
          <w:lang w:val="es-ES_tradnl"/>
        </w:rPr>
        <w:t>5.2.6. Medidas correctivas para contrarrestar la exposición significativa al riesgo de liquidez de los establecimientos de crédito</w:t>
      </w:r>
    </w:p>
    <w:p w14:paraId="33B919FF" w14:textId="77777777" w:rsidR="00CC2550" w:rsidRPr="002233D4" w:rsidRDefault="00CC2550" w:rsidP="00CC2550">
      <w:pPr>
        <w:pStyle w:val="Sangradetextonormal"/>
        <w:ind w:left="0" w:firstLine="0"/>
        <w:rPr>
          <w:b/>
          <w:sz w:val="18"/>
          <w:lang w:val="es-ES_tradnl"/>
        </w:rPr>
      </w:pPr>
    </w:p>
    <w:p w14:paraId="5F271331" w14:textId="77777777" w:rsidR="00CC2550" w:rsidRPr="002233D4" w:rsidRDefault="00CC2550" w:rsidP="00CC2550">
      <w:pPr>
        <w:pStyle w:val="Textoindependiente"/>
        <w:rPr>
          <w:sz w:val="18"/>
          <w:lang w:val="es-ES_tradnl"/>
        </w:rPr>
      </w:pPr>
      <w:r w:rsidRPr="002233D4">
        <w:rPr>
          <w:sz w:val="18"/>
          <w:lang w:val="es-ES_tradnl"/>
        </w:rPr>
        <w:t xml:space="preserve">Si la entidad no presentó un plan de ajuste en los términos descritos anteriormente, el plan de ajuste fue objetado por la SFC, las medidas prudenciales enunciadas en dicho plan se incumplieron, o la implementación del plan de ajuste no permitió elevar el </w:t>
      </w:r>
      <w:proofErr w:type="spellStart"/>
      <w:r w:rsidRPr="002233D4">
        <w:rPr>
          <w:sz w:val="18"/>
          <w:lang w:val="es-ES_tradnl"/>
        </w:rPr>
        <w:t>IRL</w:t>
      </w:r>
      <w:r w:rsidRPr="002233D4">
        <w:rPr>
          <w:sz w:val="18"/>
          <w:vertAlign w:val="subscript"/>
          <w:lang w:val="es-ES_tradnl"/>
        </w:rPr>
        <w:t>m</w:t>
      </w:r>
      <w:proofErr w:type="spellEnd"/>
      <w:r w:rsidRPr="002233D4">
        <w:rPr>
          <w:sz w:val="18"/>
          <w:lang w:val="es-ES_tradnl"/>
        </w:rPr>
        <w:t xml:space="preserve"> en monto equivalente al menos al 110% del descalce presentado, la entidad no podrá realizar:</w:t>
      </w:r>
    </w:p>
    <w:p w14:paraId="79182A8B" w14:textId="77777777" w:rsidR="00CC2550" w:rsidRPr="002233D4" w:rsidRDefault="00CC2550" w:rsidP="00D54E3E">
      <w:pPr>
        <w:pStyle w:val="Textoindependiente"/>
        <w:numPr>
          <w:ilvl w:val="0"/>
          <w:numId w:val="19"/>
        </w:numPr>
        <w:ind w:firstLine="350"/>
        <w:rPr>
          <w:sz w:val="18"/>
          <w:lang w:val="es-ES_tradnl"/>
        </w:rPr>
      </w:pPr>
      <w:r w:rsidRPr="002233D4">
        <w:rPr>
          <w:sz w:val="18"/>
          <w:lang w:val="es-ES_tradnl"/>
        </w:rPr>
        <w:t>Operaciones activas de mercado monetario,</w:t>
      </w:r>
    </w:p>
    <w:p w14:paraId="2F251E58" w14:textId="77777777" w:rsidR="00CC2550" w:rsidRPr="002233D4" w:rsidRDefault="00CC2550" w:rsidP="00D54E3E">
      <w:pPr>
        <w:pStyle w:val="Textoindependiente"/>
        <w:numPr>
          <w:ilvl w:val="0"/>
          <w:numId w:val="19"/>
        </w:numPr>
        <w:ind w:firstLine="350"/>
        <w:rPr>
          <w:sz w:val="18"/>
          <w:lang w:val="es-ES_tradnl"/>
        </w:rPr>
      </w:pPr>
      <w:r w:rsidRPr="002233D4">
        <w:rPr>
          <w:sz w:val="18"/>
          <w:lang w:val="es-ES_tradnl"/>
        </w:rPr>
        <w:t xml:space="preserve">Colocaciones y desembolsos de cartera y operaciones de leasing, </w:t>
      </w:r>
    </w:p>
    <w:p w14:paraId="3E09D595" w14:textId="77777777" w:rsidR="00CC2550" w:rsidRPr="002233D4" w:rsidRDefault="00CC2550" w:rsidP="00D54E3E">
      <w:pPr>
        <w:pStyle w:val="Textoindependiente"/>
        <w:numPr>
          <w:ilvl w:val="0"/>
          <w:numId w:val="19"/>
        </w:numPr>
        <w:ind w:firstLine="350"/>
        <w:rPr>
          <w:sz w:val="18"/>
          <w:lang w:val="es-ES_tradnl"/>
        </w:rPr>
      </w:pPr>
      <w:r w:rsidRPr="002233D4">
        <w:rPr>
          <w:sz w:val="18"/>
          <w:lang w:val="es-ES_tradnl"/>
        </w:rPr>
        <w:t>Compra de inversiones y en general de nuevas adquisiciones.</w:t>
      </w:r>
    </w:p>
    <w:p w14:paraId="1A539723" w14:textId="77777777" w:rsidR="00CC2550" w:rsidRPr="002233D4" w:rsidRDefault="00CC2550" w:rsidP="00CC2550">
      <w:pPr>
        <w:pStyle w:val="Sangradetextonormal"/>
        <w:ind w:left="0" w:firstLine="0"/>
        <w:rPr>
          <w:sz w:val="14"/>
          <w:szCs w:val="14"/>
          <w:lang w:val="es-ES_tradnl"/>
        </w:rPr>
      </w:pPr>
    </w:p>
    <w:p w14:paraId="13D9E3AC" w14:textId="77777777" w:rsidR="00CC2550" w:rsidRDefault="00CC2550" w:rsidP="00CC2550">
      <w:pPr>
        <w:jc w:val="both"/>
        <w:rPr>
          <w:rFonts w:ascii="Arial" w:hAnsi="Arial" w:cs="Arial"/>
          <w:sz w:val="18"/>
          <w:szCs w:val="18"/>
          <w:lang w:val="es-ES_tradnl"/>
        </w:rPr>
      </w:pPr>
      <w:r w:rsidRPr="002233D4">
        <w:rPr>
          <w:rFonts w:ascii="Arial" w:hAnsi="Arial" w:cs="Arial"/>
          <w:sz w:val="18"/>
          <w:szCs w:val="18"/>
          <w:lang w:val="es-ES_tradnl"/>
        </w:rPr>
        <w:t>Para efectos de lo anterior, la realización de alguna de las anteriores operaciones bajo los supuestos planteados en el inciso primero del presente numeral se considera práctica insegura.</w:t>
      </w:r>
    </w:p>
    <w:p w14:paraId="28FFFBAD" w14:textId="77777777" w:rsidR="00ED2593" w:rsidRDefault="00ED2593" w:rsidP="00CC2550">
      <w:pPr>
        <w:jc w:val="both"/>
        <w:rPr>
          <w:rFonts w:ascii="Arial" w:hAnsi="Arial" w:cs="Arial"/>
          <w:sz w:val="18"/>
          <w:szCs w:val="18"/>
          <w:lang w:val="es-ES_tradnl"/>
        </w:rPr>
      </w:pPr>
    </w:p>
    <w:p w14:paraId="7F66EC8B" w14:textId="77777777" w:rsidR="00ED2593" w:rsidRPr="004D3D15" w:rsidRDefault="00ED2593" w:rsidP="00B609B5">
      <w:pPr>
        <w:pBdr>
          <w:left w:val="single" w:sz="4" w:space="4" w:color="auto"/>
        </w:pBdr>
        <w:jc w:val="both"/>
        <w:rPr>
          <w:rFonts w:ascii="Arial" w:hAnsi="Arial" w:cs="Arial"/>
          <w:b/>
          <w:sz w:val="18"/>
          <w:szCs w:val="18"/>
          <w:lang w:val="es-ES_tradnl"/>
        </w:rPr>
      </w:pPr>
      <w:r w:rsidRPr="00B609B5">
        <w:rPr>
          <w:rFonts w:ascii="Arial" w:hAnsi="Arial" w:cs="Arial"/>
          <w:b/>
          <w:sz w:val="18"/>
          <w:szCs w:val="18"/>
          <w:lang w:val="es-ES_tradnl"/>
        </w:rPr>
        <w:t xml:space="preserve">En el caso en que la exposición significativa al riesgo de liquidez se presente por caída en el CFEN y la entidad no haya presentado un plan de ajuste en los términos descritos, el plan de ajuste fue objetado por la SFC, las medidas enunciadas en dicho plan se incumplieron, o la implementación del plan de ajuste no permitió elevar el CFEN en al menos 5 puntos porcentuales por encima del mínimo establecido, la entidad debe robustecer la </w:t>
      </w:r>
      <w:r w:rsidR="00B739AB" w:rsidRPr="00B609B5">
        <w:rPr>
          <w:rFonts w:ascii="Arial" w:hAnsi="Arial" w:cs="Arial"/>
          <w:b/>
          <w:sz w:val="18"/>
          <w:szCs w:val="18"/>
          <w:lang w:val="es-ES_tradnl"/>
        </w:rPr>
        <w:t>estabilidad</w:t>
      </w:r>
      <w:r w:rsidRPr="00B609B5">
        <w:rPr>
          <w:rFonts w:ascii="Arial" w:hAnsi="Arial" w:cs="Arial"/>
          <w:b/>
          <w:sz w:val="18"/>
          <w:szCs w:val="18"/>
          <w:lang w:val="es-ES_tradnl"/>
        </w:rPr>
        <w:t xml:space="preserve"> en sus fuentes de fondeo</w:t>
      </w:r>
      <w:r w:rsidR="006035E4" w:rsidRPr="00B609B5">
        <w:rPr>
          <w:rFonts w:ascii="Arial" w:hAnsi="Arial" w:cs="Arial"/>
          <w:b/>
          <w:sz w:val="18"/>
          <w:szCs w:val="18"/>
          <w:lang w:val="es-ES_tradnl"/>
        </w:rPr>
        <w:t xml:space="preserve"> y/o el perfil de riesgo de liquidez de su activo y de sus posiciones fuera de balance</w:t>
      </w:r>
      <w:r w:rsidR="00AC24CC">
        <w:rPr>
          <w:rFonts w:ascii="Arial" w:hAnsi="Arial" w:cs="Arial"/>
          <w:b/>
          <w:sz w:val="18"/>
          <w:szCs w:val="18"/>
          <w:lang w:val="es-ES_tradnl"/>
        </w:rPr>
        <w:t xml:space="preserve"> y </w:t>
      </w:r>
      <w:r w:rsidR="00AC24CC" w:rsidRPr="004D3D15">
        <w:rPr>
          <w:rFonts w:ascii="Arial" w:hAnsi="Arial" w:cs="Arial"/>
          <w:b/>
          <w:sz w:val="18"/>
          <w:szCs w:val="18"/>
          <w:lang w:val="es-ES_tradnl"/>
        </w:rPr>
        <w:t>no podrá realizar</w:t>
      </w:r>
      <w:r w:rsidRPr="004D3D15">
        <w:rPr>
          <w:rFonts w:ascii="Arial" w:hAnsi="Arial" w:cs="Arial"/>
          <w:b/>
          <w:sz w:val="18"/>
          <w:szCs w:val="18"/>
          <w:lang w:val="es-ES_tradnl"/>
        </w:rPr>
        <w:t>:</w:t>
      </w:r>
    </w:p>
    <w:p w14:paraId="2A8D8264" w14:textId="77777777" w:rsidR="00ED2593" w:rsidRPr="004D3D15" w:rsidRDefault="00ED2593" w:rsidP="00CC2550">
      <w:pPr>
        <w:jc w:val="both"/>
        <w:rPr>
          <w:rFonts w:ascii="Arial" w:hAnsi="Arial" w:cs="Arial"/>
          <w:b/>
          <w:sz w:val="18"/>
          <w:szCs w:val="18"/>
          <w:lang w:val="es-ES_tradnl"/>
        </w:rPr>
      </w:pPr>
    </w:p>
    <w:p w14:paraId="11CFED67" w14:textId="77777777" w:rsidR="00AC24CC" w:rsidRPr="004D3D15" w:rsidRDefault="00AC24CC" w:rsidP="00AC24CC">
      <w:pPr>
        <w:pStyle w:val="Textoindependiente"/>
        <w:numPr>
          <w:ilvl w:val="0"/>
          <w:numId w:val="19"/>
        </w:numPr>
        <w:pBdr>
          <w:left w:val="single" w:sz="4" w:space="1" w:color="auto"/>
        </w:pBdr>
        <w:ind w:firstLine="350"/>
        <w:rPr>
          <w:b/>
          <w:sz w:val="18"/>
          <w:lang w:val="es-ES_tradnl"/>
        </w:rPr>
      </w:pPr>
      <w:r w:rsidRPr="004D3D15">
        <w:rPr>
          <w:b/>
          <w:sz w:val="18"/>
          <w:lang w:val="es-ES_tradnl"/>
        </w:rPr>
        <w:t>Operaciones activas de mercado monetario,</w:t>
      </w:r>
    </w:p>
    <w:p w14:paraId="70D34F4C" w14:textId="77777777" w:rsidR="00AC24CC" w:rsidRPr="004D3D15" w:rsidRDefault="00AC24CC" w:rsidP="00AC24CC">
      <w:pPr>
        <w:pStyle w:val="Textoindependiente"/>
        <w:numPr>
          <w:ilvl w:val="0"/>
          <w:numId w:val="19"/>
        </w:numPr>
        <w:pBdr>
          <w:left w:val="single" w:sz="4" w:space="1" w:color="auto"/>
        </w:pBdr>
        <w:ind w:firstLine="350"/>
        <w:rPr>
          <w:b/>
          <w:sz w:val="18"/>
          <w:lang w:val="es-ES_tradnl"/>
        </w:rPr>
      </w:pPr>
      <w:r w:rsidRPr="004D3D15">
        <w:rPr>
          <w:b/>
          <w:sz w:val="18"/>
          <w:lang w:val="es-ES_tradnl"/>
        </w:rPr>
        <w:t xml:space="preserve">Colocaciones y desembolsos de cartera y operaciones de leasing, </w:t>
      </w:r>
    </w:p>
    <w:p w14:paraId="7596105D" w14:textId="77777777" w:rsidR="00AC24CC" w:rsidRPr="004D3D15" w:rsidRDefault="00AC24CC" w:rsidP="00AC24CC">
      <w:pPr>
        <w:pStyle w:val="Textoindependiente"/>
        <w:numPr>
          <w:ilvl w:val="0"/>
          <w:numId w:val="19"/>
        </w:numPr>
        <w:pBdr>
          <w:left w:val="single" w:sz="4" w:space="1" w:color="auto"/>
        </w:pBdr>
        <w:ind w:firstLine="350"/>
        <w:rPr>
          <w:b/>
          <w:sz w:val="18"/>
          <w:lang w:val="es-ES_tradnl"/>
        </w:rPr>
      </w:pPr>
      <w:r w:rsidRPr="004D3D15">
        <w:rPr>
          <w:b/>
          <w:sz w:val="18"/>
          <w:lang w:val="es-ES_tradnl"/>
        </w:rPr>
        <w:t>Compra de inversiones y en general de nuevas adquisiciones,</w:t>
      </w:r>
    </w:p>
    <w:p w14:paraId="18FEC66F" w14:textId="77777777" w:rsidR="00B739AB" w:rsidRPr="004D3D15" w:rsidRDefault="00AC24CC" w:rsidP="00AC24CC">
      <w:pPr>
        <w:pStyle w:val="Textoindependiente"/>
        <w:numPr>
          <w:ilvl w:val="0"/>
          <w:numId w:val="19"/>
        </w:numPr>
        <w:pBdr>
          <w:left w:val="single" w:sz="4" w:space="1" w:color="auto"/>
        </w:pBdr>
        <w:ind w:firstLine="350"/>
        <w:rPr>
          <w:b/>
          <w:sz w:val="18"/>
          <w:lang w:val="es-ES_tradnl"/>
        </w:rPr>
      </w:pPr>
      <w:r w:rsidRPr="004D3D15">
        <w:rPr>
          <w:b/>
          <w:sz w:val="18"/>
          <w:lang w:val="es-ES_tradnl"/>
        </w:rPr>
        <w:t>Incrementos de</w:t>
      </w:r>
      <w:r w:rsidR="00B739AB" w:rsidRPr="004D3D15">
        <w:rPr>
          <w:b/>
          <w:sz w:val="18"/>
          <w:lang w:val="es-ES_tradnl"/>
        </w:rPr>
        <w:t xml:space="preserve"> </w:t>
      </w:r>
      <w:r w:rsidRPr="004D3D15">
        <w:rPr>
          <w:b/>
          <w:sz w:val="18"/>
          <w:lang w:val="es-ES_tradnl"/>
        </w:rPr>
        <w:t xml:space="preserve">los </w:t>
      </w:r>
      <w:r w:rsidR="00B739AB" w:rsidRPr="004D3D15">
        <w:rPr>
          <w:b/>
          <w:sz w:val="18"/>
          <w:lang w:val="es-ES_tradnl"/>
        </w:rPr>
        <w:t xml:space="preserve">cupos </w:t>
      </w:r>
      <w:r w:rsidRPr="004D3D15">
        <w:rPr>
          <w:b/>
          <w:sz w:val="18"/>
          <w:lang w:val="es-ES_tradnl"/>
        </w:rPr>
        <w:t>otorgados</w:t>
      </w:r>
      <w:r w:rsidR="00B739AB" w:rsidRPr="004D3D15">
        <w:rPr>
          <w:b/>
          <w:sz w:val="18"/>
          <w:lang w:val="es-ES_tradnl"/>
        </w:rPr>
        <w:t xml:space="preserve"> en tarjetas de crédito.</w:t>
      </w:r>
    </w:p>
    <w:p w14:paraId="010F538A" w14:textId="77777777" w:rsidR="007C4EF6" w:rsidRPr="00B609B5" w:rsidRDefault="007C4EF6" w:rsidP="00B609B5">
      <w:pPr>
        <w:pStyle w:val="Textoindependiente"/>
        <w:pBdr>
          <w:left w:val="single" w:sz="4" w:space="4" w:color="auto"/>
        </w:pBdr>
        <w:rPr>
          <w:b/>
          <w:sz w:val="18"/>
          <w:lang w:val="es-ES_tradnl"/>
        </w:rPr>
      </w:pPr>
    </w:p>
    <w:p w14:paraId="440485FC" w14:textId="77777777" w:rsidR="00ED2593" w:rsidRPr="00B609B5" w:rsidRDefault="007C4EF6" w:rsidP="00B609B5">
      <w:pPr>
        <w:pStyle w:val="Textoindependiente"/>
        <w:pBdr>
          <w:left w:val="single" w:sz="4" w:space="4" w:color="auto"/>
        </w:pBdr>
        <w:rPr>
          <w:b/>
          <w:sz w:val="18"/>
          <w:lang w:val="es-ES_tradnl"/>
        </w:rPr>
      </w:pPr>
      <w:r w:rsidRPr="00B609B5">
        <w:rPr>
          <w:b/>
          <w:sz w:val="18"/>
          <w:lang w:val="es-ES_tradnl"/>
        </w:rPr>
        <w:t>Adicionalmente, en caso de persistir el incumplimiento, la SFC podrá tomar las medidas administrativas a las que está facultada conforme a la ley.</w:t>
      </w:r>
    </w:p>
    <w:p w14:paraId="7C94FEDE" w14:textId="77777777" w:rsidR="00B609B5" w:rsidRDefault="00B609B5" w:rsidP="00B609B5">
      <w:pPr>
        <w:pStyle w:val="Textoindependiente"/>
        <w:rPr>
          <w:sz w:val="18"/>
          <w:lang w:val="es-ES_tradnl"/>
        </w:rPr>
      </w:pPr>
    </w:p>
    <w:p w14:paraId="7B028CA5" w14:textId="77777777" w:rsidR="007C4EF6" w:rsidRPr="00ED2593" w:rsidRDefault="007C4EF6" w:rsidP="00B609B5">
      <w:pPr>
        <w:pStyle w:val="Textoindependiente"/>
        <w:rPr>
          <w:rStyle w:val="Titulo3Car"/>
          <w:b w:val="0"/>
          <w:bCs w:val="0"/>
          <w:vanish/>
          <w:sz w:val="18"/>
          <w:szCs w:val="18"/>
          <w:lang w:val="es-ES_tradnl"/>
        </w:rPr>
      </w:pPr>
    </w:p>
    <w:p w14:paraId="2BDA9BD7" w14:textId="77777777" w:rsidR="00CC2550" w:rsidRPr="002233D4" w:rsidRDefault="006E1879" w:rsidP="00CC2550">
      <w:pPr>
        <w:pStyle w:val="Sangradetextonormal"/>
        <w:ind w:left="0"/>
        <w:rPr>
          <w:b/>
          <w:sz w:val="18"/>
          <w:lang w:val="es-ES_tradnl"/>
        </w:rPr>
      </w:pPr>
      <w:r>
        <w:rPr>
          <w:b/>
          <w:sz w:val="18"/>
          <w:lang w:val="es-ES_tradnl"/>
        </w:rPr>
        <w:tab/>
        <w:t xml:space="preserve">5.2.7 </w:t>
      </w:r>
      <w:r w:rsidR="00CC2550" w:rsidRPr="002233D4">
        <w:rPr>
          <w:b/>
          <w:sz w:val="18"/>
          <w:lang w:val="es-ES_tradnl"/>
        </w:rPr>
        <w:t>Medidas prudenciales para contrarrestar la exposición significativa al riesgo de liquidez de las sociedades comisionistas de bolsa de valores</w:t>
      </w:r>
    </w:p>
    <w:p w14:paraId="7C99515B" w14:textId="77777777" w:rsidR="00CC2550" w:rsidRPr="002233D4" w:rsidRDefault="00CC2550" w:rsidP="00CC2550">
      <w:pPr>
        <w:ind w:hanging="360"/>
        <w:jc w:val="both"/>
        <w:rPr>
          <w:rFonts w:ascii="Arial" w:hAnsi="Arial" w:cs="Arial"/>
          <w:sz w:val="14"/>
          <w:szCs w:val="14"/>
          <w:lang w:val="es-ES_tradnl"/>
        </w:rPr>
      </w:pPr>
    </w:p>
    <w:p w14:paraId="20D3107D" w14:textId="77777777" w:rsidR="00CC2550" w:rsidRPr="002233D4" w:rsidRDefault="00CC2550" w:rsidP="00CC2550">
      <w:pPr>
        <w:jc w:val="both"/>
        <w:rPr>
          <w:rFonts w:ascii="Arial" w:hAnsi="Arial" w:cs="Arial"/>
          <w:sz w:val="18"/>
          <w:szCs w:val="18"/>
          <w:lang w:val="es-ES_tradnl"/>
        </w:rPr>
      </w:pPr>
      <w:r w:rsidRPr="002233D4">
        <w:rPr>
          <w:rFonts w:ascii="Arial" w:hAnsi="Arial" w:cs="Arial"/>
          <w:sz w:val="18"/>
          <w:szCs w:val="18"/>
          <w:lang w:val="es-ES_tradnl"/>
        </w:rPr>
        <w:t xml:space="preserve">Cuando una entidad advierta que su IRL es negativo independientemente del modelo de medición empleado, el Representante Legal de la entidad deberá informar por escrito de manera inmediata a la SFC sobre: 1. Las razones fundamentales que de acuerdo con el análisis de la misma, originaron la caída del IRL a 1 </w:t>
      </w:r>
      <w:proofErr w:type="spellStart"/>
      <w:r w:rsidRPr="002233D4">
        <w:rPr>
          <w:rFonts w:ascii="Arial" w:hAnsi="Arial" w:cs="Arial"/>
          <w:sz w:val="18"/>
          <w:szCs w:val="18"/>
          <w:lang w:val="es-ES_tradnl"/>
        </w:rPr>
        <w:t>ó</w:t>
      </w:r>
      <w:proofErr w:type="spellEnd"/>
      <w:r w:rsidRPr="002233D4">
        <w:rPr>
          <w:rFonts w:ascii="Arial" w:hAnsi="Arial" w:cs="Arial"/>
          <w:sz w:val="18"/>
          <w:szCs w:val="18"/>
          <w:lang w:val="es-ES_tradnl"/>
        </w:rPr>
        <w:t xml:space="preserve"> 7 días por debajo del límite establecido 2. El carácter coyuntural o duradero de tal situación y 3. El plan de ajuste que contenga las acciones y/o medidas que la entidad adoptará para restablecer el </w:t>
      </w:r>
      <w:proofErr w:type="spellStart"/>
      <w:r w:rsidRPr="002233D4">
        <w:rPr>
          <w:rFonts w:ascii="Arial" w:hAnsi="Arial" w:cs="Arial"/>
          <w:sz w:val="18"/>
          <w:szCs w:val="18"/>
          <w:lang w:val="es-ES_tradnl"/>
        </w:rPr>
        <w:t>IRL</w:t>
      </w:r>
      <w:r w:rsidRPr="002233D4">
        <w:rPr>
          <w:rFonts w:ascii="Arial" w:hAnsi="Arial" w:cs="Arial"/>
          <w:sz w:val="18"/>
          <w:szCs w:val="18"/>
          <w:vertAlign w:val="subscript"/>
          <w:lang w:val="es-ES_tradnl"/>
        </w:rPr>
        <w:t>r</w:t>
      </w:r>
      <w:proofErr w:type="spellEnd"/>
      <w:r w:rsidRPr="002233D4">
        <w:rPr>
          <w:rFonts w:ascii="Arial" w:hAnsi="Arial" w:cs="Arial"/>
          <w:sz w:val="18"/>
          <w:szCs w:val="18"/>
          <w:lang w:val="es-ES_tradnl"/>
        </w:rPr>
        <w:t xml:space="preserve"> a 110% en un plazo no mayor a cinco (5) días hábiles.</w:t>
      </w:r>
    </w:p>
    <w:p w14:paraId="5C2C4BC6" w14:textId="77777777" w:rsidR="00CC2550" w:rsidRPr="002233D4" w:rsidRDefault="00CC2550" w:rsidP="00CC2550">
      <w:pPr>
        <w:jc w:val="both"/>
        <w:rPr>
          <w:rFonts w:ascii="Arial" w:hAnsi="Arial" w:cs="Arial"/>
          <w:sz w:val="18"/>
          <w:szCs w:val="18"/>
          <w:lang w:val="es-ES_tradnl"/>
        </w:rPr>
      </w:pPr>
    </w:p>
    <w:p w14:paraId="2A63C5E5" w14:textId="77777777" w:rsidR="00CC2550" w:rsidRPr="002233D4" w:rsidRDefault="00CC2550" w:rsidP="00CC2550">
      <w:pPr>
        <w:pStyle w:val="Sangradetextonormal"/>
        <w:ind w:left="0"/>
        <w:rPr>
          <w:b/>
          <w:sz w:val="18"/>
          <w:lang w:val="es-ES_tradnl"/>
        </w:rPr>
      </w:pPr>
      <w:r w:rsidRPr="002233D4">
        <w:rPr>
          <w:sz w:val="18"/>
          <w:lang w:val="es-ES_tradnl"/>
        </w:rPr>
        <w:tab/>
      </w:r>
      <w:r w:rsidRPr="002233D4">
        <w:rPr>
          <w:b/>
          <w:sz w:val="18"/>
          <w:lang w:val="es-ES_tradnl"/>
        </w:rPr>
        <w:t xml:space="preserve">5.2.8  </w:t>
      </w:r>
      <w:r w:rsidR="006E1879">
        <w:rPr>
          <w:b/>
          <w:sz w:val="18"/>
          <w:lang w:val="es-ES_tradnl"/>
        </w:rPr>
        <w:t xml:space="preserve"> </w:t>
      </w:r>
      <w:r w:rsidRPr="002233D4">
        <w:rPr>
          <w:b/>
          <w:sz w:val="18"/>
          <w:lang w:val="es-ES_tradnl"/>
        </w:rPr>
        <w:t>Medidas correctivas para contrarrestar la exposición significativa al riesgo de liquidez de las sociedades comisionistas de bolsa de valores</w:t>
      </w:r>
    </w:p>
    <w:p w14:paraId="50ABA94C" w14:textId="77777777" w:rsidR="00CC2550" w:rsidRPr="002233D4" w:rsidRDefault="00CC2550" w:rsidP="00CC2550">
      <w:pPr>
        <w:ind w:hanging="360"/>
        <w:jc w:val="both"/>
        <w:rPr>
          <w:rFonts w:ascii="Arial" w:hAnsi="Arial" w:cs="Arial"/>
          <w:b/>
          <w:sz w:val="14"/>
          <w:szCs w:val="14"/>
          <w:lang w:val="es-ES_tradnl"/>
        </w:rPr>
      </w:pPr>
    </w:p>
    <w:p w14:paraId="648AB0E8" w14:textId="77777777" w:rsidR="00CC2550" w:rsidRPr="002233D4" w:rsidRDefault="00CC2550" w:rsidP="00CC2550">
      <w:pPr>
        <w:jc w:val="both"/>
        <w:rPr>
          <w:rFonts w:ascii="Arial" w:hAnsi="Arial" w:cs="Arial"/>
          <w:sz w:val="18"/>
          <w:szCs w:val="18"/>
          <w:lang w:val="es-ES_tradnl"/>
        </w:rPr>
      </w:pPr>
      <w:r w:rsidRPr="002233D4">
        <w:rPr>
          <w:rFonts w:ascii="Arial" w:hAnsi="Arial" w:cs="Arial"/>
          <w:sz w:val="18"/>
          <w:szCs w:val="18"/>
          <w:lang w:val="es-ES_tradnl"/>
        </w:rPr>
        <w:t xml:space="preserve">Si la entidad presenta alguna de las siguientes situaciones: 1. No presentó un plan de ajuste en los términos descritos anteriormente, 2. El plan de ajuste fue objetado por la SFC, 3. Las medidas prudenciales enunciadas en dicho plan se incumplieron, 4. La implementación del plan de ajuste no permitió restablecer el </w:t>
      </w:r>
      <w:proofErr w:type="spellStart"/>
      <w:r w:rsidRPr="002233D4">
        <w:rPr>
          <w:rFonts w:ascii="Arial" w:hAnsi="Arial" w:cs="Arial"/>
          <w:sz w:val="18"/>
          <w:szCs w:val="18"/>
          <w:lang w:val="es-ES_tradnl"/>
        </w:rPr>
        <w:t>IRL</w:t>
      </w:r>
      <w:r w:rsidRPr="002233D4">
        <w:rPr>
          <w:rFonts w:ascii="Arial" w:hAnsi="Arial" w:cs="Arial"/>
          <w:sz w:val="18"/>
          <w:szCs w:val="18"/>
          <w:vertAlign w:val="subscript"/>
          <w:lang w:val="es-ES_tradnl"/>
        </w:rPr>
        <w:t>r</w:t>
      </w:r>
      <w:r w:rsidRPr="002233D4">
        <w:rPr>
          <w:rFonts w:ascii="Arial" w:hAnsi="Arial" w:cs="Arial"/>
          <w:sz w:val="18"/>
          <w:szCs w:val="18"/>
          <w:lang w:val="es-ES_tradnl"/>
        </w:rPr>
        <w:t>a</w:t>
      </w:r>
      <w:proofErr w:type="spellEnd"/>
      <w:r w:rsidRPr="002233D4">
        <w:rPr>
          <w:rFonts w:ascii="Arial" w:hAnsi="Arial" w:cs="Arial"/>
          <w:sz w:val="18"/>
          <w:szCs w:val="18"/>
          <w:lang w:val="es-ES_tradnl"/>
        </w:rPr>
        <w:t xml:space="preserve"> 110%dentro de los cinco (5) días hábiles establecidos, o 5. Por tercera ocasión en un periodo de 30 días calendario presenta un plan de ajuste, no podrá realizar:</w:t>
      </w:r>
    </w:p>
    <w:p w14:paraId="37B1AE7D" w14:textId="77777777" w:rsidR="00CC2550" w:rsidRPr="002233D4" w:rsidRDefault="00CC2550" w:rsidP="00CC2550">
      <w:pPr>
        <w:jc w:val="both"/>
        <w:rPr>
          <w:rFonts w:ascii="Arial" w:hAnsi="Arial" w:cs="Arial"/>
          <w:sz w:val="14"/>
          <w:szCs w:val="14"/>
          <w:lang w:val="es-ES_tradnl"/>
        </w:rPr>
      </w:pPr>
    </w:p>
    <w:p w14:paraId="367FD511" w14:textId="77777777" w:rsidR="00CC2550" w:rsidRPr="002233D4" w:rsidRDefault="00CC2550" w:rsidP="00D54E3E">
      <w:pPr>
        <w:pStyle w:val="Prrafodelista"/>
        <w:numPr>
          <w:ilvl w:val="0"/>
          <w:numId w:val="23"/>
        </w:numPr>
        <w:jc w:val="both"/>
        <w:rPr>
          <w:rFonts w:ascii="Arial" w:hAnsi="Arial" w:cs="Arial"/>
          <w:sz w:val="18"/>
          <w:szCs w:val="18"/>
          <w:lang w:val="es-ES_tradnl"/>
        </w:rPr>
      </w:pPr>
      <w:r w:rsidRPr="002233D4">
        <w:rPr>
          <w:rFonts w:ascii="Arial" w:hAnsi="Arial" w:cs="Arial"/>
          <w:sz w:val="18"/>
          <w:szCs w:val="18"/>
          <w:lang w:val="es-ES_tradnl"/>
        </w:rPr>
        <w:t>Operaciones activas de mercado monetario en cuenta propia.</w:t>
      </w:r>
    </w:p>
    <w:p w14:paraId="611DB6FA" w14:textId="77777777" w:rsidR="00CC2550" w:rsidRPr="002233D4" w:rsidRDefault="00CC2550" w:rsidP="00D54E3E">
      <w:pPr>
        <w:pStyle w:val="Prrafodelista"/>
        <w:numPr>
          <w:ilvl w:val="0"/>
          <w:numId w:val="23"/>
        </w:numPr>
        <w:jc w:val="both"/>
        <w:rPr>
          <w:rFonts w:ascii="Arial" w:hAnsi="Arial" w:cs="Arial"/>
          <w:sz w:val="18"/>
          <w:szCs w:val="18"/>
          <w:lang w:val="es-ES_tradnl"/>
        </w:rPr>
      </w:pPr>
      <w:r w:rsidRPr="002233D4">
        <w:rPr>
          <w:rFonts w:ascii="Arial" w:hAnsi="Arial" w:cs="Arial"/>
          <w:sz w:val="18"/>
          <w:szCs w:val="18"/>
          <w:lang w:val="es-ES_tradnl"/>
        </w:rPr>
        <w:t>Compra de inversiones y en general de nuevas adquisiciones en cuenta propia.</w:t>
      </w:r>
    </w:p>
    <w:p w14:paraId="4C0191CD" w14:textId="77777777" w:rsidR="00CC2550" w:rsidRPr="002233D4" w:rsidRDefault="00CC2550" w:rsidP="00D54E3E">
      <w:pPr>
        <w:pStyle w:val="Prrafodelista"/>
        <w:numPr>
          <w:ilvl w:val="0"/>
          <w:numId w:val="23"/>
        </w:numPr>
        <w:jc w:val="both"/>
        <w:rPr>
          <w:rFonts w:ascii="Arial" w:hAnsi="Arial" w:cs="Arial"/>
          <w:sz w:val="18"/>
          <w:szCs w:val="18"/>
          <w:lang w:val="es-ES_tradnl"/>
        </w:rPr>
      </w:pPr>
      <w:r w:rsidRPr="002233D4">
        <w:rPr>
          <w:rFonts w:ascii="Arial" w:hAnsi="Arial" w:cs="Arial"/>
          <w:sz w:val="18"/>
          <w:szCs w:val="18"/>
          <w:lang w:val="es-ES_tradnl"/>
        </w:rPr>
        <w:t>Vinculación de nuevos clientes.</w:t>
      </w:r>
    </w:p>
    <w:p w14:paraId="73433E69" w14:textId="77777777" w:rsidR="00CC2550" w:rsidRPr="002233D4" w:rsidRDefault="00CC2550" w:rsidP="00CC2550">
      <w:pPr>
        <w:jc w:val="both"/>
        <w:rPr>
          <w:rFonts w:ascii="Arial" w:hAnsi="Arial" w:cs="Arial"/>
          <w:sz w:val="14"/>
          <w:szCs w:val="14"/>
          <w:lang w:val="es-ES_tradnl"/>
        </w:rPr>
      </w:pPr>
    </w:p>
    <w:p w14:paraId="75BE3349" w14:textId="77777777" w:rsidR="00CC2550" w:rsidRPr="002233D4" w:rsidRDefault="00CC2550" w:rsidP="00CC2550">
      <w:pPr>
        <w:jc w:val="both"/>
        <w:rPr>
          <w:rFonts w:ascii="Arial" w:hAnsi="Arial" w:cs="Arial"/>
          <w:sz w:val="18"/>
          <w:szCs w:val="18"/>
          <w:lang w:val="es-ES_tradnl"/>
        </w:rPr>
      </w:pPr>
      <w:r w:rsidRPr="002233D4">
        <w:rPr>
          <w:rFonts w:ascii="Arial" w:hAnsi="Arial" w:cs="Arial"/>
          <w:sz w:val="18"/>
          <w:szCs w:val="18"/>
          <w:lang w:val="es-ES_tradnl"/>
        </w:rPr>
        <w:t>Para efectos de lo anterior, la realización de alguna de las anteriores operaciones bajo los supuestos planteados en el inciso primero del presente numeral se considera práctica insegura.</w:t>
      </w:r>
    </w:p>
    <w:p w14:paraId="1CC25C27" w14:textId="77777777" w:rsidR="00CC2550" w:rsidRPr="002233D4" w:rsidRDefault="00CC2550" w:rsidP="00CC2550">
      <w:pPr>
        <w:jc w:val="both"/>
        <w:rPr>
          <w:rFonts w:ascii="Arial" w:hAnsi="Arial" w:cs="Arial"/>
          <w:sz w:val="14"/>
          <w:szCs w:val="14"/>
          <w:lang w:val="es-ES_tradnl"/>
        </w:rPr>
      </w:pPr>
    </w:p>
    <w:p w14:paraId="6755F58B" w14:textId="77777777" w:rsidR="00395C1B" w:rsidRPr="002233D4" w:rsidRDefault="00CC2550" w:rsidP="00395C1B">
      <w:pPr>
        <w:pStyle w:val="Textoindependiente"/>
        <w:widowControl w:val="0"/>
        <w:spacing w:after="100" w:afterAutospacing="1"/>
        <w:rPr>
          <w:sz w:val="18"/>
        </w:rPr>
        <w:sectPr w:rsidR="00395C1B" w:rsidRPr="002233D4" w:rsidSect="00486514">
          <w:headerReference w:type="default" r:id="rId24"/>
          <w:footerReference w:type="default" r:id="rId25"/>
          <w:headerReference w:type="first" r:id="rId26"/>
          <w:footerReference w:type="first" r:id="rId27"/>
          <w:pgSz w:w="12242" w:h="18722" w:code="14"/>
          <w:pgMar w:top="1412" w:right="1412" w:bottom="1412" w:left="1412" w:header="851" w:footer="454" w:gutter="0"/>
          <w:paperSrc w:first="2" w:other="2"/>
          <w:pgNumType w:start="4"/>
          <w:cols w:space="708"/>
          <w:titlePg/>
          <w:docGrid w:linePitch="360"/>
        </w:sectPr>
      </w:pPr>
      <w:r w:rsidRPr="002233D4">
        <w:rPr>
          <w:sz w:val="18"/>
          <w:lang w:val="es-ES_tradnl"/>
        </w:rPr>
        <w:t xml:space="preserve">Sin perjuicio de las sanciones a que haya lugar, una vez la entidad restablezca el </w:t>
      </w:r>
      <w:proofErr w:type="spellStart"/>
      <w:r w:rsidRPr="002233D4">
        <w:rPr>
          <w:sz w:val="18"/>
          <w:lang w:val="es-ES_tradnl"/>
        </w:rPr>
        <w:t>IRL</w:t>
      </w:r>
      <w:r w:rsidRPr="002233D4">
        <w:rPr>
          <w:sz w:val="18"/>
          <w:vertAlign w:val="subscript"/>
          <w:lang w:val="es-ES_tradnl"/>
        </w:rPr>
        <w:t>r</w:t>
      </w:r>
      <w:proofErr w:type="spellEnd"/>
      <w:r w:rsidRPr="002233D4">
        <w:rPr>
          <w:sz w:val="18"/>
          <w:lang w:val="es-ES_tradnl"/>
        </w:rPr>
        <w:t xml:space="preserve"> a 110% podrá volver a realizar las operaciones anteriormente restringidas.</w:t>
      </w:r>
      <w:r w:rsidR="00395C1B" w:rsidRPr="00395C1B">
        <w:rPr>
          <w:sz w:val="18"/>
        </w:rPr>
        <w:t xml:space="preserve"> </w:t>
      </w:r>
    </w:p>
    <w:p w14:paraId="67B9CA3B" w14:textId="77777777" w:rsidR="00CC2550" w:rsidRPr="002233D4" w:rsidRDefault="00CC2550" w:rsidP="00CC2550">
      <w:pPr>
        <w:pStyle w:val="Sangradetextonormal"/>
        <w:ind w:left="0" w:firstLine="0"/>
        <w:rPr>
          <w:sz w:val="8"/>
          <w:szCs w:val="8"/>
          <w:lang w:val="es-ES_tradnl"/>
        </w:rPr>
      </w:pPr>
    </w:p>
    <w:p w14:paraId="5D90397C" w14:textId="77777777" w:rsidR="00CC2550" w:rsidRPr="002233D4" w:rsidRDefault="00CC2550" w:rsidP="00BF69C6">
      <w:pPr>
        <w:pStyle w:val="Sangradetextonormal"/>
        <w:ind w:left="360"/>
        <w:rPr>
          <w:b/>
          <w:sz w:val="18"/>
          <w:lang w:val="es-ES_tradnl"/>
        </w:rPr>
      </w:pPr>
      <w:r w:rsidRPr="002233D4">
        <w:rPr>
          <w:b/>
          <w:sz w:val="18"/>
          <w:lang w:val="es-ES_tradnl"/>
        </w:rPr>
        <w:t>5.2.9.</w:t>
      </w:r>
      <w:r w:rsidRPr="002233D4">
        <w:rPr>
          <w:b/>
          <w:sz w:val="18"/>
          <w:lang w:val="es-ES_tradnl"/>
        </w:rPr>
        <w:tab/>
        <w:t xml:space="preserve">Medidas prudenciales para contrarrestar la exposición significativa al riesgo de liquidez de los </w:t>
      </w:r>
      <w:proofErr w:type="spellStart"/>
      <w:r w:rsidRPr="002233D4">
        <w:rPr>
          <w:b/>
          <w:sz w:val="18"/>
          <w:lang w:val="es-ES_tradnl"/>
        </w:rPr>
        <w:t>FICs</w:t>
      </w:r>
      <w:proofErr w:type="spellEnd"/>
    </w:p>
    <w:p w14:paraId="00FA3426" w14:textId="77777777" w:rsidR="00CC2550" w:rsidRPr="002233D4" w:rsidRDefault="00CC2550" w:rsidP="00BF69C6">
      <w:pPr>
        <w:pStyle w:val="Textoindependiente2"/>
        <w:rPr>
          <w:szCs w:val="18"/>
          <w:lang w:val="es-ES_tradnl"/>
        </w:rPr>
      </w:pPr>
    </w:p>
    <w:p w14:paraId="19AF5113" w14:textId="77777777" w:rsidR="00CC2550" w:rsidRPr="002233D4" w:rsidRDefault="00CC2550" w:rsidP="00BF69C6">
      <w:pPr>
        <w:jc w:val="both"/>
        <w:rPr>
          <w:rFonts w:ascii="Arial" w:hAnsi="Arial" w:cs="Arial"/>
          <w:b/>
          <w:sz w:val="18"/>
          <w:szCs w:val="18"/>
          <w:lang w:val="es-ES_tradnl"/>
        </w:rPr>
      </w:pPr>
      <w:r w:rsidRPr="002233D4">
        <w:rPr>
          <w:rFonts w:ascii="Arial" w:hAnsi="Arial" w:cs="Arial"/>
          <w:b/>
          <w:sz w:val="18"/>
          <w:szCs w:val="18"/>
          <w:lang w:val="es-ES_tradnl"/>
        </w:rPr>
        <w:t>5.2.9.1. Deber de información a la SFC.</w:t>
      </w:r>
    </w:p>
    <w:p w14:paraId="75C61360" w14:textId="77777777" w:rsidR="00CC2550" w:rsidRPr="002233D4" w:rsidRDefault="00CC2550" w:rsidP="00BF69C6">
      <w:pPr>
        <w:jc w:val="both"/>
        <w:rPr>
          <w:rFonts w:ascii="Arial" w:hAnsi="Arial" w:cs="Arial"/>
          <w:b/>
          <w:sz w:val="18"/>
          <w:szCs w:val="18"/>
          <w:lang w:val="es-ES_tradnl"/>
        </w:rPr>
      </w:pPr>
    </w:p>
    <w:p w14:paraId="4AE24E89" w14:textId="77777777" w:rsidR="00CC2550" w:rsidRPr="008336BD" w:rsidRDefault="00CC2550" w:rsidP="00BF69C6">
      <w:pPr>
        <w:jc w:val="both"/>
        <w:rPr>
          <w:rFonts w:ascii="Arial" w:hAnsi="Arial" w:cs="Arial"/>
          <w:sz w:val="18"/>
          <w:szCs w:val="18"/>
          <w:lang w:val="es-ES_tradnl"/>
        </w:rPr>
      </w:pPr>
      <w:r w:rsidRPr="008336BD">
        <w:rPr>
          <w:rFonts w:ascii="Arial" w:hAnsi="Arial" w:cs="Arial"/>
          <w:sz w:val="18"/>
          <w:szCs w:val="18"/>
          <w:lang w:val="es-ES_tradnl"/>
        </w:rPr>
        <w:t xml:space="preserve">Cuando una sociedad administradora advierta que un FIC abierto sin pacto de permanencia presenta una exposición significativa al riesgo de liquidez, y/o el incumplimiento de alguno(s) de los límites establecidos en el </w:t>
      </w:r>
      <w:proofErr w:type="spellStart"/>
      <w:r w:rsidRPr="008336BD">
        <w:rPr>
          <w:rFonts w:ascii="Arial" w:hAnsi="Arial" w:cs="Arial"/>
          <w:sz w:val="18"/>
          <w:szCs w:val="18"/>
          <w:lang w:val="es-ES_tradnl"/>
        </w:rPr>
        <w:t>subnumeral</w:t>
      </w:r>
      <w:proofErr w:type="spellEnd"/>
      <w:r w:rsidRPr="008336BD">
        <w:rPr>
          <w:rFonts w:ascii="Arial" w:hAnsi="Arial" w:cs="Arial"/>
          <w:sz w:val="18"/>
          <w:szCs w:val="18"/>
          <w:lang w:val="es-ES_tradnl"/>
        </w:rPr>
        <w:t xml:space="preserve"> 2.5 del Anexo 3 del presente Capítulo, el Representante Legal de la entidad deberá informar por escrito a la Delegatura </w:t>
      </w:r>
      <w:r w:rsidR="00D51C8E" w:rsidRPr="008336BD">
        <w:rPr>
          <w:rFonts w:ascii="Arial" w:hAnsi="Arial" w:cs="Arial"/>
          <w:sz w:val="18"/>
          <w:szCs w:val="18"/>
          <w:lang w:val="es-ES_tradnl"/>
        </w:rPr>
        <w:t>de</w:t>
      </w:r>
      <w:r w:rsidRPr="008336BD">
        <w:rPr>
          <w:rFonts w:ascii="Arial" w:hAnsi="Arial" w:cs="Arial"/>
          <w:sz w:val="18"/>
          <w:szCs w:val="18"/>
          <w:lang w:val="es-ES_tradnl"/>
        </w:rPr>
        <w:t xml:space="preserve"> Riesgos de Mercado </w:t>
      </w:r>
      <w:r w:rsidR="00D51C8E" w:rsidRPr="008336BD">
        <w:rPr>
          <w:rFonts w:ascii="Arial" w:hAnsi="Arial" w:cs="Arial"/>
          <w:sz w:val="18"/>
          <w:szCs w:val="18"/>
          <w:lang w:val="es-ES_tradnl"/>
        </w:rPr>
        <w:t xml:space="preserve">y Liquidez </w:t>
      </w:r>
      <w:r w:rsidRPr="008336BD">
        <w:rPr>
          <w:rFonts w:ascii="Arial" w:hAnsi="Arial" w:cs="Arial"/>
          <w:sz w:val="18"/>
          <w:szCs w:val="18"/>
          <w:lang w:val="es-ES_tradnl"/>
        </w:rPr>
        <w:t>y a la Delegatura para Emisores, portafolios de Inversión y Otros Agentes, el día hábil siguiente a la fecha de corte en la que se presenta el incumplimiento, las razones fundamentales que lo originaron.</w:t>
      </w:r>
    </w:p>
    <w:p w14:paraId="66EBBB5A" w14:textId="77777777" w:rsidR="00CC2550" w:rsidRPr="002233D4" w:rsidRDefault="00CC2550" w:rsidP="00BF69C6">
      <w:pPr>
        <w:jc w:val="both"/>
        <w:rPr>
          <w:rFonts w:ascii="Arial" w:hAnsi="Arial" w:cs="Arial"/>
          <w:b/>
          <w:sz w:val="18"/>
          <w:szCs w:val="18"/>
          <w:lang w:val="es-ES_tradnl"/>
        </w:rPr>
      </w:pPr>
    </w:p>
    <w:p w14:paraId="7C7F66E0" w14:textId="77777777" w:rsidR="00CC2550" w:rsidRPr="002233D4" w:rsidRDefault="00CC2550" w:rsidP="00BF69C6">
      <w:pPr>
        <w:pStyle w:val="Prrafodelista"/>
        <w:ind w:left="0"/>
        <w:jc w:val="both"/>
        <w:rPr>
          <w:rFonts w:ascii="Arial" w:hAnsi="Arial" w:cs="Arial"/>
          <w:b/>
          <w:sz w:val="18"/>
          <w:szCs w:val="18"/>
          <w:lang w:val="es-ES_tradnl"/>
        </w:rPr>
      </w:pPr>
      <w:r w:rsidRPr="002233D4">
        <w:rPr>
          <w:rFonts w:ascii="Arial" w:hAnsi="Arial" w:cs="Arial"/>
          <w:b/>
          <w:sz w:val="18"/>
          <w:szCs w:val="18"/>
          <w:lang w:val="es-ES_tradnl"/>
        </w:rPr>
        <w:t>5.2.9.2. Requerimiento Plan de ajuste</w:t>
      </w:r>
    </w:p>
    <w:p w14:paraId="3E9A90E4" w14:textId="77777777" w:rsidR="00CC2550" w:rsidRPr="002233D4" w:rsidRDefault="00CC2550" w:rsidP="00BF69C6">
      <w:pPr>
        <w:pStyle w:val="Prrafodelista"/>
        <w:ind w:left="0"/>
        <w:jc w:val="both"/>
        <w:rPr>
          <w:rFonts w:ascii="Arial" w:hAnsi="Arial" w:cs="Arial"/>
          <w:b/>
          <w:sz w:val="18"/>
          <w:szCs w:val="18"/>
          <w:lang w:val="es-ES_tradnl"/>
        </w:rPr>
      </w:pPr>
    </w:p>
    <w:p w14:paraId="4AB55BDC" w14:textId="77777777" w:rsidR="00CC2550" w:rsidRPr="008336BD" w:rsidRDefault="00CC2550" w:rsidP="00BF69C6">
      <w:pPr>
        <w:jc w:val="both"/>
        <w:rPr>
          <w:rFonts w:ascii="Arial" w:hAnsi="Arial" w:cs="Arial"/>
          <w:sz w:val="18"/>
          <w:szCs w:val="18"/>
          <w:lang w:val="es-ES_tradnl"/>
        </w:rPr>
      </w:pPr>
      <w:r w:rsidRPr="008336BD">
        <w:rPr>
          <w:rFonts w:ascii="Arial" w:hAnsi="Arial" w:cs="Arial"/>
          <w:sz w:val="18"/>
          <w:szCs w:val="18"/>
          <w:lang w:val="es-ES_tradnl"/>
        </w:rPr>
        <w:t xml:space="preserve">Cuando una sociedad administradora advierta que durante dos días hábiles en un periodo de cinco días hábiles, un FIC abierto sin pacto de permanencia presenta una exposición significativa al riesgo de liquidez y/o el incumplimiento de alguno(s) de los límites establecidos en el </w:t>
      </w:r>
      <w:proofErr w:type="spellStart"/>
      <w:r w:rsidRPr="008336BD">
        <w:rPr>
          <w:rFonts w:ascii="Arial" w:hAnsi="Arial" w:cs="Arial"/>
          <w:sz w:val="18"/>
          <w:szCs w:val="18"/>
          <w:lang w:val="es-ES_tradnl"/>
        </w:rPr>
        <w:t>subnumeral</w:t>
      </w:r>
      <w:proofErr w:type="spellEnd"/>
      <w:r w:rsidRPr="008336BD">
        <w:rPr>
          <w:rFonts w:ascii="Arial" w:hAnsi="Arial" w:cs="Arial"/>
          <w:sz w:val="18"/>
          <w:szCs w:val="18"/>
          <w:lang w:val="es-ES_tradnl"/>
        </w:rPr>
        <w:t xml:space="preserve"> 2.5 de Anexo 3 del presente Capítulo, el Representante Legal de la entidad deberá remitir por escrito a la Delegatura para Riesgos de Mercado e Integridad y a la Delegatura para Emisores, Portafolios de Inversión y otros Agentes, un plan de ajuste que contenga:</w:t>
      </w:r>
    </w:p>
    <w:p w14:paraId="2A91E961" w14:textId="77777777" w:rsidR="00CC2550" w:rsidRPr="002233D4" w:rsidRDefault="00CC2550" w:rsidP="00BF69C6">
      <w:pPr>
        <w:jc w:val="both"/>
        <w:rPr>
          <w:rFonts w:ascii="Arial" w:hAnsi="Arial" w:cs="Arial"/>
          <w:b/>
          <w:sz w:val="18"/>
          <w:szCs w:val="18"/>
          <w:lang w:val="es-ES_tradnl"/>
        </w:rPr>
      </w:pPr>
    </w:p>
    <w:p w14:paraId="3AB2FBA4" w14:textId="77777777" w:rsidR="00CC2550" w:rsidRPr="008336BD" w:rsidRDefault="00CC2550" w:rsidP="00BF69C6">
      <w:pPr>
        <w:pStyle w:val="Sangradetextonormal"/>
        <w:numPr>
          <w:ilvl w:val="0"/>
          <w:numId w:val="29"/>
        </w:numPr>
        <w:rPr>
          <w:sz w:val="18"/>
          <w:lang w:val="es-ES_tradnl"/>
        </w:rPr>
      </w:pPr>
      <w:r w:rsidRPr="008336BD">
        <w:rPr>
          <w:sz w:val="18"/>
          <w:lang w:val="es-ES_tradnl"/>
        </w:rPr>
        <w:t>Las razones fundamentales que originaron el incumplimiento de los límites establecidos.</w:t>
      </w:r>
    </w:p>
    <w:p w14:paraId="7F6C8E67" w14:textId="77777777" w:rsidR="00CC2550" w:rsidRPr="008336BD" w:rsidRDefault="00CC2550" w:rsidP="00BF69C6">
      <w:pPr>
        <w:pStyle w:val="Sangradetextonormal"/>
        <w:numPr>
          <w:ilvl w:val="0"/>
          <w:numId w:val="29"/>
        </w:numPr>
        <w:rPr>
          <w:sz w:val="18"/>
          <w:lang w:val="es-ES_tradnl"/>
        </w:rPr>
      </w:pPr>
      <w:r w:rsidRPr="008336BD">
        <w:rPr>
          <w:sz w:val="18"/>
          <w:lang w:val="es-ES_tradnl"/>
        </w:rPr>
        <w:t>Las medidas que adoptará la entidad para dar cumplimiento a los límites establecidos, en un plazo de cinco (5) días hábiles contados a partir del día que remite el plan de ajuste.</w:t>
      </w:r>
    </w:p>
    <w:p w14:paraId="029FFEBB" w14:textId="77777777" w:rsidR="00CC2550" w:rsidRPr="002233D4" w:rsidRDefault="00CC2550" w:rsidP="00BF69C6">
      <w:pPr>
        <w:pStyle w:val="Sangradetextonormal"/>
        <w:ind w:left="0" w:firstLine="0"/>
        <w:rPr>
          <w:b/>
          <w:sz w:val="18"/>
          <w:lang w:val="es-ES_tradnl"/>
        </w:rPr>
      </w:pPr>
    </w:p>
    <w:p w14:paraId="4EFC0268" w14:textId="77777777" w:rsidR="00CC2550" w:rsidRPr="008336BD" w:rsidRDefault="00CC2550" w:rsidP="00BF69C6">
      <w:pPr>
        <w:pStyle w:val="Sangradetextonormal"/>
        <w:ind w:left="0" w:firstLine="0"/>
        <w:rPr>
          <w:sz w:val="18"/>
          <w:lang w:val="es-ES_tradnl"/>
        </w:rPr>
      </w:pPr>
      <w:r w:rsidRPr="008336BD">
        <w:rPr>
          <w:sz w:val="18"/>
          <w:lang w:val="es-ES_tradnl"/>
        </w:rPr>
        <w:t>El plan de ajuste debe ser remitido el día hábil siguiente a la fecha de corte del segundo día de incumplimiento.</w:t>
      </w:r>
    </w:p>
    <w:p w14:paraId="34F52BA6" w14:textId="77777777" w:rsidR="00CC2550" w:rsidRPr="008336BD" w:rsidRDefault="00CC2550" w:rsidP="00BF69C6">
      <w:pPr>
        <w:pStyle w:val="Sangradetextonormal"/>
        <w:ind w:left="0" w:firstLine="0"/>
        <w:rPr>
          <w:sz w:val="18"/>
          <w:lang w:val="es-ES_tradnl"/>
        </w:rPr>
      </w:pPr>
    </w:p>
    <w:p w14:paraId="3C983DF2" w14:textId="77777777" w:rsidR="00CC2550" w:rsidRPr="008336BD" w:rsidRDefault="00CC2550" w:rsidP="00BF69C6">
      <w:pPr>
        <w:pStyle w:val="Textoindependiente2"/>
        <w:rPr>
          <w:lang w:val="es-ES_tradnl"/>
        </w:rPr>
      </w:pPr>
      <w:r w:rsidRPr="008336BD">
        <w:rPr>
          <w:lang w:val="es-ES_tradnl"/>
        </w:rPr>
        <w:t xml:space="preserve">Adicionalmente, mientras se mantenga la exposición significativa al riesgo de liquidez la entidad deberá enviar diariamente el reporte sobre la medición del Riesgo de Liquidez, a través del </w:t>
      </w:r>
      <w:r w:rsidRPr="008336BD">
        <w:rPr>
          <w:rFonts w:cs="Arial"/>
          <w:szCs w:val="18"/>
          <w:lang w:val="es-ES_tradnl" w:eastAsia="es-ES"/>
        </w:rPr>
        <w:t>Formato 519 (Proforma F.0000-154)</w:t>
      </w:r>
      <w:r w:rsidRPr="008336BD">
        <w:rPr>
          <w:lang w:val="es-ES_tradnl"/>
        </w:rPr>
        <w:t>.</w:t>
      </w:r>
    </w:p>
    <w:p w14:paraId="378D410F" w14:textId="77777777" w:rsidR="00CC2550" w:rsidRPr="008336BD" w:rsidRDefault="00CC2550" w:rsidP="00BF69C6">
      <w:pPr>
        <w:pStyle w:val="Textoindependiente2"/>
        <w:rPr>
          <w:lang w:val="es-ES_tradnl"/>
        </w:rPr>
      </w:pPr>
    </w:p>
    <w:p w14:paraId="4105B59D" w14:textId="77777777" w:rsidR="00CC2550" w:rsidRPr="008336BD" w:rsidRDefault="00CC2550" w:rsidP="00BF69C6">
      <w:pPr>
        <w:pStyle w:val="Textoindependiente2"/>
        <w:rPr>
          <w:lang w:val="es-ES_tradnl"/>
        </w:rPr>
      </w:pPr>
      <w:r w:rsidRPr="008336BD">
        <w:rPr>
          <w:lang w:val="es-ES_tradnl"/>
        </w:rPr>
        <w:t>En todo caso, los incumplimientos que se registren durante la implementación del plan de ajuste sobre los límites que originaron la suscripción del plan, no darán lugar a los deberes de información o de presentación del plan de ajuste, según sea el caso.</w:t>
      </w:r>
    </w:p>
    <w:p w14:paraId="131527B9" w14:textId="77777777" w:rsidR="00CC2550" w:rsidRPr="002233D4" w:rsidRDefault="00CC2550" w:rsidP="00BF69C6">
      <w:pPr>
        <w:pStyle w:val="Textoindependiente2"/>
        <w:rPr>
          <w:b/>
          <w:lang w:val="es-ES_tradnl"/>
        </w:rPr>
      </w:pPr>
    </w:p>
    <w:p w14:paraId="2DA195F6" w14:textId="77777777" w:rsidR="00CC2550" w:rsidRPr="002233D4" w:rsidRDefault="00CC2550" w:rsidP="00BF69C6">
      <w:pPr>
        <w:pStyle w:val="Sangradetextonormal"/>
        <w:ind w:left="360"/>
        <w:rPr>
          <w:b/>
          <w:sz w:val="18"/>
          <w:lang w:val="es-ES_tradnl"/>
        </w:rPr>
      </w:pPr>
      <w:r w:rsidRPr="002233D4">
        <w:rPr>
          <w:b/>
          <w:sz w:val="18"/>
          <w:lang w:val="es-ES_tradnl"/>
        </w:rPr>
        <w:t>5.2.10.</w:t>
      </w:r>
      <w:r w:rsidRPr="002233D4">
        <w:rPr>
          <w:b/>
          <w:sz w:val="18"/>
          <w:lang w:val="es-ES_tradnl"/>
        </w:rPr>
        <w:tab/>
        <w:t xml:space="preserve"> Medidas correctivas para contrarrestar la exposición significativa al riesgo de liquidez de los </w:t>
      </w:r>
      <w:proofErr w:type="spellStart"/>
      <w:r w:rsidRPr="002233D4">
        <w:rPr>
          <w:b/>
          <w:sz w:val="18"/>
          <w:lang w:val="es-ES_tradnl"/>
        </w:rPr>
        <w:t>FICs</w:t>
      </w:r>
      <w:proofErr w:type="spellEnd"/>
      <w:r w:rsidRPr="002233D4">
        <w:rPr>
          <w:b/>
          <w:sz w:val="18"/>
          <w:lang w:val="es-ES_tradnl"/>
        </w:rPr>
        <w:t>.</w:t>
      </w:r>
    </w:p>
    <w:p w14:paraId="2B02C939" w14:textId="77777777" w:rsidR="00CC2550" w:rsidRPr="002233D4" w:rsidRDefault="00CC2550" w:rsidP="00BF69C6">
      <w:pPr>
        <w:pStyle w:val="Sangradetextonormal"/>
        <w:ind w:left="360"/>
        <w:rPr>
          <w:b/>
          <w:sz w:val="18"/>
          <w:lang w:val="es-ES_tradnl"/>
        </w:rPr>
      </w:pPr>
    </w:p>
    <w:p w14:paraId="24EE54CB" w14:textId="77777777" w:rsidR="00CC2550" w:rsidRPr="008336BD" w:rsidRDefault="00CC2550" w:rsidP="00BF69C6">
      <w:pPr>
        <w:pStyle w:val="Sangradetextonormal"/>
        <w:ind w:left="0" w:firstLine="0"/>
        <w:rPr>
          <w:sz w:val="18"/>
          <w:lang w:val="es-ES_tradnl"/>
        </w:rPr>
      </w:pPr>
      <w:r w:rsidRPr="008336BD">
        <w:rPr>
          <w:sz w:val="18"/>
          <w:lang w:val="es-ES_tradnl"/>
        </w:rPr>
        <w:t xml:space="preserve">Si durante el plazo de implementación del plan de ajuste la sociedad administradora del FIC no restableció los límites, debe remitir inmediatamente un nuevo plan a la SFC en los términos establecidos en el </w:t>
      </w:r>
      <w:proofErr w:type="spellStart"/>
      <w:r w:rsidRPr="008336BD">
        <w:rPr>
          <w:sz w:val="18"/>
          <w:lang w:val="es-ES_tradnl"/>
        </w:rPr>
        <w:t>subnumeral</w:t>
      </w:r>
      <w:proofErr w:type="spellEnd"/>
      <w:r w:rsidRPr="008336BD">
        <w:rPr>
          <w:sz w:val="18"/>
          <w:lang w:val="es-ES_tradnl"/>
        </w:rPr>
        <w:t xml:space="preserve"> anterior y no podrá realizar las siguientes actividades hasta corregir la exposición significativa al riesgo de liquidez:</w:t>
      </w:r>
    </w:p>
    <w:p w14:paraId="6637B55A" w14:textId="77777777" w:rsidR="00CC2550" w:rsidRPr="008336BD" w:rsidRDefault="00CC2550" w:rsidP="00BF69C6">
      <w:pPr>
        <w:pStyle w:val="Sangradetextonormal"/>
        <w:ind w:left="0" w:firstLine="0"/>
        <w:rPr>
          <w:sz w:val="18"/>
          <w:lang w:val="es-ES_tradnl"/>
        </w:rPr>
      </w:pPr>
    </w:p>
    <w:p w14:paraId="02353416" w14:textId="77777777" w:rsidR="00CC2550" w:rsidRPr="008336BD" w:rsidRDefault="00CC2550" w:rsidP="00BF69C6">
      <w:pPr>
        <w:pStyle w:val="Sangradetextonormal"/>
        <w:numPr>
          <w:ilvl w:val="0"/>
          <w:numId w:val="30"/>
        </w:numPr>
        <w:rPr>
          <w:sz w:val="18"/>
          <w:lang w:val="es-ES_tradnl"/>
        </w:rPr>
      </w:pPr>
      <w:r w:rsidRPr="008336BD">
        <w:rPr>
          <w:sz w:val="18"/>
          <w:lang w:val="es-ES_tradnl"/>
        </w:rPr>
        <w:t>Realizar nuevas inversiones con recursos del FIC.</w:t>
      </w:r>
    </w:p>
    <w:p w14:paraId="4E1BE32B" w14:textId="77777777" w:rsidR="00CC2550" w:rsidRPr="008336BD" w:rsidRDefault="00CC2550" w:rsidP="00BF69C6">
      <w:pPr>
        <w:pStyle w:val="Sangradetextonormal"/>
        <w:numPr>
          <w:ilvl w:val="0"/>
          <w:numId w:val="30"/>
        </w:numPr>
        <w:rPr>
          <w:sz w:val="18"/>
          <w:lang w:val="es-ES_tradnl"/>
        </w:rPr>
      </w:pPr>
      <w:r w:rsidRPr="008336BD">
        <w:rPr>
          <w:sz w:val="18"/>
          <w:lang w:val="es-ES_tradnl"/>
        </w:rPr>
        <w:t>Realizar y/o renovar operaciones activas del mercado monetario con recursos del FIC.</w:t>
      </w:r>
    </w:p>
    <w:p w14:paraId="1EE6C4CA" w14:textId="77777777" w:rsidR="00CC2550" w:rsidRPr="008336BD" w:rsidRDefault="00CC2550" w:rsidP="00BF69C6">
      <w:pPr>
        <w:pStyle w:val="Sangradetextonormal"/>
        <w:numPr>
          <w:ilvl w:val="0"/>
          <w:numId w:val="30"/>
        </w:numPr>
        <w:rPr>
          <w:sz w:val="18"/>
          <w:lang w:val="es-ES_tradnl"/>
        </w:rPr>
      </w:pPr>
      <w:r w:rsidRPr="008336BD">
        <w:rPr>
          <w:sz w:val="18"/>
          <w:lang w:val="es-ES_tradnl"/>
        </w:rPr>
        <w:t>Debitar la comisión causada.</w:t>
      </w:r>
    </w:p>
    <w:p w14:paraId="16182D89" w14:textId="77777777" w:rsidR="00CC2550" w:rsidRPr="008336BD" w:rsidRDefault="00CC2550" w:rsidP="00BF69C6">
      <w:pPr>
        <w:pStyle w:val="Sangradetextonormal"/>
        <w:ind w:left="0" w:firstLine="0"/>
        <w:rPr>
          <w:sz w:val="18"/>
          <w:lang w:val="es-ES_tradnl"/>
        </w:rPr>
      </w:pPr>
    </w:p>
    <w:p w14:paraId="3897A46E" w14:textId="77777777" w:rsidR="00CC2550" w:rsidRPr="008336BD" w:rsidRDefault="00CC2550" w:rsidP="00BF69C6">
      <w:pPr>
        <w:pStyle w:val="Sangradetextonormal"/>
        <w:ind w:left="0" w:firstLine="0"/>
        <w:rPr>
          <w:sz w:val="18"/>
          <w:lang w:val="es-ES_tradnl"/>
        </w:rPr>
      </w:pPr>
      <w:r w:rsidRPr="008336BD">
        <w:rPr>
          <w:sz w:val="18"/>
          <w:lang w:val="es-ES_tradnl"/>
        </w:rPr>
        <w:t>Adicionalmente si i) Por tercera ocasión en un periodo de 30 días calendario se debe presentar un plan de ajuste para el respectivo FIC, y/o ii). El administrador realiza la suspensión de redenciones de acuerdo con lo establecido en el Artículo 3.1.1.7.3 del Decreto 2555 de 2010, la sociedad administradora del FIC no podrá:</w:t>
      </w:r>
    </w:p>
    <w:p w14:paraId="2C8BEAA0" w14:textId="77777777" w:rsidR="00CC2550" w:rsidRPr="008336BD" w:rsidRDefault="00CC2550" w:rsidP="00BF69C6">
      <w:pPr>
        <w:pStyle w:val="Sangradetextonormal"/>
        <w:ind w:left="0" w:firstLine="0"/>
        <w:rPr>
          <w:sz w:val="18"/>
          <w:lang w:val="es-ES_tradnl"/>
        </w:rPr>
      </w:pPr>
    </w:p>
    <w:p w14:paraId="0EB4CDBA" w14:textId="77777777" w:rsidR="00CC2550" w:rsidRPr="008336BD" w:rsidRDefault="00CC2550" w:rsidP="00BF69C6">
      <w:pPr>
        <w:pStyle w:val="Sangradetextonormal"/>
        <w:numPr>
          <w:ilvl w:val="0"/>
          <w:numId w:val="30"/>
        </w:numPr>
        <w:rPr>
          <w:sz w:val="18"/>
          <w:lang w:val="es-ES_tradnl"/>
        </w:rPr>
      </w:pPr>
      <w:r w:rsidRPr="008336BD">
        <w:rPr>
          <w:sz w:val="18"/>
          <w:lang w:val="es-ES_tradnl"/>
        </w:rPr>
        <w:t>Realizar ninguna de las actividades enunciadas en los numerales 1, 2 y 3 anteriores.</w:t>
      </w:r>
    </w:p>
    <w:p w14:paraId="494504A1" w14:textId="77777777" w:rsidR="00CC2550" w:rsidRPr="008336BD" w:rsidRDefault="00CC2550" w:rsidP="00BF69C6">
      <w:pPr>
        <w:pStyle w:val="Sangradetextonormal"/>
        <w:numPr>
          <w:ilvl w:val="0"/>
          <w:numId w:val="30"/>
        </w:numPr>
        <w:rPr>
          <w:sz w:val="18"/>
          <w:lang w:val="es-ES_tradnl"/>
        </w:rPr>
      </w:pPr>
      <w:r w:rsidRPr="008336BD">
        <w:rPr>
          <w:sz w:val="18"/>
          <w:lang w:val="es-ES_tradnl"/>
        </w:rPr>
        <w:t>Aceptar nuevos adherentes en el FIC.</w:t>
      </w:r>
    </w:p>
    <w:p w14:paraId="77CF66D5" w14:textId="77777777" w:rsidR="00CC2550" w:rsidRPr="008336BD" w:rsidRDefault="00CC2550" w:rsidP="00BF69C6">
      <w:pPr>
        <w:jc w:val="both"/>
        <w:rPr>
          <w:rFonts w:ascii="Arial" w:hAnsi="Arial" w:cs="Arial"/>
          <w:sz w:val="18"/>
          <w:szCs w:val="18"/>
          <w:lang w:val="es-ES_tradnl"/>
        </w:rPr>
      </w:pPr>
    </w:p>
    <w:p w14:paraId="6AA8EB1E" w14:textId="77777777" w:rsidR="00CC2550" w:rsidRPr="008336BD" w:rsidRDefault="00CC2550" w:rsidP="00BF69C6">
      <w:pPr>
        <w:jc w:val="both"/>
        <w:rPr>
          <w:rFonts w:ascii="Arial" w:hAnsi="Arial" w:cs="Arial"/>
          <w:sz w:val="18"/>
          <w:szCs w:val="18"/>
          <w:lang w:val="es-ES_tradnl"/>
        </w:rPr>
      </w:pPr>
      <w:r w:rsidRPr="008336BD">
        <w:rPr>
          <w:rFonts w:ascii="Arial" w:hAnsi="Arial" w:cs="Arial"/>
          <w:sz w:val="18"/>
          <w:szCs w:val="18"/>
          <w:lang w:val="es-ES_tradnl"/>
        </w:rPr>
        <w:t>Sin perjuicio de las sanciones a que haya lugar, una vez la sociedad administradora haya corregido la exposición significativa al riesgo de liquidez, podrá realizar las actividades anteriormente restringidas y debitar las comisiones causadas.</w:t>
      </w:r>
    </w:p>
    <w:p w14:paraId="6D50D3E8" w14:textId="77777777" w:rsidR="00CC2550" w:rsidRPr="008336BD" w:rsidRDefault="00CC2550" w:rsidP="00BF69C6">
      <w:pPr>
        <w:pStyle w:val="Sangradetextonormal"/>
        <w:ind w:left="0" w:firstLine="0"/>
        <w:rPr>
          <w:sz w:val="18"/>
          <w:lang w:val="es-ES_tradnl"/>
        </w:rPr>
      </w:pPr>
    </w:p>
    <w:p w14:paraId="50DE6EB4" w14:textId="77777777" w:rsidR="00CC2550" w:rsidRPr="008336BD" w:rsidRDefault="00CC2550" w:rsidP="00BF69C6">
      <w:pPr>
        <w:pStyle w:val="Sangradetextonormal"/>
        <w:ind w:left="0" w:firstLine="0"/>
        <w:rPr>
          <w:sz w:val="18"/>
          <w:lang w:val="es-ES_tradnl"/>
        </w:rPr>
      </w:pPr>
      <w:r w:rsidRPr="008336BD">
        <w:rPr>
          <w:sz w:val="18"/>
          <w:lang w:val="es-ES_tradnl"/>
        </w:rPr>
        <w:t xml:space="preserve">Para efectos de lo anterior, se considerará práctica insegura la realización de alguna de las actividades restringidas bajo los supuestos planteados en el presente </w:t>
      </w:r>
      <w:proofErr w:type="spellStart"/>
      <w:r w:rsidRPr="008336BD">
        <w:rPr>
          <w:sz w:val="18"/>
          <w:lang w:val="es-ES_tradnl"/>
        </w:rPr>
        <w:t>subnumeral</w:t>
      </w:r>
      <w:proofErr w:type="spellEnd"/>
      <w:r w:rsidRPr="008336BD">
        <w:rPr>
          <w:sz w:val="18"/>
          <w:lang w:val="es-ES_tradnl"/>
        </w:rPr>
        <w:t xml:space="preserve"> </w:t>
      </w:r>
    </w:p>
    <w:p w14:paraId="0049E050" w14:textId="77777777" w:rsidR="00CC2550" w:rsidRPr="002233D4" w:rsidRDefault="00CC2550" w:rsidP="00CC2550">
      <w:pPr>
        <w:pStyle w:val="Sangradetextonormal"/>
        <w:ind w:left="0" w:firstLine="0"/>
        <w:rPr>
          <w:b/>
          <w:sz w:val="18"/>
          <w:lang w:val="es-ES_tradnl"/>
        </w:rPr>
      </w:pPr>
    </w:p>
    <w:p w14:paraId="2D2F0646" w14:textId="77777777" w:rsidR="00CC2550" w:rsidRPr="002233D4" w:rsidRDefault="00CC2550" w:rsidP="00D54E3E">
      <w:pPr>
        <w:pStyle w:val="Textoindependiente2"/>
        <w:numPr>
          <w:ilvl w:val="1"/>
          <w:numId w:val="30"/>
        </w:numPr>
        <w:rPr>
          <w:rFonts w:cs="Arial"/>
          <w:b/>
          <w:szCs w:val="18"/>
          <w:lang w:val="es-ES_tradnl" w:eastAsia="es-ES"/>
        </w:rPr>
      </w:pPr>
      <w:r w:rsidRPr="002233D4">
        <w:rPr>
          <w:rFonts w:cs="Arial"/>
          <w:b/>
          <w:szCs w:val="18"/>
          <w:lang w:val="es-ES_tradnl" w:eastAsia="es-ES"/>
        </w:rPr>
        <w:t>Control</w:t>
      </w:r>
    </w:p>
    <w:p w14:paraId="00108187" w14:textId="77777777" w:rsidR="00CC2550" w:rsidRPr="002233D4" w:rsidRDefault="00CC2550" w:rsidP="00CC2550">
      <w:pPr>
        <w:pStyle w:val="Textoindependiente2"/>
        <w:rPr>
          <w:rFonts w:cs="Arial"/>
          <w:b/>
          <w:sz w:val="14"/>
          <w:szCs w:val="14"/>
          <w:lang w:val="es-ES_tradnl" w:eastAsia="es-ES"/>
        </w:rPr>
      </w:pPr>
    </w:p>
    <w:p w14:paraId="1445CE98" w14:textId="77777777" w:rsidR="00CC2550" w:rsidRPr="002233D4" w:rsidRDefault="00CC2550" w:rsidP="00CC2550">
      <w:pPr>
        <w:pStyle w:val="Textoindependiente2"/>
        <w:rPr>
          <w:bCs/>
        </w:rPr>
      </w:pPr>
      <w:r w:rsidRPr="002233D4">
        <w:rPr>
          <w:bCs/>
        </w:rPr>
        <w:t>El SARL debe permitir a las entidades tomar las medidas conducentes a controlar el riesgo de liquidez al que se ven expuestas en el desarrollo de sus operaciones, tanto para las posiciones del Libro Bancario como del Libro de Tesorería, sean del Balance o de fuera de él. Independientemente de la estructura organizacional, el SARL debe permitir controlar activamente el riesgo de liquidez que se presente a nivel de entidades y del conglomerado financiero como un todo.</w:t>
      </w:r>
    </w:p>
    <w:p w14:paraId="551359B0" w14:textId="77777777" w:rsidR="00CC2550" w:rsidRPr="002233D4" w:rsidRDefault="00CC2550" w:rsidP="00CC2550">
      <w:pPr>
        <w:tabs>
          <w:tab w:val="left" w:pos="540"/>
        </w:tabs>
        <w:spacing w:line="240" w:lineRule="atLeast"/>
        <w:jc w:val="both"/>
        <w:rPr>
          <w:rFonts w:ascii="Arial" w:hAnsi="Arial" w:cs="Arial"/>
          <w:sz w:val="18"/>
          <w:szCs w:val="18"/>
        </w:rPr>
      </w:pPr>
    </w:p>
    <w:p w14:paraId="62648C78" w14:textId="77777777" w:rsidR="00CC2550" w:rsidRPr="002233D4" w:rsidRDefault="00CC2550" w:rsidP="00CC2550">
      <w:pPr>
        <w:pStyle w:val="Textoindependiente2"/>
        <w:rPr>
          <w:rFonts w:cs="Arial"/>
          <w:szCs w:val="18"/>
          <w:lang w:val="es-ES_tradnl"/>
        </w:rPr>
      </w:pPr>
      <w:r w:rsidRPr="002233D4">
        <w:rPr>
          <w:rFonts w:cs="Arial"/>
          <w:szCs w:val="18"/>
          <w:lang w:val="es-ES_tradnl"/>
        </w:rPr>
        <w:t>Esta etapa debe cumplir con los siguientes requisitos mínimos:</w:t>
      </w:r>
    </w:p>
    <w:p w14:paraId="466DD5EC" w14:textId="77777777" w:rsidR="00CC2550" w:rsidRPr="002233D4" w:rsidRDefault="00CC2550" w:rsidP="00CC2550">
      <w:pPr>
        <w:pStyle w:val="Textoindependiente2"/>
        <w:rPr>
          <w:rFonts w:cs="Arial"/>
          <w:szCs w:val="18"/>
          <w:lang w:val="es-ES_tradnl"/>
        </w:rPr>
      </w:pPr>
    </w:p>
    <w:p w14:paraId="7EB4A203" w14:textId="77777777" w:rsidR="00CC2550" w:rsidRPr="00395C1B" w:rsidRDefault="00CC2550" w:rsidP="00D54E3E">
      <w:pPr>
        <w:pStyle w:val="Textoindependiente2"/>
        <w:numPr>
          <w:ilvl w:val="0"/>
          <w:numId w:val="3"/>
        </w:numPr>
        <w:rPr>
          <w:rFonts w:cs="Arial"/>
          <w:szCs w:val="18"/>
          <w:lang w:val="es-ES_tradnl"/>
        </w:rPr>
      </w:pPr>
      <w:r w:rsidRPr="002233D4">
        <w:rPr>
          <w:rFonts w:cs="Arial"/>
          <w:szCs w:val="18"/>
        </w:rPr>
        <w:t>Estar aprobadas y ser de conocimiento verificable de la Junta Directiva de la entidad, o quien haga sus veces.</w:t>
      </w:r>
    </w:p>
    <w:p w14:paraId="72B840C7" w14:textId="77777777" w:rsidR="00395C1B" w:rsidRPr="002233D4" w:rsidRDefault="00395C1B" w:rsidP="00395C1B">
      <w:pPr>
        <w:pStyle w:val="Textoindependiente"/>
        <w:widowControl w:val="0"/>
        <w:numPr>
          <w:ilvl w:val="0"/>
          <w:numId w:val="3"/>
        </w:numPr>
        <w:spacing w:after="100" w:afterAutospacing="1"/>
        <w:rPr>
          <w:sz w:val="18"/>
        </w:rPr>
        <w:sectPr w:rsidR="00395C1B" w:rsidRPr="002233D4" w:rsidSect="00486514">
          <w:headerReference w:type="default" r:id="rId28"/>
          <w:footerReference w:type="default" r:id="rId29"/>
          <w:headerReference w:type="first" r:id="rId30"/>
          <w:footerReference w:type="first" r:id="rId31"/>
          <w:pgSz w:w="12242" w:h="18722" w:code="14"/>
          <w:pgMar w:top="1412" w:right="1412" w:bottom="1412" w:left="1412" w:header="851" w:footer="454" w:gutter="0"/>
          <w:paperSrc w:first="2" w:other="2"/>
          <w:pgNumType w:start="4"/>
          <w:cols w:space="708"/>
          <w:titlePg/>
          <w:docGrid w:linePitch="360"/>
        </w:sectPr>
      </w:pPr>
    </w:p>
    <w:p w14:paraId="2199FD84" w14:textId="77777777" w:rsidR="00395C1B" w:rsidRPr="002233D4" w:rsidRDefault="00395C1B" w:rsidP="00395C1B">
      <w:pPr>
        <w:pStyle w:val="Textoindependiente2"/>
        <w:rPr>
          <w:rFonts w:cs="Arial"/>
          <w:szCs w:val="18"/>
          <w:lang w:val="es-ES_tradnl"/>
        </w:rPr>
      </w:pPr>
    </w:p>
    <w:p w14:paraId="2B9F8819" w14:textId="77777777" w:rsidR="00CC2550" w:rsidRDefault="00CC2550" w:rsidP="00D54E3E">
      <w:pPr>
        <w:pStyle w:val="Textoindependiente2"/>
        <w:numPr>
          <w:ilvl w:val="0"/>
          <w:numId w:val="3"/>
        </w:numPr>
        <w:rPr>
          <w:rFonts w:cs="Arial"/>
          <w:szCs w:val="18"/>
          <w:lang w:val="es-ES_tradnl"/>
        </w:rPr>
      </w:pPr>
      <w:r w:rsidRPr="002233D4">
        <w:rPr>
          <w:rFonts w:cs="Arial"/>
          <w:szCs w:val="18"/>
          <w:lang w:val="es-ES_tradnl"/>
        </w:rPr>
        <w:t xml:space="preserve">Guardar proporción con el volumen y la complejidad de las operaciones desarrolladas por la entidad, de forma tal que haya correspondencia entre el modelo y las operaciones desarrolladas. </w:t>
      </w:r>
    </w:p>
    <w:p w14:paraId="2234E413" w14:textId="77777777" w:rsidR="00CC2550" w:rsidRPr="002233D4" w:rsidRDefault="00CC2550" w:rsidP="00D54E3E">
      <w:pPr>
        <w:pStyle w:val="Textoindependiente2"/>
        <w:numPr>
          <w:ilvl w:val="0"/>
          <w:numId w:val="3"/>
        </w:numPr>
        <w:rPr>
          <w:rFonts w:cs="Arial"/>
          <w:szCs w:val="18"/>
          <w:lang w:val="es-ES_tradnl"/>
        </w:rPr>
      </w:pPr>
      <w:r w:rsidRPr="002233D4">
        <w:rPr>
          <w:rFonts w:cs="Arial"/>
          <w:szCs w:val="18"/>
          <w:lang w:val="es-ES_tradnl"/>
        </w:rPr>
        <w:t xml:space="preserve">Permitir el control de los niveles de exposición al riesgo de liquidez y de los límites generales y especiales impuestos por la entidad, de acuerdo con la estructura, características y operaciones autorizadas.  </w:t>
      </w:r>
    </w:p>
    <w:p w14:paraId="621E8132" w14:textId="77777777" w:rsidR="00CC2550" w:rsidRPr="002233D4" w:rsidRDefault="00CC2550" w:rsidP="00D54E3E">
      <w:pPr>
        <w:pStyle w:val="Textoindependiente2"/>
        <w:numPr>
          <w:ilvl w:val="0"/>
          <w:numId w:val="3"/>
        </w:numPr>
        <w:rPr>
          <w:rFonts w:cs="Arial"/>
          <w:szCs w:val="18"/>
          <w:lang w:val="es-ES_tradnl"/>
        </w:rPr>
      </w:pPr>
      <w:r w:rsidRPr="002233D4">
        <w:rPr>
          <w:rFonts w:cs="Arial"/>
          <w:szCs w:val="18"/>
          <w:lang w:val="es-ES_tradnl"/>
        </w:rPr>
        <w:t>Permitir la medición del riesgo de liquidez, y su incorporación dentro de la estructura de control y gestión de riesgos de la entidad.</w:t>
      </w:r>
    </w:p>
    <w:p w14:paraId="474F4244" w14:textId="77777777" w:rsidR="00CC2550" w:rsidRPr="002233D4" w:rsidRDefault="00CC2550" w:rsidP="00D54E3E">
      <w:pPr>
        <w:pStyle w:val="Textoindependiente2"/>
        <w:numPr>
          <w:ilvl w:val="0"/>
          <w:numId w:val="3"/>
        </w:numPr>
        <w:rPr>
          <w:rFonts w:cs="Arial"/>
          <w:szCs w:val="18"/>
          <w:lang w:val="es-ES_tradnl"/>
        </w:rPr>
      </w:pPr>
      <w:r w:rsidRPr="002233D4">
        <w:rPr>
          <w:rFonts w:cs="Arial"/>
          <w:szCs w:val="18"/>
          <w:lang w:val="es-ES_tradnl"/>
        </w:rPr>
        <w:t>Considerar la estrategia de la entidad, las prácticas generales de sus transacciones y las condiciones del mercado.</w:t>
      </w:r>
    </w:p>
    <w:p w14:paraId="46AE0225" w14:textId="77777777" w:rsidR="00CC2550" w:rsidRPr="002233D4" w:rsidRDefault="00CC2550" w:rsidP="00CC2550">
      <w:pPr>
        <w:pStyle w:val="Textoindependiente2"/>
        <w:rPr>
          <w:rFonts w:cs="Arial"/>
          <w:b/>
          <w:szCs w:val="18"/>
          <w:lang w:val="es-ES_tradnl" w:eastAsia="es-ES"/>
        </w:rPr>
      </w:pPr>
    </w:p>
    <w:p w14:paraId="1C951E4F" w14:textId="7391E521" w:rsidR="004D3D15" w:rsidRDefault="00CC2550" w:rsidP="00F52740">
      <w:pPr>
        <w:pStyle w:val="Textoindependiente2"/>
        <w:rPr>
          <w:rFonts w:cs="Arial"/>
          <w:szCs w:val="18"/>
          <w:lang w:val="es-ES_tradnl"/>
        </w:rPr>
      </w:pPr>
      <w:r w:rsidRPr="002233D4">
        <w:rPr>
          <w:rFonts w:cs="Arial"/>
          <w:b/>
          <w:szCs w:val="18"/>
          <w:lang w:val="es-ES_tradnl" w:eastAsia="es-ES"/>
        </w:rPr>
        <w:t>5.4 Monitoreo</w:t>
      </w:r>
    </w:p>
    <w:p w14:paraId="05F30808" w14:textId="77777777" w:rsidR="004D3D15" w:rsidRPr="004D3D15" w:rsidRDefault="004D3D15" w:rsidP="004D3D15">
      <w:pPr>
        <w:rPr>
          <w:lang w:val="es-ES_tradnl" w:eastAsia="es-CO"/>
        </w:rPr>
      </w:pPr>
    </w:p>
    <w:p w14:paraId="10F10CAC" w14:textId="77777777" w:rsidR="004D3D15" w:rsidRPr="004D3D15" w:rsidRDefault="004D3D15" w:rsidP="004D3D15">
      <w:pPr>
        <w:rPr>
          <w:lang w:val="es-ES_tradnl" w:eastAsia="es-CO"/>
        </w:rPr>
      </w:pPr>
    </w:p>
    <w:p w14:paraId="66488424" w14:textId="77777777" w:rsidR="004D3D15" w:rsidRPr="004D3D15" w:rsidRDefault="004D3D15" w:rsidP="004D3D15">
      <w:pPr>
        <w:rPr>
          <w:lang w:val="es-ES_tradnl" w:eastAsia="es-CO"/>
        </w:rPr>
      </w:pPr>
    </w:p>
    <w:p w14:paraId="7B036C0E" w14:textId="77777777" w:rsidR="004D3D15" w:rsidRPr="004D3D15" w:rsidRDefault="004D3D15" w:rsidP="004D3D15">
      <w:pPr>
        <w:rPr>
          <w:lang w:val="es-ES_tradnl" w:eastAsia="es-CO"/>
        </w:rPr>
      </w:pPr>
    </w:p>
    <w:p w14:paraId="5EC9BD36" w14:textId="77777777" w:rsidR="004D3D15" w:rsidRPr="004D3D15" w:rsidRDefault="004D3D15" w:rsidP="004D3D15">
      <w:pPr>
        <w:rPr>
          <w:lang w:val="es-ES_tradnl" w:eastAsia="es-CO"/>
        </w:rPr>
      </w:pPr>
    </w:p>
    <w:p w14:paraId="725C3366" w14:textId="77777777" w:rsidR="004D3D15" w:rsidRPr="004D3D15" w:rsidRDefault="004D3D15" w:rsidP="004D3D15">
      <w:pPr>
        <w:rPr>
          <w:lang w:val="es-ES_tradnl" w:eastAsia="es-CO"/>
        </w:rPr>
      </w:pPr>
    </w:p>
    <w:p w14:paraId="0F4710D9" w14:textId="77777777" w:rsidR="004D3D15" w:rsidRPr="004D3D15" w:rsidRDefault="004D3D15" w:rsidP="004D3D15">
      <w:pPr>
        <w:rPr>
          <w:lang w:val="es-ES_tradnl" w:eastAsia="es-CO"/>
        </w:rPr>
      </w:pPr>
    </w:p>
    <w:p w14:paraId="18CA5558" w14:textId="77777777" w:rsidR="004D3D15" w:rsidRPr="004D3D15" w:rsidRDefault="004D3D15" w:rsidP="004D3D15">
      <w:pPr>
        <w:rPr>
          <w:lang w:val="es-ES_tradnl" w:eastAsia="es-CO"/>
        </w:rPr>
      </w:pPr>
    </w:p>
    <w:p w14:paraId="10EB9786" w14:textId="77777777" w:rsidR="004D3D15" w:rsidRPr="004D3D15" w:rsidRDefault="004D3D15" w:rsidP="004D3D15">
      <w:pPr>
        <w:rPr>
          <w:lang w:val="es-ES_tradnl" w:eastAsia="es-CO"/>
        </w:rPr>
      </w:pPr>
    </w:p>
    <w:p w14:paraId="36B24997" w14:textId="77777777" w:rsidR="004D3D15" w:rsidRPr="004D3D15" w:rsidRDefault="004D3D15" w:rsidP="004D3D15">
      <w:pPr>
        <w:rPr>
          <w:lang w:val="es-ES_tradnl" w:eastAsia="es-CO"/>
        </w:rPr>
      </w:pPr>
    </w:p>
    <w:p w14:paraId="408369D1" w14:textId="77777777" w:rsidR="004D3D15" w:rsidRPr="004D3D15" w:rsidRDefault="004D3D15" w:rsidP="004D3D15">
      <w:pPr>
        <w:rPr>
          <w:lang w:val="es-ES_tradnl" w:eastAsia="es-CO"/>
        </w:rPr>
      </w:pPr>
    </w:p>
    <w:p w14:paraId="09111A7C" w14:textId="77777777" w:rsidR="004D3D15" w:rsidRPr="004D3D15" w:rsidRDefault="004D3D15" w:rsidP="004D3D15">
      <w:pPr>
        <w:rPr>
          <w:lang w:val="es-ES_tradnl" w:eastAsia="es-CO"/>
        </w:rPr>
      </w:pPr>
    </w:p>
    <w:p w14:paraId="4048E748" w14:textId="77777777" w:rsidR="004D3D15" w:rsidRPr="004D3D15" w:rsidRDefault="004D3D15" w:rsidP="004D3D15">
      <w:pPr>
        <w:rPr>
          <w:lang w:val="es-ES_tradnl" w:eastAsia="es-CO"/>
        </w:rPr>
      </w:pPr>
    </w:p>
    <w:p w14:paraId="3F101FE5" w14:textId="47DD87CD" w:rsidR="004D3D15" w:rsidRDefault="004D3D15" w:rsidP="004D3D15">
      <w:pPr>
        <w:rPr>
          <w:lang w:val="es-ES_tradnl" w:eastAsia="es-CO"/>
        </w:rPr>
      </w:pPr>
    </w:p>
    <w:p w14:paraId="18AFAABA" w14:textId="26356096" w:rsidR="006E5C94" w:rsidRPr="004D3D15" w:rsidRDefault="004D3D15" w:rsidP="004D3D15">
      <w:pPr>
        <w:tabs>
          <w:tab w:val="left" w:pos="8308"/>
        </w:tabs>
        <w:rPr>
          <w:lang w:val="es-ES_tradnl" w:eastAsia="es-CO"/>
        </w:rPr>
      </w:pPr>
      <w:bookmarkStart w:id="4" w:name="_GoBack"/>
      <w:bookmarkEnd w:id="4"/>
      <w:r>
        <w:rPr>
          <w:lang w:val="es-ES_tradnl" w:eastAsia="es-CO"/>
        </w:rPr>
        <w:tab/>
      </w:r>
    </w:p>
    <w:sectPr w:rsidR="006E5C94" w:rsidRPr="004D3D15" w:rsidSect="009138A3">
      <w:headerReference w:type="default" r:id="rId32"/>
      <w:footerReference w:type="default" r:id="rId33"/>
      <w:headerReference w:type="first" r:id="rId34"/>
      <w:footerReference w:type="first" r:id="rId35"/>
      <w:pgSz w:w="12242" w:h="18722" w:code="14"/>
      <w:pgMar w:top="1412" w:right="1412" w:bottom="1412" w:left="1412" w:header="851" w:footer="454" w:gutter="0"/>
      <w:paperSrc w:first="2" w:other="2"/>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2D65C" w14:textId="77777777" w:rsidR="0075210D" w:rsidRDefault="0075210D">
      <w:r>
        <w:separator/>
      </w:r>
    </w:p>
  </w:endnote>
  <w:endnote w:type="continuationSeparator" w:id="0">
    <w:p w14:paraId="40DF7331" w14:textId="77777777" w:rsidR="0075210D" w:rsidRDefault="00752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255E9" w14:textId="77777777" w:rsidR="00146892" w:rsidRDefault="00146892">
    <w:pPr>
      <w:pStyle w:val="Piedepgina"/>
      <w:tabs>
        <w:tab w:val="clear" w:pos="8504"/>
        <w:tab w:val="right" w:pos="9600"/>
      </w:tabs>
      <w:rPr>
        <w:rFonts w:ascii="Arial" w:hAnsi="Arial"/>
        <w:b/>
        <w:sz w:val="18"/>
        <w:lang w:val="pt-BR"/>
      </w:rPr>
    </w:pPr>
    <w:r>
      <w:rPr>
        <w:rFonts w:ascii="Arial" w:hAnsi="Arial"/>
        <w:b/>
        <w:sz w:val="18"/>
        <w:lang w:val="pt-BR"/>
      </w:rPr>
      <w:t xml:space="preserve">Circular Externa </w:t>
    </w:r>
    <w:proofErr w:type="gramStart"/>
    <w:r w:rsidR="005B5137">
      <w:rPr>
        <w:rFonts w:ascii="Arial" w:hAnsi="Arial"/>
        <w:b/>
        <w:sz w:val="18"/>
        <w:lang w:val="pt-BR"/>
      </w:rPr>
      <w:t>042</w:t>
    </w:r>
    <w:r>
      <w:rPr>
        <w:rFonts w:ascii="Arial" w:hAnsi="Arial"/>
        <w:b/>
        <w:sz w:val="18"/>
        <w:lang w:val="pt-BR"/>
      </w:rPr>
      <w:t xml:space="preserve">  de</w:t>
    </w:r>
    <w:proofErr w:type="gramEnd"/>
    <w:r>
      <w:rPr>
        <w:rFonts w:ascii="Arial" w:hAnsi="Arial"/>
        <w:b/>
        <w:sz w:val="18"/>
        <w:lang w:val="pt-BR"/>
      </w:rPr>
      <w:t xml:space="preserve"> 2009                                                                                                      </w:t>
    </w:r>
    <w:r>
      <w:rPr>
        <w:rFonts w:ascii="Arial" w:hAnsi="Arial"/>
        <w:b/>
        <w:sz w:val="18"/>
      </w:rPr>
      <w:t>Noviembre</w:t>
    </w:r>
    <w:r>
      <w:rPr>
        <w:rFonts w:ascii="Arial" w:hAnsi="Arial"/>
        <w:b/>
        <w:sz w:val="18"/>
        <w:lang w:val="pt-BR"/>
      </w:rPr>
      <w:t xml:space="preserve"> de 2009</w:t>
    </w:r>
  </w:p>
  <w:p w14:paraId="7966AC26" w14:textId="77777777" w:rsidR="00146892" w:rsidRDefault="00146892">
    <w:pPr>
      <w:pStyle w:val="Piedepgina"/>
      <w:tabs>
        <w:tab w:val="clear" w:pos="8504"/>
        <w:tab w:val="right" w:pos="9600"/>
      </w:tabs>
      <w:rPr>
        <w:lang w:val="pt-BR"/>
      </w:rPr>
    </w:pPr>
    <w:r>
      <w:rPr>
        <w:lang w:val="pt-BR"/>
      </w:rPr>
      <w:t xml:space="preserve">                                                                                                    </w:t>
    </w:r>
  </w:p>
  <w:p w14:paraId="72E72C35" w14:textId="77777777" w:rsidR="00146892" w:rsidRDefault="00146892">
    <w:pPr>
      <w:pStyle w:val="Piedepgina"/>
      <w:rPr>
        <w:lang w:val="pt-BR"/>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47FE8" w14:textId="030C83C8" w:rsidR="00395C1B" w:rsidRDefault="00395C1B" w:rsidP="00E65960">
    <w:pPr>
      <w:pStyle w:val="Piedepgina"/>
      <w:tabs>
        <w:tab w:val="clear" w:pos="8504"/>
        <w:tab w:val="right" w:pos="9600"/>
      </w:tabs>
      <w:rPr>
        <w:rFonts w:ascii="Arial" w:hAnsi="Arial"/>
        <w:b/>
        <w:sz w:val="18"/>
        <w:lang w:val="pt-BR"/>
      </w:rPr>
    </w:pPr>
    <w:r>
      <w:rPr>
        <w:rFonts w:ascii="Arial" w:hAnsi="Arial"/>
        <w:b/>
        <w:sz w:val="18"/>
        <w:lang w:val="pt-BR"/>
      </w:rPr>
      <w:t xml:space="preserve">Circular Externa </w:t>
    </w:r>
    <w:r w:rsidR="00E653EC">
      <w:rPr>
        <w:rFonts w:ascii="Arial" w:hAnsi="Arial"/>
        <w:b/>
        <w:sz w:val="18"/>
        <w:lang w:val="pt-BR"/>
      </w:rPr>
      <w:t>019</w:t>
    </w:r>
    <w:r>
      <w:rPr>
        <w:rFonts w:ascii="Arial" w:hAnsi="Arial"/>
        <w:b/>
        <w:sz w:val="18"/>
        <w:lang w:val="pt-BR"/>
      </w:rPr>
      <w:t xml:space="preserve"> </w:t>
    </w:r>
    <w:proofErr w:type="gramStart"/>
    <w:r>
      <w:rPr>
        <w:rFonts w:ascii="Arial" w:hAnsi="Arial"/>
        <w:b/>
        <w:sz w:val="18"/>
        <w:lang w:val="pt-BR"/>
      </w:rPr>
      <w:t>de  2019</w:t>
    </w:r>
    <w:proofErr w:type="gramEnd"/>
    <w:r>
      <w:rPr>
        <w:rFonts w:ascii="Arial" w:hAnsi="Arial"/>
        <w:b/>
        <w:sz w:val="18"/>
        <w:lang w:val="pt-BR"/>
      </w:rPr>
      <w:t xml:space="preserve">                                                                                                       </w:t>
    </w:r>
    <w:proofErr w:type="spellStart"/>
    <w:r>
      <w:rPr>
        <w:rFonts w:ascii="Arial" w:hAnsi="Arial"/>
        <w:b/>
        <w:sz w:val="18"/>
        <w:lang w:val="pt-BR"/>
      </w:rPr>
      <w:t>J</w:t>
    </w:r>
    <w:r w:rsidR="009E6F2D">
      <w:rPr>
        <w:rFonts w:ascii="Arial" w:hAnsi="Arial"/>
        <w:b/>
        <w:sz w:val="18"/>
        <w:lang w:val="pt-BR"/>
      </w:rPr>
      <w:t>ul</w:t>
    </w:r>
    <w:r>
      <w:rPr>
        <w:rFonts w:ascii="Arial" w:hAnsi="Arial"/>
        <w:b/>
        <w:sz w:val="18"/>
        <w:lang w:val="pt-BR"/>
      </w:rPr>
      <w:t>io</w:t>
    </w:r>
    <w:proofErr w:type="spellEnd"/>
    <w:r>
      <w:rPr>
        <w:rFonts w:ascii="Arial" w:hAnsi="Arial"/>
        <w:b/>
        <w:sz w:val="18"/>
        <w:lang w:val="pt-BR"/>
      </w:rPr>
      <w:t xml:space="preserve"> de 2019</w:t>
    </w:r>
  </w:p>
  <w:p w14:paraId="138BE1F1" w14:textId="77777777" w:rsidR="00395C1B" w:rsidRPr="00B739AB" w:rsidRDefault="00395C1B">
    <w:pPr>
      <w:pStyle w:val="Piedepgin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402B9" w14:textId="77777777" w:rsidR="00395C1B" w:rsidRDefault="00395C1B" w:rsidP="00CC2550">
    <w:pPr>
      <w:pStyle w:val="Piedepgina"/>
      <w:tabs>
        <w:tab w:val="clear" w:pos="8504"/>
        <w:tab w:val="right" w:pos="9600"/>
      </w:tabs>
      <w:rPr>
        <w:rFonts w:ascii="Arial" w:hAnsi="Arial"/>
        <w:b/>
        <w:sz w:val="18"/>
        <w:lang w:val="pt-BR"/>
      </w:rPr>
    </w:pPr>
    <w:r>
      <w:rPr>
        <w:rFonts w:ascii="Arial" w:hAnsi="Arial"/>
        <w:b/>
        <w:sz w:val="18"/>
        <w:lang w:val="pt-BR"/>
      </w:rPr>
      <w:t xml:space="preserve">Circular Externa         de 2019                                                                                                     </w:t>
    </w:r>
    <w:proofErr w:type="spellStart"/>
    <w:r>
      <w:rPr>
        <w:rFonts w:ascii="Arial" w:hAnsi="Arial"/>
        <w:b/>
        <w:sz w:val="18"/>
        <w:lang w:val="pt-BR"/>
      </w:rPr>
      <w:t>Junio</w:t>
    </w:r>
    <w:proofErr w:type="spellEnd"/>
    <w:r>
      <w:rPr>
        <w:rFonts w:ascii="Arial" w:hAnsi="Arial"/>
        <w:b/>
        <w:sz w:val="18"/>
        <w:lang w:val="pt-BR"/>
      </w:rPr>
      <w:t xml:space="preserve"> </w:t>
    </w:r>
    <w:r>
      <w:rPr>
        <w:rFonts w:ascii="Arial" w:hAnsi="Arial"/>
        <w:b/>
        <w:sz w:val="18"/>
      </w:rPr>
      <w:t>de 2019</w:t>
    </w:r>
  </w:p>
  <w:p w14:paraId="21C92ACE" w14:textId="77777777" w:rsidR="00395C1B" w:rsidRDefault="00395C1B">
    <w:pPr>
      <w:pStyle w:val="Piedepgina"/>
      <w:tabs>
        <w:tab w:val="clear" w:pos="8504"/>
        <w:tab w:val="right" w:pos="9600"/>
      </w:tabs>
      <w:rPr>
        <w:lang w:val="pt-BR"/>
      </w:rPr>
    </w:pPr>
    <w:r>
      <w:rPr>
        <w:lang w:val="pt-BR"/>
      </w:rPr>
      <w:t xml:space="preserve">                                                                                                    </w:t>
    </w:r>
  </w:p>
  <w:p w14:paraId="3D7BF222" w14:textId="77777777" w:rsidR="00395C1B" w:rsidRDefault="00395C1B">
    <w:pPr>
      <w:pStyle w:val="Piedepgina"/>
      <w:rPr>
        <w:lang w:val="pt-B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33067" w14:textId="27E04D2A" w:rsidR="00395C1B" w:rsidRDefault="00395C1B" w:rsidP="00E65960">
    <w:pPr>
      <w:pStyle w:val="Piedepgina"/>
      <w:tabs>
        <w:tab w:val="clear" w:pos="8504"/>
        <w:tab w:val="right" w:pos="9600"/>
      </w:tabs>
      <w:rPr>
        <w:rFonts w:ascii="Arial" w:hAnsi="Arial"/>
        <w:b/>
        <w:sz w:val="18"/>
        <w:lang w:val="pt-BR"/>
      </w:rPr>
    </w:pPr>
    <w:r>
      <w:rPr>
        <w:rFonts w:ascii="Arial" w:hAnsi="Arial"/>
        <w:b/>
        <w:sz w:val="18"/>
        <w:lang w:val="pt-BR"/>
      </w:rPr>
      <w:t xml:space="preserve">Circular </w:t>
    </w:r>
    <w:proofErr w:type="gramStart"/>
    <w:r>
      <w:rPr>
        <w:rFonts w:ascii="Arial" w:hAnsi="Arial"/>
        <w:b/>
        <w:sz w:val="18"/>
        <w:lang w:val="pt-BR"/>
      </w:rPr>
      <w:t xml:space="preserve">Externa  </w:t>
    </w:r>
    <w:r w:rsidR="00E653EC">
      <w:rPr>
        <w:rFonts w:ascii="Arial" w:hAnsi="Arial"/>
        <w:b/>
        <w:sz w:val="18"/>
        <w:lang w:val="pt-BR"/>
      </w:rPr>
      <w:t>019</w:t>
    </w:r>
    <w:proofErr w:type="gramEnd"/>
    <w:r>
      <w:rPr>
        <w:rFonts w:ascii="Arial" w:hAnsi="Arial"/>
        <w:b/>
        <w:sz w:val="18"/>
        <w:lang w:val="pt-BR"/>
      </w:rPr>
      <w:t xml:space="preserve">  de  2019                                                                                                       </w:t>
    </w:r>
    <w:proofErr w:type="spellStart"/>
    <w:r>
      <w:rPr>
        <w:rFonts w:ascii="Arial" w:hAnsi="Arial"/>
        <w:b/>
        <w:sz w:val="18"/>
        <w:lang w:val="pt-BR"/>
      </w:rPr>
      <w:t>Ju</w:t>
    </w:r>
    <w:r w:rsidR="009E6F2D">
      <w:rPr>
        <w:rFonts w:ascii="Arial" w:hAnsi="Arial"/>
        <w:b/>
        <w:sz w:val="18"/>
        <w:lang w:val="pt-BR"/>
      </w:rPr>
      <w:t>l</w:t>
    </w:r>
    <w:r>
      <w:rPr>
        <w:rFonts w:ascii="Arial" w:hAnsi="Arial"/>
        <w:b/>
        <w:sz w:val="18"/>
        <w:lang w:val="pt-BR"/>
      </w:rPr>
      <w:t>io</w:t>
    </w:r>
    <w:proofErr w:type="spellEnd"/>
    <w:r>
      <w:rPr>
        <w:rFonts w:ascii="Arial" w:hAnsi="Arial"/>
        <w:b/>
        <w:sz w:val="18"/>
        <w:lang w:val="pt-BR"/>
      </w:rPr>
      <w:t xml:space="preserve"> de 2019</w:t>
    </w:r>
  </w:p>
  <w:p w14:paraId="4C14C47F" w14:textId="77777777" w:rsidR="00395C1B" w:rsidRPr="00B739AB" w:rsidRDefault="00395C1B">
    <w:pPr>
      <w:pStyle w:val="Piedepgin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E42DF" w14:textId="77777777" w:rsidR="00846C06" w:rsidRDefault="00846C06">
    <w:pPr>
      <w:pStyle w:val="Piedepgina"/>
      <w:tabs>
        <w:tab w:val="clear" w:pos="8504"/>
        <w:tab w:val="right" w:pos="9600"/>
      </w:tabs>
      <w:rPr>
        <w:rFonts w:ascii="Arial" w:hAnsi="Arial"/>
        <w:b/>
        <w:sz w:val="18"/>
        <w:lang w:val="pt-BR"/>
      </w:rPr>
    </w:pPr>
    <w:r>
      <w:rPr>
        <w:rFonts w:ascii="Arial" w:hAnsi="Arial"/>
        <w:b/>
        <w:sz w:val="18"/>
        <w:lang w:val="pt-BR"/>
      </w:rPr>
      <w:t xml:space="preserve">Circular Externa </w:t>
    </w:r>
    <w:r w:rsidR="000D4DBF">
      <w:rPr>
        <w:rFonts w:ascii="Arial" w:hAnsi="Arial"/>
        <w:b/>
        <w:sz w:val="18"/>
        <w:lang w:val="pt-BR"/>
      </w:rPr>
      <w:t xml:space="preserve">    </w:t>
    </w:r>
    <w:r>
      <w:rPr>
        <w:rFonts w:ascii="Arial" w:hAnsi="Arial"/>
        <w:b/>
        <w:sz w:val="18"/>
        <w:lang w:val="pt-BR"/>
      </w:rPr>
      <w:t xml:space="preserve">  de 20</w:t>
    </w:r>
    <w:r w:rsidR="000D4DBF">
      <w:rPr>
        <w:rFonts w:ascii="Arial" w:hAnsi="Arial"/>
        <w:b/>
        <w:sz w:val="18"/>
        <w:lang w:val="pt-BR"/>
      </w:rPr>
      <w:t>1</w:t>
    </w:r>
    <w:r>
      <w:rPr>
        <w:rFonts w:ascii="Arial" w:hAnsi="Arial"/>
        <w:b/>
        <w:sz w:val="18"/>
        <w:lang w:val="pt-BR"/>
      </w:rPr>
      <w:t xml:space="preserve">9                                                                                                      </w:t>
    </w:r>
    <w:r w:rsidR="001020A3">
      <w:rPr>
        <w:rFonts w:ascii="Arial" w:hAnsi="Arial"/>
        <w:b/>
        <w:sz w:val="18"/>
      </w:rPr>
      <w:t xml:space="preserve">Junio </w:t>
    </w:r>
    <w:r>
      <w:rPr>
        <w:rFonts w:ascii="Arial" w:hAnsi="Arial"/>
        <w:b/>
        <w:sz w:val="18"/>
        <w:lang w:val="pt-BR"/>
      </w:rPr>
      <w:t>de 20</w:t>
    </w:r>
    <w:r w:rsidR="000D4DBF">
      <w:rPr>
        <w:rFonts w:ascii="Arial" w:hAnsi="Arial"/>
        <w:b/>
        <w:sz w:val="18"/>
        <w:lang w:val="pt-BR"/>
      </w:rPr>
      <w:t>1</w:t>
    </w:r>
    <w:r>
      <w:rPr>
        <w:rFonts w:ascii="Arial" w:hAnsi="Arial"/>
        <w:b/>
        <w:sz w:val="18"/>
        <w:lang w:val="pt-BR"/>
      </w:rPr>
      <w:t>9</w:t>
    </w:r>
  </w:p>
  <w:p w14:paraId="69486523" w14:textId="77777777" w:rsidR="00846C06" w:rsidRDefault="00846C06">
    <w:pPr>
      <w:pStyle w:val="Piedepgina"/>
      <w:tabs>
        <w:tab w:val="clear" w:pos="8504"/>
        <w:tab w:val="right" w:pos="9600"/>
      </w:tabs>
      <w:rPr>
        <w:lang w:val="pt-BR"/>
      </w:rPr>
    </w:pPr>
    <w:r>
      <w:rPr>
        <w:lang w:val="pt-BR"/>
      </w:rPr>
      <w:t xml:space="preserve">                                                                                                    </w:t>
    </w:r>
  </w:p>
  <w:p w14:paraId="195CE0C9" w14:textId="77777777" w:rsidR="00846C06" w:rsidRDefault="00846C06">
    <w:pPr>
      <w:pStyle w:val="Piedepgina"/>
      <w:rPr>
        <w:lang w:val="pt-B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CC27F" w14:textId="09A3E60A" w:rsidR="009138A3" w:rsidRDefault="009138A3" w:rsidP="00E65960">
    <w:pPr>
      <w:pStyle w:val="Piedepgina"/>
      <w:tabs>
        <w:tab w:val="clear" w:pos="8504"/>
        <w:tab w:val="right" w:pos="9600"/>
      </w:tabs>
      <w:rPr>
        <w:rFonts w:ascii="Arial" w:hAnsi="Arial"/>
        <w:b/>
        <w:sz w:val="18"/>
        <w:lang w:val="pt-BR"/>
      </w:rPr>
    </w:pPr>
    <w:r>
      <w:rPr>
        <w:rFonts w:ascii="Arial" w:hAnsi="Arial"/>
        <w:b/>
        <w:sz w:val="18"/>
        <w:lang w:val="pt-BR"/>
      </w:rPr>
      <w:t xml:space="preserve">Circular </w:t>
    </w:r>
    <w:proofErr w:type="gramStart"/>
    <w:r>
      <w:rPr>
        <w:rFonts w:ascii="Arial" w:hAnsi="Arial"/>
        <w:b/>
        <w:sz w:val="18"/>
        <w:lang w:val="pt-BR"/>
      </w:rPr>
      <w:t xml:space="preserve">Externa </w:t>
    </w:r>
    <w:r w:rsidR="006C38C4">
      <w:rPr>
        <w:rFonts w:ascii="Arial" w:hAnsi="Arial"/>
        <w:b/>
        <w:sz w:val="18"/>
        <w:lang w:val="pt-BR"/>
      </w:rPr>
      <w:t xml:space="preserve"> </w:t>
    </w:r>
    <w:r w:rsidR="00E653EC">
      <w:rPr>
        <w:rFonts w:ascii="Arial" w:hAnsi="Arial"/>
        <w:b/>
        <w:sz w:val="18"/>
        <w:lang w:val="pt-BR"/>
      </w:rPr>
      <w:t>019</w:t>
    </w:r>
    <w:proofErr w:type="gramEnd"/>
    <w:r w:rsidR="006C38C4">
      <w:rPr>
        <w:rFonts w:ascii="Arial" w:hAnsi="Arial"/>
        <w:b/>
        <w:sz w:val="18"/>
        <w:lang w:val="pt-BR"/>
      </w:rPr>
      <w:t xml:space="preserve"> </w:t>
    </w:r>
    <w:r>
      <w:rPr>
        <w:rFonts w:ascii="Arial" w:hAnsi="Arial"/>
        <w:b/>
        <w:sz w:val="18"/>
        <w:lang w:val="pt-BR"/>
      </w:rPr>
      <w:t>de  20</w:t>
    </w:r>
    <w:r w:rsidR="000D4DBF">
      <w:rPr>
        <w:rFonts w:ascii="Arial" w:hAnsi="Arial"/>
        <w:b/>
        <w:sz w:val="18"/>
        <w:lang w:val="pt-BR"/>
      </w:rPr>
      <w:t>1</w:t>
    </w:r>
    <w:r>
      <w:rPr>
        <w:rFonts w:ascii="Arial" w:hAnsi="Arial"/>
        <w:b/>
        <w:sz w:val="18"/>
        <w:lang w:val="pt-BR"/>
      </w:rPr>
      <w:t xml:space="preserve">9                                                                      </w:t>
    </w:r>
    <w:r w:rsidR="006C38C4">
      <w:rPr>
        <w:rFonts w:ascii="Arial" w:hAnsi="Arial"/>
        <w:b/>
        <w:sz w:val="18"/>
        <w:lang w:val="pt-BR"/>
      </w:rPr>
      <w:t xml:space="preserve">                                       </w:t>
    </w:r>
    <w:r>
      <w:rPr>
        <w:rFonts w:ascii="Arial" w:hAnsi="Arial"/>
        <w:b/>
        <w:sz w:val="18"/>
        <w:lang w:val="pt-BR"/>
      </w:rPr>
      <w:t xml:space="preserve"> </w:t>
    </w:r>
    <w:proofErr w:type="spellStart"/>
    <w:r w:rsidR="006C38C4">
      <w:rPr>
        <w:rFonts w:ascii="Arial" w:hAnsi="Arial"/>
        <w:b/>
        <w:sz w:val="18"/>
        <w:lang w:val="pt-BR"/>
      </w:rPr>
      <w:t>Ju</w:t>
    </w:r>
    <w:r w:rsidR="004D3D15">
      <w:rPr>
        <w:rFonts w:ascii="Arial" w:hAnsi="Arial"/>
        <w:b/>
        <w:sz w:val="18"/>
        <w:lang w:val="pt-BR"/>
      </w:rPr>
      <w:t>l</w:t>
    </w:r>
    <w:r w:rsidR="006C38C4">
      <w:rPr>
        <w:rFonts w:ascii="Arial" w:hAnsi="Arial"/>
        <w:b/>
        <w:sz w:val="18"/>
        <w:lang w:val="pt-BR"/>
      </w:rPr>
      <w:t>io</w:t>
    </w:r>
    <w:proofErr w:type="spellEnd"/>
    <w:r w:rsidR="006C38C4">
      <w:rPr>
        <w:rFonts w:ascii="Arial" w:hAnsi="Arial"/>
        <w:b/>
        <w:sz w:val="18"/>
        <w:lang w:val="pt-BR"/>
      </w:rPr>
      <w:t xml:space="preserve"> </w:t>
    </w:r>
    <w:r>
      <w:rPr>
        <w:rFonts w:ascii="Arial" w:hAnsi="Arial"/>
        <w:b/>
        <w:sz w:val="18"/>
        <w:lang w:val="pt-BR"/>
      </w:rPr>
      <w:t>de 20</w:t>
    </w:r>
    <w:r w:rsidR="006C38C4">
      <w:rPr>
        <w:rFonts w:ascii="Arial" w:hAnsi="Arial"/>
        <w:b/>
        <w:sz w:val="18"/>
        <w:lang w:val="pt-BR"/>
      </w:rPr>
      <w:t>1</w:t>
    </w:r>
    <w:r>
      <w:rPr>
        <w:rFonts w:ascii="Arial" w:hAnsi="Arial"/>
        <w:b/>
        <w:sz w:val="18"/>
        <w:lang w:val="pt-BR"/>
      </w:rPr>
      <w:t>9</w:t>
    </w:r>
  </w:p>
  <w:p w14:paraId="15EE431A" w14:textId="77777777" w:rsidR="009138A3" w:rsidRDefault="009138A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E22B6" w14:textId="2201C643" w:rsidR="00441762" w:rsidRPr="00503AD4" w:rsidRDefault="00441762" w:rsidP="00441762">
    <w:pPr>
      <w:pStyle w:val="Piedepgina"/>
      <w:tabs>
        <w:tab w:val="clear" w:pos="8504"/>
        <w:tab w:val="right" w:pos="9600"/>
      </w:tabs>
      <w:rPr>
        <w:rFonts w:ascii="Arial" w:hAnsi="Arial"/>
        <w:b/>
        <w:sz w:val="18"/>
        <w:lang w:val="pt-BR"/>
      </w:rPr>
    </w:pPr>
    <w:r>
      <w:rPr>
        <w:rFonts w:ascii="Arial" w:hAnsi="Arial"/>
        <w:b/>
        <w:sz w:val="18"/>
        <w:lang w:val="pt-BR"/>
      </w:rPr>
      <w:t xml:space="preserve">Circular </w:t>
    </w:r>
    <w:proofErr w:type="gramStart"/>
    <w:r>
      <w:rPr>
        <w:rFonts w:ascii="Arial" w:hAnsi="Arial"/>
        <w:b/>
        <w:sz w:val="18"/>
        <w:lang w:val="pt-BR"/>
      </w:rPr>
      <w:t xml:space="preserve">Externa </w:t>
    </w:r>
    <w:r w:rsidR="00381F8F">
      <w:rPr>
        <w:rFonts w:ascii="Arial" w:hAnsi="Arial"/>
        <w:b/>
        <w:sz w:val="18"/>
        <w:lang w:val="pt-BR"/>
      </w:rPr>
      <w:t xml:space="preserve"> </w:t>
    </w:r>
    <w:r w:rsidR="00E653EC">
      <w:rPr>
        <w:rFonts w:ascii="Arial" w:hAnsi="Arial"/>
        <w:b/>
        <w:sz w:val="18"/>
        <w:lang w:val="pt-BR"/>
      </w:rPr>
      <w:t>019</w:t>
    </w:r>
    <w:proofErr w:type="gramEnd"/>
    <w:r w:rsidR="00381F8F">
      <w:rPr>
        <w:rFonts w:ascii="Arial" w:hAnsi="Arial"/>
        <w:b/>
        <w:sz w:val="18"/>
        <w:lang w:val="pt-BR"/>
      </w:rPr>
      <w:t xml:space="preserve"> </w:t>
    </w:r>
    <w:r>
      <w:rPr>
        <w:rFonts w:ascii="Arial" w:hAnsi="Arial"/>
        <w:b/>
        <w:sz w:val="18"/>
        <w:lang w:val="pt-BR"/>
      </w:rPr>
      <w:t xml:space="preserve"> de 201</w:t>
    </w:r>
    <w:r w:rsidR="000D4DBF">
      <w:rPr>
        <w:rFonts w:ascii="Arial" w:hAnsi="Arial"/>
        <w:b/>
        <w:sz w:val="18"/>
        <w:lang w:val="pt-BR"/>
      </w:rPr>
      <w:t>9</w:t>
    </w:r>
    <w:r>
      <w:rPr>
        <w:rFonts w:ascii="Arial" w:hAnsi="Arial"/>
        <w:b/>
        <w:sz w:val="18"/>
        <w:lang w:val="pt-BR"/>
      </w:rPr>
      <w:t xml:space="preserve">                                                                                                      </w:t>
    </w:r>
    <w:proofErr w:type="spellStart"/>
    <w:r w:rsidR="009E6F2D">
      <w:rPr>
        <w:rFonts w:ascii="Arial" w:hAnsi="Arial"/>
        <w:b/>
        <w:sz w:val="18"/>
        <w:lang w:val="pt-BR"/>
      </w:rPr>
      <w:t>Julio</w:t>
    </w:r>
    <w:proofErr w:type="spellEnd"/>
    <w:r w:rsidR="009E6F2D">
      <w:rPr>
        <w:rFonts w:ascii="Arial" w:hAnsi="Arial"/>
        <w:b/>
        <w:sz w:val="18"/>
        <w:lang w:val="pt-BR"/>
      </w:rPr>
      <w:t xml:space="preserve"> </w:t>
    </w:r>
    <w:r>
      <w:rPr>
        <w:rFonts w:ascii="Arial" w:hAnsi="Arial"/>
        <w:b/>
        <w:sz w:val="18"/>
        <w:lang w:val="pt-BR"/>
      </w:rPr>
      <w:t>de 201</w:t>
    </w:r>
    <w:r w:rsidR="000D4DBF">
      <w:rPr>
        <w:rFonts w:ascii="Arial" w:hAnsi="Arial"/>
        <w:b/>
        <w:sz w:val="18"/>
        <w:lang w:val="pt-BR"/>
      </w:rPr>
      <w:t>9</w:t>
    </w:r>
  </w:p>
  <w:p w14:paraId="19463DB7" w14:textId="77777777" w:rsidR="00146892" w:rsidRPr="00441762" w:rsidRDefault="00146892">
    <w:pPr>
      <w:pStyle w:val="Piedepgina"/>
      <w:rPr>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EF6D2" w14:textId="6A01008F" w:rsidR="00CC2550" w:rsidRDefault="00CC2550" w:rsidP="00CC2550">
    <w:pPr>
      <w:pStyle w:val="Piedepgina"/>
      <w:tabs>
        <w:tab w:val="clear" w:pos="8504"/>
        <w:tab w:val="right" w:pos="9600"/>
      </w:tabs>
      <w:rPr>
        <w:rFonts w:ascii="Arial" w:hAnsi="Arial"/>
        <w:b/>
        <w:sz w:val="18"/>
        <w:lang w:val="pt-BR"/>
      </w:rPr>
    </w:pPr>
    <w:r>
      <w:rPr>
        <w:rFonts w:ascii="Arial" w:hAnsi="Arial"/>
        <w:b/>
        <w:sz w:val="18"/>
        <w:lang w:val="pt-BR"/>
      </w:rPr>
      <w:t xml:space="preserve">Circular </w:t>
    </w:r>
    <w:proofErr w:type="gramStart"/>
    <w:r>
      <w:rPr>
        <w:rFonts w:ascii="Arial" w:hAnsi="Arial"/>
        <w:b/>
        <w:sz w:val="18"/>
        <w:lang w:val="pt-BR"/>
      </w:rPr>
      <w:t xml:space="preserve">Externa </w:t>
    </w:r>
    <w:r w:rsidR="000D4DBF">
      <w:rPr>
        <w:rFonts w:ascii="Arial" w:hAnsi="Arial"/>
        <w:b/>
        <w:sz w:val="18"/>
        <w:lang w:val="pt-BR"/>
      </w:rPr>
      <w:t xml:space="preserve"> </w:t>
    </w:r>
    <w:r w:rsidR="00E653EC">
      <w:rPr>
        <w:rFonts w:ascii="Arial" w:hAnsi="Arial"/>
        <w:b/>
        <w:sz w:val="18"/>
        <w:lang w:val="pt-BR"/>
      </w:rPr>
      <w:t>019</w:t>
    </w:r>
    <w:proofErr w:type="gramEnd"/>
    <w:r w:rsidR="000D4DBF">
      <w:rPr>
        <w:rFonts w:ascii="Arial" w:hAnsi="Arial"/>
        <w:b/>
        <w:sz w:val="18"/>
        <w:lang w:val="pt-BR"/>
      </w:rPr>
      <w:t xml:space="preserve"> </w:t>
    </w:r>
    <w:r>
      <w:rPr>
        <w:rFonts w:ascii="Arial" w:hAnsi="Arial"/>
        <w:b/>
        <w:sz w:val="18"/>
        <w:lang w:val="pt-BR"/>
      </w:rPr>
      <w:t xml:space="preserve"> de 201</w:t>
    </w:r>
    <w:r w:rsidR="000D4DBF">
      <w:rPr>
        <w:rFonts w:ascii="Arial" w:hAnsi="Arial"/>
        <w:b/>
        <w:sz w:val="18"/>
        <w:lang w:val="pt-BR"/>
      </w:rPr>
      <w:t>9</w:t>
    </w:r>
    <w:r>
      <w:rPr>
        <w:rFonts w:ascii="Arial" w:hAnsi="Arial"/>
        <w:b/>
        <w:sz w:val="18"/>
        <w:lang w:val="pt-BR"/>
      </w:rPr>
      <w:t xml:space="preserve">                                                                                                     </w:t>
    </w:r>
    <w:proofErr w:type="spellStart"/>
    <w:r w:rsidR="009E6F2D">
      <w:rPr>
        <w:rFonts w:ascii="Arial" w:hAnsi="Arial"/>
        <w:b/>
        <w:sz w:val="18"/>
        <w:lang w:val="pt-BR"/>
      </w:rPr>
      <w:t>Julio</w:t>
    </w:r>
    <w:proofErr w:type="spellEnd"/>
    <w:r w:rsidR="009E6F2D">
      <w:rPr>
        <w:rFonts w:ascii="Arial" w:hAnsi="Arial"/>
        <w:b/>
        <w:sz w:val="18"/>
        <w:lang w:val="pt-BR"/>
      </w:rPr>
      <w:t xml:space="preserve"> </w:t>
    </w:r>
    <w:r>
      <w:rPr>
        <w:rFonts w:ascii="Arial" w:hAnsi="Arial"/>
        <w:b/>
        <w:sz w:val="18"/>
      </w:rPr>
      <w:t>de 201</w:t>
    </w:r>
    <w:r w:rsidR="000D4DBF">
      <w:rPr>
        <w:rFonts w:ascii="Arial" w:hAnsi="Arial"/>
        <w:b/>
        <w:sz w:val="18"/>
      </w:rPr>
      <w:t>9</w:t>
    </w:r>
  </w:p>
  <w:p w14:paraId="090F7D8E" w14:textId="77777777" w:rsidR="00486514" w:rsidRDefault="00486514">
    <w:pPr>
      <w:pStyle w:val="Piedepgina"/>
      <w:tabs>
        <w:tab w:val="clear" w:pos="8504"/>
        <w:tab w:val="right" w:pos="9600"/>
      </w:tabs>
      <w:rPr>
        <w:lang w:val="pt-BR"/>
      </w:rPr>
    </w:pPr>
    <w:r>
      <w:rPr>
        <w:lang w:val="pt-BR"/>
      </w:rPr>
      <w:t xml:space="preserve">                                                                                                    </w:t>
    </w:r>
  </w:p>
  <w:p w14:paraId="32507675" w14:textId="77777777" w:rsidR="00486514" w:rsidRDefault="00486514">
    <w:pPr>
      <w:pStyle w:val="Piedepgina"/>
      <w:rPr>
        <w:lang w:val="pt-B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BB98A" w14:textId="03E0552D" w:rsidR="00486514" w:rsidRDefault="00486514" w:rsidP="00E65960">
    <w:pPr>
      <w:pStyle w:val="Piedepgina"/>
      <w:tabs>
        <w:tab w:val="clear" w:pos="8504"/>
        <w:tab w:val="right" w:pos="9600"/>
      </w:tabs>
      <w:rPr>
        <w:rFonts w:ascii="Arial" w:hAnsi="Arial"/>
        <w:b/>
        <w:sz w:val="18"/>
        <w:lang w:val="pt-BR"/>
      </w:rPr>
    </w:pPr>
    <w:r>
      <w:rPr>
        <w:rFonts w:ascii="Arial" w:hAnsi="Arial"/>
        <w:b/>
        <w:sz w:val="18"/>
        <w:lang w:val="pt-BR"/>
      </w:rPr>
      <w:t xml:space="preserve">Circular </w:t>
    </w:r>
    <w:proofErr w:type="gramStart"/>
    <w:r>
      <w:rPr>
        <w:rFonts w:ascii="Arial" w:hAnsi="Arial"/>
        <w:b/>
        <w:sz w:val="18"/>
        <w:lang w:val="pt-BR"/>
      </w:rPr>
      <w:t xml:space="preserve">Externa </w:t>
    </w:r>
    <w:r w:rsidR="00B739AB">
      <w:rPr>
        <w:rFonts w:ascii="Arial" w:hAnsi="Arial"/>
        <w:b/>
        <w:sz w:val="18"/>
        <w:lang w:val="pt-BR"/>
      </w:rPr>
      <w:t xml:space="preserve"> </w:t>
    </w:r>
    <w:r w:rsidR="00E653EC">
      <w:rPr>
        <w:rFonts w:ascii="Arial" w:hAnsi="Arial"/>
        <w:b/>
        <w:sz w:val="18"/>
        <w:lang w:val="pt-BR"/>
      </w:rPr>
      <w:t>019</w:t>
    </w:r>
    <w:proofErr w:type="gramEnd"/>
    <w:r w:rsidR="00B739AB">
      <w:rPr>
        <w:rFonts w:ascii="Arial" w:hAnsi="Arial"/>
        <w:b/>
        <w:sz w:val="18"/>
        <w:lang w:val="pt-BR"/>
      </w:rPr>
      <w:t xml:space="preserve">  </w:t>
    </w:r>
    <w:r>
      <w:rPr>
        <w:rFonts w:ascii="Arial" w:hAnsi="Arial"/>
        <w:b/>
        <w:sz w:val="18"/>
        <w:lang w:val="pt-BR"/>
      </w:rPr>
      <w:t>de  20</w:t>
    </w:r>
    <w:r w:rsidR="00B739AB">
      <w:rPr>
        <w:rFonts w:ascii="Arial" w:hAnsi="Arial"/>
        <w:b/>
        <w:sz w:val="18"/>
        <w:lang w:val="pt-BR"/>
      </w:rPr>
      <w:t>1</w:t>
    </w:r>
    <w:r>
      <w:rPr>
        <w:rFonts w:ascii="Arial" w:hAnsi="Arial"/>
        <w:b/>
        <w:sz w:val="18"/>
        <w:lang w:val="pt-BR"/>
      </w:rPr>
      <w:t xml:space="preserve">9                                                                                                       </w:t>
    </w:r>
    <w:proofErr w:type="spellStart"/>
    <w:r w:rsidR="009E6F2D">
      <w:rPr>
        <w:rFonts w:ascii="Arial" w:hAnsi="Arial"/>
        <w:b/>
        <w:sz w:val="18"/>
        <w:lang w:val="pt-BR"/>
      </w:rPr>
      <w:t>Julio</w:t>
    </w:r>
    <w:proofErr w:type="spellEnd"/>
    <w:r w:rsidR="001020A3">
      <w:rPr>
        <w:rFonts w:ascii="Arial" w:hAnsi="Arial"/>
        <w:b/>
        <w:sz w:val="18"/>
        <w:lang w:val="pt-BR"/>
      </w:rPr>
      <w:t xml:space="preserve"> </w:t>
    </w:r>
    <w:r w:rsidR="00B739AB">
      <w:rPr>
        <w:rFonts w:ascii="Arial" w:hAnsi="Arial"/>
        <w:b/>
        <w:sz w:val="18"/>
        <w:lang w:val="pt-BR"/>
      </w:rPr>
      <w:t>de 2019</w:t>
    </w:r>
  </w:p>
  <w:p w14:paraId="1B79ADEA" w14:textId="77777777" w:rsidR="00486514" w:rsidRPr="00B739AB" w:rsidRDefault="00486514">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945BC" w14:textId="77777777" w:rsidR="00395C1B" w:rsidRDefault="00395C1B" w:rsidP="00CC2550">
    <w:pPr>
      <w:pStyle w:val="Piedepgina"/>
      <w:tabs>
        <w:tab w:val="clear" w:pos="8504"/>
        <w:tab w:val="right" w:pos="9600"/>
      </w:tabs>
      <w:rPr>
        <w:rFonts w:ascii="Arial" w:hAnsi="Arial"/>
        <w:b/>
        <w:sz w:val="18"/>
        <w:lang w:val="pt-BR"/>
      </w:rPr>
    </w:pPr>
    <w:r>
      <w:rPr>
        <w:rFonts w:ascii="Arial" w:hAnsi="Arial"/>
        <w:b/>
        <w:sz w:val="18"/>
        <w:lang w:val="pt-BR"/>
      </w:rPr>
      <w:t xml:space="preserve">Circular Externa         de 2019                                                                                                     </w:t>
    </w:r>
    <w:proofErr w:type="spellStart"/>
    <w:r>
      <w:rPr>
        <w:rFonts w:ascii="Arial" w:hAnsi="Arial"/>
        <w:b/>
        <w:sz w:val="18"/>
        <w:lang w:val="pt-BR"/>
      </w:rPr>
      <w:t>Junio</w:t>
    </w:r>
    <w:proofErr w:type="spellEnd"/>
    <w:r>
      <w:rPr>
        <w:rFonts w:ascii="Arial" w:hAnsi="Arial"/>
        <w:b/>
        <w:sz w:val="18"/>
        <w:lang w:val="pt-BR"/>
      </w:rPr>
      <w:t xml:space="preserve"> </w:t>
    </w:r>
    <w:r>
      <w:rPr>
        <w:rFonts w:ascii="Arial" w:hAnsi="Arial"/>
        <w:b/>
        <w:sz w:val="18"/>
      </w:rPr>
      <w:t>de 2019</w:t>
    </w:r>
  </w:p>
  <w:p w14:paraId="1674F592" w14:textId="77777777" w:rsidR="00395C1B" w:rsidRDefault="00395C1B">
    <w:pPr>
      <w:pStyle w:val="Piedepgina"/>
      <w:tabs>
        <w:tab w:val="clear" w:pos="8504"/>
        <w:tab w:val="right" w:pos="9600"/>
      </w:tabs>
      <w:rPr>
        <w:lang w:val="pt-BR"/>
      </w:rPr>
    </w:pPr>
    <w:r>
      <w:rPr>
        <w:lang w:val="pt-BR"/>
      </w:rPr>
      <w:t xml:space="preserve">                                                                                                    </w:t>
    </w:r>
  </w:p>
  <w:p w14:paraId="1FFDA554" w14:textId="77777777" w:rsidR="00395C1B" w:rsidRDefault="00395C1B">
    <w:pPr>
      <w:pStyle w:val="Piedepgina"/>
      <w:rPr>
        <w:lang w:val="pt-B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A0604" w14:textId="19D0C16E" w:rsidR="00395C1B" w:rsidRDefault="00395C1B" w:rsidP="00E65960">
    <w:pPr>
      <w:pStyle w:val="Piedepgina"/>
      <w:tabs>
        <w:tab w:val="clear" w:pos="8504"/>
        <w:tab w:val="right" w:pos="9600"/>
      </w:tabs>
      <w:rPr>
        <w:rFonts w:ascii="Arial" w:hAnsi="Arial"/>
        <w:b/>
        <w:sz w:val="18"/>
        <w:lang w:val="pt-BR"/>
      </w:rPr>
    </w:pPr>
    <w:r>
      <w:rPr>
        <w:rFonts w:ascii="Arial" w:hAnsi="Arial"/>
        <w:b/>
        <w:sz w:val="18"/>
        <w:lang w:val="pt-BR"/>
      </w:rPr>
      <w:t xml:space="preserve">Circular Externa </w:t>
    </w:r>
    <w:r w:rsidR="00E653EC">
      <w:rPr>
        <w:rFonts w:ascii="Arial" w:hAnsi="Arial"/>
        <w:b/>
        <w:sz w:val="18"/>
        <w:lang w:val="pt-BR"/>
      </w:rPr>
      <w:t>019</w:t>
    </w:r>
    <w:r>
      <w:rPr>
        <w:rFonts w:ascii="Arial" w:hAnsi="Arial"/>
        <w:b/>
        <w:sz w:val="18"/>
        <w:lang w:val="pt-BR"/>
      </w:rPr>
      <w:t xml:space="preserve"> </w:t>
    </w:r>
    <w:proofErr w:type="gramStart"/>
    <w:r>
      <w:rPr>
        <w:rFonts w:ascii="Arial" w:hAnsi="Arial"/>
        <w:b/>
        <w:sz w:val="18"/>
        <w:lang w:val="pt-BR"/>
      </w:rPr>
      <w:t>de  2019</w:t>
    </w:r>
    <w:proofErr w:type="gramEnd"/>
    <w:r>
      <w:rPr>
        <w:rFonts w:ascii="Arial" w:hAnsi="Arial"/>
        <w:b/>
        <w:sz w:val="18"/>
        <w:lang w:val="pt-BR"/>
      </w:rPr>
      <w:t xml:space="preserve">                                                                                                       </w:t>
    </w:r>
    <w:proofErr w:type="spellStart"/>
    <w:r>
      <w:rPr>
        <w:rFonts w:ascii="Arial" w:hAnsi="Arial"/>
        <w:b/>
        <w:sz w:val="18"/>
        <w:lang w:val="pt-BR"/>
      </w:rPr>
      <w:t>Ju</w:t>
    </w:r>
    <w:r w:rsidR="009E6F2D">
      <w:rPr>
        <w:rFonts w:ascii="Arial" w:hAnsi="Arial"/>
        <w:b/>
        <w:sz w:val="18"/>
        <w:lang w:val="pt-BR"/>
      </w:rPr>
      <w:t>l</w:t>
    </w:r>
    <w:r>
      <w:rPr>
        <w:rFonts w:ascii="Arial" w:hAnsi="Arial"/>
        <w:b/>
        <w:sz w:val="18"/>
        <w:lang w:val="pt-BR"/>
      </w:rPr>
      <w:t>io</w:t>
    </w:r>
    <w:proofErr w:type="spellEnd"/>
    <w:r>
      <w:rPr>
        <w:rFonts w:ascii="Arial" w:hAnsi="Arial"/>
        <w:b/>
        <w:sz w:val="18"/>
        <w:lang w:val="pt-BR"/>
      </w:rPr>
      <w:t xml:space="preserve"> de 2019</w:t>
    </w:r>
  </w:p>
  <w:p w14:paraId="0CD59528" w14:textId="77777777" w:rsidR="00395C1B" w:rsidRPr="00B739AB" w:rsidRDefault="00395C1B">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5FD87" w14:textId="77777777" w:rsidR="00F52740" w:rsidRDefault="00F52740" w:rsidP="00CC2550">
    <w:pPr>
      <w:pStyle w:val="Piedepgina"/>
      <w:tabs>
        <w:tab w:val="clear" w:pos="8504"/>
        <w:tab w:val="right" w:pos="9600"/>
      </w:tabs>
      <w:rPr>
        <w:rFonts w:ascii="Arial" w:hAnsi="Arial"/>
        <w:b/>
        <w:sz w:val="18"/>
        <w:lang w:val="pt-BR"/>
      </w:rPr>
    </w:pPr>
    <w:r>
      <w:rPr>
        <w:rFonts w:ascii="Arial" w:hAnsi="Arial"/>
        <w:b/>
        <w:sz w:val="18"/>
        <w:lang w:val="pt-BR"/>
      </w:rPr>
      <w:t xml:space="preserve">Circular Externa         de 2019                                                                                                     </w:t>
    </w:r>
    <w:proofErr w:type="spellStart"/>
    <w:r>
      <w:rPr>
        <w:rFonts w:ascii="Arial" w:hAnsi="Arial"/>
        <w:b/>
        <w:sz w:val="18"/>
        <w:lang w:val="pt-BR"/>
      </w:rPr>
      <w:t>Junio</w:t>
    </w:r>
    <w:proofErr w:type="spellEnd"/>
    <w:r>
      <w:rPr>
        <w:rFonts w:ascii="Arial" w:hAnsi="Arial"/>
        <w:b/>
        <w:sz w:val="18"/>
        <w:lang w:val="pt-BR"/>
      </w:rPr>
      <w:t xml:space="preserve"> </w:t>
    </w:r>
    <w:r>
      <w:rPr>
        <w:rFonts w:ascii="Arial" w:hAnsi="Arial"/>
        <w:b/>
        <w:sz w:val="18"/>
      </w:rPr>
      <w:t>de 2019</w:t>
    </w:r>
  </w:p>
  <w:p w14:paraId="378BF497" w14:textId="77777777" w:rsidR="00F52740" w:rsidRDefault="00F52740">
    <w:pPr>
      <w:pStyle w:val="Piedepgina"/>
      <w:tabs>
        <w:tab w:val="clear" w:pos="8504"/>
        <w:tab w:val="right" w:pos="9600"/>
      </w:tabs>
      <w:rPr>
        <w:lang w:val="pt-BR"/>
      </w:rPr>
    </w:pPr>
    <w:r>
      <w:rPr>
        <w:lang w:val="pt-BR"/>
      </w:rPr>
      <w:t xml:space="preserve">                                                                                                    </w:t>
    </w:r>
  </w:p>
  <w:p w14:paraId="0F3328D0" w14:textId="77777777" w:rsidR="00F52740" w:rsidRDefault="00F52740">
    <w:pPr>
      <w:pStyle w:val="Piedepgina"/>
      <w:rPr>
        <w:lang w:val="pt-BR"/>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F24DB" w14:textId="593BD2AA" w:rsidR="00F52740" w:rsidRDefault="00F52740" w:rsidP="00E65960">
    <w:pPr>
      <w:pStyle w:val="Piedepgina"/>
      <w:tabs>
        <w:tab w:val="clear" w:pos="8504"/>
        <w:tab w:val="right" w:pos="9600"/>
      </w:tabs>
      <w:rPr>
        <w:rFonts w:ascii="Arial" w:hAnsi="Arial"/>
        <w:b/>
        <w:sz w:val="18"/>
        <w:lang w:val="pt-BR"/>
      </w:rPr>
    </w:pPr>
    <w:r>
      <w:rPr>
        <w:rFonts w:ascii="Arial" w:hAnsi="Arial"/>
        <w:b/>
        <w:sz w:val="18"/>
        <w:lang w:val="pt-BR"/>
      </w:rPr>
      <w:t xml:space="preserve">Circular Externa </w:t>
    </w:r>
    <w:r w:rsidR="00E653EC">
      <w:rPr>
        <w:rFonts w:ascii="Arial" w:hAnsi="Arial"/>
        <w:b/>
        <w:sz w:val="18"/>
        <w:lang w:val="pt-BR"/>
      </w:rPr>
      <w:t>019</w:t>
    </w:r>
    <w:r>
      <w:rPr>
        <w:rFonts w:ascii="Arial" w:hAnsi="Arial"/>
        <w:b/>
        <w:sz w:val="18"/>
        <w:lang w:val="pt-BR"/>
      </w:rPr>
      <w:t xml:space="preserve"> </w:t>
    </w:r>
    <w:proofErr w:type="gramStart"/>
    <w:r>
      <w:rPr>
        <w:rFonts w:ascii="Arial" w:hAnsi="Arial"/>
        <w:b/>
        <w:sz w:val="18"/>
        <w:lang w:val="pt-BR"/>
      </w:rPr>
      <w:t>de  2019</w:t>
    </w:r>
    <w:proofErr w:type="gramEnd"/>
    <w:r>
      <w:rPr>
        <w:rFonts w:ascii="Arial" w:hAnsi="Arial"/>
        <w:b/>
        <w:sz w:val="18"/>
        <w:lang w:val="pt-BR"/>
      </w:rPr>
      <w:t xml:space="preserve">                                                                                                       </w:t>
    </w:r>
    <w:proofErr w:type="spellStart"/>
    <w:r>
      <w:rPr>
        <w:rFonts w:ascii="Arial" w:hAnsi="Arial"/>
        <w:b/>
        <w:sz w:val="18"/>
        <w:lang w:val="pt-BR"/>
      </w:rPr>
      <w:t>Ju</w:t>
    </w:r>
    <w:r w:rsidR="009E6F2D">
      <w:rPr>
        <w:rFonts w:ascii="Arial" w:hAnsi="Arial"/>
        <w:b/>
        <w:sz w:val="18"/>
        <w:lang w:val="pt-BR"/>
      </w:rPr>
      <w:t>l</w:t>
    </w:r>
    <w:r>
      <w:rPr>
        <w:rFonts w:ascii="Arial" w:hAnsi="Arial"/>
        <w:b/>
        <w:sz w:val="18"/>
        <w:lang w:val="pt-BR"/>
      </w:rPr>
      <w:t>io</w:t>
    </w:r>
    <w:proofErr w:type="spellEnd"/>
    <w:r>
      <w:rPr>
        <w:rFonts w:ascii="Arial" w:hAnsi="Arial"/>
        <w:b/>
        <w:sz w:val="18"/>
        <w:lang w:val="pt-BR"/>
      </w:rPr>
      <w:t xml:space="preserve"> de 2019</w:t>
    </w:r>
  </w:p>
  <w:p w14:paraId="4665BE20" w14:textId="77777777" w:rsidR="00F52740" w:rsidRPr="00B739AB" w:rsidRDefault="00F52740">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3B491" w14:textId="77777777" w:rsidR="00395C1B" w:rsidRDefault="00395C1B" w:rsidP="00CC2550">
    <w:pPr>
      <w:pStyle w:val="Piedepgina"/>
      <w:tabs>
        <w:tab w:val="clear" w:pos="8504"/>
        <w:tab w:val="right" w:pos="9600"/>
      </w:tabs>
      <w:rPr>
        <w:rFonts w:ascii="Arial" w:hAnsi="Arial"/>
        <w:b/>
        <w:sz w:val="18"/>
        <w:lang w:val="pt-BR"/>
      </w:rPr>
    </w:pPr>
    <w:r>
      <w:rPr>
        <w:rFonts w:ascii="Arial" w:hAnsi="Arial"/>
        <w:b/>
        <w:sz w:val="18"/>
        <w:lang w:val="pt-BR"/>
      </w:rPr>
      <w:t xml:space="preserve">Circular Externa         de 2019                                                                                                     </w:t>
    </w:r>
    <w:proofErr w:type="spellStart"/>
    <w:r>
      <w:rPr>
        <w:rFonts w:ascii="Arial" w:hAnsi="Arial"/>
        <w:b/>
        <w:sz w:val="18"/>
        <w:lang w:val="pt-BR"/>
      </w:rPr>
      <w:t>Junio</w:t>
    </w:r>
    <w:proofErr w:type="spellEnd"/>
    <w:r>
      <w:rPr>
        <w:rFonts w:ascii="Arial" w:hAnsi="Arial"/>
        <w:b/>
        <w:sz w:val="18"/>
        <w:lang w:val="pt-BR"/>
      </w:rPr>
      <w:t xml:space="preserve"> </w:t>
    </w:r>
    <w:r>
      <w:rPr>
        <w:rFonts w:ascii="Arial" w:hAnsi="Arial"/>
        <w:b/>
        <w:sz w:val="18"/>
      </w:rPr>
      <w:t>de 2019</w:t>
    </w:r>
  </w:p>
  <w:p w14:paraId="6BA308B2" w14:textId="77777777" w:rsidR="00395C1B" w:rsidRDefault="00395C1B">
    <w:pPr>
      <w:pStyle w:val="Piedepgina"/>
      <w:tabs>
        <w:tab w:val="clear" w:pos="8504"/>
        <w:tab w:val="right" w:pos="9600"/>
      </w:tabs>
      <w:rPr>
        <w:lang w:val="pt-BR"/>
      </w:rPr>
    </w:pPr>
    <w:r>
      <w:rPr>
        <w:lang w:val="pt-BR"/>
      </w:rPr>
      <w:t xml:space="preserve">                                                                                                    </w:t>
    </w:r>
  </w:p>
  <w:p w14:paraId="689195B0" w14:textId="77777777" w:rsidR="00395C1B" w:rsidRDefault="00395C1B">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23F7A" w14:textId="77777777" w:rsidR="0075210D" w:rsidRDefault="0075210D">
      <w:r>
        <w:separator/>
      </w:r>
    </w:p>
  </w:footnote>
  <w:footnote w:type="continuationSeparator" w:id="0">
    <w:p w14:paraId="6E039F0B" w14:textId="77777777" w:rsidR="0075210D" w:rsidRDefault="00752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C5739" w14:textId="77777777" w:rsidR="00146892" w:rsidRDefault="00146892">
    <w:pPr>
      <w:pStyle w:val="Encabezado"/>
      <w:jc w:val="center"/>
      <w:rPr>
        <w:rFonts w:ascii="Arial" w:hAnsi="Arial" w:cs="Arial"/>
        <w:b/>
      </w:rPr>
    </w:pPr>
  </w:p>
  <w:p w14:paraId="386AF8DC" w14:textId="77777777" w:rsidR="00146892" w:rsidRDefault="00146892">
    <w:pPr>
      <w:pStyle w:val="Encabezado"/>
      <w:jc w:val="center"/>
      <w:rPr>
        <w:rFonts w:ascii="Arial" w:hAnsi="Arial" w:cs="Arial"/>
        <w:b/>
      </w:rPr>
    </w:pPr>
    <w:r>
      <w:rPr>
        <w:rFonts w:ascii="Arial" w:hAnsi="Arial" w:cs="Arial"/>
        <w:b/>
      </w:rPr>
      <w:t>SUPERINTENDENCIA FINANCIERA DE COLOMBIA</w:t>
    </w:r>
  </w:p>
  <w:p w14:paraId="7AD9E317" w14:textId="77777777" w:rsidR="00146892" w:rsidRDefault="00146892">
    <w:pPr>
      <w:pStyle w:val="Encabezado"/>
      <w:jc w:val="center"/>
      <w:rPr>
        <w:rFonts w:ascii="Arial" w:hAnsi="Arial" w:cs="Arial"/>
        <w:b/>
      </w:rPr>
    </w:pPr>
  </w:p>
  <w:p w14:paraId="13E9DB06" w14:textId="77777777" w:rsidR="00146892" w:rsidRDefault="00146892">
    <w:pPr>
      <w:pStyle w:val="Encabezado"/>
      <w:jc w:val="center"/>
      <w:rPr>
        <w:rFonts w:ascii="Arial" w:hAnsi="Arial" w:cs="Arial"/>
        <w:b/>
      </w:rPr>
    </w:pPr>
  </w:p>
  <w:p w14:paraId="0D843DCA" w14:textId="77777777" w:rsidR="00146892" w:rsidRDefault="00146892">
    <w:pPr>
      <w:pStyle w:val="Encabezado"/>
      <w:ind w:right="-21"/>
      <w:rPr>
        <w:rFonts w:ascii="Arial" w:hAnsi="Arial" w:cs="Arial"/>
        <w:b/>
      </w:rPr>
    </w:pPr>
    <w:proofErr w:type="gramStart"/>
    <w:r>
      <w:rPr>
        <w:rFonts w:ascii="Arial" w:hAnsi="Arial"/>
        <w:b/>
        <w:sz w:val="18"/>
        <w:szCs w:val="18"/>
      </w:rPr>
      <w:t>CAPITULO  VI</w:t>
    </w:r>
    <w:proofErr w:type="gramEnd"/>
    <w:r>
      <w:rPr>
        <w:rFonts w:ascii="Arial" w:hAnsi="Arial"/>
        <w:b/>
        <w:sz w:val="18"/>
        <w:szCs w:val="18"/>
      </w:rPr>
      <w:t xml:space="preserve"> REGLAS  RELATIVAS AL SISTEMA DE ADMINISTRACIÓN DEL RIESGO DE LIQUIDEZ</w:t>
    </w:r>
  </w:p>
  <w:p w14:paraId="2543223C" w14:textId="77777777" w:rsidR="00146892" w:rsidRPr="000A3F48" w:rsidRDefault="00146892">
    <w:pPr>
      <w:pStyle w:val="Encabezado"/>
      <w:jc w:val="both"/>
      <w:rPr>
        <w:rStyle w:val="Nmerodepgina"/>
        <w:rFonts w:ascii="Arial" w:hAnsi="Arial" w:cs="Arial"/>
        <w:b/>
        <w:bCs/>
        <w:sz w:val="18"/>
        <w:szCs w:val="18"/>
      </w:rPr>
    </w:pPr>
    <w:r>
      <w:rPr>
        <w:rFonts w:ascii="Arial" w:hAnsi="Arial" w:cs="Arial"/>
        <w:b/>
        <w:sz w:val="20"/>
      </w:rPr>
      <w:t xml:space="preserve">Página </w:t>
    </w:r>
    <w:r>
      <w:rPr>
        <w:rStyle w:val="Nmerodepgina"/>
        <w:rFonts w:ascii="Arial" w:hAnsi="Arial" w:cs="Arial"/>
        <w:b/>
        <w:sz w:val="18"/>
        <w:szCs w:val="18"/>
      </w:rPr>
      <w:t>3</w:t>
    </w:r>
  </w:p>
  <w:p w14:paraId="1B8525F3" w14:textId="77777777" w:rsidR="00146892" w:rsidRDefault="00146892">
    <w:pPr>
      <w:pStyle w:val="Encabezado"/>
      <w:jc w:val="both"/>
      <w:rPr>
        <w:rFonts w:ascii="Arial" w:hAnsi="Arial" w:cs="Arial"/>
        <w:b/>
        <w:bCs/>
        <w:sz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8A1B8" w14:textId="77777777" w:rsidR="00395C1B" w:rsidRDefault="00395C1B" w:rsidP="00A87ACD">
    <w:pPr>
      <w:pStyle w:val="Encabezado"/>
      <w:ind w:right="360"/>
      <w:jc w:val="center"/>
      <w:rPr>
        <w:rFonts w:ascii="Arial" w:hAnsi="Arial" w:cs="Arial"/>
        <w:b/>
      </w:rPr>
    </w:pPr>
  </w:p>
  <w:p w14:paraId="3920D9F3" w14:textId="77777777" w:rsidR="00395C1B" w:rsidRDefault="00395C1B" w:rsidP="00A87ACD">
    <w:pPr>
      <w:pStyle w:val="Encabezado"/>
      <w:ind w:right="360"/>
      <w:jc w:val="center"/>
      <w:rPr>
        <w:rFonts w:ascii="Arial" w:hAnsi="Arial" w:cs="Arial"/>
        <w:b/>
      </w:rPr>
    </w:pPr>
    <w:r w:rsidRPr="004F022A">
      <w:rPr>
        <w:rFonts w:ascii="Arial" w:hAnsi="Arial" w:cs="Arial"/>
        <w:b/>
      </w:rPr>
      <w:t>SUPERINTENDENCIA FINANCIERA DE COLOMBIA</w:t>
    </w:r>
  </w:p>
  <w:p w14:paraId="3C560B68" w14:textId="77777777" w:rsidR="00395C1B" w:rsidRDefault="00395C1B" w:rsidP="004F022A">
    <w:pPr>
      <w:pStyle w:val="Encabezado"/>
      <w:jc w:val="center"/>
      <w:rPr>
        <w:rFonts w:ascii="Arial" w:hAnsi="Arial" w:cs="Arial"/>
        <w:b/>
      </w:rPr>
    </w:pPr>
  </w:p>
  <w:p w14:paraId="4C005D3D" w14:textId="77777777" w:rsidR="00395C1B" w:rsidRDefault="00395C1B" w:rsidP="004F022A">
    <w:pPr>
      <w:pStyle w:val="Encabezado"/>
      <w:jc w:val="center"/>
      <w:rPr>
        <w:rFonts w:ascii="Arial" w:hAnsi="Arial" w:cs="Arial"/>
        <w:b/>
      </w:rPr>
    </w:pPr>
  </w:p>
  <w:p w14:paraId="4505B970" w14:textId="77777777" w:rsidR="00395C1B" w:rsidRDefault="00395C1B" w:rsidP="00E65960">
    <w:pPr>
      <w:pStyle w:val="Encabezado"/>
      <w:ind w:right="-21"/>
      <w:rPr>
        <w:rFonts w:ascii="Arial" w:hAnsi="Arial" w:cs="Arial"/>
        <w:b/>
      </w:rPr>
    </w:pPr>
    <w:proofErr w:type="gramStart"/>
    <w:r>
      <w:rPr>
        <w:rFonts w:ascii="Arial" w:hAnsi="Arial"/>
        <w:b/>
        <w:sz w:val="18"/>
        <w:szCs w:val="18"/>
      </w:rPr>
      <w:t>CAPITULO  VI</w:t>
    </w:r>
    <w:proofErr w:type="gramEnd"/>
    <w:r>
      <w:rPr>
        <w:rFonts w:ascii="Arial" w:hAnsi="Arial"/>
        <w:b/>
        <w:sz w:val="18"/>
        <w:szCs w:val="18"/>
      </w:rPr>
      <w:t xml:space="preserve"> REGLAS  RELATIVAS AL SISTEMA DE ADMINISTRACIÓN DEL RIESGO DE LIQUIDEZ</w:t>
    </w:r>
  </w:p>
  <w:p w14:paraId="07A7D415" w14:textId="77777777" w:rsidR="00395C1B" w:rsidRDefault="00395C1B" w:rsidP="00A87ACD">
    <w:pPr>
      <w:pStyle w:val="Encabezado"/>
      <w:rPr>
        <w:rStyle w:val="Nmerodepgina"/>
        <w:rFonts w:ascii="Arial" w:hAnsi="Arial" w:cs="Arial"/>
        <w:b/>
        <w:sz w:val="20"/>
        <w:szCs w:val="20"/>
      </w:rPr>
    </w:pPr>
    <w:r>
      <w:rPr>
        <w:rFonts w:ascii="Arial" w:hAnsi="Arial" w:cs="Arial"/>
        <w:b/>
        <w:sz w:val="20"/>
      </w:rPr>
      <w:t xml:space="preserve">Página </w:t>
    </w:r>
    <w:r>
      <w:rPr>
        <w:rStyle w:val="Nmerodepgina"/>
        <w:rFonts w:ascii="Arial" w:hAnsi="Arial" w:cs="Arial"/>
        <w:b/>
        <w:sz w:val="20"/>
        <w:szCs w:val="20"/>
      </w:rPr>
      <w:t>9</w:t>
    </w:r>
  </w:p>
  <w:p w14:paraId="4C7FEDAA" w14:textId="77777777" w:rsidR="00395C1B" w:rsidRPr="00A72393" w:rsidRDefault="00395C1B" w:rsidP="00A87ACD">
    <w:pPr>
      <w:pStyle w:val="Encabezado"/>
      <w:rPr>
        <w:rStyle w:val="Nmerodepgina"/>
        <w:rFonts w:ascii="Arial" w:hAnsi="Arial" w:cs="Arial"/>
        <w:b/>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01D32" w14:textId="77777777" w:rsidR="00395C1B" w:rsidRDefault="00395C1B">
    <w:pPr>
      <w:pStyle w:val="Encabezado"/>
      <w:jc w:val="center"/>
      <w:rPr>
        <w:rFonts w:ascii="Arial" w:hAnsi="Arial" w:cs="Arial"/>
        <w:b/>
      </w:rPr>
    </w:pPr>
  </w:p>
  <w:p w14:paraId="1A2CDBE9" w14:textId="77777777" w:rsidR="00395C1B" w:rsidRDefault="00395C1B">
    <w:pPr>
      <w:pStyle w:val="Encabezado"/>
      <w:jc w:val="center"/>
      <w:rPr>
        <w:rFonts w:ascii="Arial" w:hAnsi="Arial" w:cs="Arial"/>
        <w:b/>
      </w:rPr>
    </w:pPr>
    <w:r>
      <w:rPr>
        <w:rFonts w:ascii="Arial" w:hAnsi="Arial" w:cs="Arial"/>
        <w:b/>
      </w:rPr>
      <w:t>SUPERINTENDENCIA FINANCIERA DE COLOMBIA</w:t>
    </w:r>
  </w:p>
  <w:p w14:paraId="45FD3DD4" w14:textId="77777777" w:rsidR="00395C1B" w:rsidRDefault="00395C1B">
    <w:pPr>
      <w:pStyle w:val="Encabezado"/>
      <w:jc w:val="center"/>
      <w:rPr>
        <w:rFonts w:ascii="Arial" w:hAnsi="Arial" w:cs="Arial"/>
        <w:b/>
      </w:rPr>
    </w:pPr>
  </w:p>
  <w:p w14:paraId="1F39D319" w14:textId="77777777" w:rsidR="00395C1B" w:rsidRDefault="00395C1B">
    <w:pPr>
      <w:pStyle w:val="Encabezado"/>
      <w:jc w:val="center"/>
      <w:rPr>
        <w:rFonts w:ascii="Arial" w:hAnsi="Arial" w:cs="Arial"/>
        <w:b/>
      </w:rPr>
    </w:pPr>
  </w:p>
  <w:p w14:paraId="08641AD6" w14:textId="77777777" w:rsidR="00395C1B" w:rsidRDefault="00395C1B">
    <w:pPr>
      <w:pStyle w:val="Encabezado"/>
      <w:ind w:right="-21"/>
      <w:rPr>
        <w:rFonts w:ascii="Arial" w:hAnsi="Arial" w:cs="Arial"/>
        <w:b/>
      </w:rPr>
    </w:pPr>
    <w:proofErr w:type="gramStart"/>
    <w:r>
      <w:rPr>
        <w:rFonts w:ascii="Arial" w:hAnsi="Arial"/>
        <w:b/>
        <w:sz w:val="18"/>
        <w:szCs w:val="18"/>
      </w:rPr>
      <w:t>CAPÍTULO  VI</w:t>
    </w:r>
    <w:proofErr w:type="gramEnd"/>
    <w:r>
      <w:rPr>
        <w:rFonts w:ascii="Arial" w:hAnsi="Arial"/>
        <w:b/>
        <w:sz w:val="18"/>
        <w:szCs w:val="18"/>
      </w:rPr>
      <w:t xml:space="preserve"> REGLAS  RELATIVAS AL SISTEMA DE ADMINISTRACIÓN DEL RIESGO DE LIQUIDEZ</w:t>
    </w:r>
  </w:p>
  <w:p w14:paraId="0366326D" w14:textId="77777777" w:rsidR="00395C1B" w:rsidRDefault="00395C1B">
    <w:pPr>
      <w:pStyle w:val="Encabezado"/>
      <w:jc w:val="both"/>
      <w:rPr>
        <w:rStyle w:val="Nmerodepgina"/>
        <w:rFonts w:ascii="Arial" w:hAnsi="Arial" w:cs="Arial"/>
        <w:b/>
        <w:bCs/>
        <w:sz w:val="20"/>
        <w:szCs w:val="20"/>
      </w:rPr>
    </w:pPr>
    <w:r w:rsidRPr="00A72393">
      <w:rPr>
        <w:rFonts w:ascii="Arial" w:hAnsi="Arial" w:cs="Arial"/>
        <w:b/>
        <w:sz w:val="20"/>
        <w:szCs w:val="20"/>
      </w:rPr>
      <w:t xml:space="preserve">Página </w:t>
    </w:r>
    <w:r>
      <w:rPr>
        <w:rStyle w:val="Nmerodepgina"/>
        <w:rFonts w:ascii="Arial" w:hAnsi="Arial" w:cs="Arial"/>
        <w:b/>
        <w:sz w:val="20"/>
        <w:szCs w:val="20"/>
      </w:rPr>
      <w:t>4-1</w:t>
    </w:r>
  </w:p>
  <w:p w14:paraId="02A9394C" w14:textId="77777777" w:rsidR="00395C1B" w:rsidRPr="00A72393" w:rsidRDefault="00395C1B">
    <w:pPr>
      <w:pStyle w:val="Encabezado"/>
      <w:jc w:val="both"/>
      <w:rPr>
        <w:rFonts w:ascii="Arial" w:hAnsi="Arial" w:cs="Arial"/>
        <w:b/>
        <w:bCs/>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5F02B" w14:textId="77777777" w:rsidR="00395C1B" w:rsidRDefault="00395C1B" w:rsidP="00A87ACD">
    <w:pPr>
      <w:pStyle w:val="Encabezado"/>
      <w:ind w:right="360"/>
      <w:jc w:val="center"/>
      <w:rPr>
        <w:rFonts w:ascii="Arial" w:hAnsi="Arial" w:cs="Arial"/>
        <w:b/>
      </w:rPr>
    </w:pPr>
  </w:p>
  <w:p w14:paraId="260B91DE" w14:textId="77777777" w:rsidR="00395C1B" w:rsidRDefault="00395C1B" w:rsidP="00A87ACD">
    <w:pPr>
      <w:pStyle w:val="Encabezado"/>
      <w:ind w:right="360"/>
      <w:jc w:val="center"/>
      <w:rPr>
        <w:rFonts w:ascii="Arial" w:hAnsi="Arial" w:cs="Arial"/>
        <w:b/>
      </w:rPr>
    </w:pPr>
    <w:r w:rsidRPr="004F022A">
      <w:rPr>
        <w:rFonts w:ascii="Arial" w:hAnsi="Arial" w:cs="Arial"/>
        <w:b/>
      </w:rPr>
      <w:t>SUPERINTENDENCIA FINANCIERA DE COLOMBIA</w:t>
    </w:r>
  </w:p>
  <w:p w14:paraId="24E7A906" w14:textId="77777777" w:rsidR="00395C1B" w:rsidRDefault="00395C1B" w:rsidP="004F022A">
    <w:pPr>
      <w:pStyle w:val="Encabezado"/>
      <w:jc w:val="center"/>
      <w:rPr>
        <w:rFonts w:ascii="Arial" w:hAnsi="Arial" w:cs="Arial"/>
        <w:b/>
      </w:rPr>
    </w:pPr>
  </w:p>
  <w:p w14:paraId="664C0792" w14:textId="77777777" w:rsidR="00395C1B" w:rsidRDefault="00395C1B" w:rsidP="004F022A">
    <w:pPr>
      <w:pStyle w:val="Encabezado"/>
      <w:jc w:val="center"/>
      <w:rPr>
        <w:rFonts w:ascii="Arial" w:hAnsi="Arial" w:cs="Arial"/>
        <w:b/>
      </w:rPr>
    </w:pPr>
  </w:p>
  <w:p w14:paraId="0DCB5551" w14:textId="77777777" w:rsidR="00395C1B" w:rsidRDefault="00395C1B" w:rsidP="00E65960">
    <w:pPr>
      <w:pStyle w:val="Encabezado"/>
      <w:ind w:right="-21"/>
      <w:rPr>
        <w:rFonts w:ascii="Arial" w:hAnsi="Arial" w:cs="Arial"/>
        <w:b/>
      </w:rPr>
    </w:pPr>
    <w:proofErr w:type="gramStart"/>
    <w:r>
      <w:rPr>
        <w:rFonts w:ascii="Arial" w:hAnsi="Arial"/>
        <w:b/>
        <w:sz w:val="18"/>
        <w:szCs w:val="18"/>
      </w:rPr>
      <w:t>CAPITULO  VI</w:t>
    </w:r>
    <w:proofErr w:type="gramEnd"/>
    <w:r>
      <w:rPr>
        <w:rFonts w:ascii="Arial" w:hAnsi="Arial"/>
        <w:b/>
        <w:sz w:val="18"/>
        <w:szCs w:val="18"/>
      </w:rPr>
      <w:t xml:space="preserve"> REGLAS  RELATIVAS AL SISTEMA DE ADMINISTRACIÓN DEL RIESGO DE LIQUIDEZ</w:t>
    </w:r>
  </w:p>
  <w:p w14:paraId="4C94BFC5" w14:textId="77777777" w:rsidR="00395C1B" w:rsidRDefault="00395C1B" w:rsidP="00A87ACD">
    <w:pPr>
      <w:pStyle w:val="Encabezado"/>
      <w:rPr>
        <w:rStyle w:val="Nmerodepgina"/>
        <w:rFonts w:ascii="Arial" w:hAnsi="Arial" w:cs="Arial"/>
        <w:b/>
        <w:sz w:val="20"/>
        <w:szCs w:val="20"/>
      </w:rPr>
    </w:pPr>
    <w:r>
      <w:rPr>
        <w:rFonts w:ascii="Arial" w:hAnsi="Arial" w:cs="Arial"/>
        <w:b/>
        <w:sz w:val="20"/>
      </w:rPr>
      <w:t xml:space="preserve">Página </w:t>
    </w:r>
    <w:r>
      <w:rPr>
        <w:rStyle w:val="Nmerodepgina"/>
        <w:rFonts w:ascii="Arial" w:hAnsi="Arial" w:cs="Arial"/>
        <w:b/>
        <w:sz w:val="20"/>
        <w:szCs w:val="20"/>
      </w:rPr>
      <w:t>9-1</w:t>
    </w:r>
  </w:p>
  <w:p w14:paraId="018DBD04" w14:textId="77777777" w:rsidR="00395C1B" w:rsidRPr="00A72393" w:rsidRDefault="00395C1B" w:rsidP="00A87ACD">
    <w:pPr>
      <w:pStyle w:val="Encabezado"/>
      <w:rPr>
        <w:rStyle w:val="Nmerodepgina"/>
        <w:rFonts w:ascii="Arial" w:hAnsi="Arial" w:cs="Arial"/>
        <w:b/>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C74A" w14:textId="77777777" w:rsidR="00846C06" w:rsidRDefault="00846C06">
    <w:pPr>
      <w:pStyle w:val="Encabezado"/>
      <w:jc w:val="center"/>
      <w:rPr>
        <w:rFonts w:ascii="Arial" w:hAnsi="Arial" w:cs="Arial"/>
        <w:b/>
      </w:rPr>
    </w:pPr>
  </w:p>
  <w:p w14:paraId="3B6D684E" w14:textId="77777777" w:rsidR="00846C06" w:rsidRDefault="00846C06">
    <w:pPr>
      <w:pStyle w:val="Encabezado"/>
      <w:jc w:val="center"/>
      <w:rPr>
        <w:rFonts w:ascii="Arial" w:hAnsi="Arial" w:cs="Arial"/>
        <w:b/>
      </w:rPr>
    </w:pPr>
    <w:r>
      <w:rPr>
        <w:rFonts w:ascii="Arial" w:hAnsi="Arial" w:cs="Arial"/>
        <w:b/>
      </w:rPr>
      <w:t>SUPERINTENDENCIA FINANCIERA DE COLOMBIA</w:t>
    </w:r>
  </w:p>
  <w:p w14:paraId="6F474D14" w14:textId="77777777" w:rsidR="00846C06" w:rsidRDefault="00846C06">
    <w:pPr>
      <w:pStyle w:val="Encabezado"/>
      <w:jc w:val="center"/>
      <w:rPr>
        <w:rFonts w:ascii="Arial" w:hAnsi="Arial" w:cs="Arial"/>
        <w:b/>
      </w:rPr>
    </w:pPr>
  </w:p>
  <w:p w14:paraId="1D64E2D1" w14:textId="77777777" w:rsidR="00846C06" w:rsidRDefault="00846C06">
    <w:pPr>
      <w:pStyle w:val="Encabezado"/>
      <w:jc w:val="center"/>
      <w:rPr>
        <w:rFonts w:ascii="Arial" w:hAnsi="Arial" w:cs="Arial"/>
        <w:b/>
      </w:rPr>
    </w:pPr>
  </w:p>
  <w:p w14:paraId="425E2ACA" w14:textId="77777777" w:rsidR="00846C06" w:rsidRDefault="00846C06">
    <w:pPr>
      <w:pStyle w:val="Encabezado"/>
      <w:ind w:right="-21"/>
      <w:rPr>
        <w:rFonts w:ascii="Arial" w:hAnsi="Arial" w:cs="Arial"/>
        <w:b/>
      </w:rPr>
    </w:pPr>
    <w:proofErr w:type="gramStart"/>
    <w:r>
      <w:rPr>
        <w:rFonts w:ascii="Arial" w:hAnsi="Arial"/>
        <w:b/>
        <w:sz w:val="18"/>
        <w:szCs w:val="18"/>
      </w:rPr>
      <w:t>CAPÍTULO  VI</w:t>
    </w:r>
    <w:proofErr w:type="gramEnd"/>
    <w:r>
      <w:rPr>
        <w:rFonts w:ascii="Arial" w:hAnsi="Arial"/>
        <w:b/>
        <w:sz w:val="18"/>
        <w:szCs w:val="18"/>
      </w:rPr>
      <w:t xml:space="preserve"> REGLAS  RELATIVAS AL SISTEMA DE ADMINISTRACIÓN DEL RIESGO DE LIQUIDEZ</w:t>
    </w:r>
  </w:p>
  <w:p w14:paraId="319C706F" w14:textId="77777777" w:rsidR="00846C06" w:rsidRPr="00A72393" w:rsidRDefault="00846C06">
    <w:pPr>
      <w:pStyle w:val="Encabezado"/>
      <w:jc w:val="both"/>
      <w:rPr>
        <w:rStyle w:val="Nmerodepgina"/>
        <w:rFonts w:ascii="Arial" w:hAnsi="Arial" w:cs="Arial"/>
        <w:b/>
        <w:bCs/>
        <w:sz w:val="20"/>
        <w:szCs w:val="20"/>
      </w:rPr>
    </w:pPr>
    <w:r w:rsidRPr="00A72393">
      <w:rPr>
        <w:rFonts w:ascii="Arial" w:hAnsi="Arial" w:cs="Arial"/>
        <w:b/>
        <w:sz w:val="20"/>
        <w:szCs w:val="20"/>
      </w:rPr>
      <w:t xml:space="preserve">Página </w:t>
    </w:r>
    <w:r w:rsidRPr="00A72393">
      <w:rPr>
        <w:rStyle w:val="Nmerodepgina"/>
        <w:rFonts w:ascii="Arial" w:hAnsi="Arial" w:cs="Arial"/>
        <w:b/>
        <w:sz w:val="20"/>
        <w:szCs w:val="20"/>
      </w:rPr>
      <w:fldChar w:fldCharType="begin"/>
    </w:r>
    <w:r w:rsidRPr="00A72393">
      <w:rPr>
        <w:rStyle w:val="Nmerodepgina"/>
        <w:rFonts w:ascii="Arial" w:hAnsi="Arial" w:cs="Arial"/>
        <w:b/>
        <w:sz w:val="20"/>
        <w:szCs w:val="20"/>
      </w:rPr>
      <w:instrText xml:space="preserve"> PAGE </w:instrText>
    </w:r>
    <w:r w:rsidRPr="00A72393">
      <w:rPr>
        <w:rStyle w:val="Nmerodepgina"/>
        <w:rFonts w:ascii="Arial" w:hAnsi="Arial" w:cs="Arial"/>
        <w:b/>
        <w:sz w:val="20"/>
        <w:szCs w:val="20"/>
      </w:rPr>
      <w:fldChar w:fldCharType="separate"/>
    </w:r>
    <w:r w:rsidR="006E1879">
      <w:rPr>
        <w:rStyle w:val="Nmerodepgina"/>
        <w:rFonts w:ascii="Arial" w:hAnsi="Arial" w:cs="Arial"/>
        <w:b/>
        <w:noProof/>
        <w:sz w:val="20"/>
        <w:szCs w:val="20"/>
      </w:rPr>
      <w:t>12</w:t>
    </w:r>
    <w:r w:rsidRPr="00A72393">
      <w:rPr>
        <w:rStyle w:val="Nmerodepgina"/>
        <w:rFonts w:ascii="Arial" w:hAnsi="Arial" w:cs="Arial"/>
        <w:b/>
        <w:sz w:val="20"/>
        <w:szCs w:val="20"/>
      </w:rPr>
      <w:fldChar w:fldCharType="end"/>
    </w:r>
  </w:p>
  <w:p w14:paraId="59921F20" w14:textId="77777777" w:rsidR="00846C06" w:rsidRPr="00A72393" w:rsidRDefault="00846C06">
    <w:pPr>
      <w:pStyle w:val="Encabezado"/>
      <w:jc w:val="both"/>
      <w:rPr>
        <w:rFonts w:ascii="Arial" w:hAnsi="Arial" w:cs="Arial"/>
        <w:b/>
        <w:bCs/>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2DD78" w14:textId="77777777" w:rsidR="009138A3" w:rsidRDefault="009138A3" w:rsidP="00A87ACD">
    <w:pPr>
      <w:pStyle w:val="Encabezado"/>
      <w:ind w:right="360"/>
      <w:jc w:val="center"/>
      <w:rPr>
        <w:rFonts w:ascii="Arial" w:hAnsi="Arial" w:cs="Arial"/>
        <w:b/>
      </w:rPr>
    </w:pPr>
  </w:p>
  <w:p w14:paraId="18E73A3C" w14:textId="77777777" w:rsidR="009138A3" w:rsidRDefault="009138A3" w:rsidP="00A87ACD">
    <w:pPr>
      <w:pStyle w:val="Encabezado"/>
      <w:ind w:right="360"/>
      <w:jc w:val="center"/>
      <w:rPr>
        <w:rFonts w:ascii="Arial" w:hAnsi="Arial" w:cs="Arial"/>
        <w:b/>
      </w:rPr>
    </w:pPr>
    <w:r w:rsidRPr="004F022A">
      <w:rPr>
        <w:rFonts w:ascii="Arial" w:hAnsi="Arial" w:cs="Arial"/>
        <w:b/>
      </w:rPr>
      <w:t>SUPERINTENDENCIA FINANCIERA DE COLOMBIA</w:t>
    </w:r>
  </w:p>
  <w:p w14:paraId="79B1CA2A" w14:textId="77777777" w:rsidR="009138A3" w:rsidRDefault="009138A3" w:rsidP="004F022A">
    <w:pPr>
      <w:pStyle w:val="Encabezado"/>
      <w:jc w:val="center"/>
      <w:rPr>
        <w:rFonts w:ascii="Arial" w:hAnsi="Arial" w:cs="Arial"/>
        <w:b/>
      </w:rPr>
    </w:pPr>
  </w:p>
  <w:p w14:paraId="34A59A34" w14:textId="77777777" w:rsidR="009138A3" w:rsidRDefault="009138A3" w:rsidP="004F022A">
    <w:pPr>
      <w:pStyle w:val="Encabezado"/>
      <w:jc w:val="center"/>
      <w:rPr>
        <w:rFonts w:ascii="Arial" w:hAnsi="Arial" w:cs="Arial"/>
        <w:b/>
      </w:rPr>
    </w:pPr>
  </w:p>
  <w:p w14:paraId="50199AED" w14:textId="77777777" w:rsidR="009138A3" w:rsidRDefault="009138A3" w:rsidP="00E65960">
    <w:pPr>
      <w:pStyle w:val="Encabezado"/>
      <w:ind w:right="-21"/>
      <w:rPr>
        <w:rFonts w:ascii="Arial" w:hAnsi="Arial" w:cs="Arial"/>
        <w:b/>
      </w:rPr>
    </w:pPr>
    <w:proofErr w:type="gramStart"/>
    <w:r>
      <w:rPr>
        <w:rFonts w:ascii="Arial" w:hAnsi="Arial"/>
        <w:b/>
        <w:sz w:val="18"/>
        <w:szCs w:val="18"/>
      </w:rPr>
      <w:t>CAPITULO  VI</w:t>
    </w:r>
    <w:proofErr w:type="gramEnd"/>
    <w:r>
      <w:rPr>
        <w:rFonts w:ascii="Arial" w:hAnsi="Arial"/>
        <w:b/>
        <w:sz w:val="18"/>
        <w:szCs w:val="18"/>
      </w:rPr>
      <w:t xml:space="preserve"> REGLAS  RELATIVAS AL SISTEMA DE ADMINISTRACIÓN DEL RIESGO DE LIQUIDEZ</w:t>
    </w:r>
  </w:p>
  <w:p w14:paraId="01594E5E" w14:textId="77777777" w:rsidR="009138A3" w:rsidRDefault="009138A3" w:rsidP="00A87ACD">
    <w:pPr>
      <w:pStyle w:val="Encabezado"/>
      <w:rPr>
        <w:rStyle w:val="Nmerodepgina"/>
        <w:rFonts w:ascii="Arial" w:hAnsi="Arial" w:cs="Arial"/>
        <w:b/>
        <w:sz w:val="20"/>
        <w:szCs w:val="20"/>
      </w:rPr>
    </w:pPr>
    <w:r>
      <w:rPr>
        <w:rFonts w:ascii="Arial" w:hAnsi="Arial" w:cs="Arial"/>
        <w:b/>
        <w:sz w:val="20"/>
      </w:rPr>
      <w:t xml:space="preserve">Página </w:t>
    </w:r>
    <w:r w:rsidR="00F52740">
      <w:rPr>
        <w:rStyle w:val="Nmerodepgina"/>
        <w:rFonts w:ascii="Arial" w:hAnsi="Arial" w:cs="Arial"/>
        <w:b/>
        <w:sz w:val="20"/>
        <w:szCs w:val="20"/>
      </w:rPr>
      <w:t>9-2</w:t>
    </w:r>
  </w:p>
  <w:p w14:paraId="5A201E93" w14:textId="77777777" w:rsidR="009138A3" w:rsidRPr="00A72393" w:rsidRDefault="009138A3" w:rsidP="00A87ACD">
    <w:pPr>
      <w:pStyle w:val="Encabezado"/>
      <w:rPr>
        <w:rStyle w:val="Nmerodepgina"/>
        <w:rFonts w:ascii="Arial" w:hAnsi="Arial" w:cs="Arial"/>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61904" w14:textId="77777777" w:rsidR="00146892" w:rsidRDefault="00146892" w:rsidP="004F022A">
    <w:pPr>
      <w:pStyle w:val="Encabezado"/>
      <w:jc w:val="center"/>
      <w:rPr>
        <w:rFonts w:ascii="Arial" w:hAnsi="Arial" w:cs="Arial"/>
        <w:b/>
      </w:rPr>
    </w:pPr>
    <w:r w:rsidRPr="004F022A">
      <w:rPr>
        <w:rFonts w:ascii="Arial" w:hAnsi="Arial" w:cs="Arial"/>
        <w:b/>
      </w:rPr>
      <w:t>SUPERINTENDENCIA FINANCIERA DE COLOMBIA</w:t>
    </w:r>
  </w:p>
  <w:p w14:paraId="536A7689" w14:textId="77777777" w:rsidR="00146892" w:rsidRDefault="00146892" w:rsidP="004F022A">
    <w:pPr>
      <w:pStyle w:val="Encabezado"/>
      <w:jc w:val="center"/>
      <w:rPr>
        <w:rFonts w:ascii="Arial" w:hAnsi="Arial" w:cs="Arial"/>
        <w:b/>
      </w:rPr>
    </w:pPr>
  </w:p>
  <w:p w14:paraId="36523592" w14:textId="77777777" w:rsidR="00146892" w:rsidRDefault="00146892" w:rsidP="004F022A">
    <w:pPr>
      <w:pStyle w:val="Encabezado"/>
      <w:jc w:val="center"/>
      <w:rPr>
        <w:rFonts w:ascii="Arial" w:hAnsi="Arial" w:cs="Arial"/>
        <w:b/>
      </w:rPr>
    </w:pPr>
  </w:p>
  <w:p w14:paraId="0ADDE6AD" w14:textId="77777777" w:rsidR="00146892" w:rsidRDefault="00146892" w:rsidP="00E65960">
    <w:pPr>
      <w:pStyle w:val="Encabezado"/>
      <w:ind w:right="-21"/>
      <w:rPr>
        <w:rFonts w:ascii="Arial" w:hAnsi="Arial" w:cs="Arial"/>
        <w:b/>
      </w:rPr>
    </w:pPr>
    <w:proofErr w:type="gramStart"/>
    <w:r>
      <w:rPr>
        <w:rFonts w:ascii="Arial" w:hAnsi="Arial"/>
        <w:b/>
        <w:sz w:val="18"/>
        <w:szCs w:val="18"/>
      </w:rPr>
      <w:t>CAPITULO  VI</w:t>
    </w:r>
    <w:proofErr w:type="gramEnd"/>
    <w:r>
      <w:rPr>
        <w:rFonts w:ascii="Arial" w:hAnsi="Arial"/>
        <w:b/>
        <w:sz w:val="18"/>
        <w:szCs w:val="18"/>
      </w:rPr>
      <w:t xml:space="preserve"> REGLAS  RELATIVAS AL SISTEMA DE ADMINISTRACIÓN DEL RIESGO DE LIQUIDEZ</w:t>
    </w:r>
  </w:p>
  <w:p w14:paraId="7DE73D02" w14:textId="77777777" w:rsidR="00146892" w:rsidRDefault="00146892" w:rsidP="00E65960">
    <w:pPr>
      <w:pStyle w:val="Encabezado"/>
      <w:jc w:val="both"/>
      <w:rPr>
        <w:rStyle w:val="Nmerodepgina"/>
        <w:rFonts w:ascii="Arial" w:hAnsi="Arial" w:cs="Arial"/>
        <w:b/>
        <w:bCs/>
        <w:sz w:val="20"/>
      </w:rPr>
    </w:pPr>
    <w:r>
      <w:rPr>
        <w:rFonts w:ascii="Arial" w:hAnsi="Arial" w:cs="Arial"/>
        <w:b/>
        <w:sz w:val="20"/>
      </w:rPr>
      <w:t xml:space="preserve">Página </w:t>
    </w:r>
    <w:r>
      <w:rPr>
        <w:rStyle w:val="Nmerodepgina"/>
        <w:rFonts w:ascii="Arial" w:hAnsi="Arial" w:cs="Arial"/>
        <w:b/>
        <w:bCs/>
        <w:sz w:val="20"/>
      </w:rPr>
      <w:t>1</w:t>
    </w:r>
  </w:p>
  <w:p w14:paraId="2B1C5E7A" w14:textId="77777777" w:rsidR="00146892" w:rsidRPr="004F022A" w:rsidRDefault="00146892" w:rsidP="004F022A">
    <w:pPr>
      <w:pStyle w:val="Encabezado"/>
      <w:jc w:val="center"/>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AAAA6" w14:textId="77777777" w:rsidR="00486514" w:rsidRDefault="00486514">
    <w:pPr>
      <w:pStyle w:val="Encabezado"/>
      <w:jc w:val="center"/>
      <w:rPr>
        <w:rFonts w:ascii="Arial" w:hAnsi="Arial" w:cs="Arial"/>
        <w:b/>
      </w:rPr>
    </w:pPr>
  </w:p>
  <w:p w14:paraId="0AD15E8D" w14:textId="77777777" w:rsidR="00486514" w:rsidRDefault="00486514">
    <w:pPr>
      <w:pStyle w:val="Encabezado"/>
      <w:jc w:val="center"/>
      <w:rPr>
        <w:rFonts w:ascii="Arial" w:hAnsi="Arial" w:cs="Arial"/>
        <w:b/>
      </w:rPr>
    </w:pPr>
    <w:r>
      <w:rPr>
        <w:rFonts w:ascii="Arial" w:hAnsi="Arial" w:cs="Arial"/>
        <w:b/>
      </w:rPr>
      <w:t>SUPERINTENDENCIA FINANCIERA DE COLOMBIA</w:t>
    </w:r>
  </w:p>
  <w:p w14:paraId="1D24FC33" w14:textId="77777777" w:rsidR="00486514" w:rsidRDefault="00486514">
    <w:pPr>
      <w:pStyle w:val="Encabezado"/>
      <w:jc w:val="center"/>
      <w:rPr>
        <w:rFonts w:ascii="Arial" w:hAnsi="Arial" w:cs="Arial"/>
        <w:b/>
      </w:rPr>
    </w:pPr>
  </w:p>
  <w:p w14:paraId="2EEBF41D" w14:textId="77777777" w:rsidR="00486514" w:rsidRDefault="00486514">
    <w:pPr>
      <w:pStyle w:val="Encabezado"/>
      <w:jc w:val="center"/>
      <w:rPr>
        <w:rFonts w:ascii="Arial" w:hAnsi="Arial" w:cs="Arial"/>
        <w:b/>
      </w:rPr>
    </w:pPr>
  </w:p>
  <w:p w14:paraId="2D00D03B" w14:textId="77777777" w:rsidR="00486514" w:rsidRDefault="00486514">
    <w:pPr>
      <w:pStyle w:val="Encabezado"/>
      <w:ind w:right="-21"/>
      <w:rPr>
        <w:rFonts w:ascii="Arial" w:hAnsi="Arial" w:cs="Arial"/>
        <w:b/>
      </w:rPr>
    </w:pPr>
    <w:proofErr w:type="gramStart"/>
    <w:r>
      <w:rPr>
        <w:rFonts w:ascii="Arial" w:hAnsi="Arial"/>
        <w:b/>
        <w:sz w:val="18"/>
        <w:szCs w:val="18"/>
      </w:rPr>
      <w:t>CAPÍTULO  VI</w:t>
    </w:r>
    <w:proofErr w:type="gramEnd"/>
    <w:r>
      <w:rPr>
        <w:rFonts w:ascii="Arial" w:hAnsi="Arial"/>
        <w:b/>
        <w:sz w:val="18"/>
        <w:szCs w:val="18"/>
      </w:rPr>
      <w:t xml:space="preserve"> REGLAS  RELATIVAS AL SISTEMA DE ADMINISTRACIÓN DEL RIESGO DE LIQUIDEZ</w:t>
    </w:r>
  </w:p>
  <w:p w14:paraId="13413D28" w14:textId="77777777" w:rsidR="00486514" w:rsidRDefault="00486514">
    <w:pPr>
      <w:pStyle w:val="Encabezado"/>
      <w:jc w:val="both"/>
      <w:rPr>
        <w:rStyle w:val="Nmerodepgina"/>
        <w:rFonts w:ascii="Arial" w:hAnsi="Arial" w:cs="Arial"/>
        <w:b/>
        <w:bCs/>
        <w:sz w:val="20"/>
        <w:szCs w:val="20"/>
      </w:rPr>
    </w:pPr>
    <w:r w:rsidRPr="00A72393">
      <w:rPr>
        <w:rFonts w:ascii="Arial" w:hAnsi="Arial" w:cs="Arial"/>
        <w:b/>
        <w:sz w:val="20"/>
        <w:szCs w:val="20"/>
      </w:rPr>
      <w:t xml:space="preserve">Página </w:t>
    </w:r>
    <w:r w:rsidR="009C74E5">
      <w:rPr>
        <w:rStyle w:val="Nmerodepgina"/>
        <w:rFonts w:ascii="Arial" w:hAnsi="Arial" w:cs="Arial"/>
        <w:b/>
        <w:sz w:val="20"/>
        <w:szCs w:val="20"/>
      </w:rPr>
      <w:t>4</w:t>
    </w:r>
    <w:r w:rsidR="002356FC">
      <w:rPr>
        <w:rStyle w:val="Nmerodepgina"/>
        <w:rFonts w:ascii="Arial" w:hAnsi="Arial" w:cs="Arial"/>
        <w:b/>
        <w:sz w:val="20"/>
        <w:szCs w:val="20"/>
      </w:rPr>
      <w:t>-1</w:t>
    </w:r>
  </w:p>
  <w:p w14:paraId="48D3D337" w14:textId="77777777" w:rsidR="00395C1B" w:rsidRPr="00A72393" w:rsidRDefault="00395C1B">
    <w:pPr>
      <w:pStyle w:val="Encabezado"/>
      <w:jc w:val="both"/>
      <w:rPr>
        <w:rFonts w:ascii="Arial" w:hAnsi="Arial" w:cs="Arial"/>
        <w:b/>
        <w:bCs/>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97998" w14:textId="77777777" w:rsidR="002655C3" w:rsidRDefault="002655C3" w:rsidP="00A87ACD">
    <w:pPr>
      <w:pStyle w:val="Encabezado"/>
      <w:ind w:right="360"/>
      <w:jc w:val="center"/>
      <w:rPr>
        <w:rFonts w:ascii="Arial" w:hAnsi="Arial" w:cs="Arial"/>
        <w:b/>
      </w:rPr>
    </w:pPr>
  </w:p>
  <w:p w14:paraId="42CA99BB" w14:textId="77777777" w:rsidR="00486514" w:rsidRDefault="00486514" w:rsidP="00A87ACD">
    <w:pPr>
      <w:pStyle w:val="Encabezado"/>
      <w:ind w:right="360"/>
      <w:jc w:val="center"/>
      <w:rPr>
        <w:rFonts w:ascii="Arial" w:hAnsi="Arial" w:cs="Arial"/>
        <w:b/>
      </w:rPr>
    </w:pPr>
    <w:r w:rsidRPr="004F022A">
      <w:rPr>
        <w:rFonts w:ascii="Arial" w:hAnsi="Arial" w:cs="Arial"/>
        <w:b/>
      </w:rPr>
      <w:t>SUPERINTENDENCIA FINANCIERA DE COLOMBIA</w:t>
    </w:r>
  </w:p>
  <w:p w14:paraId="717868C8" w14:textId="77777777" w:rsidR="00486514" w:rsidRDefault="00486514" w:rsidP="004F022A">
    <w:pPr>
      <w:pStyle w:val="Encabezado"/>
      <w:jc w:val="center"/>
      <w:rPr>
        <w:rFonts w:ascii="Arial" w:hAnsi="Arial" w:cs="Arial"/>
        <w:b/>
      </w:rPr>
    </w:pPr>
  </w:p>
  <w:p w14:paraId="3358B64B" w14:textId="77777777" w:rsidR="00486514" w:rsidRDefault="00486514" w:rsidP="004F022A">
    <w:pPr>
      <w:pStyle w:val="Encabezado"/>
      <w:jc w:val="center"/>
      <w:rPr>
        <w:rFonts w:ascii="Arial" w:hAnsi="Arial" w:cs="Arial"/>
        <w:b/>
      </w:rPr>
    </w:pPr>
  </w:p>
  <w:p w14:paraId="6D563BFA" w14:textId="77777777" w:rsidR="00486514" w:rsidRDefault="00486514" w:rsidP="00E65960">
    <w:pPr>
      <w:pStyle w:val="Encabezado"/>
      <w:ind w:right="-21"/>
      <w:rPr>
        <w:rFonts w:ascii="Arial" w:hAnsi="Arial" w:cs="Arial"/>
        <w:b/>
      </w:rPr>
    </w:pPr>
    <w:proofErr w:type="gramStart"/>
    <w:r>
      <w:rPr>
        <w:rFonts w:ascii="Arial" w:hAnsi="Arial"/>
        <w:b/>
        <w:sz w:val="18"/>
        <w:szCs w:val="18"/>
      </w:rPr>
      <w:t>CAPITULO  VI</w:t>
    </w:r>
    <w:proofErr w:type="gramEnd"/>
    <w:r>
      <w:rPr>
        <w:rFonts w:ascii="Arial" w:hAnsi="Arial"/>
        <w:b/>
        <w:sz w:val="18"/>
        <w:szCs w:val="18"/>
      </w:rPr>
      <w:t xml:space="preserve"> REGLAS  RELATIVAS AL SISTEMA DE ADMINISTRACIÓN DEL RIESGO DE LIQUIDEZ</w:t>
    </w:r>
  </w:p>
  <w:p w14:paraId="2047D2C5" w14:textId="77777777" w:rsidR="00486514" w:rsidRDefault="00486514" w:rsidP="00A87ACD">
    <w:pPr>
      <w:pStyle w:val="Encabezado"/>
      <w:rPr>
        <w:rStyle w:val="Nmerodepgina"/>
        <w:rFonts w:ascii="Arial" w:hAnsi="Arial" w:cs="Arial"/>
        <w:b/>
        <w:sz w:val="20"/>
        <w:szCs w:val="20"/>
      </w:rPr>
    </w:pPr>
    <w:r>
      <w:rPr>
        <w:rFonts w:ascii="Arial" w:hAnsi="Arial" w:cs="Arial"/>
        <w:b/>
        <w:sz w:val="20"/>
      </w:rPr>
      <w:t xml:space="preserve">Página </w:t>
    </w:r>
    <w:r w:rsidRPr="00A72393">
      <w:rPr>
        <w:rStyle w:val="Nmerodepgina"/>
        <w:rFonts w:ascii="Arial" w:hAnsi="Arial" w:cs="Arial"/>
        <w:b/>
        <w:sz w:val="20"/>
        <w:szCs w:val="20"/>
      </w:rPr>
      <w:fldChar w:fldCharType="begin"/>
    </w:r>
    <w:r w:rsidRPr="00A72393">
      <w:rPr>
        <w:rStyle w:val="Nmerodepgina"/>
        <w:rFonts w:ascii="Arial" w:hAnsi="Arial" w:cs="Arial"/>
        <w:b/>
        <w:sz w:val="20"/>
        <w:szCs w:val="20"/>
      </w:rPr>
      <w:instrText xml:space="preserve"> PAGE </w:instrText>
    </w:r>
    <w:r w:rsidRPr="00A72393">
      <w:rPr>
        <w:rStyle w:val="Nmerodepgina"/>
        <w:rFonts w:ascii="Arial" w:hAnsi="Arial" w:cs="Arial"/>
        <w:b/>
        <w:sz w:val="20"/>
        <w:szCs w:val="20"/>
      </w:rPr>
      <w:fldChar w:fldCharType="separate"/>
    </w:r>
    <w:r w:rsidR="006D6825">
      <w:rPr>
        <w:rStyle w:val="Nmerodepgina"/>
        <w:rFonts w:ascii="Arial" w:hAnsi="Arial" w:cs="Arial"/>
        <w:b/>
        <w:noProof/>
        <w:sz w:val="20"/>
        <w:szCs w:val="20"/>
      </w:rPr>
      <w:t>4</w:t>
    </w:r>
    <w:r w:rsidRPr="00A72393">
      <w:rPr>
        <w:rStyle w:val="Nmerodepgina"/>
        <w:rFonts w:ascii="Arial" w:hAnsi="Arial" w:cs="Arial"/>
        <w:b/>
        <w:sz w:val="20"/>
        <w:szCs w:val="20"/>
      </w:rPr>
      <w:fldChar w:fldCharType="end"/>
    </w:r>
  </w:p>
  <w:p w14:paraId="7E6D873C" w14:textId="77777777" w:rsidR="002655C3" w:rsidRPr="00A72393" w:rsidRDefault="002655C3" w:rsidP="00A87ACD">
    <w:pPr>
      <w:pStyle w:val="Encabezado"/>
      <w:rPr>
        <w:rStyle w:val="Nmerodepgina"/>
        <w:rFonts w:ascii="Arial" w:hAnsi="Arial" w:cs="Arial"/>
        <w:b/>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9D5C" w14:textId="77777777" w:rsidR="00395C1B" w:rsidRDefault="00395C1B">
    <w:pPr>
      <w:pStyle w:val="Encabezado"/>
      <w:jc w:val="center"/>
      <w:rPr>
        <w:rFonts w:ascii="Arial" w:hAnsi="Arial" w:cs="Arial"/>
        <w:b/>
      </w:rPr>
    </w:pPr>
  </w:p>
  <w:p w14:paraId="51807BB5" w14:textId="77777777" w:rsidR="00395C1B" w:rsidRDefault="00395C1B">
    <w:pPr>
      <w:pStyle w:val="Encabezado"/>
      <w:jc w:val="center"/>
      <w:rPr>
        <w:rFonts w:ascii="Arial" w:hAnsi="Arial" w:cs="Arial"/>
        <w:b/>
      </w:rPr>
    </w:pPr>
    <w:r>
      <w:rPr>
        <w:rFonts w:ascii="Arial" w:hAnsi="Arial" w:cs="Arial"/>
        <w:b/>
      </w:rPr>
      <w:t>SUPERINTENDENCIA FINANCIERA DE COLOMBIA</w:t>
    </w:r>
  </w:p>
  <w:p w14:paraId="4916ABD1" w14:textId="77777777" w:rsidR="00395C1B" w:rsidRDefault="00395C1B">
    <w:pPr>
      <w:pStyle w:val="Encabezado"/>
      <w:jc w:val="center"/>
      <w:rPr>
        <w:rFonts w:ascii="Arial" w:hAnsi="Arial" w:cs="Arial"/>
        <w:b/>
      </w:rPr>
    </w:pPr>
  </w:p>
  <w:p w14:paraId="05CA3B55" w14:textId="77777777" w:rsidR="00395C1B" w:rsidRDefault="00395C1B">
    <w:pPr>
      <w:pStyle w:val="Encabezado"/>
      <w:jc w:val="center"/>
      <w:rPr>
        <w:rFonts w:ascii="Arial" w:hAnsi="Arial" w:cs="Arial"/>
        <w:b/>
      </w:rPr>
    </w:pPr>
  </w:p>
  <w:p w14:paraId="3A52ED84" w14:textId="77777777" w:rsidR="00395C1B" w:rsidRDefault="00395C1B">
    <w:pPr>
      <w:pStyle w:val="Encabezado"/>
      <w:ind w:right="-21"/>
      <w:rPr>
        <w:rFonts w:ascii="Arial" w:hAnsi="Arial" w:cs="Arial"/>
        <w:b/>
      </w:rPr>
    </w:pPr>
    <w:proofErr w:type="gramStart"/>
    <w:r>
      <w:rPr>
        <w:rFonts w:ascii="Arial" w:hAnsi="Arial"/>
        <w:b/>
        <w:sz w:val="18"/>
        <w:szCs w:val="18"/>
      </w:rPr>
      <w:t>CAPÍTULO  VI</w:t>
    </w:r>
    <w:proofErr w:type="gramEnd"/>
    <w:r>
      <w:rPr>
        <w:rFonts w:ascii="Arial" w:hAnsi="Arial"/>
        <w:b/>
        <w:sz w:val="18"/>
        <w:szCs w:val="18"/>
      </w:rPr>
      <w:t xml:space="preserve"> REGLAS  RELATIVAS AL SISTEMA DE ADMINISTRACIÓN DEL RIESGO DE LIQUIDEZ</w:t>
    </w:r>
  </w:p>
  <w:p w14:paraId="1A6EBF4A" w14:textId="77777777" w:rsidR="00395C1B" w:rsidRDefault="00395C1B">
    <w:pPr>
      <w:pStyle w:val="Encabezado"/>
      <w:jc w:val="both"/>
      <w:rPr>
        <w:rStyle w:val="Nmerodepgina"/>
        <w:rFonts w:ascii="Arial" w:hAnsi="Arial" w:cs="Arial"/>
        <w:b/>
        <w:bCs/>
        <w:sz w:val="20"/>
        <w:szCs w:val="20"/>
      </w:rPr>
    </w:pPr>
    <w:r w:rsidRPr="00A72393">
      <w:rPr>
        <w:rFonts w:ascii="Arial" w:hAnsi="Arial" w:cs="Arial"/>
        <w:b/>
        <w:sz w:val="20"/>
        <w:szCs w:val="20"/>
      </w:rPr>
      <w:t xml:space="preserve">Página </w:t>
    </w:r>
    <w:r>
      <w:rPr>
        <w:rStyle w:val="Nmerodepgina"/>
        <w:rFonts w:ascii="Arial" w:hAnsi="Arial" w:cs="Arial"/>
        <w:b/>
        <w:sz w:val="20"/>
        <w:szCs w:val="20"/>
      </w:rPr>
      <w:t>4-1</w:t>
    </w:r>
  </w:p>
  <w:p w14:paraId="25AD47A9" w14:textId="77777777" w:rsidR="00395C1B" w:rsidRPr="00A72393" w:rsidRDefault="00395C1B">
    <w:pPr>
      <w:pStyle w:val="Encabezado"/>
      <w:jc w:val="both"/>
      <w:rPr>
        <w:rFonts w:ascii="Arial" w:hAnsi="Arial" w:cs="Arial"/>
        <w:b/>
        <w:bCs/>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6AC72" w14:textId="77777777" w:rsidR="00395C1B" w:rsidRDefault="00395C1B" w:rsidP="00A87ACD">
    <w:pPr>
      <w:pStyle w:val="Encabezado"/>
      <w:ind w:right="360"/>
      <w:jc w:val="center"/>
      <w:rPr>
        <w:rFonts w:ascii="Arial" w:hAnsi="Arial" w:cs="Arial"/>
        <w:b/>
      </w:rPr>
    </w:pPr>
  </w:p>
  <w:p w14:paraId="36A261F6" w14:textId="77777777" w:rsidR="00395C1B" w:rsidRDefault="00395C1B" w:rsidP="00A87ACD">
    <w:pPr>
      <w:pStyle w:val="Encabezado"/>
      <w:ind w:right="360"/>
      <w:jc w:val="center"/>
      <w:rPr>
        <w:rFonts w:ascii="Arial" w:hAnsi="Arial" w:cs="Arial"/>
        <w:b/>
      </w:rPr>
    </w:pPr>
    <w:r w:rsidRPr="004F022A">
      <w:rPr>
        <w:rFonts w:ascii="Arial" w:hAnsi="Arial" w:cs="Arial"/>
        <w:b/>
      </w:rPr>
      <w:t>SUPERINTENDENCIA FINANCIERA DE COLOMBIA</w:t>
    </w:r>
  </w:p>
  <w:p w14:paraId="0E94FE53" w14:textId="77777777" w:rsidR="00395C1B" w:rsidRDefault="00395C1B" w:rsidP="004F022A">
    <w:pPr>
      <w:pStyle w:val="Encabezado"/>
      <w:jc w:val="center"/>
      <w:rPr>
        <w:rFonts w:ascii="Arial" w:hAnsi="Arial" w:cs="Arial"/>
        <w:b/>
      </w:rPr>
    </w:pPr>
  </w:p>
  <w:p w14:paraId="04ED7578" w14:textId="77777777" w:rsidR="00395C1B" w:rsidRDefault="00395C1B" w:rsidP="004F022A">
    <w:pPr>
      <w:pStyle w:val="Encabezado"/>
      <w:jc w:val="center"/>
      <w:rPr>
        <w:rFonts w:ascii="Arial" w:hAnsi="Arial" w:cs="Arial"/>
        <w:b/>
      </w:rPr>
    </w:pPr>
  </w:p>
  <w:p w14:paraId="24C042BB" w14:textId="77777777" w:rsidR="00395C1B" w:rsidRDefault="00395C1B" w:rsidP="00E65960">
    <w:pPr>
      <w:pStyle w:val="Encabezado"/>
      <w:ind w:right="-21"/>
      <w:rPr>
        <w:rFonts w:ascii="Arial" w:hAnsi="Arial" w:cs="Arial"/>
        <w:b/>
      </w:rPr>
    </w:pPr>
    <w:proofErr w:type="gramStart"/>
    <w:r>
      <w:rPr>
        <w:rFonts w:ascii="Arial" w:hAnsi="Arial"/>
        <w:b/>
        <w:sz w:val="18"/>
        <w:szCs w:val="18"/>
      </w:rPr>
      <w:t>CAPITULO  VI</w:t>
    </w:r>
    <w:proofErr w:type="gramEnd"/>
    <w:r>
      <w:rPr>
        <w:rFonts w:ascii="Arial" w:hAnsi="Arial"/>
        <w:b/>
        <w:sz w:val="18"/>
        <w:szCs w:val="18"/>
      </w:rPr>
      <w:t xml:space="preserve"> REGLAS  RELATIVAS AL SISTEMA DE ADMINISTRACIÓN DEL RIESGO DE LIQUIDEZ</w:t>
    </w:r>
  </w:p>
  <w:p w14:paraId="7ECCB401" w14:textId="77777777" w:rsidR="00395C1B" w:rsidRDefault="00395C1B" w:rsidP="00A87ACD">
    <w:pPr>
      <w:pStyle w:val="Encabezado"/>
      <w:rPr>
        <w:rStyle w:val="Nmerodepgina"/>
        <w:rFonts w:ascii="Arial" w:hAnsi="Arial" w:cs="Arial"/>
        <w:b/>
        <w:sz w:val="20"/>
        <w:szCs w:val="20"/>
      </w:rPr>
    </w:pPr>
    <w:r>
      <w:rPr>
        <w:rFonts w:ascii="Arial" w:hAnsi="Arial" w:cs="Arial"/>
        <w:b/>
        <w:sz w:val="20"/>
      </w:rPr>
      <w:t xml:space="preserve">Página </w:t>
    </w:r>
    <w:r>
      <w:rPr>
        <w:rStyle w:val="Nmerodepgina"/>
        <w:rFonts w:ascii="Arial" w:hAnsi="Arial" w:cs="Arial"/>
        <w:b/>
        <w:sz w:val="20"/>
        <w:szCs w:val="20"/>
      </w:rPr>
      <w:t>8</w:t>
    </w:r>
  </w:p>
  <w:p w14:paraId="0E2293C9" w14:textId="77777777" w:rsidR="00395C1B" w:rsidRPr="00A72393" w:rsidRDefault="00395C1B" w:rsidP="00A87ACD">
    <w:pPr>
      <w:pStyle w:val="Encabezado"/>
      <w:rPr>
        <w:rStyle w:val="Nmerodepgina"/>
        <w:rFonts w:ascii="Arial" w:hAnsi="Arial" w:cs="Arial"/>
        <w:b/>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A8D7A" w14:textId="77777777" w:rsidR="00F52740" w:rsidRDefault="00F52740">
    <w:pPr>
      <w:pStyle w:val="Encabezado"/>
      <w:jc w:val="center"/>
      <w:rPr>
        <w:rFonts w:ascii="Arial" w:hAnsi="Arial" w:cs="Arial"/>
        <w:b/>
      </w:rPr>
    </w:pPr>
  </w:p>
  <w:p w14:paraId="5AE2394A" w14:textId="77777777" w:rsidR="00F52740" w:rsidRDefault="00F52740">
    <w:pPr>
      <w:pStyle w:val="Encabezado"/>
      <w:jc w:val="center"/>
      <w:rPr>
        <w:rFonts w:ascii="Arial" w:hAnsi="Arial" w:cs="Arial"/>
        <w:b/>
      </w:rPr>
    </w:pPr>
    <w:r>
      <w:rPr>
        <w:rFonts w:ascii="Arial" w:hAnsi="Arial" w:cs="Arial"/>
        <w:b/>
      </w:rPr>
      <w:t>SUPERINTENDENCIA FINANCIERA DE COLOMBIA</w:t>
    </w:r>
  </w:p>
  <w:p w14:paraId="33BCC006" w14:textId="77777777" w:rsidR="00F52740" w:rsidRDefault="00F52740">
    <w:pPr>
      <w:pStyle w:val="Encabezado"/>
      <w:jc w:val="center"/>
      <w:rPr>
        <w:rFonts w:ascii="Arial" w:hAnsi="Arial" w:cs="Arial"/>
        <w:b/>
      </w:rPr>
    </w:pPr>
  </w:p>
  <w:p w14:paraId="6B1F6E7C" w14:textId="77777777" w:rsidR="00F52740" w:rsidRDefault="00F52740">
    <w:pPr>
      <w:pStyle w:val="Encabezado"/>
      <w:jc w:val="center"/>
      <w:rPr>
        <w:rFonts w:ascii="Arial" w:hAnsi="Arial" w:cs="Arial"/>
        <w:b/>
      </w:rPr>
    </w:pPr>
  </w:p>
  <w:p w14:paraId="2FDE6FC0" w14:textId="77777777" w:rsidR="00F52740" w:rsidRDefault="00F52740">
    <w:pPr>
      <w:pStyle w:val="Encabezado"/>
      <w:ind w:right="-21"/>
      <w:rPr>
        <w:rFonts w:ascii="Arial" w:hAnsi="Arial" w:cs="Arial"/>
        <w:b/>
      </w:rPr>
    </w:pPr>
    <w:proofErr w:type="gramStart"/>
    <w:r>
      <w:rPr>
        <w:rFonts w:ascii="Arial" w:hAnsi="Arial"/>
        <w:b/>
        <w:sz w:val="18"/>
        <w:szCs w:val="18"/>
      </w:rPr>
      <w:t>CAPÍTULO  VI</w:t>
    </w:r>
    <w:proofErr w:type="gramEnd"/>
    <w:r>
      <w:rPr>
        <w:rFonts w:ascii="Arial" w:hAnsi="Arial"/>
        <w:b/>
        <w:sz w:val="18"/>
        <w:szCs w:val="18"/>
      </w:rPr>
      <w:t xml:space="preserve"> REGLAS  RELATIVAS AL SISTEMA DE ADMINISTRACIÓN DEL RIESGO DE LIQUIDEZ</w:t>
    </w:r>
  </w:p>
  <w:p w14:paraId="0371F763" w14:textId="77777777" w:rsidR="00F52740" w:rsidRDefault="00F52740">
    <w:pPr>
      <w:pStyle w:val="Encabezado"/>
      <w:jc w:val="both"/>
      <w:rPr>
        <w:rStyle w:val="Nmerodepgina"/>
        <w:rFonts w:ascii="Arial" w:hAnsi="Arial" w:cs="Arial"/>
        <w:b/>
        <w:bCs/>
        <w:sz w:val="20"/>
        <w:szCs w:val="20"/>
      </w:rPr>
    </w:pPr>
    <w:r w:rsidRPr="00A72393">
      <w:rPr>
        <w:rFonts w:ascii="Arial" w:hAnsi="Arial" w:cs="Arial"/>
        <w:b/>
        <w:sz w:val="20"/>
        <w:szCs w:val="20"/>
      </w:rPr>
      <w:t xml:space="preserve">Página </w:t>
    </w:r>
    <w:r>
      <w:rPr>
        <w:rStyle w:val="Nmerodepgina"/>
        <w:rFonts w:ascii="Arial" w:hAnsi="Arial" w:cs="Arial"/>
        <w:b/>
        <w:sz w:val="20"/>
        <w:szCs w:val="20"/>
      </w:rPr>
      <w:t>4-1</w:t>
    </w:r>
  </w:p>
  <w:p w14:paraId="462C5440" w14:textId="77777777" w:rsidR="00F52740" w:rsidRPr="00A72393" w:rsidRDefault="00F52740">
    <w:pPr>
      <w:pStyle w:val="Encabezado"/>
      <w:jc w:val="both"/>
      <w:rPr>
        <w:rFonts w:ascii="Arial" w:hAnsi="Arial" w:cs="Arial"/>
        <w:b/>
        <w:bCs/>
        <w:sz w:val="20"/>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0E7E0" w14:textId="77777777" w:rsidR="00F52740" w:rsidRDefault="00F52740" w:rsidP="00A87ACD">
    <w:pPr>
      <w:pStyle w:val="Encabezado"/>
      <w:ind w:right="360"/>
      <w:jc w:val="center"/>
      <w:rPr>
        <w:rFonts w:ascii="Arial" w:hAnsi="Arial" w:cs="Arial"/>
        <w:b/>
      </w:rPr>
    </w:pPr>
  </w:p>
  <w:p w14:paraId="741C3073" w14:textId="77777777" w:rsidR="00F52740" w:rsidRDefault="00F52740" w:rsidP="00A87ACD">
    <w:pPr>
      <w:pStyle w:val="Encabezado"/>
      <w:ind w:right="360"/>
      <w:jc w:val="center"/>
      <w:rPr>
        <w:rFonts w:ascii="Arial" w:hAnsi="Arial" w:cs="Arial"/>
        <w:b/>
      </w:rPr>
    </w:pPr>
    <w:r w:rsidRPr="004F022A">
      <w:rPr>
        <w:rFonts w:ascii="Arial" w:hAnsi="Arial" w:cs="Arial"/>
        <w:b/>
      </w:rPr>
      <w:t>SUPERINTENDENCIA FINANCIERA DE COLOMBIA</w:t>
    </w:r>
  </w:p>
  <w:p w14:paraId="787B8ED4" w14:textId="77777777" w:rsidR="00F52740" w:rsidRDefault="00F52740" w:rsidP="004F022A">
    <w:pPr>
      <w:pStyle w:val="Encabezado"/>
      <w:jc w:val="center"/>
      <w:rPr>
        <w:rFonts w:ascii="Arial" w:hAnsi="Arial" w:cs="Arial"/>
        <w:b/>
      </w:rPr>
    </w:pPr>
  </w:p>
  <w:p w14:paraId="37236050" w14:textId="77777777" w:rsidR="00F52740" w:rsidRDefault="00F52740" w:rsidP="004F022A">
    <w:pPr>
      <w:pStyle w:val="Encabezado"/>
      <w:jc w:val="center"/>
      <w:rPr>
        <w:rFonts w:ascii="Arial" w:hAnsi="Arial" w:cs="Arial"/>
        <w:b/>
      </w:rPr>
    </w:pPr>
  </w:p>
  <w:p w14:paraId="6332BC4B" w14:textId="77777777" w:rsidR="00F52740" w:rsidRDefault="00F52740" w:rsidP="00E65960">
    <w:pPr>
      <w:pStyle w:val="Encabezado"/>
      <w:ind w:right="-21"/>
      <w:rPr>
        <w:rFonts w:ascii="Arial" w:hAnsi="Arial" w:cs="Arial"/>
        <w:b/>
      </w:rPr>
    </w:pPr>
    <w:proofErr w:type="gramStart"/>
    <w:r>
      <w:rPr>
        <w:rFonts w:ascii="Arial" w:hAnsi="Arial"/>
        <w:b/>
        <w:sz w:val="18"/>
        <w:szCs w:val="18"/>
      </w:rPr>
      <w:t>CAPITULO  VI</w:t>
    </w:r>
    <w:proofErr w:type="gramEnd"/>
    <w:r>
      <w:rPr>
        <w:rFonts w:ascii="Arial" w:hAnsi="Arial"/>
        <w:b/>
        <w:sz w:val="18"/>
        <w:szCs w:val="18"/>
      </w:rPr>
      <w:t xml:space="preserve"> REGLAS  RELATIVAS AL SISTEMA DE ADMINISTRACIÓN DEL RIESGO DE LIQUIDEZ</w:t>
    </w:r>
  </w:p>
  <w:p w14:paraId="2C6E8448" w14:textId="77777777" w:rsidR="00F52740" w:rsidRDefault="00F52740" w:rsidP="00A87ACD">
    <w:pPr>
      <w:pStyle w:val="Encabezado"/>
      <w:rPr>
        <w:rStyle w:val="Nmerodepgina"/>
        <w:rFonts w:ascii="Arial" w:hAnsi="Arial" w:cs="Arial"/>
        <w:b/>
        <w:sz w:val="20"/>
        <w:szCs w:val="20"/>
      </w:rPr>
    </w:pPr>
    <w:r>
      <w:rPr>
        <w:rFonts w:ascii="Arial" w:hAnsi="Arial" w:cs="Arial"/>
        <w:b/>
        <w:sz w:val="20"/>
      </w:rPr>
      <w:t xml:space="preserve">Página </w:t>
    </w:r>
    <w:r>
      <w:rPr>
        <w:rStyle w:val="Nmerodepgina"/>
        <w:rFonts w:ascii="Arial" w:hAnsi="Arial" w:cs="Arial"/>
        <w:b/>
        <w:sz w:val="20"/>
        <w:szCs w:val="20"/>
      </w:rPr>
      <w:t>8-1</w:t>
    </w:r>
  </w:p>
  <w:p w14:paraId="26D57B60" w14:textId="77777777" w:rsidR="00F52740" w:rsidRPr="00A72393" w:rsidRDefault="00F52740" w:rsidP="00A87ACD">
    <w:pPr>
      <w:pStyle w:val="Encabezado"/>
      <w:rPr>
        <w:rStyle w:val="Nmerodepgina"/>
        <w:rFonts w:ascii="Arial" w:hAnsi="Arial" w:cs="Arial"/>
        <w:b/>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319D2" w14:textId="77777777" w:rsidR="00395C1B" w:rsidRDefault="00395C1B">
    <w:pPr>
      <w:pStyle w:val="Encabezado"/>
      <w:jc w:val="center"/>
      <w:rPr>
        <w:rFonts w:ascii="Arial" w:hAnsi="Arial" w:cs="Arial"/>
        <w:b/>
      </w:rPr>
    </w:pPr>
  </w:p>
  <w:p w14:paraId="04B25526" w14:textId="77777777" w:rsidR="00395C1B" w:rsidRDefault="00395C1B">
    <w:pPr>
      <w:pStyle w:val="Encabezado"/>
      <w:jc w:val="center"/>
      <w:rPr>
        <w:rFonts w:ascii="Arial" w:hAnsi="Arial" w:cs="Arial"/>
        <w:b/>
      </w:rPr>
    </w:pPr>
    <w:r>
      <w:rPr>
        <w:rFonts w:ascii="Arial" w:hAnsi="Arial" w:cs="Arial"/>
        <w:b/>
      </w:rPr>
      <w:t>SUPERINTENDENCIA FINANCIERA DE COLOMBIA</w:t>
    </w:r>
  </w:p>
  <w:p w14:paraId="48794DB3" w14:textId="77777777" w:rsidR="00395C1B" w:rsidRDefault="00395C1B">
    <w:pPr>
      <w:pStyle w:val="Encabezado"/>
      <w:jc w:val="center"/>
      <w:rPr>
        <w:rFonts w:ascii="Arial" w:hAnsi="Arial" w:cs="Arial"/>
        <w:b/>
      </w:rPr>
    </w:pPr>
  </w:p>
  <w:p w14:paraId="70A69D06" w14:textId="77777777" w:rsidR="00395C1B" w:rsidRDefault="00395C1B">
    <w:pPr>
      <w:pStyle w:val="Encabezado"/>
      <w:jc w:val="center"/>
      <w:rPr>
        <w:rFonts w:ascii="Arial" w:hAnsi="Arial" w:cs="Arial"/>
        <w:b/>
      </w:rPr>
    </w:pPr>
  </w:p>
  <w:p w14:paraId="42E2D695" w14:textId="77777777" w:rsidR="00395C1B" w:rsidRDefault="00395C1B">
    <w:pPr>
      <w:pStyle w:val="Encabezado"/>
      <w:ind w:right="-21"/>
      <w:rPr>
        <w:rFonts w:ascii="Arial" w:hAnsi="Arial" w:cs="Arial"/>
        <w:b/>
      </w:rPr>
    </w:pPr>
    <w:proofErr w:type="gramStart"/>
    <w:r>
      <w:rPr>
        <w:rFonts w:ascii="Arial" w:hAnsi="Arial"/>
        <w:b/>
        <w:sz w:val="18"/>
        <w:szCs w:val="18"/>
      </w:rPr>
      <w:t>CAPÍTULO  VI</w:t>
    </w:r>
    <w:proofErr w:type="gramEnd"/>
    <w:r>
      <w:rPr>
        <w:rFonts w:ascii="Arial" w:hAnsi="Arial"/>
        <w:b/>
        <w:sz w:val="18"/>
        <w:szCs w:val="18"/>
      </w:rPr>
      <w:t xml:space="preserve"> REGLAS  RELATIVAS AL SISTEMA DE ADMINISTRACIÓN DEL RIESGO DE LIQUIDEZ</w:t>
    </w:r>
  </w:p>
  <w:p w14:paraId="134EDF15" w14:textId="77777777" w:rsidR="00395C1B" w:rsidRDefault="00395C1B">
    <w:pPr>
      <w:pStyle w:val="Encabezado"/>
      <w:jc w:val="both"/>
      <w:rPr>
        <w:rStyle w:val="Nmerodepgina"/>
        <w:rFonts w:ascii="Arial" w:hAnsi="Arial" w:cs="Arial"/>
        <w:b/>
        <w:bCs/>
        <w:sz w:val="20"/>
        <w:szCs w:val="20"/>
      </w:rPr>
    </w:pPr>
    <w:r w:rsidRPr="00A72393">
      <w:rPr>
        <w:rFonts w:ascii="Arial" w:hAnsi="Arial" w:cs="Arial"/>
        <w:b/>
        <w:sz w:val="20"/>
        <w:szCs w:val="20"/>
      </w:rPr>
      <w:t xml:space="preserve">Página </w:t>
    </w:r>
    <w:r w:rsidR="00F52740">
      <w:rPr>
        <w:rStyle w:val="Nmerodepgina"/>
        <w:rFonts w:ascii="Arial" w:hAnsi="Arial" w:cs="Arial"/>
        <w:b/>
        <w:sz w:val="20"/>
        <w:szCs w:val="20"/>
      </w:rPr>
      <w:t>9</w:t>
    </w:r>
  </w:p>
  <w:p w14:paraId="53D0F102" w14:textId="77777777" w:rsidR="00395C1B" w:rsidRPr="00A72393" w:rsidRDefault="00395C1B">
    <w:pPr>
      <w:pStyle w:val="Encabezado"/>
      <w:jc w:val="both"/>
      <w:rPr>
        <w:rFonts w:ascii="Arial" w:hAnsi="Arial" w:cs="Arial"/>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46DD"/>
    <w:multiLevelType w:val="multilevel"/>
    <w:tmpl w:val="B77A3DB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FE1727"/>
    <w:multiLevelType w:val="hybridMultilevel"/>
    <w:tmpl w:val="A37693D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B3D4ACC"/>
    <w:multiLevelType w:val="multilevel"/>
    <w:tmpl w:val="C3A2CC72"/>
    <w:lvl w:ilvl="0">
      <w:start w:val="1"/>
      <w:numFmt w:val="decimal"/>
      <w:lvlText w:val="%1"/>
      <w:lvlJc w:val="left"/>
      <w:pPr>
        <w:tabs>
          <w:tab w:val="num" w:pos="360"/>
        </w:tabs>
        <w:ind w:left="360" w:hanging="360"/>
      </w:pPr>
      <w:rPr>
        <w:rFonts w:hint="default"/>
        <w:b/>
      </w:rPr>
    </w:lvl>
    <w:lvl w:ilvl="1">
      <w:start w:val="1"/>
      <w:numFmt w:val="none"/>
      <w:lvlText w:val="6.7"/>
      <w:lvlJc w:val="left"/>
      <w:pPr>
        <w:tabs>
          <w:tab w:val="num" w:pos="360"/>
        </w:tabs>
        <w:ind w:left="360" w:hanging="360"/>
      </w:pPr>
      <w:rPr>
        <w:rFonts w:hint="default"/>
        <w:b/>
      </w:rPr>
    </w:lvl>
    <w:lvl w:ilvl="2">
      <w:start w:val="1"/>
      <w:numFmt w:val="none"/>
      <w:lvlText w:val="6.5.1"/>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0BB4255E"/>
    <w:multiLevelType w:val="hybridMultilevel"/>
    <w:tmpl w:val="018A7D6E"/>
    <w:lvl w:ilvl="0" w:tplc="0C0A0017">
      <w:start w:val="1"/>
      <w:numFmt w:val="lowerLetter"/>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0A837E9"/>
    <w:multiLevelType w:val="hybridMultilevel"/>
    <w:tmpl w:val="62CA3F86"/>
    <w:lvl w:ilvl="0" w:tplc="0CB02CD4">
      <w:start w:val="1"/>
      <w:numFmt w:val="lowerLetter"/>
      <w:lvlText w:val="%1)"/>
      <w:lvlJc w:val="left"/>
      <w:pPr>
        <w:tabs>
          <w:tab w:val="num" w:pos="720"/>
        </w:tabs>
        <w:ind w:left="720" w:hanging="360"/>
      </w:pPr>
      <w:rPr>
        <w:rFonts w:hint="default"/>
        <w:b w:val="0"/>
        <w:i w:val="0"/>
      </w:rPr>
    </w:lvl>
    <w:lvl w:ilvl="1" w:tplc="A8AAEDE0">
      <w:start w:val="1"/>
      <w:numFmt w:val="lowerLetter"/>
      <w:lvlText w:val="%2."/>
      <w:lvlJc w:val="left"/>
      <w:pPr>
        <w:tabs>
          <w:tab w:val="num" w:pos="1440"/>
        </w:tabs>
        <w:ind w:left="1440" w:hanging="360"/>
      </w:pPr>
      <w:rPr>
        <w:rFonts w:hint="default"/>
        <w:b w:val="0"/>
        <w:i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8B63111"/>
    <w:multiLevelType w:val="hybridMultilevel"/>
    <w:tmpl w:val="49581E62"/>
    <w:lvl w:ilvl="0" w:tplc="0C0A0005">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266040"/>
    <w:multiLevelType w:val="hybridMultilevel"/>
    <w:tmpl w:val="F3A48668"/>
    <w:lvl w:ilvl="0" w:tplc="E8D6DA22">
      <w:start w:val="1"/>
      <w:numFmt w:val="lowerLetter"/>
      <w:lvlText w:val="%1)"/>
      <w:lvlJc w:val="left"/>
      <w:pPr>
        <w:tabs>
          <w:tab w:val="num" w:pos="1080"/>
        </w:tabs>
        <w:ind w:left="1080" w:hanging="360"/>
      </w:pPr>
      <w:rPr>
        <w:b w:val="0"/>
      </w:rPr>
    </w:lvl>
    <w:lvl w:ilvl="1" w:tplc="E416BFC6">
      <w:start w:val="1"/>
      <w:numFmt w:val="lowerRoman"/>
      <w:lvlText w:val="%2."/>
      <w:lvlJc w:val="right"/>
      <w:pPr>
        <w:tabs>
          <w:tab w:val="num" w:pos="1620"/>
        </w:tabs>
        <w:ind w:left="1620" w:hanging="180"/>
      </w:pPr>
      <w:rPr>
        <w:rFonts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7" w15:restartNumberingAfterBreak="0">
    <w:nsid w:val="1F953D40"/>
    <w:multiLevelType w:val="multilevel"/>
    <w:tmpl w:val="87F0765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none"/>
      <w:lvlText w:val="6.4.2"/>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23DA0EB4"/>
    <w:multiLevelType w:val="multilevel"/>
    <w:tmpl w:val="B7CC85B8"/>
    <w:lvl w:ilvl="0">
      <w:start w:val="1"/>
      <w:numFmt w:val="decimal"/>
      <w:lvlText w:val="%1"/>
      <w:lvlJc w:val="left"/>
      <w:pPr>
        <w:tabs>
          <w:tab w:val="num" w:pos="360"/>
        </w:tabs>
        <w:ind w:left="360" w:hanging="360"/>
      </w:pPr>
      <w:rPr>
        <w:rFonts w:hint="default"/>
        <w:b/>
      </w:rPr>
    </w:lvl>
    <w:lvl w:ilvl="1">
      <w:start w:val="1"/>
      <w:numFmt w:val="none"/>
      <w:lvlText w:val="6.3"/>
      <w:lvlJc w:val="left"/>
      <w:pPr>
        <w:tabs>
          <w:tab w:val="num" w:pos="360"/>
        </w:tabs>
        <w:ind w:left="360" w:hanging="360"/>
      </w:pPr>
      <w:rPr>
        <w:rFonts w:hint="default"/>
        <w:b/>
      </w:rPr>
    </w:lvl>
    <w:lvl w:ilvl="2">
      <w:start w:val="1"/>
      <w:numFmt w:val="none"/>
      <w:lvlText w:val="6.1.1"/>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25376F91"/>
    <w:multiLevelType w:val="hybridMultilevel"/>
    <w:tmpl w:val="F9DE3CD4"/>
    <w:lvl w:ilvl="0" w:tplc="0CC4215E">
      <w:start w:val="1"/>
      <w:numFmt w:val="lowerLetter"/>
      <w:lvlText w:val="%1)"/>
      <w:lvlJc w:val="left"/>
      <w:pPr>
        <w:tabs>
          <w:tab w:val="num" w:pos="720"/>
        </w:tabs>
        <w:ind w:left="720" w:hanging="360"/>
      </w:pPr>
      <w:rPr>
        <w:i w:val="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5572F13"/>
    <w:multiLevelType w:val="hybridMultilevel"/>
    <w:tmpl w:val="F0DCBFB8"/>
    <w:lvl w:ilvl="0" w:tplc="F874072C">
      <w:start w:val="1"/>
      <w:numFmt w:val="lowerRoman"/>
      <w:lvlText w:val="%1)"/>
      <w:lvlJc w:val="left"/>
      <w:pPr>
        <w:tabs>
          <w:tab w:val="num" w:pos="720"/>
        </w:tabs>
        <w:ind w:left="720" w:hanging="72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15:restartNumberingAfterBreak="0">
    <w:nsid w:val="29C35C4E"/>
    <w:multiLevelType w:val="multilevel"/>
    <w:tmpl w:val="A1F0F10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sz w:val="18"/>
        <w:szCs w:val="18"/>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2DB9606C"/>
    <w:multiLevelType w:val="multilevel"/>
    <w:tmpl w:val="C1625B6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none"/>
      <w:lvlText w:val="5.2.1"/>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300B403D"/>
    <w:multiLevelType w:val="multilevel"/>
    <w:tmpl w:val="84F2A524"/>
    <w:lvl w:ilvl="0">
      <w:start w:val="5"/>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2"/>
      <w:numFmt w:val="none"/>
      <w:lvlText w:val="5.2.2.2"/>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0555D6"/>
    <w:multiLevelType w:val="hybridMultilevel"/>
    <w:tmpl w:val="A3BCCCC4"/>
    <w:lvl w:ilvl="0" w:tplc="BF16416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34C649A0"/>
    <w:multiLevelType w:val="multilevel"/>
    <w:tmpl w:val="37CAD178"/>
    <w:lvl w:ilvl="0">
      <w:start w:val="1"/>
      <w:numFmt w:val="decimal"/>
      <w:lvlText w:val="%1"/>
      <w:lvlJc w:val="left"/>
      <w:pPr>
        <w:tabs>
          <w:tab w:val="num" w:pos="360"/>
        </w:tabs>
        <w:ind w:left="360" w:hanging="360"/>
      </w:pPr>
      <w:rPr>
        <w:rFonts w:hint="default"/>
        <w:b/>
      </w:rPr>
    </w:lvl>
    <w:lvl w:ilvl="1">
      <w:start w:val="1"/>
      <w:numFmt w:val="none"/>
      <w:lvlText w:val="6.4"/>
      <w:lvlJc w:val="left"/>
      <w:pPr>
        <w:tabs>
          <w:tab w:val="num" w:pos="360"/>
        </w:tabs>
        <w:ind w:left="360" w:hanging="360"/>
      </w:pPr>
      <w:rPr>
        <w:rFonts w:hint="default"/>
        <w:b/>
      </w:rPr>
    </w:lvl>
    <w:lvl w:ilvl="2">
      <w:start w:val="1"/>
      <w:numFmt w:val="none"/>
      <w:lvlText w:val="6.1.1"/>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368E29A1"/>
    <w:multiLevelType w:val="hybridMultilevel"/>
    <w:tmpl w:val="71F4070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36CA21CE"/>
    <w:multiLevelType w:val="hybridMultilevel"/>
    <w:tmpl w:val="11D807AC"/>
    <w:lvl w:ilvl="0" w:tplc="0C0A001B">
      <w:start w:val="1"/>
      <w:numFmt w:val="lowerRoman"/>
      <w:lvlText w:val="%1."/>
      <w:lvlJc w:val="right"/>
      <w:pPr>
        <w:ind w:left="720" w:hanging="360"/>
      </w:pPr>
      <w:rPr>
        <w:rFonts w:hint="default"/>
        <w:b/>
      </w:rPr>
    </w:lvl>
    <w:lvl w:ilvl="1" w:tplc="0C0A001B">
      <w:start w:val="1"/>
      <w:numFmt w:val="lowerRoman"/>
      <w:lvlText w:val="%2."/>
      <w:lvlJc w:val="righ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6DB4013"/>
    <w:multiLevelType w:val="multilevel"/>
    <w:tmpl w:val="8D98A7A0"/>
    <w:lvl w:ilvl="0">
      <w:start w:val="1"/>
      <w:numFmt w:val="decimal"/>
      <w:lvlText w:val="%1"/>
      <w:lvlJc w:val="left"/>
      <w:pPr>
        <w:tabs>
          <w:tab w:val="num" w:pos="360"/>
        </w:tabs>
        <w:ind w:left="360" w:hanging="360"/>
      </w:pPr>
      <w:rPr>
        <w:rFonts w:hint="default"/>
        <w:b/>
      </w:rPr>
    </w:lvl>
    <w:lvl w:ilvl="1">
      <w:start w:val="1"/>
      <w:numFmt w:val="none"/>
      <w:lvlText w:val="6.4"/>
      <w:lvlJc w:val="left"/>
      <w:pPr>
        <w:tabs>
          <w:tab w:val="num" w:pos="360"/>
        </w:tabs>
        <w:ind w:left="360" w:hanging="360"/>
      </w:pPr>
      <w:rPr>
        <w:rFonts w:hint="default"/>
        <w:b/>
      </w:rPr>
    </w:lvl>
    <w:lvl w:ilvl="2">
      <w:start w:val="1"/>
      <w:numFmt w:val="none"/>
      <w:lvlText w:val="6.4.1"/>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3DA812A2"/>
    <w:multiLevelType w:val="hybridMultilevel"/>
    <w:tmpl w:val="5AF84EE0"/>
    <w:lvl w:ilvl="0" w:tplc="556EBD22">
      <w:start w:val="1"/>
      <w:numFmt w:val="lowerLetter"/>
      <w:lvlText w:val="%1)"/>
      <w:lvlJc w:val="left"/>
      <w:pPr>
        <w:ind w:left="360" w:hanging="360"/>
      </w:pPr>
      <w:rPr>
        <w:rFonts w:hint="default"/>
        <w:b/>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3DBE5F60"/>
    <w:multiLevelType w:val="multilevel"/>
    <w:tmpl w:val="17B0FED6"/>
    <w:lvl w:ilvl="0">
      <w:start w:val="1"/>
      <w:numFmt w:val="decimal"/>
      <w:lvlText w:val="%1"/>
      <w:lvlJc w:val="left"/>
      <w:pPr>
        <w:tabs>
          <w:tab w:val="num" w:pos="360"/>
        </w:tabs>
        <w:ind w:left="360" w:hanging="360"/>
      </w:pPr>
      <w:rPr>
        <w:rFonts w:hint="default"/>
        <w:b/>
      </w:rPr>
    </w:lvl>
    <w:lvl w:ilvl="1">
      <w:start w:val="1"/>
      <w:numFmt w:val="none"/>
      <w:lvlText w:val="6.5"/>
      <w:lvlJc w:val="left"/>
      <w:pPr>
        <w:tabs>
          <w:tab w:val="num" w:pos="360"/>
        </w:tabs>
        <w:ind w:left="360" w:hanging="360"/>
      </w:pPr>
      <w:rPr>
        <w:rFonts w:hint="default"/>
        <w:b/>
      </w:rPr>
    </w:lvl>
    <w:lvl w:ilvl="2">
      <w:start w:val="1"/>
      <w:numFmt w:val="none"/>
      <w:lvlText w:val="6.5.1"/>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811712F"/>
    <w:multiLevelType w:val="hybridMultilevel"/>
    <w:tmpl w:val="D7DE074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8E41994"/>
    <w:multiLevelType w:val="multilevel"/>
    <w:tmpl w:val="CA525586"/>
    <w:lvl w:ilvl="0">
      <w:start w:val="1"/>
      <w:numFmt w:val="decimal"/>
      <w:lvlText w:val="%1"/>
      <w:lvlJc w:val="left"/>
      <w:pPr>
        <w:tabs>
          <w:tab w:val="num" w:pos="360"/>
        </w:tabs>
        <w:ind w:left="360" w:hanging="360"/>
      </w:pPr>
      <w:rPr>
        <w:rFonts w:hint="default"/>
        <w:b/>
      </w:rPr>
    </w:lvl>
    <w:lvl w:ilvl="1">
      <w:start w:val="1"/>
      <w:numFmt w:val="none"/>
      <w:lvlText w:val="6.7"/>
      <w:lvlJc w:val="left"/>
      <w:pPr>
        <w:tabs>
          <w:tab w:val="num" w:pos="360"/>
        </w:tabs>
        <w:ind w:left="360" w:hanging="360"/>
      </w:pPr>
      <w:rPr>
        <w:rFonts w:hint="default"/>
        <w:b/>
      </w:rPr>
    </w:lvl>
    <w:lvl w:ilvl="2">
      <w:start w:val="1"/>
      <w:numFmt w:val="none"/>
      <w:lvlText w:val="6.7.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4973088C"/>
    <w:multiLevelType w:val="hybridMultilevel"/>
    <w:tmpl w:val="4498F6D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4A670305"/>
    <w:multiLevelType w:val="hybridMultilevel"/>
    <w:tmpl w:val="10CCCC3A"/>
    <w:lvl w:ilvl="0" w:tplc="240A0001">
      <w:start w:val="1"/>
      <w:numFmt w:val="bullet"/>
      <w:lvlText w:val=""/>
      <w:lvlJc w:val="left"/>
      <w:pPr>
        <w:ind w:left="76" w:hanging="360"/>
      </w:pPr>
      <w:rPr>
        <w:rFonts w:ascii="Symbol" w:hAnsi="Symbol" w:hint="default"/>
      </w:rPr>
    </w:lvl>
    <w:lvl w:ilvl="1" w:tplc="240A0003" w:tentative="1">
      <w:start w:val="1"/>
      <w:numFmt w:val="bullet"/>
      <w:lvlText w:val="o"/>
      <w:lvlJc w:val="left"/>
      <w:pPr>
        <w:ind w:left="796" w:hanging="360"/>
      </w:pPr>
      <w:rPr>
        <w:rFonts w:ascii="Courier New" w:hAnsi="Courier New" w:cs="Courier New" w:hint="default"/>
      </w:rPr>
    </w:lvl>
    <w:lvl w:ilvl="2" w:tplc="240A0005" w:tentative="1">
      <w:start w:val="1"/>
      <w:numFmt w:val="bullet"/>
      <w:lvlText w:val=""/>
      <w:lvlJc w:val="left"/>
      <w:pPr>
        <w:ind w:left="1516" w:hanging="360"/>
      </w:pPr>
      <w:rPr>
        <w:rFonts w:ascii="Wingdings" w:hAnsi="Wingdings" w:hint="default"/>
      </w:rPr>
    </w:lvl>
    <w:lvl w:ilvl="3" w:tplc="240A0001" w:tentative="1">
      <w:start w:val="1"/>
      <w:numFmt w:val="bullet"/>
      <w:lvlText w:val=""/>
      <w:lvlJc w:val="left"/>
      <w:pPr>
        <w:ind w:left="2236" w:hanging="360"/>
      </w:pPr>
      <w:rPr>
        <w:rFonts w:ascii="Symbol" w:hAnsi="Symbol" w:hint="default"/>
      </w:rPr>
    </w:lvl>
    <w:lvl w:ilvl="4" w:tplc="240A0003" w:tentative="1">
      <w:start w:val="1"/>
      <w:numFmt w:val="bullet"/>
      <w:lvlText w:val="o"/>
      <w:lvlJc w:val="left"/>
      <w:pPr>
        <w:ind w:left="2956" w:hanging="360"/>
      </w:pPr>
      <w:rPr>
        <w:rFonts w:ascii="Courier New" w:hAnsi="Courier New" w:cs="Courier New" w:hint="default"/>
      </w:rPr>
    </w:lvl>
    <w:lvl w:ilvl="5" w:tplc="240A0005" w:tentative="1">
      <w:start w:val="1"/>
      <w:numFmt w:val="bullet"/>
      <w:lvlText w:val=""/>
      <w:lvlJc w:val="left"/>
      <w:pPr>
        <w:ind w:left="3676" w:hanging="360"/>
      </w:pPr>
      <w:rPr>
        <w:rFonts w:ascii="Wingdings" w:hAnsi="Wingdings" w:hint="default"/>
      </w:rPr>
    </w:lvl>
    <w:lvl w:ilvl="6" w:tplc="240A0001" w:tentative="1">
      <w:start w:val="1"/>
      <w:numFmt w:val="bullet"/>
      <w:lvlText w:val=""/>
      <w:lvlJc w:val="left"/>
      <w:pPr>
        <w:ind w:left="4396" w:hanging="360"/>
      </w:pPr>
      <w:rPr>
        <w:rFonts w:ascii="Symbol" w:hAnsi="Symbol" w:hint="default"/>
      </w:rPr>
    </w:lvl>
    <w:lvl w:ilvl="7" w:tplc="240A0003" w:tentative="1">
      <w:start w:val="1"/>
      <w:numFmt w:val="bullet"/>
      <w:lvlText w:val="o"/>
      <w:lvlJc w:val="left"/>
      <w:pPr>
        <w:ind w:left="5116" w:hanging="360"/>
      </w:pPr>
      <w:rPr>
        <w:rFonts w:ascii="Courier New" w:hAnsi="Courier New" w:cs="Courier New" w:hint="default"/>
      </w:rPr>
    </w:lvl>
    <w:lvl w:ilvl="8" w:tplc="240A0005" w:tentative="1">
      <w:start w:val="1"/>
      <w:numFmt w:val="bullet"/>
      <w:lvlText w:val=""/>
      <w:lvlJc w:val="left"/>
      <w:pPr>
        <w:ind w:left="5836" w:hanging="360"/>
      </w:pPr>
      <w:rPr>
        <w:rFonts w:ascii="Wingdings" w:hAnsi="Wingdings" w:hint="default"/>
      </w:rPr>
    </w:lvl>
  </w:abstractNum>
  <w:abstractNum w:abstractNumId="25" w15:restartNumberingAfterBreak="0">
    <w:nsid w:val="4CE06ED0"/>
    <w:multiLevelType w:val="hybridMultilevel"/>
    <w:tmpl w:val="D10EB122"/>
    <w:lvl w:ilvl="0" w:tplc="0804E6BE">
      <w:start w:val="1"/>
      <w:numFmt w:val="lowerRoman"/>
      <w:lvlText w:val="%1."/>
      <w:lvlJc w:val="right"/>
      <w:pPr>
        <w:tabs>
          <w:tab w:val="num" w:pos="2160"/>
        </w:tabs>
        <w:ind w:left="2160" w:hanging="180"/>
      </w:pPr>
      <w:rPr>
        <w:rFonts w:hint="default"/>
      </w:rPr>
    </w:lvl>
    <w:lvl w:ilvl="1" w:tplc="D2B04F00">
      <w:start w:val="1"/>
      <w:numFmt w:val="lowerLetter"/>
      <w:lvlText w:val="%2."/>
      <w:lvlJc w:val="left"/>
      <w:pPr>
        <w:tabs>
          <w:tab w:val="num" w:pos="1080"/>
        </w:tabs>
        <w:ind w:left="1080" w:hanging="360"/>
      </w:pPr>
      <w:rPr>
        <w:rFonts w:ascii="Arial" w:hAnsi="Arial" w:cs="Arial" w:hint="default"/>
      </w:rPr>
    </w:lvl>
    <w:lvl w:ilvl="2" w:tplc="0C0A001B">
      <w:start w:val="1"/>
      <w:numFmt w:val="lowerRoman"/>
      <w:lvlText w:val="%3."/>
      <w:lvlJc w:val="right"/>
      <w:pPr>
        <w:tabs>
          <w:tab w:val="num" w:pos="2160"/>
        </w:tabs>
        <w:ind w:left="2160" w:hanging="180"/>
      </w:pPr>
    </w:lvl>
    <w:lvl w:ilvl="3" w:tplc="0804E6BE">
      <w:start w:val="1"/>
      <w:numFmt w:val="lowerRoman"/>
      <w:lvlText w:val="%4."/>
      <w:lvlJc w:val="right"/>
      <w:pPr>
        <w:tabs>
          <w:tab w:val="num" w:pos="2700"/>
        </w:tabs>
        <w:ind w:left="2700" w:hanging="180"/>
      </w:pPr>
      <w:rPr>
        <w:rFonts w:hint="default"/>
      </w:r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4E957280"/>
    <w:multiLevelType w:val="multilevel"/>
    <w:tmpl w:val="AE904420"/>
    <w:lvl w:ilvl="0">
      <w:start w:val="5"/>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0B6105D"/>
    <w:multiLevelType w:val="hybridMultilevel"/>
    <w:tmpl w:val="F904B1D0"/>
    <w:lvl w:ilvl="0" w:tplc="0C0A0017">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8" w15:restartNumberingAfterBreak="0">
    <w:nsid w:val="516F4CCC"/>
    <w:multiLevelType w:val="hybridMultilevel"/>
    <w:tmpl w:val="09AA04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32442A9"/>
    <w:multiLevelType w:val="hybridMultilevel"/>
    <w:tmpl w:val="3B743928"/>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587C5A4E"/>
    <w:multiLevelType w:val="multilevel"/>
    <w:tmpl w:val="3CB8E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none"/>
      <w:lvlText w:val="6.1.1"/>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AEA1821"/>
    <w:multiLevelType w:val="hybridMultilevel"/>
    <w:tmpl w:val="05C0EB68"/>
    <w:lvl w:ilvl="0" w:tplc="96EEC938">
      <w:start w:val="1"/>
      <w:numFmt w:val="lowerRoman"/>
      <w:lvlText w:val="%1."/>
      <w:lvlJc w:val="left"/>
      <w:pPr>
        <w:tabs>
          <w:tab w:val="num" w:pos="1068"/>
        </w:tabs>
        <w:ind w:left="1068" w:hanging="720"/>
      </w:pPr>
      <w:rPr>
        <w:rFonts w:hint="default"/>
      </w:rPr>
    </w:lvl>
    <w:lvl w:ilvl="1" w:tplc="0C0A0019">
      <w:start w:val="1"/>
      <w:numFmt w:val="lowerLetter"/>
      <w:lvlText w:val="%2."/>
      <w:lvlJc w:val="left"/>
      <w:pPr>
        <w:tabs>
          <w:tab w:val="num" w:pos="1428"/>
        </w:tabs>
        <w:ind w:left="1428" w:hanging="360"/>
      </w:pPr>
    </w:lvl>
    <w:lvl w:ilvl="2" w:tplc="0C0A001B" w:tentative="1">
      <w:start w:val="1"/>
      <w:numFmt w:val="lowerRoman"/>
      <w:lvlText w:val="%3."/>
      <w:lvlJc w:val="right"/>
      <w:pPr>
        <w:tabs>
          <w:tab w:val="num" w:pos="2148"/>
        </w:tabs>
        <w:ind w:left="2148" w:hanging="180"/>
      </w:pPr>
    </w:lvl>
    <w:lvl w:ilvl="3" w:tplc="0C0A000F" w:tentative="1">
      <w:start w:val="1"/>
      <w:numFmt w:val="decimal"/>
      <w:lvlText w:val="%4."/>
      <w:lvlJc w:val="left"/>
      <w:pPr>
        <w:tabs>
          <w:tab w:val="num" w:pos="2868"/>
        </w:tabs>
        <w:ind w:left="2868" w:hanging="360"/>
      </w:pPr>
    </w:lvl>
    <w:lvl w:ilvl="4" w:tplc="0C0A0019" w:tentative="1">
      <w:start w:val="1"/>
      <w:numFmt w:val="lowerLetter"/>
      <w:lvlText w:val="%5."/>
      <w:lvlJc w:val="left"/>
      <w:pPr>
        <w:tabs>
          <w:tab w:val="num" w:pos="3588"/>
        </w:tabs>
        <w:ind w:left="3588" w:hanging="360"/>
      </w:pPr>
    </w:lvl>
    <w:lvl w:ilvl="5" w:tplc="0C0A001B" w:tentative="1">
      <w:start w:val="1"/>
      <w:numFmt w:val="lowerRoman"/>
      <w:lvlText w:val="%6."/>
      <w:lvlJc w:val="right"/>
      <w:pPr>
        <w:tabs>
          <w:tab w:val="num" w:pos="4308"/>
        </w:tabs>
        <w:ind w:left="4308" w:hanging="180"/>
      </w:pPr>
    </w:lvl>
    <w:lvl w:ilvl="6" w:tplc="0C0A000F" w:tentative="1">
      <w:start w:val="1"/>
      <w:numFmt w:val="decimal"/>
      <w:lvlText w:val="%7."/>
      <w:lvlJc w:val="left"/>
      <w:pPr>
        <w:tabs>
          <w:tab w:val="num" w:pos="5028"/>
        </w:tabs>
        <w:ind w:left="5028" w:hanging="360"/>
      </w:pPr>
    </w:lvl>
    <w:lvl w:ilvl="7" w:tplc="0C0A0019" w:tentative="1">
      <w:start w:val="1"/>
      <w:numFmt w:val="lowerLetter"/>
      <w:lvlText w:val="%8."/>
      <w:lvlJc w:val="left"/>
      <w:pPr>
        <w:tabs>
          <w:tab w:val="num" w:pos="5748"/>
        </w:tabs>
        <w:ind w:left="5748" w:hanging="360"/>
      </w:pPr>
    </w:lvl>
    <w:lvl w:ilvl="8" w:tplc="0C0A001B" w:tentative="1">
      <w:start w:val="1"/>
      <w:numFmt w:val="lowerRoman"/>
      <w:lvlText w:val="%9."/>
      <w:lvlJc w:val="right"/>
      <w:pPr>
        <w:tabs>
          <w:tab w:val="num" w:pos="6468"/>
        </w:tabs>
        <w:ind w:left="6468" w:hanging="180"/>
      </w:pPr>
    </w:lvl>
  </w:abstractNum>
  <w:abstractNum w:abstractNumId="32" w15:restartNumberingAfterBreak="0">
    <w:nsid w:val="5E216F8F"/>
    <w:multiLevelType w:val="hybridMultilevel"/>
    <w:tmpl w:val="619C06B2"/>
    <w:lvl w:ilvl="0" w:tplc="2736914C">
      <w:start w:val="1"/>
      <w:numFmt w:val="lowerLetter"/>
      <w:lvlText w:val="%1)"/>
      <w:lvlJc w:val="left"/>
      <w:pPr>
        <w:tabs>
          <w:tab w:val="num" w:pos="720"/>
        </w:tabs>
        <w:ind w:left="720" w:hanging="360"/>
      </w:pPr>
      <w:rPr>
        <w:rFonts w:hint="default"/>
        <w:b w:val="0"/>
        <w:i w:val="0"/>
      </w:rPr>
    </w:lvl>
    <w:lvl w:ilvl="1" w:tplc="0C0A001B">
      <w:start w:val="1"/>
      <w:numFmt w:val="lowerRoman"/>
      <w:lvlText w:val="%2."/>
      <w:lvlJc w:val="righ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62581F49"/>
    <w:multiLevelType w:val="multilevel"/>
    <w:tmpl w:val="08A28932"/>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 w15:restartNumberingAfterBreak="0">
    <w:nsid w:val="65971128"/>
    <w:multiLevelType w:val="multilevel"/>
    <w:tmpl w:val="28CEEC6A"/>
    <w:lvl w:ilvl="0">
      <w:start w:val="5"/>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67570E5"/>
    <w:multiLevelType w:val="multilevel"/>
    <w:tmpl w:val="8E96BA7A"/>
    <w:lvl w:ilvl="0">
      <w:start w:val="1"/>
      <w:numFmt w:val="decimal"/>
      <w:lvlText w:val="%1"/>
      <w:lvlJc w:val="left"/>
      <w:pPr>
        <w:tabs>
          <w:tab w:val="num" w:pos="360"/>
        </w:tabs>
        <w:ind w:left="360" w:hanging="360"/>
      </w:pPr>
      <w:rPr>
        <w:rFonts w:hint="default"/>
        <w:b/>
      </w:rPr>
    </w:lvl>
    <w:lvl w:ilvl="1">
      <w:start w:val="1"/>
      <w:numFmt w:val="none"/>
      <w:lvlText w:val="6.7"/>
      <w:lvlJc w:val="left"/>
      <w:pPr>
        <w:tabs>
          <w:tab w:val="num" w:pos="360"/>
        </w:tabs>
        <w:ind w:left="360" w:hanging="360"/>
      </w:pPr>
      <w:rPr>
        <w:rFonts w:hint="default"/>
        <w:b/>
      </w:rPr>
    </w:lvl>
    <w:lvl w:ilvl="2">
      <w:start w:val="1"/>
      <w:numFmt w:val="none"/>
      <w:lvlText w:val="6.7.2"/>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667F6BF1"/>
    <w:multiLevelType w:val="multilevel"/>
    <w:tmpl w:val="1352732E"/>
    <w:lvl w:ilvl="0">
      <w:start w:val="1"/>
      <w:numFmt w:val="decimal"/>
      <w:lvlText w:val="%1"/>
      <w:lvlJc w:val="left"/>
      <w:pPr>
        <w:tabs>
          <w:tab w:val="num" w:pos="360"/>
        </w:tabs>
        <w:ind w:left="360" w:hanging="360"/>
      </w:pPr>
      <w:rPr>
        <w:rFonts w:hint="default"/>
        <w:b/>
      </w:rPr>
    </w:lvl>
    <w:lvl w:ilvl="1">
      <w:start w:val="1"/>
      <w:numFmt w:val="none"/>
      <w:lvlText w:val="6.2"/>
      <w:lvlJc w:val="left"/>
      <w:pPr>
        <w:tabs>
          <w:tab w:val="num" w:pos="360"/>
        </w:tabs>
        <w:ind w:left="360" w:hanging="360"/>
      </w:pPr>
      <w:rPr>
        <w:rFonts w:hint="default"/>
        <w:b/>
      </w:rPr>
    </w:lvl>
    <w:lvl w:ilvl="2">
      <w:start w:val="1"/>
      <w:numFmt w:val="none"/>
      <w:lvlText w:val="6.1.1"/>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E8A6384"/>
    <w:multiLevelType w:val="hybridMultilevel"/>
    <w:tmpl w:val="1EF0548A"/>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738D26DC"/>
    <w:multiLevelType w:val="hybridMultilevel"/>
    <w:tmpl w:val="3296217E"/>
    <w:lvl w:ilvl="0" w:tplc="A8AAEDE0">
      <w:start w:val="1"/>
      <w:numFmt w:val="lowerLetter"/>
      <w:lvlText w:val="%1."/>
      <w:lvlJc w:val="left"/>
      <w:pPr>
        <w:tabs>
          <w:tab w:val="num" w:pos="1080"/>
        </w:tabs>
        <w:ind w:left="1080" w:hanging="360"/>
      </w:pPr>
      <w:rPr>
        <w:rFonts w:hint="default"/>
        <w:b w:val="0"/>
        <w:i w:val="0"/>
      </w:rPr>
    </w:lvl>
    <w:lvl w:ilvl="1" w:tplc="3BC0C75A">
      <w:start w:val="1"/>
      <w:numFmt w:val="decimal"/>
      <w:lvlText w:val="%2)"/>
      <w:lvlJc w:val="left"/>
      <w:pPr>
        <w:tabs>
          <w:tab w:val="num" w:pos="1800"/>
        </w:tabs>
        <w:ind w:left="1800" w:hanging="360"/>
      </w:pPr>
      <w:rPr>
        <w:rFonts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9" w15:restartNumberingAfterBreak="0">
    <w:nsid w:val="74AC28B0"/>
    <w:multiLevelType w:val="multilevel"/>
    <w:tmpl w:val="BAFCD38A"/>
    <w:lvl w:ilvl="0">
      <w:start w:val="1"/>
      <w:numFmt w:val="decimal"/>
      <w:lvlText w:val="%1"/>
      <w:lvlJc w:val="left"/>
      <w:pPr>
        <w:tabs>
          <w:tab w:val="num" w:pos="360"/>
        </w:tabs>
        <w:ind w:left="360" w:hanging="360"/>
      </w:pPr>
      <w:rPr>
        <w:rFonts w:hint="default"/>
        <w:b/>
      </w:rPr>
    </w:lvl>
    <w:lvl w:ilvl="1">
      <w:start w:val="1"/>
      <w:numFmt w:val="none"/>
      <w:lvlText w:val="6.7"/>
      <w:lvlJc w:val="left"/>
      <w:pPr>
        <w:tabs>
          <w:tab w:val="num" w:pos="360"/>
        </w:tabs>
        <w:ind w:left="360" w:hanging="360"/>
      </w:pPr>
      <w:rPr>
        <w:rFonts w:hint="default"/>
        <w:b/>
      </w:rPr>
    </w:lvl>
    <w:lvl w:ilvl="2">
      <w:start w:val="1"/>
      <w:numFmt w:val="none"/>
      <w:lvlText w:val="6.7.1"/>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15:restartNumberingAfterBreak="0">
    <w:nsid w:val="75EA5406"/>
    <w:multiLevelType w:val="multilevel"/>
    <w:tmpl w:val="D6D670BA"/>
    <w:lvl w:ilvl="0">
      <w:start w:val="1"/>
      <w:numFmt w:val="decimal"/>
      <w:lvlText w:val="%1"/>
      <w:lvlJc w:val="left"/>
      <w:pPr>
        <w:tabs>
          <w:tab w:val="num" w:pos="360"/>
        </w:tabs>
        <w:ind w:left="360" w:hanging="360"/>
      </w:pPr>
      <w:rPr>
        <w:rFonts w:hint="default"/>
        <w:b/>
      </w:rPr>
    </w:lvl>
    <w:lvl w:ilvl="1">
      <w:start w:val="1"/>
      <w:numFmt w:val="none"/>
      <w:lvlText w:val="6.6"/>
      <w:lvlJc w:val="left"/>
      <w:pPr>
        <w:tabs>
          <w:tab w:val="num" w:pos="360"/>
        </w:tabs>
        <w:ind w:left="360" w:hanging="360"/>
      </w:pPr>
      <w:rPr>
        <w:rFonts w:hint="default"/>
        <w:b/>
      </w:rPr>
    </w:lvl>
    <w:lvl w:ilvl="2">
      <w:start w:val="1"/>
      <w:numFmt w:val="none"/>
      <w:lvlText w:val="6.5.1"/>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15:restartNumberingAfterBreak="0">
    <w:nsid w:val="76AD18BD"/>
    <w:multiLevelType w:val="hybridMultilevel"/>
    <w:tmpl w:val="D99CF1EC"/>
    <w:lvl w:ilvl="0" w:tplc="0C0A000F">
      <w:start w:val="3"/>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7A3A5D8B"/>
    <w:multiLevelType w:val="hybridMultilevel"/>
    <w:tmpl w:val="CF8CCBCE"/>
    <w:lvl w:ilvl="0" w:tplc="98440E08">
      <w:start w:val="1"/>
      <w:numFmt w:val="lowerLetter"/>
      <w:lvlText w:val="%1)"/>
      <w:lvlJc w:val="left"/>
      <w:pPr>
        <w:tabs>
          <w:tab w:val="num" w:pos="708"/>
        </w:tabs>
        <w:ind w:left="708" w:hanging="360"/>
      </w:pPr>
      <w:rPr>
        <w:rFonts w:hint="default"/>
        <w:sz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7BB409CE"/>
    <w:multiLevelType w:val="multilevel"/>
    <w:tmpl w:val="16D65278"/>
    <w:lvl w:ilvl="0">
      <w:start w:val="5"/>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2"/>
      <w:numFmt w:val="none"/>
      <w:lvlText w:val="5.2.2.1"/>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FF47C59"/>
    <w:multiLevelType w:val="multilevel"/>
    <w:tmpl w:val="F36641C4"/>
    <w:lvl w:ilvl="0">
      <w:start w:val="1"/>
      <w:numFmt w:val="decimal"/>
      <w:lvlText w:val="%1"/>
      <w:lvlJc w:val="left"/>
      <w:pPr>
        <w:tabs>
          <w:tab w:val="num" w:pos="360"/>
        </w:tabs>
        <w:ind w:left="360" w:hanging="360"/>
      </w:pPr>
      <w:rPr>
        <w:rFonts w:hint="default"/>
        <w:b/>
      </w:rPr>
    </w:lvl>
    <w:lvl w:ilvl="1">
      <w:start w:val="1"/>
      <w:numFmt w:val="none"/>
      <w:lvlText w:val="6.5"/>
      <w:lvlJc w:val="left"/>
      <w:pPr>
        <w:tabs>
          <w:tab w:val="num" w:pos="360"/>
        </w:tabs>
        <w:ind w:left="360" w:hanging="360"/>
      </w:pPr>
      <w:rPr>
        <w:rFonts w:hint="default"/>
        <w:b/>
      </w:rPr>
    </w:lvl>
    <w:lvl w:ilvl="2">
      <w:start w:val="1"/>
      <w:numFmt w:val="none"/>
      <w:lvlText w:val="6.4.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6"/>
  </w:num>
  <w:num w:numId="2">
    <w:abstractNumId w:val="4"/>
  </w:num>
  <w:num w:numId="3">
    <w:abstractNumId w:val="21"/>
  </w:num>
  <w:num w:numId="4">
    <w:abstractNumId w:val="29"/>
  </w:num>
  <w:num w:numId="5">
    <w:abstractNumId w:val="9"/>
  </w:num>
  <w:num w:numId="6">
    <w:abstractNumId w:val="37"/>
  </w:num>
  <w:num w:numId="7">
    <w:abstractNumId w:val="3"/>
  </w:num>
  <w:num w:numId="8">
    <w:abstractNumId w:val="32"/>
  </w:num>
  <w:num w:numId="9">
    <w:abstractNumId w:val="23"/>
  </w:num>
  <w:num w:numId="10">
    <w:abstractNumId w:val="38"/>
  </w:num>
  <w:num w:numId="11">
    <w:abstractNumId w:val="25"/>
  </w:num>
  <w:num w:numId="12">
    <w:abstractNumId w:val="30"/>
  </w:num>
  <w:num w:numId="13">
    <w:abstractNumId w:val="31"/>
  </w:num>
  <w:num w:numId="14">
    <w:abstractNumId w:val="10"/>
  </w:num>
  <w:num w:numId="15">
    <w:abstractNumId w:val="42"/>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28"/>
  </w:num>
  <w:num w:numId="19">
    <w:abstractNumId w:val="24"/>
  </w:num>
  <w:num w:numId="20">
    <w:abstractNumId w:val="16"/>
  </w:num>
  <w:num w:numId="21">
    <w:abstractNumId w:val="34"/>
    <w:lvlOverride w:ilvl="0">
      <w:startOverride w:val="5"/>
    </w:lvlOverride>
    <w:lvlOverride w:ilvl="1">
      <w:startOverride w:val="2"/>
    </w:lvlOverride>
    <w:lvlOverride w:ilvl="2">
      <w:startOverride w:val="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9"/>
  </w:num>
  <w:num w:numId="25">
    <w:abstractNumId w:val="41"/>
  </w:num>
  <w:num w:numId="26">
    <w:abstractNumId w:val="11"/>
  </w:num>
  <w:num w:numId="27">
    <w:abstractNumId w:val="43"/>
  </w:num>
  <w:num w:numId="28">
    <w:abstractNumId w:val="17"/>
  </w:num>
  <w:num w:numId="29">
    <w:abstractNumId w:val="14"/>
  </w:num>
  <w:num w:numId="30">
    <w:abstractNumId w:val="33"/>
  </w:num>
  <w:num w:numId="31">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44"/>
  </w:num>
  <w:num w:numId="34">
    <w:abstractNumId w:val="20"/>
  </w:num>
  <w:num w:numId="35">
    <w:abstractNumId w:val="40"/>
  </w:num>
  <w:num w:numId="36">
    <w:abstractNumId w:val="2"/>
  </w:num>
  <w:num w:numId="37">
    <w:abstractNumId w:val="39"/>
  </w:num>
  <w:num w:numId="38">
    <w:abstractNumId w:val="35"/>
  </w:num>
  <w:num w:numId="39">
    <w:abstractNumId w:val="22"/>
  </w:num>
  <w:num w:numId="40">
    <w:abstractNumId w:val="12"/>
  </w:num>
  <w:num w:numId="41">
    <w:abstractNumId w:val="13"/>
  </w:num>
  <w:num w:numId="42">
    <w:abstractNumId w:val="36"/>
  </w:num>
  <w:num w:numId="43">
    <w:abstractNumId w:val="8"/>
  </w:num>
  <w:num w:numId="44">
    <w:abstractNumId w:val="15"/>
  </w:num>
  <w:num w:numId="45">
    <w:abstractNumId w:val="18"/>
  </w:num>
  <w:num w:numId="46">
    <w:abstractNumId w:val="26"/>
  </w:num>
  <w:num w:numId="47">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FD0"/>
    <w:rsid w:val="00002CD7"/>
    <w:rsid w:val="000031CC"/>
    <w:rsid w:val="00003AF1"/>
    <w:rsid w:val="00010757"/>
    <w:rsid w:val="00010E20"/>
    <w:rsid w:val="00010EDA"/>
    <w:rsid w:val="00011299"/>
    <w:rsid w:val="00012281"/>
    <w:rsid w:val="000146BE"/>
    <w:rsid w:val="00017BD5"/>
    <w:rsid w:val="000236FA"/>
    <w:rsid w:val="00024B10"/>
    <w:rsid w:val="000254FA"/>
    <w:rsid w:val="00026BE7"/>
    <w:rsid w:val="00027F38"/>
    <w:rsid w:val="00031FFD"/>
    <w:rsid w:val="00034267"/>
    <w:rsid w:val="00034E96"/>
    <w:rsid w:val="00035011"/>
    <w:rsid w:val="0004086D"/>
    <w:rsid w:val="00040DCF"/>
    <w:rsid w:val="0004770D"/>
    <w:rsid w:val="0005067F"/>
    <w:rsid w:val="000532FF"/>
    <w:rsid w:val="00053BC6"/>
    <w:rsid w:val="000550DE"/>
    <w:rsid w:val="00056870"/>
    <w:rsid w:val="000571B3"/>
    <w:rsid w:val="00060984"/>
    <w:rsid w:val="00061AC5"/>
    <w:rsid w:val="00062172"/>
    <w:rsid w:val="00063859"/>
    <w:rsid w:val="000645B4"/>
    <w:rsid w:val="0007000D"/>
    <w:rsid w:val="00071A81"/>
    <w:rsid w:val="00077F33"/>
    <w:rsid w:val="000803AB"/>
    <w:rsid w:val="00081FB5"/>
    <w:rsid w:val="000859FA"/>
    <w:rsid w:val="0009160B"/>
    <w:rsid w:val="00091F47"/>
    <w:rsid w:val="00096069"/>
    <w:rsid w:val="000964AE"/>
    <w:rsid w:val="000A1271"/>
    <w:rsid w:val="000A3F48"/>
    <w:rsid w:val="000B2DED"/>
    <w:rsid w:val="000B4A94"/>
    <w:rsid w:val="000B5058"/>
    <w:rsid w:val="000C3BD6"/>
    <w:rsid w:val="000C78D1"/>
    <w:rsid w:val="000D0477"/>
    <w:rsid w:val="000D4AF4"/>
    <w:rsid w:val="000D4DBF"/>
    <w:rsid w:val="000D5400"/>
    <w:rsid w:val="000D64AF"/>
    <w:rsid w:val="000E1B7F"/>
    <w:rsid w:val="000E1FB6"/>
    <w:rsid w:val="000E33E4"/>
    <w:rsid w:val="000E4553"/>
    <w:rsid w:val="000E4851"/>
    <w:rsid w:val="000E6578"/>
    <w:rsid w:val="000F171E"/>
    <w:rsid w:val="000F1B91"/>
    <w:rsid w:val="000F2E2F"/>
    <w:rsid w:val="000F49EC"/>
    <w:rsid w:val="000F4D47"/>
    <w:rsid w:val="000F528F"/>
    <w:rsid w:val="000F7DE6"/>
    <w:rsid w:val="00100E9B"/>
    <w:rsid w:val="001020A3"/>
    <w:rsid w:val="00103385"/>
    <w:rsid w:val="0010500F"/>
    <w:rsid w:val="00106E17"/>
    <w:rsid w:val="0011015E"/>
    <w:rsid w:val="00110FF2"/>
    <w:rsid w:val="001151DB"/>
    <w:rsid w:val="001165CB"/>
    <w:rsid w:val="001175E8"/>
    <w:rsid w:val="0012547E"/>
    <w:rsid w:val="001272EE"/>
    <w:rsid w:val="001303F5"/>
    <w:rsid w:val="0013075F"/>
    <w:rsid w:val="0013167C"/>
    <w:rsid w:val="00131B80"/>
    <w:rsid w:val="00134204"/>
    <w:rsid w:val="0013458B"/>
    <w:rsid w:val="00134FBF"/>
    <w:rsid w:val="00141738"/>
    <w:rsid w:val="001423B3"/>
    <w:rsid w:val="00144D0A"/>
    <w:rsid w:val="00146892"/>
    <w:rsid w:val="00153954"/>
    <w:rsid w:val="00153F30"/>
    <w:rsid w:val="0015402C"/>
    <w:rsid w:val="00154757"/>
    <w:rsid w:val="001551C1"/>
    <w:rsid w:val="00157EB9"/>
    <w:rsid w:val="00161F6D"/>
    <w:rsid w:val="0016206A"/>
    <w:rsid w:val="00170FA8"/>
    <w:rsid w:val="0017381A"/>
    <w:rsid w:val="001759C4"/>
    <w:rsid w:val="0018098E"/>
    <w:rsid w:val="00183F8F"/>
    <w:rsid w:val="00190CC1"/>
    <w:rsid w:val="0019271D"/>
    <w:rsid w:val="001932B1"/>
    <w:rsid w:val="00196942"/>
    <w:rsid w:val="00197F7A"/>
    <w:rsid w:val="001A1042"/>
    <w:rsid w:val="001A2757"/>
    <w:rsid w:val="001A3242"/>
    <w:rsid w:val="001A3547"/>
    <w:rsid w:val="001B0A8E"/>
    <w:rsid w:val="001B2CEA"/>
    <w:rsid w:val="001B4B01"/>
    <w:rsid w:val="001B5BF7"/>
    <w:rsid w:val="001C1673"/>
    <w:rsid w:val="001C2A3F"/>
    <w:rsid w:val="001C5AEC"/>
    <w:rsid w:val="001D1DF8"/>
    <w:rsid w:val="001D3A1F"/>
    <w:rsid w:val="001E0150"/>
    <w:rsid w:val="001E4405"/>
    <w:rsid w:val="001F22BB"/>
    <w:rsid w:val="001F5CC0"/>
    <w:rsid w:val="001F6455"/>
    <w:rsid w:val="001F73A0"/>
    <w:rsid w:val="002008B9"/>
    <w:rsid w:val="0020151A"/>
    <w:rsid w:val="00203DF6"/>
    <w:rsid w:val="00204C31"/>
    <w:rsid w:val="002070A9"/>
    <w:rsid w:val="0021304D"/>
    <w:rsid w:val="0021546F"/>
    <w:rsid w:val="002160DF"/>
    <w:rsid w:val="00216D8B"/>
    <w:rsid w:val="00221B73"/>
    <w:rsid w:val="002233D4"/>
    <w:rsid w:val="00224920"/>
    <w:rsid w:val="002251D6"/>
    <w:rsid w:val="002252D7"/>
    <w:rsid w:val="002263BE"/>
    <w:rsid w:val="002348D2"/>
    <w:rsid w:val="002356FC"/>
    <w:rsid w:val="00240C1C"/>
    <w:rsid w:val="00240D92"/>
    <w:rsid w:val="00246DED"/>
    <w:rsid w:val="002510ED"/>
    <w:rsid w:val="002532CF"/>
    <w:rsid w:val="00255FDF"/>
    <w:rsid w:val="00261C2D"/>
    <w:rsid w:val="002655C3"/>
    <w:rsid w:val="0026706E"/>
    <w:rsid w:val="0028036F"/>
    <w:rsid w:val="00280B91"/>
    <w:rsid w:val="0028420A"/>
    <w:rsid w:val="00284DE9"/>
    <w:rsid w:val="00285796"/>
    <w:rsid w:val="00286C9F"/>
    <w:rsid w:val="00290246"/>
    <w:rsid w:val="00293B0B"/>
    <w:rsid w:val="00295676"/>
    <w:rsid w:val="00295BBA"/>
    <w:rsid w:val="00296F0D"/>
    <w:rsid w:val="0029705F"/>
    <w:rsid w:val="002974D1"/>
    <w:rsid w:val="002A293E"/>
    <w:rsid w:val="002A39C6"/>
    <w:rsid w:val="002A41C7"/>
    <w:rsid w:val="002A4301"/>
    <w:rsid w:val="002A636A"/>
    <w:rsid w:val="002B138F"/>
    <w:rsid w:val="002B2C26"/>
    <w:rsid w:val="002B4715"/>
    <w:rsid w:val="002B4C75"/>
    <w:rsid w:val="002C100A"/>
    <w:rsid w:val="002C1B1D"/>
    <w:rsid w:val="002C1C92"/>
    <w:rsid w:val="002C21E7"/>
    <w:rsid w:val="002C3B14"/>
    <w:rsid w:val="002C4F85"/>
    <w:rsid w:val="002C596F"/>
    <w:rsid w:val="002C7686"/>
    <w:rsid w:val="002D1A21"/>
    <w:rsid w:val="002D4426"/>
    <w:rsid w:val="002E3541"/>
    <w:rsid w:val="002E3C22"/>
    <w:rsid w:val="002E64EC"/>
    <w:rsid w:val="002E651B"/>
    <w:rsid w:val="002E6B44"/>
    <w:rsid w:val="002E7321"/>
    <w:rsid w:val="002F0A59"/>
    <w:rsid w:val="002F1B82"/>
    <w:rsid w:val="002F2357"/>
    <w:rsid w:val="002F30A7"/>
    <w:rsid w:val="002F401F"/>
    <w:rsid w:val="002F43FD"/>
    <w:rsid w:val="00300B65"/>
    <w:rsid w:val="0030149E"/>
    <w:rsid w:val="00303B65"/>
    <w:rsid w:val="00305379"/>
    <w:rsid w:val="003115EB"/>
    <w:rsid w:val="00312C1C"/>
    <w:rsid w:val="00312CEF"/>
    <w:rsid w:val="00314A85"/>
    <w:rsid w:val="00315FA5"/>
    <w:rsid w:val="00316094"/>
    <w:rsid w:val="00316A53"/>
    <w:rsid w:val="00317BC9"/>
    <w:rsid w:val="003215BC"/>
    <w:rsid w:val="003258F0"/>
    <w:rsid w:val="00327C2F"/>
    <w:rsid w:val="003406F9"/>
    <w:rsid w:val="00344B3D"/>
    <w:rsid w:val="00345428"/>
    <w:rsid w:val="00346BB6"/>
    <w:rsid w:val="003470E8"/>
    <w:rsid w:val="0034745E"/>
    <w:rsid w:val="003526DC"/>
    <w:rsid w:val="00356809"/>
    <w:rsid w:val="003569A7"/>
    <w:rsid w:val="0036185A"/>
    <w:rsid w:val="003623EF"/>
    <w:rsid w:val="00363446"/>
    <w:rsid w:val="00363763"/>
    <w:rsid w:val="00364AB0"/>
    <w:rsid w:val="00365B3E"/>
    <w:rsid w:val="003668FC"/>
    <w:rsid w:val="00372FAF"/>
    <w:rsid w:val="00374868"/>
    <w:rsid w:val="00374D3B"/>
    <w:rsid w:val="00381F8F"/>
    <w:rsid w:val="00387725"/>
    <w:rsid w:val="00390EFC"/>
    <w:rsid w:val="00391349"/>
    <w:rsid w:val="003913F7"/>
    <w:rsid w:val="003936FC"/>
    <w:rsid w:val="003938A0"/>
    <w:rsid w:val="00395C1B"/>
    <w:rsid w:val="003A1DE9"/>
    <w:rsid w:val="003A2E0B"/>
    <w:rsid w:val="003A3916"/>
    <w:rsid w:val="003A64E5"/>
    <w:rsid w:val="003A68F4"/>
    <w:rsid w:val="003B1D65"/>
    <w:rsid w:val="003B2589"/>
    <w:rsid w:val="003B388A"/>
    <w:rsid w:val="003B5775"/>
    <w:rsid w:val="003B67FB"/>
    <w:rsid w:val="003B688C"/>
    <w:rsid w:val="003B7190"/>
    <w:rsid w:val="003C0F83"/>
    <w:rsid w:val="003C69C2"/>
    <w:rsid w:val="003D01E2"/>
    <w:rsid w:val="003D2316"/>
    <w:rsid w:val="003D4CF9"/>
    <w:rsid w:val="003D6825"/>
    <w:rsid w:val="003D7CBC"/>
    <w:rsid w:val="003E0650"/>
    <w:rsid w:val="003E4F76"/>
    <w:rsid w:val="003E7D00"/>
    <w:rsid w:val="003F2421"/>
    <w:rsid w:val="003F3B71"/>
    <w:rsid w:val="003F6922"/>
    <w:rsid w:val="00400938"/>
    <w:rsid w:val="00401393"/>
    <w:rsid w:val="0040647F"/>
    <w:rsid w:val="00407A31"/>
    <w:rsid w:val="00407CAA"/>
    <w:rsid w:val="00407F8A"/>
    <w:rsid w:val="0041485D"/>
    <w:rsid w:val="00415C01"/>
    <w:rsid w:val="004165F6"/>
    <w:rsid w:val="00417481"/>
    <w:rsid w:val="00420B99"/>
    <w:rsid w:val="00420F33"/>
    <w:rsid w:val="00421359"/>
    <w:rsid w:val="00422E91"/>
    <w:rsid w:val="00423F4D"/>
    <w:rsid w:val="00424DD8"/>
    <w:rsid w:val="004256C2"/>
    <w:rsid w:val="004273D7"/>
    <w:rsid w:val="004276EC"/>
    <w:rsid w:val="00435959"/>
    <w:rsid w:val="00435EE7"/>
    <w:rsid w:val="00441762"/>
    <w:rsid w:val="00442367"/>
    <w:rsid w:val="00447E84"/>
    <w:rsid w:val="00451959"/>
    <w:rsid w:val="00451BBD"/>
    <w:rsid w:val="0045251A"/>
    <w:rsid w:val="00452DCC"/>
    <w:rsid w:val="00455554"/>
    <w:rsid w:val="00456440"/>
    <w:rsid w:val="00457710"/>
    <w:rsid w:val="004613BB"/>
    <w:rsid w:val="00461435"/>
    <w:rsid w:val="00462D60"/>
    <w:rsid w:val="00463703"/>
    <w:rsid w:val="00464779"/>
    <w:rsid w:val="00464C5C"/>
    <w:rsid w:val="004656F1"/>
    <w:rsid w:val="00465895"/>
    <w:rsid w:val="00465AA0"/>
    <w:rsid w:val="004672D2"/>
    <w:rsid w:val="004731CC"/>
    <w:rsid w:val="00474260"/>
    <w:rsid w:val="00474C06"/>
    <w:rsid w:val="00474D31"/>
    <w:rsid w:val="004755EC"/>
    <w:rsid w:val="0047638E"/>
    <w:rsid w:val="00476946"/>
    <w:rsid w:val="00477DCF"/>
    <w:rsid w:val="00480411"/>
    <w:rsid w:val="0048046D"/>
    <w:rsid w:val="00481B61"/>
    <w:rsid w:val="0048230C"/>
    <w:rsid w:val="00482E61"/>
    <w:rsid w:val="0048352B"/>
    <w:rsid w:val="00484A72"/>
    <w:rsid w:val="004863FA"/>
    <w:rsid w:val="00486514"/>
    <w:rsid w:val="00487AD3"/>
    <w:rsid w:val="00487B4D"/>
    <w:rsid w:val="00487E5E"/>
    <w:rsid w:val="00491E10"/>
    <w:rsid w:val="00497E36"/>
    <w:rsid w:val="004A0493"/>
    <w:rsid w:val="004A06EA"/>
    <w:rsid w:val="004A0FAA"/>
    <w:rsid w:val="004A4532"/>
    <w:rsid w:val="004A5CF6"/>
    <w:rsid w:val="004A74DD"/>
    <w:rsid w:val="004B0A67"/>
    <w:rsid w:val="004B0F65"/>
    <w:rsid w:val="004B321B"/>
    <w:rsid w:val="004B4E8F"/>
    <w:rsid w:val="004C341C"/>
    <w:rsid w:val="004C3E00"/>
    <w:rsid w:val="004C661F"/>
    <w:rsid w:val="004D04FF"/>
    <w:rsid w:val="004D1E0F"/>
    <w:rsid w:val="004D3D15"/>
    <w:rsid w:val="004D4AA3"/>
    <w:rsid w:val="004E2429"/>
    <w:rsid w:val="004E4836"/>
    <w:rsid w:val="004F022A"/>
    <w:rsid w:val="004F2920"/>
    <w:rsid w:val="004F573E"/>
    <w:rsid w:val="004F6356"/>
    <w:rsid w:val="004F6421"/>
    <w:rsid w:val="00500E20"/>
    <w:rsid w:val="00502FEC"/>
    <w:rsid w:val="0050391B"/>
    <w:rsid w:val="00504ADE"/>
    <w:rsid w:val="005050C0"/>
    <w:rsid w:val="00505B07"/>
    <w:rsid w:val="0050734B"/>
    <w:rsid w:val="005073CE"/>
    <w:rsid w:val="005078DA"/>
    <w:rsid w:val="00512007"/>
    <w:rsid w:val="00514002"/>
    <w:rsid w:val="00514958"/>
    <w:rsid w:val="00515502"/>
    <w:rsid w:val="00522213"/>
    <w:rsid w:val="00522F54"/>
    <w:rsid w:val="00524CED"/>
    <w:rsid w:val="005328FE"/>
    <w:rsid w:val="005349C0"/>
    <w:rsid w:val="00535CD3"/>
    <w:rsid w:val="00541075"/>
    <w:rsid w:val="0054352F"/>
    <w:rsid w:val="00546C7F"/>
    <w:rsid w:val="00550B95"/>
    <w:rsid w:val="00554E5D"/>
    <w:rsid w:val="00555A6F"/>
    <w:rsid w:val="005618AB"/>
    <w:rsid w:val="005625F4"/>
    <w:rsid w:val="00564E80"/>
    <w:rsid w:val="0056589B"/>
    <w:rsid w:val="0056725D"/>
    <w:rsid w:val="00567760"/>
    <w:rsid w:val="005678DB"/>
    <w:rsid w:val="0057301D"/>
    <w:rsid w:val="005748B9"/>
    <w:rsid w:val="00574B08"/>
    <w:rsid w:val="00575688"/>
    <w:rsid w:val="005810BE"/>
    <w:rsid w:val="0058259E"/>
    <w:rsid w:val="005841DC"/>
    <w:rsid w:val="00584A54"/>
    <w:rsid w:val="00591A3B"/>
    <w:rsid w:val="00592B4D"/>
    <w:rsid w:val="00593E1C"/>
    <w:rsid w:val="00594795"/>
    <w:rsid w:val="00595732"/>
    <w:rsid w:val="005959AD"/>
    <w:rsid w:val="00597BBD"/>
    <w:rsid w:val="005A1724"/>
    <w:rsid w:val="005A4506"/>
    <w:rsid w:val="005A5256"/>
    <w:rsid w:val="005A6A6D"/>
    <w:rsid w:val="005A72FF"/>
    <w:rsid w:val="005B13EE"/>
    <w:rsid w:val="005B251F"/>
    <w:rsid w:val="005B2887"/>
    <w:rsid w:val="005B35B7"/>
    <w:rsid w:val="005B423B"/>
    <w:rsid w:val="005B4A00"/>
    <w:rsid w:val="005B4E61"/>
    <w:rsid w:val="005B5137"/>
    <w:rsid w:val="005B5C91"/>
    <w:rsid w:val="005B6DC9"/>
    <w:rsid w:val="005C28B7"/>
    <w:rsid w:val="005C3D5E"/>
    <w:rsid w:val="005C41DB"/>
    <w:rsid w:val="005C4D2A"/>
    <w:rsid w:val="005C5135"/>
    <w:rsid w:val="005C57CB"/>
    <w:rsid w:val="005C665A"/>
    <w:rsid w:val="005C7336"/>
    <w:rsid w:val="005D1680"/>
    <w:rsid w:val="005D230F"/>
    <w:rsid w:val="005D2B29"/>
    <w:rsid w:val="005D452D"/>
    <w:rsid w:val="005D7F79"/>
    <w:rsid w:val="005E4A19"/>
    <w:rsid w:val="005E7C04"/>
    <w:rsid w:val="005F142F"/>
    <w:rsid w:val="005F3A9D"/>
    <w:rsid w:val="00601A3F"/>
    <w:rsid w:val="00602A21"/>
    <w:rsid w:val="0060332C"/>
    <w:rsid w:val="006035E4"/>
    <w:rsid w:val="006057C6"/>
    <w:rsid w:val="00606C00"/>
    <w:rsid w:val="00607CEE"/>
    <w:rsid w:val="00607F1C"/>
    <w:rsid w:val="00611C17"/>
    <w:rsid w:val="00615014"/>
    <w:rsid w:val="00620428"/>
    <w:rsid w:val="00620A4E"/>
    <w:rsid w:val="006236E3"/>
    <w:rsid w:val="00624D93"/>
    <w:rsid w:val="00625241"/>
    <w:rsid w:val="00627973"/>
    <w:rsid w:val="006310A5"/>
    <w:rsid w:val="00631390"/>
    <w:rsid w:val="0063261A"/>
    <w:rsid w:val="00637589"/>
    <w:rsid w:val="00637B5E"/>
    <w:rsid w:val="0064037F"/>
    <w:rsid w:val="00640D01"/>
    <w:rsid w:val="00643BD4"/>
    <w:rsid w:val="00645025"/>
    <w:rsid w:val="00645901"/>
    <w:rsid w:val="006473B4"/>
    <w:rsid w:val="006476FD"/>
    <w:rsid w:val="00650006"/>
    <w:rsid w:val="0065152B"/>
    <w:rsid w:val="0065413E"/>
    <w:rsid w:val="00654803"/>
    <w:rsid w:val="00654B57"/>
    <w:rsid w:val="006551A4"/>
    <w:rsid w:val="0065682C"/>
    <w:rsid w:val="006568D0"/>
    <w:rsid w:val="00660F45"/>
    <w:rsid w:val="00661420"/>
    <w:rsid w:val="006647B1"/>
    <w:rsid w:val="006658DF"/>
    <w:rsid w:val="00665C67"/>
    <w:rsid w:val="00667F7C"/>
    <w:rsid w:val="006716F9"/>
    <w:rsid w:val="00671B7D"/>
    <w:rsid w:val="00672BDE"/>
    <w:rsid w:val="00673ECB"/>
    <w:rsid w:val="0067491C"/>
    <w:rsid w:val="006763EC"/>
    <w:rsid w:val="006765B6"/>
    <w:rsid w:val="00680B99"/>
    <w:rsid w:val="00681084"/>
    <w:rsid w:val="00682475"/>
    <w:rsid w:val="00684B9D"/>
    <w:rsid w:val="00687C31"/>
    <w:rsid w:val="00690C5F"/>
    <w:rsid w:val="00693F56"/>
    <w:rsid w:val="00694A23"/>
    <w:rsid w:val="00694F67"/>
    <w:rsid w:val="00697936"/>
    <w:rsid w:val="006A25C2"/>
    <w:rsid w:val="006A5FED"/>
    <w:rsid w:val="006A6580"/>
    <w:rsid w:val="006B1735"/>
    <w:rsid w:val="006B1E95"/>
    <w:rsid w:val="006B26E1"/>
    <w:rsid w:val="006B3097"/>
    <w:rsid w:val="006C1749"/>
    <w:rsid w:val="006C17D7"/>
    <w:rsid w:val="006C38C4"/>
    <w:rsid w:val="006C56C6"/>
    <w:rsid w:val="006C6C4B"/>
    <w:rsid w:val="006D299D"/>
    <w:rsid w:val="006D3F4F"/>
    <w:rsid w:val="006D5B77"/>
    <w:rsid w:val="006D6825"/>
    <w:rsid w:val="006E1879"/>
    <w:rsid w:val="006E26FB"/>
    <w:rsid w:val="006E2F51"/>
    <w:rsid w:val="006E5C0C"/>
    <w:rsid w:val="006E5C94"/>
    <w:rsid w:val="006F0F7B"/>
    <w:rsid w:val="006F4392"/>
    <w:rsid w:val="006F5192"/>
    <w:rsid w:val="006F5C9D"/>
    <w:rsid w:val="006F7E83"/>
    <w:rsid w:val="007050E1"/>
    <w:rsid w:val="0071011F"/>
    <w:rsid w:val="007113E7"/>
    <w:rsid w:val="00712FFC"/>
    <w:rsid w:val="00721415"/>
    <w:rsid w:val="0072212A"/>
    <w:rsid w:val="00722F6A"/>
    <w:rsid w:val="007230C9"/>
    <w:rsid w:val="00725DFA"/>
    <w:rsid w:val="00740D8B"/>
    <w:rsid w:val="007432D4"/>
    <w:rsid w:val="007459FA"/>
    <w:rsid w:val="007469E7"/>
    <w:rsid w:val="00746D04"/>
    <w:rsid w:val="00747F72"/>
    <w:rsid w:val="007508D4"/>
    <w:rsid w:val="0075210D"/>
    <w:rsid w:val="00762A13"/>
    <w:rsid w:val="00767395"/>
    <w:rsid w:val="007706B1"/>
    <w:rsid w:val="00770955"/>
    <w:rsid w:val="0077300A"/>
    <w:rsid w:val="0077492E"/>
    <w:rsid w:val="00774E57"/>
    <w:rsid w:val="00780064"/>
    <w:rsid w:val="0078190B"/>
    <w:rsid w:val="0078369E"/>
    <w:rsid w:val="007934C9"/>
    <w:rsid w:val="007948D6"/>
    <w:rsid w:val="007A0EF3"/>
    <w:rsid w:val="007A1F5B"/>
    <w:rsid w:val="007A4B30"/>
    <w:rsid w:val="007A7600"/>
    <w:rsid w:val="007A7BC9"/>
    <w:rsid w:val="007B3406"/>
    <w:rsid w:val="007C26BB"/>
    <w:rsid w:val="007C29F8"/>
    <w:rsid w:val="007C411D"/>
    <w:rsid w:val="007C4EF6"/>
    <w:rsid w:val="007D2B51"/>
    <w:rsid w:val="007D2C81"/>
    <w:rsid w:val="007D4932"/>
    <w:rsid w:val="007D7B0C"/>
    <w:rsid w:val="007E009B"/>
    <w:rsid w:val="007E0CC4"/>
    <w:rsid w:val="007E10D0"/>
    <w:rsid w:val="007E7609"/>
    <w:rsid w:val="007E7617"/>
    <w:rsid w:val="007F3DD5"/>
    <w:rsid w:val="007F43A7"/>
    <w:rsid w:val="007F489A"/>
    <w:rsid w:val="007F7E2F"/>
    <w:rsid w:val="00800812"/>
    <w:rsid w:val="00801011"/>
    <w:rsid w:val="00806E68"/>
    <w:rsid w:val="008078BB"/>
    <w:rsid w:val="008103A0"/>
    <w:rsid w:val="008106D8"/>
    <w:rsid w:val="00810D73"/>
    <w:rsid w:val="0081187F"/>
    <w:rsid w:val="00821408"/>
    <w:rsid w:val="008247CA"/>
    <w:rsid w:val="00826464"/>
    <w:rsid w:val="00826A4C"/>
    <w:rsid w:val="00831ABC"/>
    <w:rsid w:val="00831E55"/>
    <w:rsid w:val="0083206B"/>
    <w:rsid w:val="00833452"/>
    <w:rsid w:val="008336BD"/>
    <w:rsid w:val="00837E88"/>
    <w:rsid w:val="00840716"/>
    <w:rsid w:val="00840747"/>
    <w:rsid w:val="008432FC"/>
    <w:rsid w:val="00843914"/>
    <w:rsid w:val="0084391F"/>
    <w:rsid w:val="0084670C"/>
    <w:rsid w:val="00846C06"/>
    <w:rsid w:val="00846E8A"/>
    <w:rsid w:val="00851A86"/>
    <w:rsid w:val="008520F5"/>
    <w:rsid w:val="00852DF5"/>
    <w:rsid w:val="008530F3"/>
    <w:rsid w:val="008573C8"/>
    <w:rsid w:val="00857E6A"/>
    <w:rsid w:val="00861499"/>
    <w:rsid w:val="0086276B"/>
    <w:rsid w:val="00862A34"/>
    <w:rsid w:val="0086329D"/>
    <w:rsid w:val="008649D9"/>
    <w:rsid w:val="0086678C"/>
    <w:rsid w:val="008704CB"/>
    <w:rsid w:val="00871994"/>
    <w:rsid w:val="008732A1"/>
    <w:rsid w:val="00873633"/>
    <w:rsid w:val="00874134"/>
    <w:rsid w:val="00874821"/>
    <w:rsid w:val="008754CA"/>
    <w:rsid w:val="00875D88"/>
    <w:rsid w:val="008762F1"/>
    <w:rsid w:val="00881B21"/>
    <w:rsid w:val="008916FD"/>
    <w:rsid w:val="00894871"/>
    <w:rsid w:val="00895186"/>
    <w:rsid w:val="008A3959"/>
    <w:rsid w:val="008A72F7"/>
    <w:rsid w:val="008B0901"/>
    <w:rsid w:val="008B168D"/>
    <w:rsid w:val="008B1E56"/>
    <w:rsid w:val="008B1FBE"/>
    <w:rsid w:val="008B5112"/>
    <w:rsid w:val="008C0ACD"/>
    <w:rsid w:val="008C2963"/>
    <w:rsid w:val="008C6761"/>
    <w:rsid w:val="008C685F"/>
    <w:rsid w:val="008C6E13"/>
    <w:rsid w:val="008C766C"/>
    <w:rsid w:val="008D08C4"/>
    <w:rsid w:val="008D16E1"/>
    <w:rsid w:val="008D1CAB"/>
    <w:rsid w:val="008D2B5A"/>
    <w:rsid w:val="008D32C1"/>
    <w:rsid w:val="008D5592"/>
    <w:rsid w:val="008D7CD8"/>
    <w:rsid w:val="008E7D9A"/>
    <w:rsid w:val="008F0ED7"/>
    <w:rsid w:val="008F23F4"/>
    <w:rsid w:val="008F2B7C"/>
    <w:rsid w:val="008F3E4A"/>
    <w:rsid w:val="008F3EC3"/>
    <w:rsid w:val="008F4E0D"/>
    <w:rsid w:val="008F78B2"/>
    <w:rsid w:val="0090040D"/>
    <w:rsid w:val="0090163E"/>
    <w:rsid w:val="00901B5F"/>
    <w:rsid w:val="00902754"/>
    <w:rsid w:val="00907465"/>
    <w:rsid w:val="00911425"/>
    <w:rsid w:val="0091294F"/>
    <w:rsid w:val="009138A3"/>
    <w:rsid w:val="00916BAD"/>
    <w:rsid w:val="009173D6"/>
    <w:rsid w:val="00920451"/>
    <w:rsid w:val="00920F95"/>
    <w:rsid w:val="00922049"/>
    <w:rsid w:val="009265E2"/>
    <w:rsid w:val="009329C8"/>
    <w:rsid w:val="009371CB"/>
    <w:rsid w:val="0094452A"/>
    <w:rsid w:val="009547CB"/>
    <w:rsid w:val="00955AEE"/>
    <w:rsid w:val="009602FE"/>
    <w:rsid w:val="00962B8D"/>
    <w:rsid w:val="00972667"/>
    <w:rsid w:val="009741A6"/>
    <w:rsid w:val="00975E1A"/>
    <w:rsid w:val="00990DE1"/>
    <w:rsid w:val="009912B1"/>
    <w:rsid w:val="00991FBB"/>
    <w:rsid w:val="0099282E"/>
    <w:rsid w:val="009951D3"/>
    <w:rsid w:val="00995926"/>
    <w:rsid w:val="009963EE"/>
    <w:rsid w:val="0099793E"/>
    <w:rsid w:val="00997B33"/>
    <w:rsid w:val="009A39A3"/>
    <w:rsid w:val="009A6F8E"/>
    <w:rsid w:val="009B06F2"/>
    <w:rsid w:val="009B0C13"/>
    <w:rsid w:val="009B6973"/>
    <w:rsid w:val="009B7576"/>
    <w:rsid w:val="009C05CE"/>
    <w:rsid w:val="009C074F"/>
    <w:rsid w:val="009C13ED"/>
    <w:rsid w:val="009C1800"/>
    <w:rsid w:val="009C41D5"/>
    <w:rsid w:val="009C4B51"/>
    <w:rsid w:val="009C7078"/>
    <w:rsid w:val="009C74E5"/>
    <w:rsid w:val="009D151D"/>
    <w:rsid w:val="009D20B9"/>
    <w:rsid w:val="009D4868"/>
    <w:rsid w:val="009D5F1C"/>
    <w:rsid w:val="009E0BD6"/>
    <w:rsid w:val="009E2809"/>
    <w:rsid w:val="009E336E"/>
    <w:rsid w:val="009E4CDD"/>
    <w:rsid w:val="009E6F2D"/>
    <w:rsid w:val="009F0E6D"/>
    <w:rsid w:val="009F2BDB"/>
    <w:rsid w:val="00A03F5A"/>
    <w:rsid w:val="00A04874"/>
    <w:rsid w:val="00A06E72"/>
    <w:rsid w:val="00A07D8A"/>
    <w:rsid w:val="00A12347"/>
    <w:rsid w:val="00A1244A"/>
    <w:rsid w:val="00A12694"/>
    <w:rsid w:val="00A129FF"/>
    <w:rsid w:val="00A15487"/>
    <w:rsid w:val="00A16B5F"/>
    <w:rsid w:val="00A21DAD"/>
    <w:rsid w:val="00A234A5"/>
    <w:rsid w:val="00A23FA3"/>
    <w:rsid w:val="00A25622"/>
    <w:rsid w:val="00A31FD9"/>
    <w:rsid w:val="00A32673"/>
    <w:rsid w:val="00A37AED"/>
    <w:rsid w:val="00A4119C"/>
    <w:rsid w:val="00A41796"/>
    <w:rsid w:val="00A420E3"/>
    <w:rsid w:val="00A44A1C"/>
    <w:rsid w:val="00A45203"/>
    <w:rsid w:val="00A452AA"/>
    <w:rsid w:val="00A511B5"/>
    <w:rsid w:val="00A52D60"/>
    <w:rsid w:val="00A5549A"/>
    <w:rsid w:val="00A648F4"/>
    <w:rsid w:val="00A660B5"/>
    <w:rsid w:val="00A70912"/>
    <w:rsid w:val="00A70CD7"/>
    <w:rsid w:val="00A72393"/>
    <w:rsid w:val="00A72DF7"/>
    <w:rsid w:val="00A73D59"/>
    <w:rsid w:val="00A8080D"/>
    <w:rsid w:val="00A81344"/>
    <w:rsid w:val="00A85DAB"/>
    <w:rsid w:val="00A87ACD"/>
    <w:rsid w:val="00A87DEA"/>
    <w:rsid w:val="00A91654"/>
    <w:rsid w:val="00A94BDA"/>
    <w:rsid w:val="00A94D83"/>
    <w:rsid w:val="00A95DBF"/>
    <w:rsid w:val="00A97E29"/>
    <w:rsid w:val="00AA0B19"/>
    <w:rsid w:val="00AA29D7"/>
    <w:rsid w:val="00AA3201"/>
    <w:rsid w:val="00AA3EF3"/>
    <w:rsid w:val="00AB0526"/>
    <w:rsid w:val="00AB2DC6"/>
    <w:rsid w:val="00AB4232"/>
    <w:rsid w:val="00AB4C93"/>
    <w:rsid w:val="00AB4D41"/>
    <w:rsid w:val="00AC1385"/>
    <w:rsid w:val="00AC24CC"/>
    <w:rsid w:val="00AC7F3D"/>
    <w:rsid w:val="00AE2827"/>
    <w:rsid w:val="00AE2B13"/>
    <w:rsid w:val="00AE342A"/>
    <w:rsid w:val="00AF448A"/>
    <w:rsid w:val="00B00DA8"/>
    <w:rsid w:val="00B04264"/>
    <w:rsid w:val="00B053A3"/>
    <w:rsid w:val="00B062AC"/>
    <w:rsid w:val="00B11D28"/>
    <w:rsid w:val="00B159C8"/>
    <w:rsid w:val="00B15F56"/>
    <w:rsid w:val="00B24A83"/>
    <w:rsid w:val="00B26672"/>
    <w:rsid w:val="00B31A2F"/>
    <w:rsid w:val="00B31BC1"/>
    <w:rsid w:val="00B34651"/>
    <w:rsid w:val="00B34AF8"/>
    <w:rsid w:val="00B36408"/>
    <w:rsid w:val="00B40947"/>
    <w:rsid w:val="00B40FC5"/>
    <w:rsid w:val="00B437D2"/>
    <w:rsid w:val="00B44AFD"/>
    <w:rsid w:val="00B45385"/>
    <w:rsid w:val="00B479B1"/>
    <w:rsid w:val="00B544AB"/>
    <w:rsid w:val="00B55E51"/>
    <w:rsid w:val="00B609B5"/>
    <w:rsid w:val="00B60AD8"/>
    <w:rsid w:val="00B725F6"/>
    <w:rsid w:val="00B739AB"/>
    <w:rsid w:val="00B73CC1"/>
    <w:rsid w:val="00B76AD2"/>
    <w:rsid w:val="00B7791C"/>
    <w:rsid w:val="00B80DB5"/>
    <w:rsid w:val="00B83141"/>
    <w:rsid w:val="00B848FB"/>
    <w:rsid w:val="00B86D75"/>
    <w:rsid w:val="00B87D91"/>
    <w:rsid w:val="00B92892"/>
    <w:rsid w:val="00B94AE6"/>
    <w:rsid w:val="00B953D3"/>
    <w:rsid w:val="00BA45FF"/>
    <w:rsid w:val="00BB0EF0"/>
    <w:rsid w:val="00BB276C"/>
    <w:rsid w:val="00BB4984"/>
    <w:rsid w:val="00BC17A2"/>
    <w:rsid w:val="00BC220B"/>
    <w:rsid w:val="00BC24A6"/>
    <w:rsid w:val="00BC3C65"/>
    <w:rsid w:val="00BC57D7"/>
    <w:rsid w:val="00BD00C1"/>
    <w:rsid w:val="00BD1CB9"/>
    <w:rsid w:val="00BD26DD"/>
    <w:rsid w:val="00BD4C58"/>
    <w:rsid w:val="00BD6F93"/>
    <w:rsid w:val="00BE0CA0"/>
    <w:rsid w:val="00BE5250"/>
    <w:rsid w:val="00BE5877"/>
    <w:rsid w:val="00BF1643"/>
    <w:rsid w:val="00BF69C6"/>
    <w:rsid w:val="00BF6FA0"/>
    <w:rsid w:val="00C00EC4"/>
    <w:rsid w:val="00C014DE"/>
    <w:rsid w:val="00C0411D"/>
    <w:rsid w:val="00C06D74"/>
    <w:rsid w:val="00C07530"/>
    <w:rsid w:val="00C11610"/>
    <w:rsid w:val="00C13715"/>
    <w:rsid w:val="00C241CE"/>
    <w:rsid w:val="00C26BDF"/>
    <w:rsid w:val="00C27EF9"/>
    <w:rsid w:val="00C32E48"/>
    <w:rsid w:val="00C36A3C"/>
    <w:rsid w:val="00C36A3D"/>
    <w:rsid w:val="00C44810"/>
    <w:rsid w:val="00C44C26"/>
    <w:rsid w:val="00C451F7"/>
    <w:rsid w:val="00C45681"/>
    <w:rsid w:val="00C47C17"/>
    <w:rsid w:val="00C505AF"/>
    <w:rsid w:val="00C524B3"/>
    <w:rsid w:val="00C530F3"/>
    <w:rsid w:val="00C55335"/>
    <w:rsid w:val="00C57359"/>
    <w:rsid w:val="00C601DC"/>
    <w:rsid w:val="00C61290"/>
    <w:rsid w:val="00C65B43"/>
    <w:rsid w:val="00C65D34"/>
    <w:rsid w:val="00C66124"/>
    <w:rsid w:val="00C66BFC"/>
    <w:rsid w:val="00C67547"/>
    <w:rsid w:val="00C70C88"/>
    <w:rsid w:val="00C73676"/>
    <w:rsid w:val="00C7579B"/>
    <w:rsid w:val="00C75F94"/>
    <w:rsid w:val="00C76C5E"/>
    <w:rsid w:val="00C825A9"/>
    <w:rsid w:val="00C86246"/>
    <w:rsid w:val="00C87154"/>
    <w:rsid w:val="00C91AF2"/>
    <w:rsid w:val="00C97713"/>
    <w:rsid w:val="00CA01F4"/>
    <w:rsid w:val="00CA2267"/>
    <w:rsid w:val="00CA510B"/>
    <w:rsid w:val="00CA77B4"/>
    <w:rsid w:val="00CA7F79"/>
    <w:rsid w:val="00CB009D"/>
    <w:rsid w:val="00CB217B"/>
    <w:rsid w:val="00CB68CA"/>
    <w:rsid w:val="00CC2550"/>
    <w:rsid w:val="00CC2EA4"/>
    <w:rsid w:val="00CC2FEA"/>
    <w:rsid w:val="00CC4848"/>
    <w:rsid w:val="00CC6046"/>
    <w:rsid w:val="00CC77E7"/>
    <w:rsid w:val="00CC7AC8"/>
    <w:rsid w:val="00CD0DA5"/>
    <w:rsid w:val="00CD39A4"/>
    <w:rsid w:val="00CD573C"/>
    <w:rsid w:val="00CD68D1"/>
    <w:rsid w:val="00CD6DFE"/>
    <w:rsid w:val="00CE0106"/>
    <w:rsid w:val="00CE0BFE"/>
    <w:rsid w:val="00CE6563"/>
    <w:rsid w:val="00CF4425"/>
    <w:rsid w:val="00CF6E14"/>
    <w:rsid w:val="00D01294"/>
    <w:rsid w:val="00D05E90"/>
    <w:rsid w:val="00D10E3B"/>
    <w:rsid w:val="00D11D32"/>
    <w:rsid w:val="00D1503E"/>
    <w:rsid w:val="00D15245"/>
    <w:rsid w:val="00D16F9E"/>
    <w:rsid w:val="00D21106"/>
    <w:rsid w:val="00D21423"/>
    <w:rsid w:val="00D22C1F"/>
    <w:rsid w:val="00D23794"/>
    <w:rsid w:val="00D23FAB"/>
    <w:rsid w:val="00D275A7"/>
    <w:rsid w:val="00D318F7"/>
    <w:rsid w:val="00D3605B"/>
    <w:rsid w:val="00D37185"/>
    <w:rsid w:val="00D41CBD"/>
    <w:rsid w:val="00D42E42"/>
    <w:rsid w:val="00D44170"/>
    <w:rsid w:val="00D46AB3"/>
    <w:rsid w:val="00D51C8E"/>
    <w:rsid w:val="00D54E3E"/>
    <w:rsid w:val="00D56807"/>
    <w:rsid w:val="00D5725D"/>
    <w:rsid w:val="00D6599A"/>
    <w:rsid w:val="00D65A20"/>
    <w:rsid w:val="00D71117"/>
    <w:rsid w:val="00D77C99"/>
    <w:rsid w:val="00D82806"/>
    <w:rsid w:val="00D82A36"/>
    <w:rsid w:val="00D856C0"/>
    <w:rsid w:val="00D865CA"/>
    <w:rsid w:val="00D9020F"/>
    <w:rsid w:val="00D905BB"/>
    <w:rsid w:val="00D91E38"/>
    <w:rsid w:val="00D92AC4"/>
    <w:rsid w:val="00D930A1"/>
    <w:rsid w:val="00D97626"/>
    <w:rsid w:val="00DA06B2"/>
    <w:rsid w:val="00DA0994"/>
    <w:rsid w:val="00DA6529"/>
    <w:rsid w:val="00DA732B"/>
    <w:rsid w:val="00DA7B1D"/>
    <w:rsid w:val="00DB1271"/>
    <w:rsid w:val="00DB44A0"/>
    <w:rsid w:val="00DB5784"/>
    <w:rsid w:val="00DB6071"/>
    <w:rsid w:val="00DB64E2"/>
    <w:rsid w:val="00DB6BF0"/>
    <w:rsid w:val="00DB6C20"/>
    <w:rsid w:val="00DB7448"/>
    <w:rsid w:val="00DC3299"/>
    <w:rsid w:val="00DC330C"/>
    <w:rsid w:val="00DC4B7E"/>
    <w:rsid w:val="00DC4DE0"/>
    <w:rsid w:val="00DC63B7"/>
    <w:rsid w:val="00DC73CD"/>
    <w:rsid w:val="00DD0A27"/>
    <w:rsid w:val="00DD0CBB"/>
    <w:rsid w:val="00DD6C9F"/>
    <w:rsid w:val="00DD7EC3"/>
    <w:rsid w:val="00DE3DF5"/>
    <w:rsid w:val="00DE4FD7"/>
    <w:rsid w:val="00DE5329"/>
    <w:rsid w:val="00DE5DB9"/>
    <w:rsid w:val="00DE7FB9"/>
    <w:rsid w:val="00DF1DF1"/>
    <w:rsid w:val="00DF2135"/>
    <w:rsid w:val="00E11ACC"/>
    <w:rsid w:val="00E11D12"/>
    <w:rsid w:val="00E161F7"/>
    <w:rsid w:val="00E16414"/>
    <w:rsid w:val="00E171CE"/>
    <w:rsid w:val="00E17DEC"/>
    <w:rsid w:val="00E26F7C"/>
    <w:rsid w:val="00E27A19"/>
    <w:rsid w:val="00E31976"/>
    <w:rsid w:val="00E332BF"/>
    <w:rsid w:val="00E33478"/>
    <w:rsid w:val="00E336ED"/>
    <w:rsid w:val="00E33F4C"/>
    <w:rsid w:val="00E344F2"/>
    <w:rsid w:val="00E35BD6"/>
    <w:rsid w:val="00E37B65"/>
    <w:rsid w:val="00E37C91"/>
    <w:rsid w:val="00E37E7D"/>
    <w:rsid w:val="00E50316"/>
    <w:rsid w:val="00E510F3"/>
    <w:rsid w:val="00E52229"/>
    <w:rsid w:val="00E5472C"/>
    <w:rsid w:val="00E60A36"/>
    <w:rsid w:val="00E61978"/>
    <w:rsid w:val="00E61FCC"/>
    <w:rsid w:val="00E63A58"/>
    <w:rsid w:val="00E643BE"/>
    <w:rsid w:val="00E6469F"/>
    <w:rsid w:val="00E64C77"/>
    <w:rsid w:val="00E64D52"/>
    <w:rsid w:val="00E653EC"/>
    <w:rsid w:val="00E65960"/>
    <w:rsid w:val="00E70697"/>
    <w:rsid w:val="00E74987"/>
    <w:rsid w:val="00E76036"/>
    <w:rsid w:val="00E76E8C"/>
    <w:rsid w:val="00E76F1F"/>
    <w:rsid w:val="00E772D5"/>
    <w:rsid w:val="00E80CE0"/>
    <w:rsid w:val="00E87D6C"/>
    <w:rsid w:val="00E97743"/>
    <w:rsid w:val="00EA08F2"/>
    <w:rsid w:val="00EA23A9"/>
    <w:rsid w:val="00EA3663"/>
    <w:rsid w:val="00EA6EB2"/>
    <w:rsid w:val="00EA7CE9"/>
    <w:rsid w:val="00EB1920"/>
    <w:rsid w:val="00EB5C92"/>
    <w:rsid w:val="00EC0D6A"/>
    <w:rsid w:val="00EC1E89"/>
    <w:rsid w:val="00EC2D42"/>
    <w:rsid w:val="00EC3FCD"/>
    <w:rsid w:val="00EC7261"/>
    <w:rsid w:val="00ED2593"/>
    <w:rsid w:val="00ED2EAC"/>
    <w:rsid w:val="00ED3399"/>
    <w:rsid w:val="00ED69AE"/>
    <w:rsid w:val="00ED6BDE"/>
    <w:rsid w:val="00EE25B5"/>
    <w:rsid w:val="00EE2693"/>
    <w:rsid w:val="00EE30B6"/>
    <w:rsid w:val="00EE4E27"/>
    <w:rsid w:val="00EE7728"/>
    <w:rsid w:val="00EF2772"/>
    <w:rsid w:val="00EF3FEE"/>
    <w:rsid w:val="00EF6ED9"/>
    <w:rsid w:val="00EF790B"/>
    <w:rsid w:val="00F0420A"/>
    <w:rsid w:val="00F0723D"/>
    <w:rsid w:val="00F10D25"/>
    <w:rsid w:val="00F11167"/>
    <w:rsid w:val="00F14902"/>
    <w:rsid w:val="00F213C6"/>
    <w:rsid w:val="00F21EC1"/>
    <w:rsid w:val="00F22C93"/>
    <w:rsid w:val="00F2455E"/>
    <w:rsid w:val="00F25488"/>
    <w:rsid w:val="00F26268"/>
    <w:rsid w:val="00F27927"/>
    <w:rsid w:val="00F30434"/>
    <w:rsid w:val="00F350F2"/>
    <w:rsid w:val="00F350F8"/>
    <w:rsid w:val="00F352AE"/>
    <w:rsid w:val="00F37E35"/>
    <w:rsid w:val="00F511FB"/>
    <w:rsid w:val="00F52740"/>
    <w:rsid w:val="00F54C2D"/>
    <w:rsid w:val="00F563C8"/>
    <w:rsid w:val="00F56BFE"/>
    <w:rsid w:val="00F578C2"/>
    <w:rsid w:val="00F63892"/>
    <w:rsid w:val="00F64D8E"/>
    <w:rsid w:val="00F65A75"/>
    <w:rsid w:val="00F67A1D"/>
    <w:rsid w:val="00F71B55"/>
    <w:rsid w:val="00F7218A"/>
    <w:rsid w:val="00F74FD0"/>
    <w:rsid w:val="00F75E44"/>
    <w:rsid w:val="00F76281"/>
    <w:rsid w:val="00F8026C"/>
    <w:rsid w:val="00F810DC"/>
    <w:rsid w:val="00F81973"/>
    <w:rsid w:val="00F81EF5"/>
    <w:rsid w:val="00F822E3"/>
    <w:rsid w:val="00F829D5"/>
    <w:rsid w:val="00F82F6C"/>
    <w:rsid w:val="00F832FA"/>
    <w:rsid w:val="00F83B9C"/>
    <w:rsid w:val="00F83F3E"/>
    <w:rsid w:val="00F8401C"/>
    <w:rsid w:val="00F9063B"/>
    <w:rsid w:val="00F90BFE"/>
    <w:rsid w:val="00F928AF"/>
    <w:rsid w:val="00F9531C"/>
    <w:rsid w:val="00F95F1F"/>
    <w:rsid w:val="00F97674"/>
    <w:rsid w:val="00F979BA"/>
    <w:rsid w:val="00FA1251"/>
    <w:rsid w:val="00FA316C"/>
    <w:rsid w:val="00FB07AA"/>
    <w:rsid w:val="00FB08E7"/>
    <w:rsid w:val="00FB2FF9"/>
    <w:rsid w:val="00FB3268"/>
    <w:rsid w:val="00FB67CE"/>
    <w:rsid w:val="00FB77C0"/>
    <w:rsid w:val="00FB7BE9"/>
    <w:rsid w:val="00FC7984"/>
    <w:rsid w:val="00FD1290"/>
    <w:rsid w:val="00FD3203"/>
    <w:rsid w:val="00FD38D4"/>
    <w:rsid w:val="00FD7E7D"/>
    <w:rsid w:val="00FE289D"/>
    <w:rsid w:val="00FE28CC"/>
    <w:rsid w:val="00FE2A78"/>
    <w:rsid w:val="00FE3461"/>
    <w:rsid w:val="00FE39A5"/>
    <w:rsid w:val="00FE4A99"/>
    <w:rsid w:val="00FE4C98"/>
    <w:rsid w:val="00FF370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D47B50"/>
  <w15:chartTrackingRefBased/>
  <w15:docId w15:val="{CB5F75BD-AC85-4952-A07F-8D937CDDD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s-ES" w:eastAsia="es-ES"/>
    </w:rPr>
  </w:style>
  <w:style w:type="paragraph" w:styleId="Ttulo1">
    <w:name w:val="heading 1"/>
    <w:basedOn w:val="Normal"/>
    <w:next w:val="Normal"/>
    <w:qFormat/>
    <w:pPr>
      <w:keepNext/>
      <w:tabs>
        <w:tab w:val="left" w:pos="540"/>
      </w:tabs>
      <w:jc w:val="both"/>
      <w:outlineLvl w:val="0"/>
    </w:pPr>
    <w:rPr>
      <w:rFonts w:ascii="Arial" w:hAnsi="Arial" w:cs="Arial"/>
      <w:b/>
      <w:szCs w:val="18"/>
    </w:rPr>
  </w:style>
  <w:style w:type="paragraph" w:styleId="Ttulo2">
    <w:name w:val="heading 2"/>
    <w:basedOn w:val="Normal"/>
    <w:next w:val="Normal"/>
    <w:qFormat/>
    <w:pPr>
      <w:keepNext/>
      <w:ind w:right="51"/>
      <w:jc w:val="both"/>
      <w:outlineLvl w:val="1"/>
    </w:pPr>
    <w:rPr>
      <w:rFonts w:ascii="Arial" w:hAnsi="Arial" w:cs="Arial"/>
      <w:b/>
      <w:bCs/>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Pr>
      <w:rFonts w:ascii="Tahoma" w:hAnsi="Tahoma" w:cs="Tahoma"/>
      <w:sz w:val="16"/>
      <w:szCs w:val="16"/>
    </w:rPr>
  </w:style>
  <w:style w:type="character" w:styleId="Refdecomentario">
    <w:name w:val="annotation reference"/>
    <w:semiHidden/>
    <w:rPr>
      <w:rFonts w:cs="Times New Roman"/>
      <w:sz w:val="16"/>
      <w:szCs w:val="16"/>
    </w:rPr>
  </w:style>
  <w:style w:type="paragraph" w:styleId="Textocomentario">
    <w:name w:val="annotation text"/>
    <w:basedOn w:val="Normal"/>
    <w:semiHidden/>
    <w:rPr>
      <w:sz w:val="20"/>
      <w:szCs w:val="20"/>
    </w:rPr>
  </w:style>
  <w:style w:type="paragraph" w:styleId="Asuntodelcomentario">
    <w:name w:val="annotation subject"/>
    <w:basedOn w:val="Textocomentario"/>
    <w:next w:val="Textocomentario"/>
    <w:semiHidden/>
    <w:rPr>
      <w:b/>
      <w:bCs/>
    </w:rPr>
  </w:style>
  <w:style w:type="paragraph" w:styleId="Textonotapie">
    <w:name w:val="footnote text"/>
    <w:basedOn w:val="Normal"/>
    <w:semiHidden/>
    <w:rPr>
      <w:sz w:val="20"/>
      <w:szCs w:val="20"/>
      <w:lang w:val="es-CO" w:eastAsia="es-CO"/>
    </w:rPr>
  </w:style>
  <w:style w:type="character" w:styleId="Refdenotaalpie">
    <w:name w:val="footnote reference"/>
    <w:semiHidden/>
    <w:rPr>
      <w:rFonts w:cs="Times New Roman"/>
      <w:vertAlign w:val="superscript"/>
    </w:rPr>
  </w:style>
  <w:style w:type="paragraph" w:styleId="Textoindependiente2">
    <w:name w:val="Body Text 2"/>
    <w:basedOn w:val="Normal"/>
    <w:link w:val="Textoindependiente2Car"/>
    <w:pPr>
      <w:jc w:val="both"/>
    </w:pPr>
    <w:rPr>
      <w:rFonts w:ascii="Arial" w:hAnsi="Arial"/>
      <w:sz w:val="18"/>
      <w:szCs w:val="20"/>
      <w:lang w:eastAsia="es-CO"/>
    </w:rPr>
  </w:style>
  <w:style w:type="paragraph" w:styleId="Textoindependiente3">
    <w:name w:val="Body Text 3"/>
    <w:basedOn w:val="Normal"/>
    <w:pPr>
      <w:spacing w:after="120"/>
    </w:pPr>
    <w:rPr>
      <w:sz w:val="16"/>
      <w:szCs w:val="16"/>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Ttulo10">
    <w:name w:val="Título1"/>
    <w:basedOn w:val="Normal"/>
    <w:qFormat/>
    <w:pPr>
      <w:jc w:val="center"/>
    </w:pPr>
    <w:rPr>
      <w:rFonts w:ascii="AvantGarde Bk BT" w:hAnsi="AvantGarde Bk BT"/>
      <w:sz w:val="28"/>
      <w:szCs w:val="20"/>
      <w:lang w:val="es-MX"/>
    </w:rPr>
  </w:style>
  <w:style w:type="character" w:styleId="Nmerodepgina">
    <w:name w:val="page number"/>
    <w:rPr>
      <w:rFonts w:cs="Times New Roman"/>
    </w:rPr>
  </w:style>
  <w:style w:type="paragraph" w:customStyle="1" w:styleId="BodyText21">
    <w:name w:val="Body Text 21"/>
    <w:basedOn w:val="Normal"/>
    <w:pPr>
      <w:tabs>
        <w:tab w:val="left" w:pos="-720"/>
      </w:tabs>
      <w:jc w:val="both"/>
    </w:pPr>
    <w:rPr>
      <w:rFonts w:ascii="Arial" w:hAnsi="Arial"/>
      <w:spacing w:val="20"/>
      <w:sz w:val="16"/>
      <w:szCs w:val="20"/>
      <w:lang w:val="es-CO" w:eastAsia="es-CO"/>
    </w:rPr>
  </w:style>
  <w:style w:type="paragraph" w:styleId="NormalWeb">
    <w:name w:val="Normal (Web)"/>
    <w:basedOn w:val="Normal"/>
    <w:pPr>
      <w:spacing w:before="100" w:beforeAutospacing="1" w:after="100" w:afterAutospacing="1"/>
    </w:pPr>
  </w:style>
  <w:style w:type="character" w:styleId="Hipervnculo">
    <w:name w:val="Hyperlink"/>
    <w:rPr>
      <w:rFonts w:cs="Times New Roman"/>
      <w:color w:val="0000FF"/>
      <w:u w:val="single"/>
    </w:rPr>
  </w:style>
  <w:style w:type="paragraph" w:styleId="Firmadecorreoelectrnico">
    <w:name w:val="E-mail Signature"/>
    <w:basedOn w:val="Normal"/>
    <w:pPr>
      <w:spacing w:before="100" w:beforeAutospacing="1" w:after="100" w:afterAutospacing="1"/>
    </w:pPr>
  </w:style>
  <w:style w:type="character" w:styleId="Hipervnculovisitado">
    <w:name w:val="FollowedHyperlink"/>
    <w:rPr>
      <w:rFonts w:cs="Times New Roman"/>
      <w:color w:val="800080"/>
      <w:u w:val="single"/>
    </w:rPr>
  </w:style>
  <w:style w:type="paragraph" w:styleId="Sangradetextonormal">
    <w:name w:val="Body Text Indent"/>
    <w:basedOn w:val="Normal"/>
    <w:link w:val="SangradetextonormalCar"/>
    <w:pPr>
      <w:tabs>
        <w:tab w:val="left" w:pos="720"/>
      </w:tabs>
      <w:ind w:left="720" w:hanging="360"/>
      <w:jc w:val="both"/>
    </w:pPr>
    <w:rPr>
      <w:rFonts w:ascii="Arial" w:hAnsi="Arial" w:cs="Arial"/>
      <w:szCs w:val="18"/>
    </w:rPr>
  </w:style>
  <w:style w:type="paragraph" w:styleId="Sangra2detindependiente">
    <w:name w:val="Body Text Indent 2"/>
    <w:basedOn w:val="Normal"/>
    <w:pPr>
      <w:ind w:left="360"/>
      <w:jc w:val="both"/>
    </w:pPr>
    <w:rPr>
      <w:rFonts w:ascii="Arial" w:hAnsi="Arial" w:cs="Arial"/>
      <w:szCs w:val="18"/>
    </w:rPr>
  </w:style>
  <w:style w:type="paragraph" w:styleId="Sangra3detindependiente">
    <w:name w:val="Body Text Indent 3"/>
    <w:basedOn w:val="Normal"/>
    <w:pPr>
      <w:ind w:left="360"/>
      <w:jc w:val="both"/>
    </w:pPr>
    <w:rPr>
      <w:rFonts w:cs="Arial"/>
      <w:color w:val="0000FF"/>
      <w:sz w:val="18"/>
      <w:szCs w:val="18"/>
    </w:rPr>
  </w:style>
  <w:style w:type="paragraph" w:styleId="Mapadeldocumento">
    <w:name w:val="Document Map"/>
    <w:basedOn w:val="Normal"/>
    <w:semiHidden/>
    <w:pPr>
      <w:shd w:val="clear" w:color="auto" w:fill="000080"/>
    </w:pPr>
    <w:rPr>
      <w:rFonts w:ascii="Tahoma" w:hAnsi="Tahoma" w:cs="Tahoma"/>
    </w:rPr>
  </w:style>
  <w:style w:type="paragraph" w:styleId="Textoindependiente">
    <w:name w:val="Body Text"/>
    <w:basedOn w:val="Normal"/>
    <w:link w:val="TextoindependienteCar"/>
    <w:pPr>
      <w:jc w:val="both"/>
    </w:pPr>
    <w:rPr>
      <w:rFonts w:ascii="Arial" w:hAnsi="Arial" w:cs="Arial"/>
      <w:szCs w:val="18"/>
    </w:rPr>
  </w:style>
  <w:style w:type="paragraph" w:styleId="TDC1">
    <w:name w:val="toc 1"/>
    <w:basedOn w:val="Normal"/>
    <w:next w:val="Normal"/>
    <w:autoRedefine/>
    <w:semiHidden/>
  </w:style>
  <w:style w:type="paragraph" w:styleId="TDC2">
    <w:name w:val="toc 2"/>
    <w:basedOn w:val="Normal"/>
    <w:next w:val="Normal"/>
    <w:autoRedefine/>
    <w:semiHidden/>
    <w:pPr>
      <w:ind w:left="240"/>
    </w:pPr>
  </w:style>
  <w:style w:type="paragraph" w:customStyle="1" w:styleId="Titulo">
    <w:name w:val="Titulo"/>
    <w:basedOn w:val="Textoindependiente2"/>
    <w:rPr>
      <w:rFonts w:cs="Arial"/>
      <w:b/>
      <w:bCs/>
      <w:sz w:val="24"/>
      <w:szCs w:val="24"/>
      <w:lang w:eastAsia="es-ES"/>
    </w:rPr>
  </w:style>
  <w:style w:type="paragraph" w:customStyle="1" w:styleId="Titulo3">
    <w:name w:val="Titulo 3"/>
    <w:basedOn w:val="Titulo"/>
  </w:style>
  <w:style w:type="paragraph" w:customStyle="1" w:styleId="Titulo30">
    <w:name w:val="Tiìtulo 3"/>
    <w:basedOn w:val="Titulo3"/>
  </w:style>
  <w:style w:type="paragraph" w:customStyle="1" w:styleId="Titulo2">
    <w:name w:val="Titulo 2"/>
    <w:basedOn w:val="Titulo"/>
  </w:style>
  <w:style w:type="paragraph" w:customStyle="1" w:styleId="Titulo4">
    <w:name w:val="Titulo 4"/>
    <w:basedOn w:val="Titulo3"/>
  </w:style>
  <w:style w:type="character" w:customStyle="1" w:styleId="CarCar">
    <w:name w:val="Car Car"/>
    <w:rPr>
      <w:rFonts w:ascii="Arial" w:hAnsi="Arial"/>
      <w:sz w:val="18"/>
      <w:lang w:val="es-ES" w:eastAsia="es-CO" w:bidi="ar-SA"/>
    </w:rPr>
  </w:style>
  <w:style w:type="character" w:customStyle="1" w:styleId="TituloCar">
    <w:name w:val="Titulo Car"/>
    <w:rPr>
      <w:rFonts w:ascii="Arial" w:hAnsi="Arial" w:cs="Arial"/>
      <w:b/>
      <w:bCs/>
      <w:sz w:val="24"/>
      <w:szCs w:val="24"/>
      <w:lang w:val="es-ES" w:eastAsia="es-ES" w:bidi="ar-SA"/>
    </w:rPr>
  </w:style>
  <w:style w:type="character" w:customStyle="1" w:styleId="Titulo3Car">
    <w:name w:val="Titulo 3 Car"/>
    <w:basedOn w:val="TituloCar"/>
    <w:rPr>
      <w:rFonts w:ascii="Arial" w:hAnsi="Arial" w:cs="Arial"/>
      <w:b/>
      <w:bCs/>
      <w:sz w:val="24"/>
      <w:szCs w:val="24"/>
      <w:lang w:val="es-ES" w:eastAsia="es-ES" w:bidi="ar-SA"/>
    </w:rPr>
  </w:style>
  <w:style w:type="paragraph" w:styleId="Textonotaalfinal">
    <w:name w:val="endnote text"/>
    <w:basedOn w:val="Normal"/>
    <w:semiHidden/>
    <w:rPr>
      <w:sz w:val="20"/>
      <w:szCs w:val="20"/>
    </w:rPr>
  </w:style>
  <w:style w:type="character" w:styleId="Refdenotaalfinal">
    <w:name w:val="endnote reference"/>
    <w:semiHidden/>
    <w:rPr>
      <w:vertAlign w:val="superscript"/>
    </w:rPr>
  </w:style>
  <w:style w:type="paragraph" w:styleId="Prrafodelista">
    <w:name w:val="List Paragraph"/>
    <w:basedOn w:val="Normal"/>
    <w:qFormat/>
    <w:pPr>
      <w:ind w:left="708"/>
    </w:pPr>
  </w:style>
  <w:style w:type="character" w:customStyle="1" w:styleId="SangradetextonormalCar">
    <w:name w:val="Sangría de texto normal Car"/>
    <w:link w:val="Sangradetextonormal"/>
    <w:rsid w:val="00846C06"/>
    <w:rPr>
      <w:rFonts w:ascii="Arial" w:hAnsi="Arial" w:cs="Arial"/>
      <w:sz w:val="24"/>
      <w:szCs w:val="18"/>
      <w:lang w:val="es-ES" w:eastAsia="es-ES"/>
    </w:rPr>
  </w:style>
  <w:style w:type="character" w:customStyle="1" w:styleId="Textoindependiente2Car">
    <w:name w:val="Texto independiente 2 Car"/>
    <w:link w:val="Textoindependiente2"/>
    <w:rsid w:val="00846C06"/>
    <w:rPr>
      <w:rFonts w:ascii="Arial" w:hAnsi="Arial"/>
      <w:sz w:val="18"/>
      <w:lang w:val="es-ES"/>
    </w:rPr>
  </w:style>
  <w:style w:type="character" w:customStyle="1" w:styleId="TextoindependienteCar">
    <w:name w:val="Texto independiente Car"/>
    <w:link w:val="Textoindependiente"/>
    <w:rsid w:val="00541075"/>
    <w:rPr>
      <w:rFonts w:ascii="Arial" w:hAnsi="Arial" w:cs="Arial"/>
      <w:sz w:val="24"/>
      <w:szCs w:val="18"/>
      <w:lang w:val="es-ES" w:eastAsia="es-ES"/>
    </w:rPr>
  </w:style>
  <w:style w:type="paragraph" w:styleId="Revisin">
    <w:name w:val="Revision"/>
    <w:hidden/>
    <w:uiPriority w:val="99"/>
    <w:semiHidden/>
    <w:rsid w:val="00F52740"/>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037294">
      <w:bodyDiv w:val="1"/>
      <w:marLeft w:val="0"/>
      <w:marRight w:val="0"/>
      <w:marTop w:val="0"/>
      <w:marBottom w:val="0"/>
      <w:divBdr>
        <w:top w:val="none" w:sz="0" w:space="0" w:color="auto"/>
        <w:left w:val="none" w:sz="0" w:space="0" w:color="auto"/>
        <w:bottom w:val="none" w:sz="0" w:space="0" w:color="auto"/>
        <w:right w:val="none" w:sz="0" w:space="0" w:color="auto"/>
      </w:divBdr>
      <w:divsChild>
        <w:div w:id="2099936963">
          <w:marLeft w:val="0"/>
          <w:marRight w:val="0"/>
          <w:marTop w:val="0"/>
          <w:marBottom w:val="0"/>
          <w:divBdr>
            <w:top w:val="none" w:sz="0" w:space="0" w:color="auto"/>
            <w:left w:val="none" w:sz="0" w:space="0" w:color="auto"/>
            <w:bottom w:val="none" w:sz="0" w:space="0" w:color="auto"/>
            <w:right w:val="none" w:sz="0" w:space="0" w:color="auto"/>
          </w:divBdr>
          <w:divsChild>
            <w:div w:id="336075553">
              <w:marLeft w:val="0"/>
              <w:marRight w:val="0"/>
              <w:marTop w:val="0"/>
              <w:marBottom w:val="0"/>
              <w:divBdr>
                <w:top w:val="none" w:sz="0" w:space="0" w:color="auto"/>
                <w:left w:val="none" w:sz="0" w:space="0" w:color="auto"/>
                <w:bottom w:val="none" w:sz="0" w:space="0" w:color="auto"/>
                <w:right w:val="none" w:sz="0" w:space="0" w:color="auto"/>
              </w:divBdr>
            </w:div>
            <w:div w:id="370114389">
              <w:marLeft w:val="0"/>
              <w:marRight w:val="0"/>
              <w:marTop w:val="0"/>
              <w:marBottom w:val="0"/>
              <w:divBdr>
                <w:top w:val="none" w:sz="0" w:space="0" w:color="auto"/>
                <w:left w:val="none" w:sz="0" w:space="0" w:color="auto"/>
                <w:bottom w:val="none" w:sz="0" w:space="0" w:color="auto"/>
                <w:right w:val="none" w:sz="0" w:space="0" w:color="auto"/>
              </w:divBdr>
            </w:div>
            <w:div w:id="444734788">
              <w:marLeft w:val="0"/>
              <w:marRight w:val="0"/>
              <w:marTop w:val="0"/>
              <w:marBottom w:val="0"/>
              <w:divBdr>
                <w:top w:val="none" w:sz="0" w:space="0" w:color="auto"/>
                <w:left w:val="none" w:sz="0" w:space="0" w:color="auto"/>
                <w:bottom w:val="none" w:sz="0" w:space="0" w:color="auto"/>
                <w:right w:val="none" w:sz="0" w:space="0" w:color="auto"/>
              </w:divBdr>
            </w:div>
            <w:div w:id="698311336">
              <w:marLeft w:val="0"/>
              <w:marRight w:val="0"/>
              <w:marTop w:val="0"/>
              <w:marBottom w:val="0"/>
              <w:divBdr>
                <w:top w:val="none" w:sz="0" w:space="0" w:color="auto"/>
                <w:left w:val="none" w:sz="0" w:space="0" w:color="auto"/>
                <w:bottom w:val="none" w:sz="0" w:space="0" w:color="auto"/>
                <w:right w:val="none" w:sz="0" w:space="0" w:color="auto"/>
              </w:divBdr>
            </w:div>
            <w:div w:id="1031758615">
              <w:marLeft w:val="0"/>
              <w:marRight w:val="0"/>
              <w:marTop w:val="0"/>
              <w:marBottom w:val="0"/>
              <w:divBdr>
                <w:top w:val="none" w:sz="0" w:space="0" w:color="auto"/>
                <w:left w:val="none" w:sz="0" w:space="0" w:color="auto"/>
                <w:bottom w:val="none" w:sz="0" w:space="0" w:color="auto"/>
                <w:right w:val="none" w:sz="0" w:space="0" w:color="auto"/>
              </w:divBdr>
            </w:div>
            <w:div w:id="1140076131">
              <w:marLeft w:val="0"/>
              <w:marRight w:val="0"/>
              <w:marTop w:val="0"/>
              <w:marBottom w:val="0"/>
              <w:divBdr>
                <w:top w:val="none" w:sz="0" w:space="0" w:color="auto"/>
                <w:left w:val="none" w:sz="0" w:space="0" w:color="auto"/>
                <w:bottom w:val="none" w:sz="0" w:space="0" w:color="auto"/>
                <w:right w:val="none" w:sz="0" w:space="0" w:color="auto"/>
              </w:divBdr>
            </w:div>
            <w:div w:id="1342666028">
              <w:marLeft w:val="0"/>
              <w:marRight w:val="0"/>
              <w:marTop w:val="0"/>
              <w:marBottom w:val="0"/>
              <w:divBdr>
                <w:top w:val="none" w:sz="0" w:space="0" w:color="auto"/>
                <w:left w:val="none" w:sz="0" w:space="0" w:color="auto"/>
                <w:bottom w:val="none" w:sz="0" w:space="0" w:color="auto"/>
                <w:right w:val="none" w:sz="0" w:space="0" w:color="auto"/>
              </w:divBdr>
            </w:div>
            <w:div w:id="1414742246">
              <w:marLeft w:val="0"/>
              <w:marRight w:val="0"/>
              <w:marTop w:val="0"/>
              <w:marBottom w:val="0"/>
              <w:divBdr>
                <w:top w:val="none" w:sz="0" w:space="0" w:color="auto"/>
                <w:left w:val="none" w:sz="0" w:space="0" w:color="auto"/>
                <w:bottom w:val="none" w:sz="0" w:space="0" w:color="auto"/>
                <w:right w:val="none" w:sz="0" w:space="0" w:color="auto"/>
              </w:divBdr>
            </w:div>
            <w:div w:id="1514882540">
              <w:marLeft w:val="0"/>
              <w:marRight w:val="0"/>
              <w:marTop w:val="0"/>
              <w:marBottom w:val="0"/>
              <w:divBdr>
                <w:top w:val="none" w:sz="0" w:space="0" w:color="auto"/>
                <w:left w:val="none" w:sz="0" w:space="0" w:color="auto"/>
                <w:bottom w:val="none" w:sz="0" w:space="0" w:color="auto"/>
                <w:right w:val="none" w:sz="0" w:space="0" w:color="auto"/>
              </w:divBdr>
            </w:div>
            <w:div w:id="1552645302">
              <w:marLeft w:val="0"/>
              <w:marRight w:val="0"/>
              <w:marTop w:val="0"/>
              <w:marBottom w:val="0"/>
              <w:divBdr>
                <w:top w:val="none" w:sz="0" w:space="0" w:color="auto"/>
                <w:left w:val="none" w:sz="0" w:space="0" w:color="auto"/>
                <w:bottom w:val="none" w:sz="0" w:space="0" w:color="auto"/>
                <w:right w:val="none" w:sz="0" w:space="0" w:color="auto"/>
              </w:divBdr>
            </w:div>
            <w:div w:id="1553466617">
              <w:marLeft w:val="0"/>
              <w:marRight w:val="0"/>
              <w:marTop w:val="0"/>
              <w:marBottom w:val="0"/>
              <w:divBdr>
                <w:top w:val="none" w:sz="0" w:space="0" w:color="auto"/>
                <w:left w:val="none" w:sz="0" w:space="0" w:color="auto"/>
                <w:bottom w:val="none" w:sz="0" w:space="0" w:color="auto"/>
                <w:right w:val="none" w:sz="0" w:space="0" w:color="auto"/>
              </w:divBdr>
            </w:div>
            <w:div w:id="1822574240">
              <w:marLeft w:val="0"/>
              <w:marRight w:val="0"/>
              <w:marTop w:val="0"/>
              <w:marBottom w:val="0"/>
              <w:divBdr>
                <w:top w:val="none" w:sz="0" w:space="0" w:color="auto"/>
                <w:left w:val="none" w:sz="0" w:space="0" w:color="auto"/>
                <w:bottom w:val="none" w:sz="0" w:space="0" w:color="auto"/>
                <w:right w:val="none" w:sz="0" w:space="0" w:color="auto"/>
              </w:divBdr>
            </w:div>
            <w:div w:id="2038264308">
              <w:marLeft w:val="0"/>
              <w:marRight w:val="0"/>
              <w:marTop w:val="0"/>
              <w:marBottom w:val="0"/>
              <w:divBdr>
                <w:top w:val="none" w:sz="0" w:space="0" w:color="auto"/>
                <w:left w:val="none" w:sz="0" w:space="0" w:color="auto"/>
                <w:bottom w:val="none" w:sz="0" w:space="0" w:color="auto"/>
                <w:right w:val="none" w:sz="0" w:space="0" w:color="auto"/>
              </w:divBdr>
            </w:div>
            <w:div w:id="212311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1991">
      <w:bodyDiv w:val="1"/>
      <w:marLeft w:val="0"/>
      <w:marRight w:val="0"/>
      <w:marTop w:val="0"/>
      <w:marBottom w:val="0"/>
      <w:divBdr>
        <w:top w:val="none" w:sz="0" w:space="0" w:color="auto"/>
        <w:left w:val="none" w:sz="0" w:space="0" w:color="auto"/>
        <w:bottom w:val="none" w:sz="0" w:space="0" w:color="auto"/>
        <w:right w:val="none" w:sz="0" w:space="0" w:color="auto"/>
      </w:divBdr>
    </w:div>
    <w:div w:id="201676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21" Type="http://schemas.openxmlformats.org/officeDocument/2006/relationships/footer" Target="footer7.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96A5C-1D57-40DD-BF2C-072BBE050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4157</Words>
  <Characters>22864</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REGLAS RELATIVAS A LA GESTION DEL</vt:lpstr>
    </vt:vector>
  </TitlesOfParts>
  <Company>Superintedencia Bancaria de Colombia</Company>
  <LinksUpToDate>false</LinksUpToDate>
  <CharactersWithSpaces>26968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REGLAS RELATIVAS A LA GESTION DEL</dc:title>
  <dc:subject/>
  <dc:creator>caortiz</dc:creator>
  <cp:keywords/>
  <dc:description/>
  <cp:lastModifiedBy>Gabriel Armando Ospina Garcia</cp:lastModifiedBy>
  <cp:revision>3</cp:revision>
  <cp:lastPrinted>2009-09-14T15:34:00Z</cp:lastPrinted>
  <dcterms:created xsi:type="dcterms:W3CDTF">2019-07-10T16:45:00Z</dcterms:created>
  <dcterms:modified xsi:type="dcterms:W3CDTF">2019-07-23T16:23:00Z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