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A0C8B" w14:textId="77777777" w:rsidR="000C232E" w:rsidRPr="00925FBD" w:rsidRDefault="000C232E" w:rsidP="00A564C6">
      <w:pPr>
        <w:rPr>
          <w:b/>
          <w:sz w:val="16"/>
          <w:szCs w:val="16"/>
          <w:lang w:val="es-CO"/>
        </w:rPr>
      </w:pPr>
    </w:p>
    <w:p w14:paraId="32C00385" w14:textId="77777777" w:rsidR="00C0457F" w:rsidRPr="002F069D" w:rsidRDefault="00C0457F" w:rsidP="00A564C6">
      <w:pPr>
        <w:jc w:val="center"/>
        <w:rPr>
          <w:rFonts w:cs="Arial"/>
          <w:b/>
          <w:sz w:val="16"/>
          <w:szCs w:val="16"/>
        </w:rPr>
      </w:pPr>
      <w:r w:rsidRPr="002F069D">
        <w:rPr>
          <w:rFonts w:cs="Arial"/>
          <w:b/>
          <w:sz w:val="16"/>
          <w:szCs w:val="16"/>
        </w:rPr>
        <w:t>PARTE I</w:t>
      </w:r>
    </w:p>
    <w:p w14:paraId="0B53C2B0" w14:textId="77777777" w:rsidR="00C0457F" w:rsidRPr="002F069D" w:rsidRDefault="00C0457F" w:rsidP="00A564C6">
      <w:pPr>
        <w:jc w:val="center"/>
        <w:rPr>
          <w:rFonts w:cs="Arial"/>
          <w:b/>
          <w:sz w:val="16"/>
          <w:szCs w:val="16"/>
        </w:rPr>
      </w:pPr>
      <w:r w:rsidRPr="002F069D">
        <w:rPr>
          <w:rFonts w:cs="Arial"/>
          <w:b/>
          <w:sz w:val="16"/>
          <w:szCs w:val="16"/>
        </w:rPr>
        <w:t>INSTRUCCIONES GENERALES APLICABLES A LAS ENTIDADES VIGILADAS</w:t>
      </w:r>
    </w:p>
    <w:p w14:paraId="27608459" w14:textId="77777777" w:rsidR="00C0457F" w:rsidRPr="002F069D" w:rsidRDefault="00C0457F" w:rsidP="00A564C6">
      <w:pPr>
        <w:jc w:val="center"/>
        <w:rPr>
          <w:rFonts w:cs="Arial"/>
          <w:b/>
          <w:sz w:val="16"/>
          <w:szCs w:val="16"/>
        </w:rPr>
      </w:pPr>
    </w:p>
    <w:p w14:paraId="3CC21CD4" w14:textId="77777777" w:rsidR="00C0457F" w:rsidRPr="002F069D" w:rsidRDefault="00C0457F" w:rsidP="00A564C6">
      <w:pPr>
        <w:jc w:val="center"/>
        <w:rPr>
          <w:rFonts w:cs="Arial"/>
          <w:b/>
          <w:sz w:val="16"/>
          <w:szCs w:val="16"/>
        </w:rPr>
      </w:pPr>
      <w:r w:rsidRPr="002F069D">
        <w:rPr>
          <w:rFonts w:cs="Arial"/>
          <w:b/>
          <w:sz w:val="16"/>
          <w:szCs w:val="16"/>
        </w:rPr>
        <w:t>TÍTULO V</w:t>
      </w:r>
    </w:p>
    <w:p w14:paraId="7DD8CA54" w14:textId="77777777" w:rsidR="00C0457F" w:rsidRPr="002F069D" w:rsidRDefault="00C0457F" w:rsidP="00A564C6">
      <w:pPr>
        <w:jc w:val="center"/>
        <w:rPr>
          <w:rFonts w:cs="Arial"/>
          <w:b/>
          <w:sz w:val="16"/>
          <w:szCs w:val="16"/>
        </w:rPr>
      </w:pPr>
      <w:r w:rsidRPr="002F069D">
        <w:rPr>
          <w:rFonts w:cs="Arial"/>
          <w:b/>
          <w:sz w:val="16"/>
          <w:szCs w:val="16"/>
        </w:rPr>
        <w:t>INSTRUCCIONES RELATIVAS A LOS HOLDINGS FINANCIEROS</w:t>
      </w:r>
    </w:p>
    <w:p w14:paraId="00D6E624" w14:textId="77777777" w:rsidR="00C0457F" w:rsidRPr="002F069D" w:rsidRDefault="00C0457F" w:rsidP="00A564C6">
      <w:pPr>
        <w:jc w:val="center"/>
        <w:rPr>
          <w:rFonts w:cs="Arial"/>
          <w:b/>
          <w:sz w:val="16"/>
          <w:szCs w:val="16"/>
        </w:rPr>
      </w:pPr>
    </w:p>
    <w:p w14:paraId="4F479CAA" w14:textId="77777777" w:rsidR="00C0457F" w:rsidRPr="002F069D" w:rsidRDefault="00C0457F" w:rsidP="00A564C6">
      <w:pPr>
        <w:ind w:left="360" w:firstLine="0"/>
        <w:rPr>
          <w:b/>
          <w:sz w:val="16"/>
          <w:szCs w:val="16"/>
          <w:lang w:val="es-CO"/>
        </w:rPr>
      </w:pPr>
      <w:r w:rsidRPr="002F069D">
        <w:rPr>
          <w:rFonts w:cs="Arial"/>
          <w:b/>
          <w:sz w:val="16"/>
          <w:szCs w:val="16"/>
        </w:rPr>
        <w:t xml:space="preserve">CAPÍTULO I: </w:t>
      </w:r>
      <w:r w:rsidRPr="002F069D">
        <w:rPr>
          <w:b/>
          <w:sz w:val="16"/>
          <w:szCs w:val="16"/>
          <w:lang w:val="es-CO"/>
        </w:rPr>
        <w:t xml:space="preserve">ACREDITACIÓN DE LOS HOLDINGS FINANCIEROS </w:t>
      </w:r>
      <w:r w:rsidR="00F359D5">
        <w:rPr>
          <w:b/>
          <w:sz w:val="16"/>
          <w:szCs w:val="16"/>
          <w:lang w:val="es-CO"/>
        </w:rPr>
        <w:t xml:space="preserve">DOMICILIADOS O </w:t>
      </w:r>
      <w:r w:rsidRPr="002F069D">
        <w:rPr>
          <w:b/>
          <w:sz w:val="16"/>
          <w:szCs w:val="16"/>
          <w:lang w:val="es-CO"/>
        </w:rPr>
        <w:t xml:space="preserve">CONSTITUIDOS EN EL EXTERIOR </w:t>
      </w:r>
    </w:p>
    <w:p w14:paraId="0951F855" w14:textId="77777777" w:rsidR="000A260E" w:rsidRDefault="000A260E" w:rsidP="00A564C6">
      <w:pPr>
        <w:tabs>
          <w:tab w:val="left" w:pos="540"/>
        </w:tabs>
        <w:ind w:left="624" w:firstLine="0"/>
        <w:jc w:val="center"/>
        <w:rPr>
          <w:b/>
          <w:sz w:val="16"/>
          <w:szCs w:val="16"/>
          <w:lang w:val="es-CO"/>
        </w:rPr>
      </w:pPr>
    </w:p>
    <w:p w14:paraId="28B09A44" w14:textId="77777777" w:rsidR="000A260E" w:rsidRDefault="000A260E" w:rsidP="00A564C6">
      <w:pPr>
        <w:tabs>
          <w:tab w:val="left" w:pos="540"/>
        </w:tabs>
        <w:ind w:left="624" w:firstLine="0"/>
        <w:jc w:val="left"/>
        <w:rPr>
          <w:b/>
          <w:sz w:val="16"/>
          <w:szCs w:val="16"/>
          <w:lang w:val="es-CO"/>
        </w:rPr>
      </w:pPr>
    </w:p>
    <w:p w14:paraId="1A1ADDD3" w14:textId="77777777" w:rsidR="005F557D" w:rsidRPr="00925FBD" w:rsidRDefault="005F557D" w:rsidP="00A564C6">
      <w:pPr>
        <w:ind w:left="360" w:firstLine="0"/>
        <w:rPr>
          <w:b/>
          <w:sz w:val="16"/>
          <w:szCs w:val="16"/>
          <w:lang w:val="es-CO"/>
        </w:rPr>
      </w:pPr>
    </w:p>
    <w:p w14:paraId="13BCA732" w14:textId="77777777" w:rsidR="000C232E" w:rsidRPr="00B6097D" w:rsidRDefault="00F1357A" w:rsidP="00A564C6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B6097D">
        <w:rPr>
          <w:b/>
          <w:sz w:val="16"/>
          <w:szCs w:val="16"/>
          <w:lang w:val="es-CO"/>
        </w:rPr>
        <w:t>GENERALIDADES</w:t>
      </w:r>
    </w:p>
    <w:p w14:paraId="4766DDD7" w14:textId="77777777" w:rsidR="000C232E" w:rsidRPr="00B6097D" w:rsidRDefault="000C232E" w:rsidP="00A564C6">
      <w:pPr>
        <w:ind w:left="360" w:firstLine="0"/>
        <w:rPr>
          <w:b/>
          <w:sz w:val="16"/>
          <w:szCs w:val="16"/>
          <w:lang w:val="es-CO"/>
        </w:rPr>
      </w:pPr>
    </w:p>
    <w:p w14:paraId="50594F2E" w14:textId="77777777" w:rsidR="00D02E8F" w:rsidRPr="00B6097D" w:rsidRDefault="00D02E8F" w:rsidP="00A564C6">
      <w:pPr>
        <w:ind w:left="360" w:firstLine="0"/>
        <w:rPr>
          <w:b/>
          <w:sz w:val="16"/>
          <w:szCs w:val="16"/>
          <w:lang w:val="es-CO"/>
        </w:rPr>
      </w:pPr>
    </w:p>
    <w:p w14:paraId="0D3F7BE5" w14:textId="77777777" w:rsidR="00B6097D" w:rsidRPr="00B6097D" w:rsidRDefault="0002061A" w:rsidP="00B6097D">
      <w:pPr>
        <w:pStyle w:val="Prrafodelista"/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B6097D">
        <w:rPr>
          <w:b/>
          <w:sz w:val="16"/>
          <w:szCs w:val="16"/>
          <w:lang w:val="es-CO"/>
        </w:rPr>
        <w:t xml:space="preserve">ACREDITACIÓN DE LOS HOLDINGS FINANCIEROS </w:t>
      </w:r>
      <w:r w:rsidR="00F359D5" w:rsidRPr="00B6097D">
        <w:rPr>
          <w:b/>
          <w:sz w:val="16"/>
          <w:szCs w:val="16"/>
          <w:lang w:val="es-CO"/>
        </w:rPr>
        <w:t xml:space="preserve">DOMICILIADOS O </w:t>
      </w:r>
      <w:r w:rsidRPr="00B6097D">
        <w:rPr>
          <w:b/>
          <w:sz w:val="16"/>
          <w:szCs w:val="16"/>
          <w:lang w:val="es-CO"/>
        </w:rPr>
        <w:t>CONSTITUIDOS EN EL EXTERIOR</w:t>
      </w:r>
    </w:p>
    <w:p w14:paraId="5780AE0C" w14:textId="77777777" w:rsidR="00B6097D" w:rsidRPr="00B6097D" w:rsidRDefault="00B6097D" w:rsidP="00B6097D">
      <w:pPr>
        <w:ind w:left="0" w:firstLine="0"/>
        <w:rPr>
          <w:b/>
          <w:sz w:val="16"/>
          <w:szCs w:val="16"/>
          <w:lang w:val="es-CO"/>
        </w:rPr>
      </w:pPr>
    </w:p>
    <w:p w14:paraId="3AA3D6E2" w14:textId="77777777" w:rsidR="00D02E8F" w:rsidRPr="00B6097D" w:rsidRDefault="00D02E8F" w:rsidP="00A564C6">
      <w:pPr>
        <w:ind w:left="360" w:firstLine="0"/>
        <w:rPr>
          <w:b/>
          <w:sz w:val="16"/>
          <w:szCs w:val="16"/>
          <w:lang w:val="es-CO"/>
        </w:rPr>
      </w:pPr>
    </w:p>
    <w:p w14:paraId="3A77715F" w14:textId="77777777" w:rsidR="00D02E8F" w:rsidRPr="00B6097D" w:rsidRDefault="00D02E8F" w:rsidP="00A564C6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B6097D">
        <w:rPr>
          <w:b/>
          <w:sz w:val="16"/>
          <w:szCs w:val="16"/>
          <w:lang w:val="es-CO"/>
        </w:rPr>
        <w:t xml:space="preserve">EFECTOS DE LA ACREDITACIÓN DE EQUIVALENCIAS </w:t>
      </w:r>
    </w:p>
    <w:p w14:paraId="1345181D" w14:textId="77777777" w:rsidR="00D02E8F" w:rsidRPr="00B6097D" w:rsidRDefault="00D02E8F" w:rsidP="00A564C6">
      <w:pPr>
        <w:pStyle w:val="Prrafodelista"/>
        <w:rPr>
          <w:b/>
          <w:sz w:val="16"/>
          <w:szCs w:val="16"/>
          <w:lang w:val="es-CO"/>
        </w:rPr>
      </w:pPr>
    </w:p>
    <w:p w14:paraId="5CBAD8C4" w14:textId="77777777" w:rsidR="00D02E8F" w:rsidRPr="00B6097D" w:rsidRDefault="00D02E8F" w:rsidP="00A564C6">
      <w:pPr>
        <w:pStyle w:val="Prrafodelista"/>
        <w:rPr>
          <w:b/>
          <w:sz w:val="16"/>
          <w:szCs w:val="16"/>
          <w:lang w:val="es-CO"/>
        </w:rPr>
      </w:pPr>
    </w:p>
    <w:p w14:paraId="071AB4F1" w14:textId="77777777" w:rsidR="00D02E8F" w:rsidRPr="00B6097D" w:rsidRDefault="00D02E8F" w:rsidP="00A564C6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B6097D">
        <w:rPr>
          <w:b/>
          <w:sz w:val="16"/>
          <w:szCs w:val="16"/>
          <w:lang w:val="es-CO"/>
        </w:rPr>
        <w:t xml:space="preserve">EFECTOS DE LA FALTA DE ACREDITACIÓN DE EQUIVALENCIAS </w:t>
      </w:r>
    </w:p>
    <w:p w14:paraId="269C3DF2" w14:textId="77777777" w:rsidR="00D02E8F" w:rsidRPr="00B6097D" w:rsidRDefault="00D02E8F" w:rsidP="00A564C6">
      <w:pPr>
        <w:pStyle w:val="Prrafodelista"/>
        <w:rPr>
          <w:b/>
          <w:sz w:val="16"/>
          <w:szCs w:val="16"/>
          <w:lang w:val="es-CO"/>
        </w:rPr>
      </w:pPr>
    </w:p>
    <w:p w14:paraId="53012FD3" w14:textId="77777777" w:rsidR="00D02E8F" w:rsidRPr="00B6097D" w:rsidRDefault="00D02E8F" w:rsidP="00A564C6">
      <w:pPr>
        <w:pStyle w:val="Prrafodelista"/>
        <w:rPr>
          <w:b/>
          <w:sz w:val="16"/>
          <w:szCs w:val="16"/>
          <w:lang w:val="es-CO"/>
        </w:rPr>
      </w:pPr>
    </w:p>
    <w:p w14:paraId="6F94935B" w14:textId="77777777" w:rsidR="00D02E8F" w:rsidRPr="00B6097D" w:rsidRDefault="00D02E8F" w:rsidP="00A564C6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B6097D">
        <w:rPr>
          <w:b/>
          <w:sz w:val="16"/>
          <w:szCs w:val="16"/>
          <w:lang w:val="es-CO"/>
        </w:rPr>
        <w:t xml:space="preserve">ACTUALIZACIÓN DE LA INFORMACIÓN RELACIONADA CON LA ACREDITACIÓN DE EQUIVALENCIAS </w:t>
      </w:r>
    </w:p>
    <w:p w14:paraId="31E604DE" w14:textId="77777777" w:rsidR="00D02E8F" w:rsidRPr="00B6097D" w:rsidRDefault="00D02E8F" w:rsidP="00A564C6">
      <w:pPr>
        <w:pStyle w:val="Prrafodelista"/>
        <w:rPr>
          <w:b/>
          <w:sz w:val="16"/>
          <w:szCs w:val="16"/>
          <w:lang w:val="es-CO"/>
        </w:rPr>
      </w:pPr>
    </w:p>
    <w:p w14:paraId="60558765" w14:textId="77777777" w:rsidR="00D02E8F" w:rsidRPr="00B6097D" w:rsidRDefault="00D02E8F" w:rsidP="00A564C6">
      <w:pPr>
        <w:pStyle w:val="Prrafodelista"/>
        <w:rPr>
          <w:b/>
          <w:sz w:val="16"/>
          <w:szCs w:val="16"/>
          <w:lang w:val="es-CO"/>
        </w:rPr>
      </w:pPr>
    </w:p>
    <w:p w14:paraId="4C382A39" w14:textId="77777777" w:rsidR="00D02E8F" w:rsidRPr="00B6097D" w:rsidRDefault="00D02E8F" w:rsidP="00A564C6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B6097D">
        <w:rPr>
          <w:b/>
          <w:sz w:val="16"/>
          <w:szCs w:val="16"/>
          <w:lang w:val="es-CO"/>
        </w:rPr>
        <w:t xml:space="preserve">NECESIDAD DE NUEVA ACREDITACIÓN DE EQUIVALENCIAS </w:t>
      </w:r>
    </w:p>
    <w:p w14:paraId="21B8A234" w14:textId="77777777" w:rsidR="00D02E8F" w:rsidRPr="00971893" w:rsidRDefault="00D02E8F" w:rsidP="00A564C6">
      <w:pPr>
        <w:pStyle w:val="Prrafodelista"/>
        <w:rPr>
          <w:b/>
          <w:sz w:val="16"/>
          <w:szCs w:val="16"/>
          <w:lang w:val="es-CO"/>
        </w:rPr>
      </w:pPr>
    </w:p>
    <w:p w14:paraId="43336208" w14:textId="77777777" w:rsidR="00D02E8F" w:rsidRPr="00971893" w:rsidRDefault="00D02E8F" w:rsidP="00A564C6">
      <w:pPr>
        <w:pStyle w:val="Prrafodelista"/>
        <w:rPr>
          <w:b/>
          <w:sz w:val="16"/>
          <w:szCs w:val="16"/>
          <w:lang w:val="es-CO"/>
        </w:rPr>
      </w:pPr>
    </w:p>
    <w:p w14:paraId="2544AF24" w14:textId="77777777" w:rsidR="00372EB8" w:rsidRPr="00925FBD" w:rsidRDefault="00372EB8" w:rsidP="00A564C6">
      <w:pPr>
        <w:rPr>
          <w:b/>
          <w:sz w:val="16"/>
          <w:szCs w:val="16"/>
          <w:lang w:val="es-CO"/>
        </w:rPr>
      </w:pPr>
    </w:p>
    <w:p w14:paraId="56FFB093" w14:textId="77777777" w:rsidR="00083655" w:rsidRPr="00925FBD" w:rsidRDefault="00083655" w:rsidP="00A564C6">
      <w:pPr>
        <w:rPr>
          <w:b/>
          <w:sz w:val="16"/>
          <w:szCs w:val="16"/>
          <w:lang w:val="es-CO"/>
        </w:rPr>
      </w:pPr>
    </w:p>
    <w:p w14:paraId="2A25CF98" w14:textId="77777777" w:rsidR="009C3E85" w:rsidRPr="00925FBD" w:rsidRDefault="009C3E85" w:rsidP="00A564C6">
      <w:pPr>
        <w:rPr>
          <w:b/>
          <w:sz w:val="16"/>
          <w:szCs w:val="16"/>
          <w:lang w:val="es-CO"/>
        </w:rPr>
      </w:pPr>
    </w:p>
    <w:p w14:paraId="0799CC0B" w14:textId="77777777" w:rsidR="009C3E85" w:rsidRPr="00925FBD" w:rsidRDefault="009C3E85" w:rsidP="00A564C6">
      <w:pPr>
        <w:rPr>
          <w:b/>
          <w:sz w:val="16"/>
          <w:szCs w:val="16"/>
          <w:lang w:val="es-CO"/>
        </w:rPr>
      </w:pPr>
    </w:p>
    <w:p w14:paraId="323582F6" w14:textId="77777777" w:rsidR="009C3E85" w:rsidRPr="00925FBD" w:rsidRDefault="009C3E85" w:rsidP="00A564C6">
      <w:pPr>
        <w:rPr>
          <w:b/>
          <w:sz w:val="16"/>
          <w:szCs w:val="16"/>
          <w:lang w:val="es-CO"/>
        </w:rPr>
      </w:pPr>
    </w:p>
    <w:p w14:paraId="49EDDD5A" w14:textId="77777777" w:rsidR="009C3E85" w:rsidRPr="00925FBD" w:rsidRDefault="009C3E85" w:rsidP="00A564C6">
      <w:pPr>
        <w:rPr>
          <w:b/>
          <w:sz w:val="16"/>
          <w:szCs w:val="16"/>
          <w:lang w:val="es-CO"/>
        </w:rPr>
      </w:pPr>
    </w:p>
    <w:p w14:paraId="45519232" w14:textId="77777777" w:rsidR="009C3E85" w:rsidRPr="00925FBD" w:rsidRDefault="009C3E85" w:rsidP="00A564C6">
      <w:pPr>
        <w:rPr>
          <w:b/>
          <w:sz w:val="16"/>
          <w:szCs w:val="16"/>
          <w:lang w:val="es-CO"/>
        </w:rPr>
      </w:pPr>
    </w:p>
    <w:p w14:paraId="65627376" w14:textId="77777777" w:rsidR="009C3E85" w:rsidRPr="00925FBD" w:rsidRDefault="009C3E85" w:rsidP="00A564C6">
      <w:pPr>
        <w:rPr>
          <w:b/>
          <w:sz w:val="16"/>
          <w:szCs w:val="16"/>
          <w:lang w:val="es-CO"/>
        </w:rPr>
      </w:pPr>
    </w:p>
    <w:p w14:paraId="0CF453E8" w14:textId="77777777" w:rsidR="00083655" w:rsidRPr="00925FBD" w:rsidRDefault="00083655" w:rsidP="00A564C6">
      <w:pPr>
        <w:rPr>
          <w:b/>
          <w:sz w:val="16"/>
          <w:szCs w:val="16"/>
          <w:lang w:val="es-CO"/>
        </w:rPr>
      </w:pPr>
    </w:p>
    <w:p w14:paraId="14439D30" w14:textId="77777777" w:rsidR="009D6029" w:rsidRPr="00925FBD" w:rsidRDefault="009D6029" w:rsidP="00A564C6">
      <w:pPr>
        <w:rPr>
          <w:b/>
          <w:sz w:val="16"/>
          <w:szCs w:val="16"/>
          <w:lang w:val="es-CO"/>
        </w:rPr>
      </w:pPr>
    </w:p>
    <w:p w14:paraId="00F1ECDE" w14:textId="77777777" w:rsidR="009C3E85" w:rsidRPr="00925FBD" w:rsidRDefault="009C3E85" w:rsidP="00A564C6">
      <w:pPr>
        <w:rPr>
          <w:b/>
          <w:sz w:val="16"/>
          <w:szCs w:val="16"/>
          <w:lang w:val="es-CO"/>
        </w:rPr>
      </w:pPr>
    </w:p>
    <w:p w14:paraId="5C18BD7D" w14:textId="77777777" w:rsidR="009C3E85" w:rsidRPr="00925FBD" w:rsidRDefault="009C3E85" w:rsidP="00A564C6">
      <w:pPr>
        <w:rPr>
          <w:b/>
          <w:sz w:val="16"/>
          <w:szCs w:val="16"/>
          <w:lang w:val="es-CO"/>
        </w:rPr>
      </w:pPr>
    </w:p>
    <w:p w14:paraId="3C2A5122" w14:textId="77777777" w:rsidR="00925FBD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3E7759CC" w14:textId="77777777" w:rsidR="00925FBD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03BCB5CA" w14:textId="77777777" w:rsidR="00925FBD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7996AF37" w14:textId="77777777" w:rsidR="00925FBD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24CCD0F6" w14:textId="77777777" w:rsidR="00925FBD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60792A22" w14:textId="77777777" w:rsidR="00925FBD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2352401B" w14:textId="77777777" w:rsidR="00925FBD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257218E9" w14:textId="77777777" w:rsidR="00925FBD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253278F7" w14:textId="77777777" w:rsidR="00925FBD" w:rsidRDefault="00925FBD" w:rsidP="00A564C6">
      <w:pPr>
        <w:jc w:val="center"/>
        <w:rPr>
          <w:rFonts w:cs="Arial"/>
          <w:b/>
          <w:sz w:val="16"/>
          <w:szCs w:val="16"/>
        </w:rPr>
      </w:pPr>
    </w:p>
    <w:p w14:paraId="1C5758CD" w14:textId="77777777" w:rsidR="001242BA" w:rsidRDefault="001242BA" w:rsidP="00A564C6">
      <w:pPr>
        <w:jc w:val="center"/>
        <w:rPr>
          <w:rFonts w:cs="Arial"/>
          <w:b/>
          <w:sz w:val="16"/>
          <w:szCs w:val="16"/>
        </w:rPr>
      </w:pPr>
    </w:p>
    <w:p w14:paraId="5DF6655F" w14:textId="77777777" w:rsidR="001242BA" w:rsidRDefault="001242BA" w:rsidP="00A564C6">
      <w:pPr>
        <w:jc w:val="center"/>
        <w:rPr>
          <w:rFonts w:cs="Arial"/>
          <w:b/>
          <w:sz w:val="16"/>
          <w:szCs w:val="16"/>
        </w:rPr>
      </w:pPr>
    </w:p>
    <w:p w14:paraId="509BD07E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049A4998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2E05FB33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3682A919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4D9DE831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3DE17DE9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0EA832E2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65B4B668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60C6975C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3DA98D9F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2CAAE780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337FF211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4E76447A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2A2DCF0B" w14:textId="77777777" w:rsidR="001D494D" w:rsidRDefault="001D494D" w:rsidP="00506BD0">
      <w:pPr>
        <w:jc w:val="right"/>
        <w:rPr>
          <w:rFonts w:cs="Arial"/>
          <w:b/>
          <w:sz w:val="16"/>
          <w:szCs w:val="16"/>
        </w:rPr>
      </w:pPr>
    </w:p>
    <w:p w14:paraId="3A6CA0DA" w14:textId="77777777" w:rsidR="001D494D" w:rsidRDefault="001D494D" w:rsidP="00A564C6">
      <w:pPr>
        <w:jc w:val="center"/>
        <w:rPr>
          <w:rFonts w:cs="Arial"/>
          <w:b/>
          <w:sz w:val="16"/>
          <w:szCs w:val="16"/>
        </w:rPr>
      </w:pPr>
    </w:p>
    <w:p w14:paraId="7463AC73" w14:textId="77777777" w:rsidR="00AD0765" w:rsidRDefault="00AD0765" w:rsidP="00A564C6">
      <w:pPr>
        <w:jc w:val="center"/>
        <w:rPr>
          <w:rFonts w:cs="Arial"/>
          <w:b/>
          <w:sz w:val="16"/>
          <w:szCs w:val="16"/>
        </w:rPr>
        <w:sectPr w:rsidR="00AD0765" w:rsidSect="00BC4067">
          <w:headerReference w:type="default" r:id="rId8"/>
          <w:footerReference w:type="default" r:id="rId9"/>
          <w:pgSz w:w="12242" w:h="18722" w:code="14"/>
          <w:pgMar w:top="1418" w:right="1701" w:bottom="1418" w:left="1701" w:header="851" w:footer="1418" w:gutter="0"/>
          <w:cols w:space="708"/>
          <w:docGrid w:linePitch="360"/>
        </w:sectPr>
      </w:pPr>
    </w:p>
    <w:p w14:paraId="2EDBAF24" w14:textId="77777777" w:rsidR="00C0457F" w:rsidRPr="00C0457F" w:rsidRDefault="00C0457F" w:rsidP="00A564C6">
      <w:pPr>
        <w:jc w:val="center"/>
        <w:rPr>
          <w:rFonts w:cs="Arial"/>
          <w:b/>
          <w:sz w:val="16"/>
          <w:szCs w:val="16"/>
        </w:rPr>
      </w:pPr>
      <w:r w:rsidRPr="00C0457F">
        <w:rPr>
          <w:rFonts w:cs="Arial"/>
          <w:b/>
          <w:sz w:val="16"/>
          <w:szCs w:val="16"/>
        </w:rPr>
        <w:lastRenderedPageBreak/>
        <w:t>PARTE I</w:t>
      </w:r>
    </w:p>
    <w:p w14:paraId="3CDAB931" w14:textId="77777777" w:rsidR="00C0457F" w:rsidRPr="00C0457F" w:rsidRDefault="00C0457F" w:rsidP="00A564C6">
      <w:pPr>
        <w:jc w:val="center"/>
        <w:rPr>
          <w:rFonts w:cs="Arial"/>
          <w:b/>
          <w:sz w:val="16"/>
          <w:szCs w:val="16"/>
        </w:rPr>
      </w:pPr>
      <w:r w:rsidRPr="00C0457F">
        <w:rPr>
          <w:rFonts w:cs="Arial"/>
          <w:b/>
          <w:sz w:val="16"/>
          <w:szCs w:val="16"/>
        </w:rPr>
        <w:t>INSTRUCCIONES GENERALES APLICABLES A LAS ENTIDADES VIGILADAS</w:t>
      </w:r>
    </w:p>
    <w:p w14:paraId="2DFF60B9" w14:textId="77777777" w:rsidR="00C0457F" w:rsidRPr="00C0457F" w:rsidRDefault="00C0457F" w:rsidP="00A564C6">
      <w:pPr>
        <w:jc w:val="center"/>
        <w:rPr>
          <w:rFonts w:cs="Arial"/>
          <w:b/>
          <w:sz w:val="16"/>
          <w:szCs w:val="16"/>
        </w:rPr>
      </w:pPr>
    </w:p>
    <w:p w14:paraId="392E5D78" w14:textId="77777777" w:rsidR="00927B3E" w:rsidRPr="00925FBD" w:rsidRDefault="00927B3E" w:rsidP="00A564C6">
      <w:pPr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t>TÍTULO V</w:t>
      </w:r>
    </w:p>
    <w:p w14:paraId="42C48A47" w14:textId="77777777" w:rsidR="00927B3E" w:rsidRPr="00925FBD" w:rsidRDefault="00927B3E" w:rsidP="00A564C6">
      <w:pPr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t xml:space="preserve">INSTRUCCIONES RELATIVAS A </w:t>
      </w:r>
      <w:r>
        <w:rPr>
          <w:rFonts w:cs="Arial"/>
          <w:b/>
          <w:sz w:val="16"/>
          <w:szCs w:val="16"/>
        </w:rPr>
        <w:t>L</w:t>
      </w:r>
      <w:r w:rsidR="006E0C58">
        <w:rPr>
          <w:rFonts w:cs="Arial"/>
          <w:b/>
          <w:sz w:val="16"/>
          <w:szCs w:val="16"/>
        </w:rPr>
        <w:t>OS HOLDINGS FINANCIEROS</w:t>
      </w:r>
    </w:p>
    <w:p w14:paraId="08F99CCA" w14:textId="77777777" w:rsidR="00927B3E" w:rsidRPr="00B0612A" w:rsidRDefault="00927B3E" w:rsidP="00A564C6">
      <w:pPr>
        <w:jc w:val="center"/>
        <w:rPr>
          <w:rFonts w:cs="Arial"/>
          <w:b/>
          <w:sz w:val="14"/>
          <w:szCs w:val="16"/>
        </w:rPr>
      </w:pPr>
    </w:p>
    <w:p w14:paraId="6B00A06F" w14:textId="77777777" w:rsidR="00370321" w:rsidRPr="00B0612A" w:rsidRDefault="00370321" w:rsidP="00A564C6">
      <w:pPr>
        <w:jc w:val="center"/>
        <w:rPr>
          <w:rFonts w:cs="Arial"/>
          <w:b/>
          <w:sz w:val="14"/>
          <w:szCs w:val="16"/>
        </w:rPr>
      </w:pPr>
    </w:p>
    <w:p w14:paraId="1217C53A" w14:textId="77777777" w:rsidR="00C0457F" w:rsidRPr="00925FBD" w:rsidRDefault="00927B3E" w:rsidP="00A564C6">
      <w:pPr>
        <w:ind w:left="360" w:firstLine="0"/>
        <w:rPr>
          <w:b/>
          <w:sz w:val="16"/>
          <w:szCs w:val="16"/>
          <w:lang w:val="es-CO"/>
        </w:rPr>
      </w:pPr>
      <w:r w:rsidRPr="00925FBD">
        <w:rPr>
          <w:rFonts w:cs="Arial"/>
          <w:b/>
          <w:sz w:val="16"/>
          <w:szCs w:val="16"/>
        </w:rPr>
        <w:t xml:space="preserve">CAPÍTULO I: </w:t>
      </w:r>
      <w:r w:rsidR="00C0457F">
        <w:rPr>
          <w:b/>
          <w:sz w:val="16"/>
          <w:szCs w:val="16"/>
          <w:lang w:val="es-CO"/>
        </w:rPr>
        <w:t xml:space="preserve">ACREDITACIÓN DE LOS HOLDINGS FINANCIEROS </w:t>
      </w:r>
      <w:r w:rsidR="00F359D5">
        <w:rPr>
          <w:b/>
          <w:sz w:val="16"/>
          <w:szCs w:val="16"/>
          <w:lang w:val="es-CO"/>
        </w:rPr>
        <w:t xml:space="preserve">DOMICILIADOS O </w:t>
      </w:r>
      <w:r w:rsidR="00C0457F">
        <w:rPr>
          <w:b/>
          <w:sz w:val="16"/>
          <w:szCs w:val="16"/>
          <w:lang w:val="es-CO"/>
        </w:rPr>
        <w:t xml:space="preserve">CONSTITUIDOS EN EL EXTERIOR </w:t>
      </w:r>
    </w:p>
    <w:p w14:paraId="34F60223" w14:textId="77777777" w:rsidR="009C3E85" w:rsidRPr="00B0612A" w:rsidRDefault="009C3E85" w:rsidP="00A564C6">
      <w:pPr>
        <w:tabs>
          <w:tab w:val="left" w:pos="540"/>
        </w:tabs>
        <w:ind w:left="624" w:firstLine="0"/>
        <w:jc w:val="center"/>
        <w:rPr>
          <w:b/>
          <w:sz w:val="14"/>
          <w:szCs w:val="16"/>
          <w:lang w:val="es-CO"/>
        </w:rPr>
      </w:pPr>
    </w:p>
    <w:p w14:paraId="5CBCB7CE" w14:textId="77777777" w:rsidR="009C3E85" w:rsidRPr="00B0612A" w:rsidRDefault="009C3E85" w:rsidP="00A564C6">
      <w:pPr>
        <w:ind w:left="360" w:firstLine="0"/>
        <w:rPr>
          <w:b/>
          <w:sz w:val="14"/>
          <w:szCs w:val="16"/>
          <w:lang w:val="es-CO"/>
        </w:rPr>
      </w:pPr>
    </w:p>
    <w:p w14:paraId="4EE4316D" w14:textId="77777777" w:rsidR="00370321" w:rsidRPr="00B0612A" w:rsidRDefault="00370321" w:rsidP="00A564C6">
      <w:pPr>
        <w:ind w:left="360" w:firstLine="0"/>
        <w:rPr>
          <w:b/>
          <w:sz w:val="14"/>
          <w:szCs w:val="16"/>
          <w:lang w:val="es-CO"/>
        </w:rPr>
      </w:pPr>
    </w:p>
    <w:p w14:paraId="23490967" w14:textId="77777777" w:rsidR="006E0C58" w:rsidRPr="00971893" w:rsidRDefault="00971893" w:rsidP="00971893">
      <w:pPr>
        <w:ind w:left="0" w:firstLine="0"/>
        <w:rPr>
          <w:b/>
          <w:sz w:val="16"/>
          <w:szCs w:val="16"/>
          <w:lang w:val="es-CO"/>
        </w:rPr>
      </w:pPr>
      <w:r w:rsidRPr="00971893">
        <w:rPr>
          <w:b/>
          <w:sz w:val="16"/>
          <w:szCs w:val="16"/>
          <w:lang w:val="es-CO"/>
        </w:rPr>
        <w:t>1.</w:t>
      </w:r>
      <w:r>
        <w:rPr>
          <w:b/>
          <w:sz w:val="16"/>
          <w:szCs w:val="16"/>
          <w:lang w:val="es-CO"/>
        </w:rPr>
        <w:t xml:space="preserve"> </w:t>
      </w:r>
      <w:r w:rsidR="006E0C58" w:rsidRPr="00971893">
        <w:rPr>
          <w:b/>
          <w:sz w:val="16"/>
          <w:szCs w:val="16"/>
          <w:lang w:val="es-CO"/>
        </w:rPr>
        <w:t xml:space="preserve">GENERALIDADES </w:t>
      </w:r>
    </w:p>
    <w:p w14:paraId="43FA6FFC" w14:textId="77777777" w:rsidR="006E0C58" w:rsidRDefault="006E0C58" w:rsidP="00A564C6">
      <w:pPr>
        <w:ind w:left="0" w:firstLine="0"/>
        <w:rPr>
          <w:b/>
          <w:sz w:val="16"/>
          <w:szCs w:val="16"/>
          <w:lang w:val="es-CO"/>
        </w:rPr>
      </w:pPr>
    </w:p>
    <w:p w14:paraId="79A6FFE5" w14:textId="77777777" w:rsidR="006E0C58" w:rsidRPr="006E0C58" w:rsidRDefault="006E0C58" w:rsidP="00A564C6">
      <w:pPr>
        <w:ind w:left="0" w:firstLine="0"/>
        <w:rPr>
          <w:sz w:val="16"/>
          <w:szCs w:val="16"/>
          <w:lang w:val="es-CO"/>
        </w:rPr>
      </w:pPr>
      <w:r w:rsidRPr="006E0C58">
        <w:rPr>
          <w:sz w:val="16"/>
          <w:szCs w:val="16"/>
          <w:lang w:val="es-CO"/>
        </w:rPr>
        <w:t>Los holdings financieros están sujetos a la inspección y vigilancia de la SFC en virtud del art. 4 de la Ley 1870 de 201</w:t>
      </w:r>
      <w:r w:rsidR="00151044">
        <w:rPr>
          <w:sz w:val="16"/>
          <w:szCs w:val="16"/>
          <w:lang w:val="es-CO"/>
        </w:rPr>
        <w:t>7</w:t>
      </w:r>
      <w:r w:rsidRPr="006E0C58">
        <w:rPr>
          <w:sz w:val="16"/>
          <w:szCs w:val="16"/>
          <w:lang w:val="es-CO"/>
        </w:rPr>
        <w:t xml:space="preserve">, en su calidad de controlante o entidad que ejerce influencia significativa sobre las entidades que conforman un conglomerado financiero. </w:t>
      </w:r>
    </w:p>
    <w:p w14:paraId="16B3DCDE" w14:textId="77777777" w:rsidR="006E0C58" w:rsidRPr="00B0612A" w:rsidRDefault="006E0C58" w:rsidP="00A564C6">
      <w:pPr>
        <w:ind w:left="0" w:firstLine="0"/>
        <w:rPr>
          <w:sz w:val="14"/>
          <w:szCs w:val="16"/>
          <w:lang w:val="es-CO"/>
        </w:rPr>
      </w:pPr>
    </w:p>
    <w:p w14:paraId="0D2D010D" w14:textId="77777777" w:rsidR="006E0C58" w:rsidRDefault="006E0C58" w:rsidP="00A564C6">
      <w:pPr>
        <w:ind w:left="0" w:firstLine="0"/>
        <w:rPr>
          <w:sz w:val="16"/>
          <w:szCs w:val="16"/>
          <w:lang w:val="es-CO"/>
        </w:rPr>
      </w:pPr>
      <w:r w:rsidRPr="006E0C58">
        <w:rPr>
          <w:sz w:val="16"/>
          <w:szCs w:val="16"/>
          <w:lang w:val="es-CO"/>
        </w:rPr>
        <w:t xml:space="preserve">Cuando un holding financiero </w:t>
      </w:r>
      <w:r w:rsidR="00606AC5">
        <w:rPr>
          <w:sz w:val="16"/>
          <w:szCs w:val="16"/>
          <w:lang w:val="es-CO"/>
        </w:rPr>
        <w:t>esté</w:t>
      </w:r>
      <w:r w:rsidRPr="006E0C58">
        <w:rPr>
          <w:sz w:val="16"/>
          <w:szCs w:val="16"/>
          <w:lang w:val="es-CO"/>
        </w:rPr>
        <w:t xml:space="preserve"> domiciliado o constituido en el exterior, deberá acreditar ante esta Superintendencia que </w:t>
      </w:r>
      <w:r w:rsidR="00606AC5">
        <w:rPr>
          <w:sz w:val="16"/>
          <w:szCs w:val="16"/>
          <w:lang w:val="es-CO"/>
        </w:rPr>
        <w:t>está</w:t>
      </w:r>
      <w:r w:rsidRPr="006E0C58">
        <w:rPr>
          <w:sz w:val="16"/>
          <w:szCs w:val="16"/>
          <w:lang w:val="es-CO"/>
        </w:rPr>
        <w:t xml:space="preserve"> sujeto a un régimen de regulación prudencial y de supervisión comprensiva y consolidada</w:t>
      </w:r>
      <w:r>
        <w:rPr>
          <w:sz w:val="16"/>
          <w:szCs w:val="16"/>
          <w:lang w:val="es-CO"/>
        </w:rPr>
        <w:t xml:space="preserve"> equivalente al de la SFC.</w:t>
      </w:r>
      <w:r w:rsidR="00151044">
        <w:rPr>
          <w:sz w:val="16"/>
          <w:szCs w:val="16"/>
          <w:lang w:val="es-CO"/>
        </w:rPr>
        <w:t xml:space="preserve"> </w:t>
      </w:r>
    </w:p>
    <w:p w14:paraId="128DFF61" w14:textId="77777777" w:rsidR="00151044" w:rsidRDefault="00151044" w:rsidP="00A564C6">
      <w:pPr>
        <w:ind w:left="0" w:firstLine="0"/>
        <w:rPr>
          <w:sz w:val="16"/>
          <w:szCs w:val="16"/>
          <w:lang w:val="es-CO"/>
        </w:rPr>
      </w:pPr>
    </w:p>
    <w:p w14:paraId="6C8AF3CB" w14:textId="77777777" w:rsidR="003D531F" w:rsidRPr="00971893" w:rsidRDefault="00971893" w:rsidP="00971893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 xml:space="preserve">2. </w:t>
      </w:r>
      <w:r w:rsidR="00927B3E" w:rsidRPr="00971893">
        <w:rPr>
          <w:b/>
          <w:sz w:val="16"/>
          <w:szCs w:val="16"/>
          <w:lang w:val="es-CO"/>
        </w:rPr>
        <w:t xml:space="preserve">ACREDITACIÓN DE LOS HOLDINGS FINANCIEROS </w:t>
      </w:r>
      <w:r w:rsidR="00F359D5">
        <w:rPr>
          <w:b/>
          <w:sz w:val="16"/>
          <w:szCs w:val="16"/>
          <w:lang w:val="es-CO"/>
        </w:rPr>
        <w:t xml:space="preserve">DOMICILIADOS O </w:t>
      </w:r>
      <w:r w:rsidR="00927B3E" w:rsidRPr="00971893">
        <w:rPr>
          <w:b/>
          <w:sz w:val="16"/>
          <w:szCs w:val="16"/>
          <w:lang w:val="es-CO"/>
        </w:rPr>
        <w:t xml:space="preserve">CONSTITUIDOS EN EL EXTERIOR </w:t>
      </w:r>
    </w:p>
    <w:p w14:paraId="29B79E7F" w14:textId="77777777" w:rsidR="001E6EE8" w:rsidRPr="00925FBD" w:rsidRDefault="001E6EE8" w:rsidP="00A564C6">
      <w:pPr>
        <w:ind w:left="0" w:firstLine="0"/>
        <w:rPr>
          <w:sz w:val="16"/>
          <w:szCs w:val="16"/>
          <w:lang w:val="es-CO"/>
        </w:rPr>
      </w:pPr>
    </w:p>
    <w:p w14:paraId="04482969" w14:textId="36C30EA7" w:rsidR="00151044" w:rsidRDefault="00151044" w:rsidP="00A564C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Una vez</w:t>
      </w:r>
      <w:r w:rsidR="00397416">
        <w:rPr>
          <w:sz w:val="16"/>
          <w:szCs w:val="16"/>
          <w:lang w:val="es-CO"/>
        </w:rPr>
        <w:t xml:space="preserve"> entre en vigencia la</w:t>
      </w:r>
      <w:r>
        <w:rPr>
          <w:sz w:val="16"/>
          <w:szCs w:val="16"/>
          <w:lang w:val="es-CO"/>
        </w:rPr>
        <w:t xml:space="preserve"> </w:t>
      </w:r>
      <w:r w:rsidR="00397416">
        <w:rPr>
          <w:sz w:val="16"/>
          <w:szCs w:val="16"/>
          <w:lang w:val="es-CO"/>
        </w:rPr>
        <w:t xml:space="preserve">Ley 1870 de 2017 y se cuente con </w:t>
      </w:r>
      <w:r w:rsidR="00F359D5">
        <w:rPr>
          <w:sz w:val="16"/>
          <w:szCs w:val="16"/>
          <w:lang w:val="es-CO"/>
        </w:rPr>
        <w:t>el</w:t>
      </w:r>
      <w:r>
        <w:rPr>
          <w:sz w:val="16"/>
          <w:szCs w:val="16"/>
          <w:lang w:val="es-CO"/>
        </w:rPr>
        <w:t xml:space="preserve"> acto administrativo </w:t>
      </w:r>
      <w:r w:rsidR="006E06E5">
        <w:rPr>
          <w:sz w:val="16"/>
          <w:szCs w:val="16"/>
          <w:lang w:val="es-CO"/>
        </w:rPr>
        <w:t>que</w:t>
      </w:r>
      <w:r>
        <w:rPr>
          <w:sz w:val="16"/>
          <w:szCs w:val="16"/>
          <w:lang w:val="es-CO"/>
        </w:rPr>
        <w:t xml:space="preserve"> identifique </w:t>
      </w:r>
      <w:r w:rsidR="00D11995">
        <w:rPr>
          <w:sz w:val="16"/>
          <w:szCs w:val="16"/>
          <w:lang w:val="es-CO"/>
        </w:rPr>
        <w:t>un</w:t>
      </w:r>
      <w:r>
        <w:rPr>
          <w:sz w:val="16"/>
          <w:szCs w:val="16"/>
          <w:lang w:val="es-CO"/>
        </w:rPr>
        <w:t xml:space="preserve"> con</w:t>
      </w:r>
      <w:r w:rsidR="00397416">
        <w:rPr>
          <w:sz w:val="16"/>
          <w:szCs w:val="16"/>
          <w:lang w:val="es-CO"/>
        </w:rPr>
        <w:t>glomerado financiero sujeto a la</w:t>
      </w:r>
      <w:r>
        <w:rPr>
          <w:sz w:val="16"/>
          <w:szCs w:val="16"/>
          <w:lang w:val="es-CO"/>
        </w:rPr>
        <w:t xml:space="preserve"> supervisión</w:t>
      </w:r>
      <w:r w:rsidR="00606AC5">
        <w:rPr>
          <w:sz w:val="16"/>
          <w:szCs w:val="16"/>
          <w:lang w:val="es-CO"/>
        </w:rPr>
        <w:t xml:space="preserve"> de la</w:t>
      </w:r>
      <w:r w:rsidR="00397416">
        <w:rPr>
          <w:sz w:val="16"/>
          <w:szCs w:val="16"/>
          <w:lang w:val="es-CO"/>
        </w:rPr>
        <w:t xml:space="preserve"> SFC</w:t>
      </w:r>
      <w:r>
        <w:rPr>
          <w:sz w:val="16"/>
          <w:szCs w:val="16"/>
          <w:lang w:val="es-CO"/>
        </w:rPr>
        <w:t xml:space="preserve">, </w:t>
      </w:r>
      <w:r w:rsidR="00D11995">
        <w:rPr>
          <w:sz w:val="16"/>
          <w:szCs w:val="16"/>
          <w:lang w:val="es-CO"/>
        </w:rPr>
        <w:t>cuyo</w:t>
      </w:r>
      <w:r w:rsidR="00B54A49">
        <w:rPr>
          <w:sz w:val="16"/>
          <w:szCs w:val="16"/>
          <w:lang w:val="es-CO"/>
        </w:rPr>
        <w:t xml:space="preserve"> </w:t>
      </w:r>
      <w:r w:rsidR="00B54A49" w:rsidRPr="00B54A49">
        <w:rPr>
          <w:sz w:val="16"/>
          <w:szCs w:val="16"/>
          <w:lang w:val="es-CO"/>
        </w:rPr>
        <w:t xml:space="preserve">holding financiero </w:t>
      </w:r>
      <w:r w:rsidR="00D11995">
        <w:rPr>
          <w:sz w:val="16"/>
          <w:szCs w:val="16"/>
          <w:lang w:val="es-CO"/>
        </w:rPr>
        <w:t xml:space="preserve">esté </w:t>
      </w:r>
      <w:r w:rsidR="00B54A49" w:rsidRPr="00B54A49">
        <w:rPr>
          <w:sz w:val="16"/>
          <w:szCs w:val="16"/>
          <w:lang w:val="es-CO"/>
        </w:rPr>
        <w:t>domiciliado o constituido en el exterior</w:t>
      </w:r>
      <w:r>
        <w:rPr>
          <w:sz w:val="16"/>
          <w:szCs w:val="16"/>
          <w:lang w:val="es-CO"/>
        </w:rPr>
        <w:t xml:space="preserve">, </w:t>
      </w:r>
      <w:r w:rsidR="00D11995">
        <w:rPr>
          <w:sz w:val="16"/>
          <w:szCs w:val="16"/>
          <w:lang w:val="es-CO"/>
        </w:rPr>
        <w:t xml:space="preserve">éste </w:t>
      </w:r>
      <w:r w:rsidR="006E06E5">
        <w:rPr>
          <w:sz w:val="16"/>
          <w:szCs w:val="16"/>
          <w:lang w:val="es-CO"/>
        </w:rPr>
        <w:t>debe</w:t>
      </w:r>
      <w:r>
        <w:rPr>
          <w:sz w:val="16"/>
          <w:szCs w:val="16"/>
          <w:lang w:val="es-CO"/>
        </w:rPr>
        <w:t xml:space="preserve"> acreditar dentro d</w:t>
      </w:r>
      <w:r w:rsidR="006E06E5">
        <w:rPr>
          <w:sz w:val="16"/>
          <w:szCs w:val="16"/>
          <w:lang w:val="es-CO"/>
        </w:rPr>
        <w:t>e los tres (3) meses siguientes</w:t>
      </w:r>
      <w:r>
        <w:rPr>
          <w:sz w:val="16"/>
          <w:szCs w:val="16"/>
          <w:lang w:val="es-CO"/>
        </w:rPr>
        <w:t xml:space="preserve"> que se encuentra sujeto a un régimen de regulación prudencial y de supervisión comprensiva y consolidada equivalente al de la SFC, </w:t>
      </w:r>
      <w:r w:rsidR="00606AC5">
        <w:rPr>
          <w:sz w:val="16"/>
          <w:szCs w:val="16"/>
          <w:lang w:val="es-CO"/>
        </w:rPr>
        <w:t>conforme a</w:t>
      </w:r>
      <w:r w:rsidR="00BB13F9">
        <w:rPr>
          <w:sz w:val="16"/>
          <w:szCs w:val="16"/>
          <w:lang w:val="es-CO"/>
        </w:rPr>
        <w:t>l art. 7</w:t>
      </w:r>
      <w:r w:rsidR="00BB13F9" w:rsidRPr="006E0C58">
        <w:rPr>
          <w:sz w:val="16"/>
          <w:szCs w:val="16"/>
          <w:lang w:val="es-CO"/>
        </w:rPr>
        <w:t xml:space="preserve"> de la </w:t>
      </w:r>
      <w:r w:rsidR="00BB13F9">
        <w:rPr>
          <w:sz w:val="16"/>
          <w:szCs w:val="16"/>
          <w:lang w:val="es-CO"/>
        </w:rPr>
        <w:t xml:space="preserve">Ley 1870 de 2017, </w:t>
      </w:r>
      <w:r w:rsidR="006E06E5">
        <w:rPr>
          <w:sz w:val="16"/>
          <w:szCs w:val="16"/>
          <w:lang w:val="es-CO"/>
        </w:rPr>
        <w:t>para lo cual debe</w:t>
      </w:r>
      <w:r>
        <w:rPr>
          <w:sz w:val="16"/>
          <w:szCs w:val="16"/>
          <w:lang w:val="es-CO"/>
        </w:rPr>
        <w:t xml:space="preserve"> atender las instrucc</w:t>
      </w:r>
      <w:r w:rsidR="00E608B4">
        <w:rPr>
          <w:sz w:val="16"/>
          <w:szCs w:val="16"/>
          <w:lang w:val="es-CO"/>
        </w:rPr>
        <w:t>iones previstas en el presente Capí</w:t>
      </w:r>
      <w:r>
        <w:rPr>
          <w:sz w:val="16"/>
          <w:szCs w:val="16"/>
          <w:lang w:val="es-CO"/>
        </w:rPr>
        <w:t>tulo.</w:t>
      </w:r>
    </w:p>
    <w:p w14:paraId="5F694841" w14:textId="77777777" w:rsidR="00151044" w:rsidRPr="00B0612A" w:rsidRDefault="00151044" w:rsidP="00A564C6">
      <w:pPr>
        <w:ind w:left="0" w:firstLine="0"/>
        <w:rPr>
          <w:sz w:val="14"/>
          <w:szCs w:val="16"/>
          <w:lang w:val="es-CO"/>
        </w:rPr>
      </w:pPr>
    </w:p>
    <w:p w14:paraId="6505DEC5" w14:textId="0EDA212D" w:rsidR="00F23F2F" w:rsidRDefault="00E608B4" w:rsidP="00CA2BA4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Para este fin </w:t>
      </w:r>
      <w:r w:rsidR="006E06E5">
        <w:rPr>
          <w:sz w:val="16"/>
          <w:szCs w:val="16"/>
          <w:lang w:val="es-CO"/>
        </w:rPr>
        <w:t>debe</w:t>
      </w:r>
      <w:r w:rsidR="00BB13F9">
        <w:rPr>
          <w:sz w:val="16"/>
          <w:szCs w:val="16"/>
          <w:lang w:val="es-CO"/>
        </w:rPr>
        <w:t xml:space="preserve"> </w:t>
      </w:r>
      <w:r w:rsidR="00AE71B6">
        <w:rPr>
          <w:sz w:val="16"/>
          <w:szCs w:val="16"/>
          <w:lang w:val="es-CO"/>
        </w:rPr>
        <w:t xml:space="preserve">acreditar </w:t>
      </w:r>
      <w:r w:rsidR="00D51D78" w:rsidRPr="00D51D78">
        <w:rPr>
          <w:sz w:val="16"/>
          <w:szCs w:val="16"/>
          <w:lang w:val="es-CO"/>
        </w:rPr>
        <w:t xml:space="preserve">que </w:t>
      </w:r>
      <w:r w:rsidR="00BB13F9">
        <w:rPr>
          <w:sz w:val="16"/>
          <w:szCs w:val="16"/>
          <w:lang w:val="es-CO"/>
        </w:rPr>
        <w:t xml:space="preserve">le </w:t>
      </w:r>
      <w:r w:rsidR="00D11995">
        <w:rPr>
          <w:sz w:val="16"/>
          <w:szCs w:val="16"/>
          <w:lang w:val="es-CO"/>
        </w:rPr>
        <w:t>es</w:t>
      </w:r>
      <w:r w:rsidR="00BB13F9">
        <w:rPr>
          <w:sz w:val="16"/>
          <w:szCs w:val="16"/>
          <w:lang w:val="es-CO"/>
        </w:rPr>
        <w:t xml:space="preserve"> aplicable </w:t>
      </w:r>
      <w:r w:rsidR="00E25885">
        <w:rPr>
          <w:sz w:val="16"/>
          <w:szCs w:val="16"/>
          <w:lang w:val="es-CO"/>
        </w:rPr>
        <w:t xml:space="preserve">y que cumple </w:t>
      </w:r>
      <w:r w:rsidR="00D11995">
        <w:rPr>
          <w:sz w:val="16"/>
          <w:szCs w:val="16"/>
          <w:lang w:val="es-CO"/>
        </w:rPr>
        <w:t>la regulación prudencial</w:t>
      </w:r>
      <w:r w:rsidR="00D11995" w:rsidRPr="00D51D78">
        <w:rPr>
          <w:sz w:val="16"/>
          <w:szCs w:val="16"/>
          <w:lang w:val="es-CO"/>
        </w:rPr>
        <w:t xml:space="preserve"> </w:t>
      </w:r>
      <w:r w:rsidR="00D51D78" w:rsidRPr="00D51D78">
        <w:rPr>
          <w:sz w:val="16"/>
          <w:szCs w:val="16"/>
          <w:lang w:val="es-CO"/>
        </w:rPr>
        <w:t>emitida por el regulador</w:t>
      </w:r>
      <w:r w:rsidR="00BB13F9">
        <w:rPr>
          <w:sz w:val="16"/>
          <w:szCs w:val="16"/>
          <w:lang w:val="es-CO"/>
        </w:rPr>
        <w:t xml:space="preserve"> financiero</w:t>
      </w:r>
      <w:r>
        <w:rPr>
          <w:sz w:val="16"/>
          <w:szCs w:val="16"/>
          <w:lang w:val="es-CO"/>
        </w:rPr>
        <w:t xml:space="preserve"> de su</w:t>
      </w:r>
      <w:r w:rsidR="00AE71B6">
        <w:rPr>
          <w:sz w:val="16"/>
          <w:szCs w:val="16"/>
          <w:lang w:val="es-CO"/>
        </w:rPr>
        <w:t xml:space="preserve"> respectiva jurisdicción</w:t>
      </w:r>
      <w:r w:rsidR="00D51D78" w:rsidRPr="00D51D78">
        <w:rPr>
          <w:sz w:val="16"/>
          <w:szCs w:val="16"/>
          <w:lang w:val="es-CO"/>
        </w:rPr>
        <w:t xml:space="preserve"> y</w:t>
      </w:r>
      <w:r w:rsidR="00B0612A">
        <w:rPr>
          <w:sz w:val="16"/>
          <w:szCs w:val="16"/>
          <w:lang w:val="es-CO"/>
        </w:rPr>
        <w:t xml:space="preserve"> que, a su vez </w:t>
      </w:r>
      <w:r w:rsidR="00D11995">
        <w:rPr>
          <w:sz w:val="16"/>
          <w:szCs w:val="16"/>
          <w:lang w:val="es-CO"/>
        </w:rPr>
        <w:t>es</w:t>
      </w:r>
      <w:r w:rsidR="00AE71B6">
        <w:rPr>
          <w:sz w:val="16"/>
          <w:szCs w:val="16"/>
          <w:lang w:val="es-CO"/>
        </w:rPr>
        <w:t xml:space="preserve"> objeto de </w:t>
      </w:r>
      <w:r w:rsidR="003753FE">
        <w:rPr>
          <w:sz w:val="16"/>
          <w:szCs w:val="16"/>
          <w:lang w:val="es-CO"/>
        </w:rPr>
        <w:t>inspección, vigilancia y/o control</w:t>
      </w:r>
      <w:r>
        <w:rPr>
          <w:sz w:val="16"/>
          <w:szCs w:val="16"/>
          <w:lang w:val="es-CO"/>
        </w:rPr>
        <w:t xml:space="preserve"> </w:t>
      </w:r>
      <w:r w:rsidR="00D11995">
        <w:rPr>
          <w:sz w:val="16"/>
          <w:szCs w:val="16"/>
          <w:lang w:val="es-CO"/>
        </w:rPr>
        <w:t xml:space="preserve">o un grado de supervisión </w:t>
      </w:r>
      <w:r w:rsidR="00C51957">
        <w:rPr>
          <w:sz w:val="16"/>
          <w:szCs w:val="16"/>
          <w:lang w:val="es-CO"/>
        </w:rPr>
        <w:t>equivalente</w:t>
      </w:r>
      <w:r w:rsidR="00D11995">
        <w:rPr>
          <w:sz w:val="16"/>
          <w:szCs w:val="16"/>
          <w:lang w:val="es-CO"/>
        </w:rPr>
        <w:t xml:space="preserve">, </w:t>
      </w:r>
      <w:r>
        <w:rPr>
          <w:sz w:val="16"/>
          <w:szCs w:val="16"/>
          <w:lang w:val="es-CO"/>
        </w:rPr>
        <w:t>por parte de</w:t>
      </w:r>
      <w:r w:rsidR="00F359D5">
        <w:rPr>
          <w:sz w:val="16"/>
          <w:szCs w:val="16"/>
          <w:lang w:val="es-CO"/>
        </w:rPr>
        <w:t>l</w:t>
      </w:r>
      <w:r w:rsidR="00AE71B6">
        <w:rPr>
          <w:sz w:val="16"/>
          <w:szCs w:val="16"/>
          <w:lang w:val="es-CO"/>
        </w:rPr>
        <w:t xml:space="preserve"> </w:t>
      </w:r>
      <w:r w:rsidR="00D51D78" w:rsidRPr="00D51D78">
        <w:rPr>
          <w:sz w:val="16"/>
          <w:szCs w:val="16"/>
          <w:lang w:val="es-CO"/>
        </w:rPr>
        <w:t xml:space="preserve">supervisor </w:t>
      </w:r>
      <w:r w:rsidR="00F359D5">
        <w:rPr>
          <w:sz w:val="16"/>
          <w:szCs w:val="16"/>
          <w:lang w:val="es-CO"/>
        </w:rPr>
        <w:t xml:space="preserve">de la jurisdicción </w:t>
      </w:r>
      <w:r w:rsidR="00D51D78" w:rsidRPr="00D51D78">
        <w:rPr>
          <w:sz w:val="16"/>
          <w:szCs w:val="16"/>
          <w:lang w:val="es-CO"/>
        </w:rPr>
        <w:t>de</w:t>
      </w:r>
      <w:r w:rsidR="00BB13F9">
        <w:rPr>
          <w:sz w:val="16"/>
          <w:szCs w:val="16"/>
          <w:lang w:val="es-CO"/>
        </w:rPr>
        <w:t>l exterior</w:t>
      </w:r>
      <w:r w:rsidR="00F359D5">
        <w:rPr>
          <w:sz w:val="16"/>
          <w:szCs w:val="16"/>
          <w:lang w:val="es-CO"/>
        </w:rPr>
        <w:t xml:space="preserve"> donde se encuentra domiciliado o constituido</w:t>
      </w:r>
      <w:r>
        <w:rPr>
          <w:sz w:val="16"/>
          <w:szCs w:val="16"/>
          <w:lang w:val="es-CO"/>
        </w:rPr>
        <w:t>,</w:t>
      </w:r>
      <w:r w:rsidR="00D51D78" w:rsidRPr="00D51D78">
        <w:rPr>
          <w:sz w:val="16"/>
          <w:szCs w:val="16"/>
          <w:lang w:val="es-CO"/>
        </w:rPr>
        <w:t xml:space="preserve"> respecto de su </w:t>
      </w:r>
      <w:r w:rsidR="00BB13F9">
        <w:rPr>
          <w:sz w:val="16"/>
          <w:szCs w:val="16"/>
          <w:lang w:val="es-CO"/>
        </w:rPr>
        <w:t>calidad de holding de un</w:t>
      </w:r>
      <w:r w:rsidR="00AE71B6">
        <w:rPr>
          <w:sz w:val="16"/>
          <w:szCs w:val="16"/>
          <w:lang w:val="es-CO"/>
        </w:rPr>
        <w:t xml:space="preserve"> conglomerado</w:t>
      </w:r>
      <w:r w:rsidR="00BB13F9">
        <w:rPr>
          <w:sz w:val="16"/>
          <w:szCs w:val="16"/>
          <w:lang w:val="es-CO"/>
        </w:rPr>
        <w:t xml:space="preserve"> financiero</w:t>
      </w:r>
      <w:r w:rsidR="002C1314">
        <w:rPr>
          <w:sz w:val="16"/>
          <w:szCs w:val="16"/>
          <w:lang w:val="es-CO"/>
        </w:rPr>
        <w:t xml:space="preserve">. </w:t>
      </w:r>
    </w:p>
    <w:p w14:paraId="2D4020C1" w14:textId="77777777" w:rsidR="00F23F2F" w:rsidRPr="00B0612A" w:rsidRDefault="00F23F2F" w:rsidP="00CA2BA4">
      <w:pPr>
        <w:ind w:left="0" w:firstLine="0"/>
        <w:rPr>
          <w:sz w:val="14"/>
          <w:szCs w:val="16"/>
          <w:lang w:val="es-CO"/>
        </w:rPr>
      </w:pPr>
    </w:p>
    <w:p w14:paraId="30A06085" w14:textId="66EBEFA6" w:rsidR="00621507" w:rsidRDefault="00CA2BA4" w:rsidP="00CA2BA4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A fin de surtir </w:t>
      </w:r>
      <w:r w:rsidR="002C588A">
        <w:rPr>
          <w:sz w:val="16"/>
          <w:szCs w:val="16"/>
          <w:lang w:val="es-CO"/>
        </w:rPr>
        <w:t>la</w:t>
      </w:r>
      <w:r>
        <w:rPr>
          <w:sz w:val="16"/>
          <w:szCs w:val="16"/>
          <w:lang w:val="es-CO"/>
        </w:rPr>
        <w:t xml:space="preserve"> acreditación ante la SFC, el </w:t>
      </w:r>
      <w:r w:rsidRPr="006E0C58">
        <w:rPr>
          <w:sz w:val="16"/>
          <w:szCs w:val="16"/>
          <w:lang w:val="es-CO"/>
        </w:rPr>
        <w:t xml:space="preserve">holding financiero </w:t>
      </w:r>
      <w:r>
        <w:rPr>
          <w:sz w:val="16"/>
          <w:szCs w:val="16"/>
          <w:lang w:val="es-CO"/>
        </w:rPr>
        <w:t>d</w:t>
      </w:r>
      <w:r w:rsidRPr="006E0C58">
        <w:rPr>
          <w:sz w:val="16"/>
          <w:szCs w:val="16"/>
          <w:lang w:val="es-CO"/>
        </w:rPr>
        <w:t>el exterior</w:t>
      </w:r>
      <w:r>
        <w:rPr>
          <w:sz w:val="16"/>
          <w:szCs w:val="16"/>
          <w:lang w:val="es-CO"/>
        </w:rPr>
        <w:t xml:space="preserve"> debe remitir a esta Superintendencia la solicitud respectiva, </w:t>
      </w:r>
      <w:r w:rsidRPr="00717E33">
        <w:rPr>
          <w:sz w:val="16"/>
          <w:szCs w:val="16"/>
          <w:lang w:val="es-CO"/>
        </w:rPr>
        <w:t xml:space="preserve">adjuntando </w:t>
      </w:r>
      <w:r w:rsidR="00620D56" w:rsidRPr="00717E33">
        <w:rPr>
          <w:sz w:val="16"/>
          <w:szCs w:val="16"/>
          <w:lang w:val="es-CO"/>
        </w:rPr>
        <w:t xml:space="preserve">como mínimo </w:t>
      </w:r>
      <w:r w:rsidRPr="00717E33">
        <w:rPr>
          <w:sz w:val="16"/>
          <w:szCs w:val="16"/>
          <w:lang w:val="es-CO"/>
        </w:rPr>
        <w:t>la documentación</w:t>
      </w:r>
      <w:r>
        <w:rPr>
          <w:sz w:val="16"/>
          <w:szCs w:val="16"/>
          <w:lang w:val="es-CO"/>
        </w:rPr>
        <w:t xml:space="preserve"> establecida en la lista que chequeo identificada con el código </w:t>
      </w:r>
      <w:r w:rsidR="009B4928" w:rsidRPr="009B4928">
        <w:rPr>
          <w:sz w:val="16"/>
          <w:szCs w:val="16"/>
          <w:lang w:val="es-CO"/>
        </w:rPr>
        <w:t>M-LC-SEG-015</w:t>
      </w:r>
      <w:r w:rsidR="00621507">
        <w:rPr>
          <w:sz w:val="16"/>
          <w:szCs w:val="16"/>
          <w:lang w:val="es-CO"/>
        </w:rPr>
        <w:t xml:space="preserve">. </w:t>
      </w:r>
    </w:p>
    <w:p w14:paraId="6C138D9F" w14:textId="77777777" w:rsidR="002C588A" w:rsidRPr="00B0612A" w:rsidRDefault="002C588A" w:rsidP="00CA2BA4">
      <w:pPr>
        <w:ind w:left="0" w:firstLine="0"/>
        <w:rPr>
          <w:sz w:val="14"/>
          <w:szCs w:val="16"/>
          <w:lang w:val="es-CO"/>
        </w:rPr>
      </w:pPr>
    </w:p>
    <w:p w14:paraId="2770D050" w14:textId="11671940" w:rsidR="00621507" w:rsidRPr="00717E33" w:rsidRDefault="00B0612A" w:rsidP="00A564C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En todo caso, durante el trámite</w:t>
      </w:r>
      <w:r w:rsidR="00621507" w:rsidRPr="00717E33">
        <w:rPr>
          <w:sz w:val="16"/>
          <w:szCs w:val="16"/>
          <w:lang w:val="es-CO"/>
        </w:rPr>
        <w:t xml:space="preserve"> de acreditación la SFC podrá solicitar la información adicional que requiera a fin de </w:t>
      </w:r>
      <w:r w:rsidR="00620D56" w:rsidRPr="00717E33">
        <w:rPr>
          <w:sz w:val="16"/>
          <w:szCs w:val="16"/>
          <w:lang w:val="es-CO"/>
        </w:rPr>
        <w:t xml:space="preserve">contar con suficientes elementos de juicio para </w:t>
      </w:r>
      <w:r w:rsidR="00621507" w:rsidRPr="00717E33">
        <w:rPr>
          <w:sz w:val="16"/>
          <w:szCs w:val="16"/>
          <w:lang w:val="es-CO"/>
        </w:rPr>
        <w:t xml:space="preserve">determinar la equivalencia de los </w:t>
      </w:r>
      <w:r w:rsidR="001B005A" w:rsidRPr="00717E33">
        <w:rPr>
          <w:sz w:val="16"/>
          <w:szCs w:val="16"/>
          <w:lang w:val="es-CO"/>
        </w:rPr>
        <w:t>regí</w:t>
      </w:r>
      <w:r w:rsidR="00621507" w:rsidRPr="00717E33">
        <w:rPr>
          <w:sz w:val="16"/>
          <w:szCs w:val="16"/>
          <w:lang w:val="es-CO"/>
        </w:rPr>
        <w:t>menes de regulación prudencial y de supervisión comprensiva y consolidada.</w:t>
      </w:r>
    </w:p>
    <w:p w14:paraId="5127F6C8" w14:textId="77777777" w:rsidR="00621507" w:rsidRPr="00B0612A" w:rsidRDefault="00621507" w:rsidP="00A564C6">
      <w:pPr>
        <w:ind w:left="0" w:firstLine="0"/>
        <w:rPr>
          <w:sz w:val="14"/>
          <w:szCs w:val="16"/>
          <w:lang w:val="es-CO"/>
        </w:rPr>
      </w:pPr>
    </w:p>
    <w:p w14:paraId="1F04B6DD" w14:textId="77777777" w:rsidR="00605613" w:rsidRPr="00D51D78" w:rsidRDefault="00605613" w:rsidP="00A564C6">
      <w:pPr>
        <w:ind w:left="0" w:firstLine="0"/>
        <w:rPr>
          <w:sz w:val="16"/>
          <w:szCs w:val="16"/>
          <w:lang w:val="es-CO"/>
        </w:rPr>
      </w:pPr>
      <w:r w:rsidRPr="00717E33">
        <w:rPr>
          <w:sz w:val="16"/>
          <w:szCs w:val="16"/>
          <w:lang w:val="es-CO"/>
        </w:rPr>
        <w:t xml:space="preserve">Cuando </w:t>
      </w:r>
      <w:r w:rsidR="00531264" w:rsidRPr="00717E33">
        <w:rPr>
          <w:sz w:val="16"/>
          <w:szCs w:val="16"/>
          <w:lang w:val="es-CO"/>
        </w:rPr>
        <w:t>se trate</w:t>
      </w:r>
      <w:r w:rsidRPr="00717E33">
        <w:rPr>
          <w:sz w:val="16"/>
          <w:szCs w:val="16"/>
          <w:lang w:val="es-CO"/>
        </w:rPr>
        <w:t xml:space="preserve"> de </w:t>
      </w:r>
      <w:r w:rsidR="00531264" w:rsidRPr="00717E33">
        <w:rPr>
          <w:sz w:val="16"/>
          <w:szCs w:val="16"/>
          <w:lang w:val="es-CO"/>
        </w:rPr>
        <w:t>t</w:t>
      </w:r>
      <w:r w:rsidRPr="00717E33">
        <w:rPr>
          <w:sz w:val="16"/>
          <w:szCs w:val="16"/>
          <w:lang w:val="es-CO"/>
        </w:rPr>
        <w:t xml:space="preserve">rámites de </w:t>
      </w:r>
      <w:r w:rsidR="00C51957" w:rsidRPr="00717E33">
        <w:rPr>
          <w:sz w:val="16"/>
          <w:szCs w:val="16"/>
          <w:lang w:val="es-CO"/>
        </w:rPr>
        <w:t xml:space="preserve">autorización de </w:t>
      </w:r>
      <w:r w:rsidRPr="00717E33">
        <w:rPr>
          <w:sz w:val="16"/>
          <w:szCs w:val="16"/>
          <w:lang w:val="es-CO"/>
        </w:rPr>
        <w:t>constitución de entidades vigiladas, negociación de acciones, fusión,</w:t>
      </w:r>
      <w:r w:rsidR="00F359D5" w:rsidRPr="00717E33">
        <w:rPr>
          <w:sz w:val="16"/>
          <w:szCs w:val="16"/>
          <w:lang w:val="es-CO"/>
        </w:rPr>
        <w:t xml:space="preserve"> adquisición,</w:t>
      </w:r>
      <w:r w:rsidRPr="00717E33">
        <w:rPr>
          <w:sz w:val="16"/>
          <w:szCs w:val="16"/>
          <w:lang w:val="es-CO"/>
        </w:rPr>
        <w:t xml:space="preserve"> escisión y cualquier otro que implique la creación </w:t>
      </w:r>
      <w:r w:rsidR="00C51957" w:rsidRPr="00717E33">
        <w:rPr>
          <w:sz w:val="16"/>
          <w:szCs w:val="16"/>
          <w:lang w:val="es-CO"/>
        </w:rPr>
        <w:t xml:space="preserve">o reorganización </w:t>
      </w:r>
      <w:r w:rsidRPr="00717E33">
        <w:rPr>
          <w:sz w:val="16"/>
          <w:szCs w:val="16"/>
          <w:lang w:val="es-CO"/>
        </w:rPr>
        <w:t xml:space="preserve">de un nuevo conglomerado financiero, cuyo holding se encuentre domiciliado o constituido en el exterior, </w:t>
      </w:r>
      <w:r w:rsidR="00AE3EDB" w:rsidRPr="00717E33">
        <w:rPr>
          <w:sz w:val="16"/>
          <w:szCs w:val="16"/>
          <w:lang w:val="es-CO"/>
        </w:rPr>
        <w:t xml:space="preserve">la </w:t>
      </w:r>
      <w:r w:rsidRPr="00717E33">
        <w:rPr>
          <w:sz w:val="16"/>
          <w:szCs w:val="16"/>
          <w:lang w:val="es-CO"/>
        </w:rPr>
        <w:t xml:space="preserve"> acreditación de que trata el</w:t>
      </w:r>
      <w:r>
        <w:rPr>
          <w:sz w:val="16"/>
          <w:szCs w:val="16"/>
          <w:lang w:val="es-CO"/>
        </w:rPr>
        <w:t xml:space="preserve"> presente</w:t>
      </w:r>
      <w:r w:rsidR="00531264">
        <w:rPr>
          <w:sz w:val="16"/>
          <w:szCs w:val="16"/>
          <w:lang w:val="es-CO"/>
        </w:rPr>
        <w:t xml:space="preserve"> C</w:t>
      </w:r>
      <w:r>
        <w:rPr>
          <w:sz w:val="16"/>
          <w:szCs w:val="16"/>
          <w:lang w:val="es-CO"/>
        </w:rPr>
        <w:t xml:space="preserve">apítulo deberá llevarse </w:t>
      </w:r>
      <w:r w:rsidR="0007276C">
        <w:rPr>
          <w:sz w:val="16"/>
          <w:szCs w:val="16"/>
          <w:lang w:val="es-CO"/>
        </w:rPr>
        <w:t>dentro d</w:t>
      </w:r>
      <w:r w:rsidR="00AE3EDB">
        <w:rPr>
          <w:sz w:val="16"/>
          <w:szCs w:val="16"/>
          <w:lang w:val="es-CO"/>
        </w:rPr>
        <w:t>el</w:t>
      </w:r>
      <w:r>
        <w:rPr>
          <w:sz w:val="16"/>
          <w:szCs w:val="16"/>
          <w:lang w:val="es-CO"/>
        </w:rPr>
        <w:t xml:space="preserve"> trámite respectivo.</w:t>
      </w:r>
    </w:p>
    <w:p w14:paraId="12E80D83" w14:textId="77777777" w:rsidR="00C0457F" w:rsidRDefault="00C0457F" w:rsidP="00A564C6">
      <w:pPr>
        <w:ind w:left="0" w:firstLine="0"/>
        <w:rPr>
          <w:sz w:val="16"/>
          <w:szCs w:val="16"/>
          <w:lang w:val="es-CO"/>
        </w:rPr>
      </w:pPr>
    </w:p>
    <w:p w14:paraId="6B5B0A2B" w14:textId="77777777" w:rsidR="00582AB5" w:rsidRPr="00370321" w:rsidRDefault="00F23F2F" w:rsidP="00A564C6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3</w:t>
      </w:r>
      <w:r w:rsidR="00370321" w:rsidRPr="00370321">
        <w:rPr>
          <w:b/>
          <w:sz w:val="16"/>
          <w:szCs w:val="16"/>
          <w:lang w:val="es-CO"/>
        </w:rPr>
        <w:t>.</w:t>
      </w:r>
      <w:r w:rsidR="00370321">
        <w:rPr>
          <w:b/>
          <w:sz w:val="16"/>
          <w:szCs w:val="16"/>
          <w:lang w:val="es-CO"/>
        </w:rPr>
        <w:t xml:space="preserve"> </w:t>
      </w:r>
      <w:r w:rsidR="00370321" w:rsidRPr="00370321">
        <w:rPr>
          <w:b/>
          <w:sz w:val="16"/>
          <w:szCs w:val="16"/>
          <w:lang w:val="es-CO"/>
        </w:rPr>
        <w:t>EFECTOS DE LA ACREDITACIÓN DE EQUIVALENCIA</w:t>
      </w:r>
      <w:r w:rsidR="00370321">
        <w:rPr>
          <w:b/>
          <w:sz w:val="16"/>
          <w:szCs w:val="16"/>
          <w:lang w:val="es-CO"/>
        </w:rPr>
        <w:t>S</w:t>
      </w:r>
      <w:r w:rsidR="00370321" w:rsidRPr="00370321">
        <w:rPr>
          <w:b/>
          <w:sz w:val="16"/>
          <w:szCs w:val="16"/>
          <w:lang w:val="es-CO"/>
        </w:rPr>
        <w:t xml:space="preserve"> </w:t>
      </w:r>
    </w:p>
    <w:p w14:paraId="1EA1FA93" w14:textId="77777777" w:rsidR="00582AB5" w:rsidRPr="00582AB5" w:rsidRDefault="00582AB5" w:rsidP="00A564C6">
      <w:pPr>
        <w:ind w:left="0" w:firstLine="0"/>
        <w:rPr>
          <w:sz w:val="16"/>
          <w:szCs w:val="16"/>
          <w:lang w:val="es-CO"/>
        </w:rPr>
      </w:pPr>
    </w:p>
    <w:p w14:paraId="4716A30F" w14:textId="27BD4ADD" w:rsidR="00237DBC" w:rsidRDefault="00370321" w:rsidP="00A564C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De conformidad c</w:t>
      </w:r>
      <w:r w:rsidR="00E517C4">
        <w:rPr>
          <w:sz w:val="16"/>
          <w:szCs w:val="16"/>
          <w:lang w:val="es-CO"/>
        </w:rPr>
        <w:t>on lo establecido en el art.</w:t>
      </w:r>
      <w:r>
        <w:rPr>
          <w:sz w:val="16"/>
          <w:szCs w:val="16"/>
          <w:lang w:val="es-CO"/>
        </w:rPr>
        <w:t xml:space="preserve"> </w:t>
      </w:r>
      <w:r w:rsidR="00237DBC">
        <w:rPr>
          <w:sz w:val="16"/>
          <w:szCs w:val="16"/>
          <w:lang w:val="es-CO"/>
        </w:rPr>
        <w:t>7 de la Ley 1870 de 2017, c</w:t>
      </w:r>
      <w:r w:rsidR="00237DBC" w:rsidRPr="00237DBC">
        <w:rPr>
          <w:sz w:val="16"/>
          <w:szCs w:val="16"/>
          <w:lang w:val="es-CO"/>
        </w:rPr>
        <w:t>uando un holding</w:t>
      </w:r>
      <w:r w:rsidR="00237DBC">
        <w:rPr>
          <w:sz w:val="16"/>
          <w:szCs w:val="16"/>
          <w:lang w:val="es-CO"/>
        </w:rPr>
        <w:t xml:space="preserve"> </w:t>
      </w:r>
      <w:r w:rsidR="00237DBC" w:rsidRPr="00237DBC">
        <w:rPr>
          <w:sz w:val="16"/>
          <w:szCs w:val="16"/>
          <w:lang w:val="es-CO"/>
        </w:rPr>
        <w:t>financiero domiciliado o constituido por fuera de la República de</w:t>
      </w:r>
      <w:r w:rsidR="00237DBC">
        <w:rPr>
          <w:sz w:val="16"/>
          <w:szCs w:val="16"/>
          <w:lang w:val="es-CO"/>
        </w:rPr>
        <w:t xml:space="preserve"> </w:t>
      </w:r>
      <w:r w:rsidR="00237DBC" w:rsidRPr="00237DBC">
        <w:rPr>
          <w:sz w:val="16"/>
          <w:szCs w:val="16"/>
          <w:lang w:val="es-CO"/>
        </w:rPr>
        <w:t xml:space="preserve">Colombia acredite ante la </w:t>
      </w:r>
      <w:r w:rsidR="00237DBC">
        <w:rPr>
          <w:sz w:val="16"/>
          <w:szCs w:val="16"/>
          <w:lang w:val="es-CO"/>
        </w:rPr>
        <w:t>SFC</w:t>
      </w:r>
      <w:r w:rsidR="00237DBC" w:rsidRPr="00237DBC">
        <w:rPr>
          <w:sz w:val="16"/>
          <w:szCs w:val="16"/>
          <w:lang w:val="es-CO"/>
        </w:rPr>
        <w:t xml:space="preserve"> que </w:t>
      </w:r>
      <w:r w:rsidR="00606AC5">
        <w:rPr>
          <w:sz w:val="16"/>
          <w:szCs w:val="16"/>
          <w:lang w:val="es-CO"/>
        </w:rPr>
        <w:t xml:space="preserve">está </w:t>
      </w:r>
      <w:r w:rsidR="00237DBC" w:rsidRPr="00237DBC">
        <w:rPr>
          <w:sz w:val="16"/>
          <w:szCs w:val="16"/>
          <w:lang w:val="es-CO"/>
        </w:rPr>
        <w:t xml:space="preserve">sujeto a un régimen de regulación prudencial y </w:t>
      </w:r>
      <w:r w:rsidR="00F359D5">
        <w:rPr>
          <w:sz w:val="16"/>
          <w:szCs w:val="16"/>
          <w:lang w:val="es-CO"/>
        </w:rPr>
        <w:t xml:space="preserve">una </w:t>
      </w:r>
      <w:r w:rsidR="00237DBC" w:rsidRPr="00237DBC">
        <w:rPr>
          <w:sz w:val="16"/>
          <w:szCs w:val="16"/>
          <w:lang w:val="es-CO"/>
        </w:rPr>
        <w:t>supervisión</w:t>
      </w:r>
      <w:r w:rsidR="00237DBC">
        <w:rPr>
          <w:sz w:val="16"/>
          <w:szCs w:val="16"/>
          <w:lang w:val="es-CO"/>
        </w:rPr>
        <w:t xml:space="preserve"> </w:t>
      </w:r>
      <w:r w:rsidR="00237DBC" w:rsidRPr="00237DBC">
        <w:rPr>
          <w:sz w:val="16"/>
          <w:szCs w:val="16"/>
          <w:lang w:val="es-CO"/>
        </w:rPr>
        <w:t xml:space="preserve">comprensiva y consolidada equivalente al de </w:t>
      </w:r>
      <w:r w:rsidR="00237DBC">
        <w:rPr>
          <w:sz w:val="16"/>
          <w:szCs w:val="16"/>
          <w:lang w:val="es-CO"/>
        </w:rPr>
        <w:t>e</w:t>
      </w:r>
      <w:r w:rsidR="0004312A">
        <w:rPr>
          <w:sz w:val="16"/>
          <w:szCs w:val="16"/>
          <w:lang w:val="es-CO"/>
        </w:rPr>
        <w:t>sta E</w:t>
      </w:r>
      <w:r w:rsidR="00237DBC">
        <w:rPr>
          <w:sz w:val="16"/>
          <w:szCs w:val="16"/>
          <w:lang w:val="es-CO"/>
        </w:rPr>
        <w:t>ntidad</w:t>
      </w:r>
      <w:r w:rsidR="00237DBC" w:rsidRPr="00237DBC">
        <w:rPr>
          <w:sz w:val="16"/>
          <w:szCs w:val="16"/>
          <w:lang w:val="es-CO"/>
        </w:rPr>
        <w:t xml:space="preserve">, no le serán aplicables las disposiciones </w:t>
      </w:r>
      <w:r w:rsidR="00237DBC">
        <w:rPr>
          <w:sz w:val="16"/>
          <w:szCs w:val="16"/>
          <w:lang w:val="es-CO"/>
        </w:rPr>
        <w:t xml:space="preserve">establecidas </w:t>
      </w:r>
      <w:r w:rsidR="00237DBC" w:rsidRPr="00237DBC">
        <w:rPr>
          <w:sz w:val="16"/>
          <w:szCs w:val="16"/>
          <w:lang w:val="es-CO"/>
        </w:rPr>
        <w:t xml:space="preserve">en </w:t>
      </w:r>
      <w:r w:rsidR="00E517C4">
        <w:rPr>
          <w:sz w:val="16"/>
          <w:szCs w:val="16"/>
          <w:lang w:val="es-CO"/>
        </w:rPr>
        <w:t>los art</w:t>
      </w:r>
      <w:r w:rsidR="0011188F">
        <w:rPr>
          <w:sz w:val="16"/>
          <w:szCs w:val="16"/>
          <w:lang w:val="es-CO"/>
        </w:rPr>
        <w:t>s</w:t>
      </w:r>
      <w:r w:rsidR="00E517C4">
        <w:rPr>
          <w:sz w:val="16"/>
          <w:szCs w:val="16"/>
          <w:lang w:val="es-CO"/>
        </w:rPr>
        <w:t>.</w:t>
      </w:r>
      <w:r w:rsidR="0011188F">
        <w:rPr>
          <w:sz w:val="16"/>
          <w:szCs w:val="16"/>
          <w:lang w:val="es-CO"/>
        </w:rPr>
        <w:t xml:space="preserve"> 1 a 7</w:t>
      </w:r>
      <w:r w:rsidR="00E517C4">
        <w:rPr>
          <w:sz w:val="16"/>
          <w:szCs w:val="16"/>
          <w:lang w:val="es-CO"/>
        </w:rPr>
        <w:t xml:space="preserve"> </w:t>
      </w:r>
      <w:r w:rsidR="00606AC5">
        <w:rPr>
          <w:sz w:val="16"/>
          <w:szCs w:val="16"/>
          <w:lang w:val="es-CO"/>
        </w:rPr>
        <w:t>de la Ley 1870 de 2017</w:t>
      </w:r>
      <w:r w:rsidR="00F359D5">
        <w:rPr>
          <w:sz w:val="16"/>
          <w:szCs w:val="16"/>
          <w:lang w:val="es-CO"/>
        </w:rPr>
        <w:t xml:space="preserve"> y</w:t>
      </w:r>
      <w:r w:rsidR="00237DBC">
        <w:rPr>
          <w:sz w:val="16"/>
          <w:szCs w:val="16"/>
          <w:lang w:val="es-CO"/>
        </w:rPr>
        <w:t xml:space="preserve"> en la normatividad que l</w:t>
      </w:r>
      <w:r w:rsidR="0007276C">
        <w:rPr>
          <w:sz w:val="16"/>
          <w:szCs w:val="16"/>
          <w:lang w:val="es-CO"/>
        </w:rPr>
        <w:t>os</w:t>
      </w:r>
      <w:r w:rsidR="00237DBC">
        <w:rPr>
          <w:sz w:val="16"/>
          <w:szCs w:val="16"/>
          <w:lang w:val="es-CO"/>
        </w:rPr>
        <w:t xml:space="preserve"> reglamente. </w:t>
      </w:r>
    </w:p>
    <w:p w14:paraId="4A7A3F21" w14:textId="77777777" w:rsidR="00237DBC" w:rsidRPr="00B0612A" w:rsidRDefault="00237DBC" w:rsidP="00A564C6">
      <w:pPr>
        <w:ind w:left="0" w:firstLine="0"/>
        <w:rPr>
          <w:sz w:val="14"/>
          <w:szCs w:val="16"/>
          <w:lang w:val="es-CO"/>
        </w:rPr>
      </w:pPr>
    </w:p>
    <w:p w14:paraId="4ED4B62B" w14:textId="77777777" w:rsidR="00AA1562" w:rsidRDefault="00AA1562" w:rsidP="00A564C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Sin perjuicio de lo anterior, la SFC podrá solicitar en todo momento la información que considere pertinente para el ejercicio de la supervisión comprensiva y consolidada </w:t>
      </w:r>
      <w:r w:rsidR="007114AE">
        <w:rPr>
          <w:sz w:val="16"/>
          <w:szCs w:val="16"/>
          <w:lang w:val="es-CO"/>
        </w:rPr>
        <w:t xml:space="preserve">de </w:t>
      </w:r>
      <w:r>
        <w:rPr>
          <w:sz w:val="16"/>
          <w:szCs w:val="16"/>
          <w:lang w:val="es-CO"/>
        </w:rPr>
        <w:t>la</w:t>
      </w:r>
      <w:r w:rsidR="00237DBC">
        <w:rPr>
          <w:sz w:val="16"/>
          <w:szCs w:val="16"/>
          <w:lang w:val="es-CO"/>
        </w:rPr>
        <w:t>s</w:t>
      </w:r>
      <w:r>
        <w:rPr>
          <w:sz w:val="16"/>
          <w:szCs w:val="16"/>
          <w:lang w:val="es-CO"/>
        </w:rPr>
        <w:t xml:space="preserve"> entidad</w:t>
      </w:r>
      <w:r w:rsidR="00237DBC">
        <w:rPr>
          <w:sz w:val="16"/>
          <w:szCs w:val="16"/>
          <w:lang w:val="es-CO"/>
        </w:rPr>
        <w:t>es</w:t>
      </w:r>
      <w:r>
        <w:rPr>
          <w:sz w:val="16"/>
          <w:szCs w:val="16"/>
          <w:lang w:val="es-CO"/>
        </w:rPr>
        <w:t xml:space="preserve"> </w:t>
      </w:r>
      <w:r w:rsidR="00237DBC">
        <w:rPr>
          <w:sz w:val="16"/>
          <w:szCs w:val="16"/>
          <w:lang w:val="es-CO"/>
        </w:rPr>
        <w:t>que conformen el conglomerado financier</w:t>
      </w:r>
      <w:r w:rsidR="0064640F">
        <w:rPr>
          <w:sz w:val="16"/>
          <w:szCs w:val="16"/>
          <w:lang w:val="es-CO"/>
        </w:rPr>
        <w:t xml:space="preserve">o </w:t>
      </w:r>
      <w:r>
        <w:rPr>
          <w:sz w:val="16"/>
          <w:szCs w:val="16"/>
          <w:lang w:val="es-CO"/>
        </w:rPr>
        <w:t>sujeta</w:t>
      </w:r>
      <w:r w:rsidR="00237DBC">
        <w:rPr>
          <w:sz w:val="16"/>
          <w:szCs w:val="16"/>
          <w:lang w:val="es-CO"/>
        </w:rPr>
        <w:t>s</w:t>
      </w:r>
      <w:r>
        <w:rPr>
          <w:sz w:val="16"/>
          <w:szCs w:val="16"/>
          <w:lang w:val="es-CO"/>
        </w:rPr>
        <w:t xml:space="preserve"> a </w:t>
      </w:r>
      <w:r w:rsidR="0004312A">
        <w:rPr>
          <w:sz w:val="16"/>
          <w:szCs w:val="16"/>
          <w:lang w:val="es-CO"/>
        </w:rPr>
        <w:t>su</w:t>
      </w:r>
      <w:r w:rsidR="00237DBC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>supervisión.</w:t>
      </w:r>
    </w:p>
    <w:p w14:paraId="515D8003" w14:textId="77777777" w:rsidR="00AA1562" w:rsidRDefault="00AA1562" w:rsidP="00A564C6">
      <w:pPr>
        <w:ind w:left="0" w:firstLine="0"/>
        <w:rPr>
          <w:sz w:val="16"/>
          <w:szCs w:val="16"/>
          <w:lang w:val="es-CO"/>
        </w:rPr>
      </w:pPr>
    </w:p>
    <w:p w14:paraId="0B04DE9E" w14:textId="77777777" w:rsidR="00370321" w:rsidRPr="00370321" w:rsidRDefault="00F23F2F" w:rsidP="00A564C6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4</w:t>
      </w:r>
      <w:r w:rsidR="00370321" w:rsidRPr="00370321">
        <w:rPr>
          <w:b/>
          <w:sz w:val="16"/>
          <w:szCs w:val="16"/>
          <w:lang w:val="es-CO"/>
        </w:rPr>
        <w:t>.</w:t>
      </w:r>
      <w:r w:rsidR="00370321">
        <w:rPr>
          <w:b/>
          <w:sz w:val="16"/>
          <w:szCs w:val="16"/>
          <w:lang w:val="es-CO"/>
        </w:rPr>
        <w:t xml:space="preserve"> </w:t>
      </w:r>
      <w:r w:rsidR="00370321" w:rsidRPr="00370321">
        <w:rPr>
          <w:b/>
          <w:sz w:val="16"/>
          <w:szCs w:val="16"/>
          <w:lang w:val="es-CO"/>
        </w:rPr>
        <w:t xml:space="preserve">EFECTOS DE LA </w:t>
      </w:r>
      <w:r w:rsidR="00370321">
        <w:rPr>
          <w:b/>
          <w:sz w:val="16"/>
          <w:szCs w:val="16"/>
          <w:lang w:val="es-CO"/>
        </w:rPr>
        <w:t xml:space="preserve">FALTA DE </w:t>
      </w:r>
      <w:r w:rsidR="00370321" w:rsidRPr="00370321">
        <w:rPr>
          <w:b/>
          <w:sz w:val="16"/>
          <w:szCs w:val="16"/>
          <w:lang w:val="es-CO"/>
        </w:rPr>
        <w:t>ACREDITACIÓN DE EQUIVALENCIA</w:t>
      </w:r>
      <w:r w:rsidR="00370321">
        <w:rPr>
          <w:b/>
          <w:sz w:val="16"/>
          <w:szCs w:val="16"/>
          <w:lang w:val="es-CO"/>
        </w:rPr>
        <w:t>S</w:t>
      </w:r>
      <w:r w:rsidR="00370321" w:rsidRPr="00370321">
        <w:rPr>
          <w:b/>
          <w:sz w:val="16"/>
          <w:szCs w:val="16"/>
          <w:lang w:val="es-CO"/>
        </w:rPr>
        <w:t xml:space="preserve"> </w:t>
      </w:r>
    </w:p>
    <w:p w14:paraId="54DCF99C" w14:textId="77777777" w:rsidR="00074376" w:rsidRDefault="00074376" w:rsidP="00A564C6">
      <w:pPr>
        <w:ind w:left="0" w:firstLine="0"/>
        <w:rPr>
          <w:sz w:val="16"/>
          <w:szCs w:val="16"/>
          <w:lang w:val="es-CO"/>
        </w:rPr>
      </w:pPr>
    </w:p>
    <w:p w14:paraId="3C60C7F0" w14:textId="2E278A3B" w:rsidR="00237DBC" w:rsidRDefault="00074376" w:rsidP="00A564C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Cuando </w:t>
      </w:r>
      <w:r w:rsidR="0004312A">
        <w:rPr>
          <w:sz w:val="16"/>
          <w:szCs w:val="16"/>
          <w:lang w:val="es-CO"/>
        </w:rPr>
        <w:t xml:space="preserve">el </w:t>
      </w:r>
      <w:r w:rsidR="00237DBC">
        <w:rPr>
          <w:sz w:val="16"/>
          <w:szCs w:val="16"/>
          <w:lang w:val="es-CO"/>
        </w:rPr>
        <w:t>holding financiero</w:t>
      </w:r>
      <w:r>
        <w:rPr>
          <w:sz w:val="16"/>
          <w:szCs w:val="16"/>
          <w:lang w:val="es-CO"/>
        </w:rPr>
        <w:t xml:space="preserve"> constituido o domicili</w:t>
      </w:r>
      <w:r w:rsidR="0004312A">
        <w:rPr>
          <w:sz w:val="16"/>
          <w:szCs w:val="16"/>
          <w:lang w:val="es-CO"/>
        </w:rPr>
        <w:t>ado en el exterior, no acredite</w:t>
      </w:r>
      <w:r>
        <w:rPr>
          <w:sz w:val="16"/>
          <w:szCs w:val="16"/>
          <w:lang w:val="es-CO"/>
        </w:rPr>
        <w:t xml:space="preserve"> </w:t>
      </w:r>
      <w:r w:rsidR="0004312A">
        <w:rPr>
          <w:sz w:val="16"/>
          <w:szCs w:val="16"/>
          <w:lang w:val="es-CO"/>
        </w:rPr>
        <w:t xml:space="preserve">que </w:t>
      </w:r>
      <w:r w:rsidR="00606AC5">
        <w:rPr>
          <w:sz w:val="16"/>
          <w:szCs w:val="16"/>
          <w:lang w:val="es-CO"/>
        </w:rPr>
        <w:t>está</w:t>
      </w:r>
      <w:r>
        <w:rPr>
          <w:sz w:val="16"/>
          <w:szCs w:val="16"/>
          <w:lang w:val="es-CO"/>
        </w:rPr>
        <w:t xml:space="preserve"> sujeto a un régimen de regulación prudencial y de supervisión comprensiva y consolidada equivalente al de la SFC, esta </w:t>
      </w:r>
      <w:r w:rsidR="004E314C">
        <w:rPr>
          <w:sz w:val="16"/>
          <w:szCs w:val="16"/>
          <w:lang w:val="es-CO"/>
        </w:rPr>
        <w:t>Entidad</w:t>
      </w:r>
      <w:r>
        <w:rPr>
          <w:sz w:val="16"/>
          <w:szCs w:val="16"/>
          <w:lang w:val="es-CO"/>
        </w:rPr>
        <w:t xml:space="preserve"> </w:t>
      </w:r>
      <w:r w:rsidR="00064E0D">
        <w:rPr>
          <w:sz w:val="16"/>
          <w:szCs w:val="16"/>
          <w:lang w:val="es-CO"/>
        </w:rPr>
        <w:t>podrá solicitar</w:t>
      </w:r>
      <w:r w:rsidR="0004312A">
        <w:rPr>
          <w:sz w:val="16"/>
          <w:szCs w:val="16"/>
          <w:lang w:val="es-CO"/>
        </w:rPr>
        <w:t xml:space="preserve"> a</w:t>
      </w:r>
      <w:r w:rsidR="00064E0D">
        <w:rPr>
          <w:sz w:val="16"/>
          <w:szCs w:val="16"/>
          <w:lang w:val="es-CO"/>
        </w:rPr>
        <w:t xml:space="preserve"> </w:t>
      </w:r>
      <w:r w:rsidR="0004312A">
        <w:rPr>
          <w:sz w:val="16"/>
          <w:szCs w:val="16"/>
          <w:lang w:val="es-CO"/>
        </w:rPr>
        <w:t xml:space="preserve">las entidades vigiladas que forman parte del conglomerado financiero </w:t>
      </w:r>
      <w:r w:rsidR="00501B2F">
        <w:rPr>
          <w:sz w:val="16"/>
          <w:szCs w:val="16"/>
          <w:lang w:val="es-CO"/>
        </w:rPr>
        <w:t xml:space="preserve">la </w:t>
      </w:r>
      <w:r w:rsidR="00237DBC">
        <w:rPr>
          <w:sz w:val="16"/>
          <w:szCs w:val="16"/>
          <w:lang w:val="es-CO"/>
        </w:rPr>
        <w:t>información</w:t>
      </w:r>
      <w:r w:rsidR="00F23F2F">
        <w:rPr>
          <w:sz w:val="16"/>
          <w:szCs w:val="16"/>
          <w:lang w:val="es-CO"/>
        </w:rPr>
        <w:t xml:space="preserve"> a la que se refiere la lista que chequeo identificada con el código </w:t>
      </w:r>
      <w:r w:rsidR="009B4928" w:rsidRPr="009B4928">
        <w:rPr>
          <w:sz w:val="16"/>
          <w:szCs w:val="16"/>
          <w:lang w:val="es-CO"/>
        </w:rPr>
        <w:t>M-LC-SEG-015</w:t>
      </w:r>
      <w:r w:rsidR="00501B2F">
        <w:rPr>
          <w:sz w:val="16"/>
          <w:szCs w:val="16"/>
          <w:lang w:val="es-CO"/>
        </w:rPr>
        <w:t>, así como toda aquella información</w:t>
      </w:r>
      <w:r w:rsidR="00237DBC">
        <w:rPr>
          <w:sz w:val="16"/>
          <w:szCs w:val="16"/>
          <w:lang w:val="es-CO"/>
        </w:rPr>
        <w:t xml:space="preserve"> </w:t>
      </w:r>
      <w:r w:rsidR="0004312A">
        <w:rPr>
          <w:sz w:val="16"/>
          <w:szCs w:val="16"/>
          <w:lang w:val="es-CO"/>
        </w:rPr>
        <w:t xml:space="preserve">periódica y/o esporádica </w:t>
      </w:r>
      <w:r>
        <w:rPr>
          <w:sz w:val="16"/>
          <w:szCs w:val="16"/>
          <w:lang w:val="es-CO"/>
        </w:rPr>
        <w:t xml:space="preserve">que considere pertinente </w:t>
      </w:r>
      <w:r w:rsidR="00237DBC">
        <w:rPr>
          <w:sz w:val="16"/>
          <w:szCs w:val="16"/>
          <w:lang w:val="es-CO"/>
        </w:rPr>
        <w:t xml:space="preserve">y necesaria </w:t>
      </w:r>
      <w:r>
        <w:rPr>
          <w:sz w:val="16"/>
          <w:szCs w:val="16"/>
          <w:lang w:val="es-CO"/>
        </w:rPr>
        <w:t xml:space="preserve">para el ejercicio de </w:t>
      </w:r>
      <w:r w:rsidR="00237DBC">
        <w:rPr>
          <w:sz w:val="16"/>
          <w:szCs w:val="16"/>
          <w:lang w:val="es-CO"/>
        </w:rPr>
        <w:t>sus funciones</w:t>
      </w:r>
      <w:r w:rsidR="0004312A">
        <w:rPr>
          <w:sz w:val="16"/>
          <w:szCs w:val="16"/>
          <w:lang w:val="es-CO"/>
        </w:rPr>
        <w:t xml:space="preserve"> de supervisión</w:t>
      </w:r>
      <w:r>
        <w:rPr>
          <w:sz w:val="16"/>
          <w:szCs w:val="16"/>
          <w:lang w:val="es-CO"/>
        </w:rPr>
        <w:t xml:space="preserve">. </w:t>
      </w:r>
      <w:r w:rsidR="00606AC5">
        <w:rPr>
          <w:sz w:val="16"/>
          <w:szCs w:val="16"/>
          <w:lang w:val="es-CO"/>
        </w:rPr>
        <w:t>Tal información puede incluir aquélla referida a dicho holding financiero o a entidades que conformen el conglomerado financiero y que estén domiciliadas en el exterior.</w:t>
      </w:r>
    </w:p>
    <w:p w14:paraId="67E31C19" w14:textId="77777777" w:rsidR="00064E0D" w:rsidRPr="00B0612A" w:rsidRDefault="00064E0D" w:rsidP="00A564C6">
      <w:pPr>
        <w:ind w:left="0" w:firstLine="0"/>
        <w:rPr>
          <w:sz w:val="14"/>
          <w:szCs w:val="16"/>
          <w:lang w:val="es-CO"/>
        </w:rPr>
      </w:pPr>
    </w:p>
    <w:p w14:paraId="0EB9EA17" w14:textId="4AA302A6" w:rsidR="00074376" w:rsidRDefault="00237DBC" w:rsidP="00A564C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En caso en que la SFC considere</w:t>
      </w:r>
      <w:r w:rsidR="00074376">
        <w:rPr>
          <w:sz w:val="16"/>
          <w:szCs w:val="16"/>
          <w:lang w:val="es-CO"/>
        </w:rPr>
        <w:t xml:space="preserve"> que tal información</w:t>
      </w:r>
      <w:r w:rsidR="00606AC5">
        <w:rPr>
          <w:sz w:val="16"/>
          <w:szCs w:val="16"/>
          <w:lang w:val="es-CO"/>
        </w:rPr>
        <w:t xml:space="preserve"> o la falta de entrega completa y oportuna de la misma,</w:t>
      </w:r>
      <w:r w:rsidR="00074376">
        <w:rPr>
          <w:sz w:val="16"/>
          <w:szCs w:val="16"/>
          <w:lang w:val="es-CO"/>
        </w:rPr>
        <w:t xml:space="preserve"> no permite el ejercicio adecuado de sus funciones de supervisión, podrá revocar la autorización de funcionamiento de la</w:t>
      </w:r>
      <w:r>
        <w:rPr>
          <w:sz w:val="16"/>
          <w:szCs w:val="16"/>
          <w:lang w:val="es-CO"/>
        </w:rPr>
        <w:t xml:space="preserve">s entidades </w:t>
      </w:r>
      <w:r w:rsidR="00074376">
        <w:rPr>
          <w:sz w:val="16"/>
          <w:szCs w:val="16"/>
          <w:lang w:val="es-CO"/>
        </w:rPr>
        <w:t>vigilada</w:t>
      </w:r>
      <w:r>
        <w:rPr>
          <w:sz w:val="16"/>
          <w:szCs w:val="16"/>
          <w:lang w:val="es-CO"/>
        </w:rPr>
        <w:t xml:space="preserve">s en Colombia, en virtud de lo establecido en </w:t>
      </w:r>
      <w:r w:rsidR="00E517C4">
        <w:rPr>
          <w:sz w:val="16"/>
          <w:szCs w:val="16"/>
          <w:lang w:val="es-CO"/>
        </w:rPr>
        <w:t>los arts.</w:t>
      </w:r>
      <w:r w:rsidR="00F86C33">
        <w:rPr>
          <w:sz w:val="16"/>
          <w:szCs w:val="16"/>
          <w:lang w:val="es-CO"/>
        </w:rPr>
        <w:t xml:space="preserve"> 6 y 7 de </w:t>
      </w:r>
      <w:r>
        <w:rPr>
          <w:sz w:val="16"/>
          <w:szCs w:val="16"/>
          <w:lang w:val="es-CO"/>
        </w:rPr>
        <w:t xml:space="preserve">la Ley 1870 de 2017. </w:t>
      </w:r>
    </w:p>
    <w:p w14:paraId="0D562344" w14:textId="77777777" w:rsidR="00074376" w:rsidRDefault="00074376" w:rsidP="00A564C6">
      <w:pPr>
        <w:ind w:left="0" w:firstLine="0"/>
        <w:rPr>
          <w:sz w:val="16"/>
          <w:szCs w:val="16"/>
          <w:lang w:val="es-CO"/>
        </w:rPr>
      </w:pPr>
    </w:p>
    <w:p w14:paraId="3C938FF1" w14:textId="77777777" w:rsidR="00DC2C9D" w:rsidRPr="00DC2C9D" w:rsidRDefault="00F23F2F" w:rsidP="00A564C6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5</w:t>
      </w:r>
      <w:r w:rsidR="00DC2C9D">
        <w:rPr>
          <w:b/>
          <w:sz w:val="16"/>
          <w:szCs w:val="16"/>
          <w:lang w:val="es-CO"/>
        </w:rPr>
        <w:t xml:space="preserve">. </w:t>
      </w:r>
      <w:r w:rsidR="007A3555">
        <w:rPr>
          <w:b/>
          <w:sz w:val="16"/>
          <w:szCs w:val="16"/>
          <w:lang w:val="es-CO"/>
        </w:rPr>
        <w:t xml:space="preserve">ACTUALIZACIÓN DE LA INFORMACIÓN RELACIONADA CON LA ACREDITACIÓN DE EQUIVALENCIAS </w:t>
      </w:r>
    </w:p>
    <w:p w14:paraId="0405D8C9" w14:textId="77777777" w:rsidR="00DC2C9D" w:rsidRPr="00DC2C9D" w:rsidRDefault="00DC2C9D" w:rsidP="00A564C6">
      <w:pPr>
        <w:ind w:left="0" w:firstLine="0"/>
        <w:rPr>
          <w:b/>
          <w:sz w:val="16"/>
          <w:szCs w:val="16"/>
          <w:lang w:val="es-CO"/>
        </w:rPr>
      </w:pPr>
    </w:p>
    <w:p w14:paraId="6F5A4E64" w14:textId="6AA98321" w:rsidR="00C97549" w:rsidRPr="00C97549" w:rsidRDefault="00DC2C9D" w:rsidP="00A564C6">
      <w:pPr>
        <w:ind w:left="0" w:firstLine="0"/>
        <w:rPr>
          <w:sz w:val="16"/>
          <w:szCs w:val="16"/>
          <w:lang w:val="es-CO"/>
        </w:rPr>
      </w:pPr>
      <w:r w:rsidRPr="00C97549">
        <w:rPr>
          <w:sz w:val="16"/>
          <w:szCs w:val="16"/>
          <w:lang w:val="es-CO"/>
        </w:rPr>
        <w:t xml:space="preserve">En el evento </w:t>
      </w:r>
      <w:r w:rsidR="00C97549" w:rsidRPr="00C97549">
        <w:rPr>
          <w:sz w:val="16"/>
          <w:szCs w:val="16"/>
          <w:lang w:val="es-CO"/>
        </w:rPr>
        <w:t xml:space="preserve">en que se </w:t>
      </w:r>
      <w:r w:rsidR="00C97549" w:rsidRPr="00717E33">
        <w:rPr>
          <w:sz w:val="16"/>
          <w:szCs w:val="16"/>
          <w:lang w:val="es-CO"/>
        </w:rPr>
        <w:t>presenten cambios</w:t>
      </w:r>
      <w:r w:rsidR="00606AC5" w:rsidRPr="00717E33">
        <w:rPr>
          <w:sz w:val="16"/>
          <w:szCs w:val="16"/>
          <w:lang w:val="es-CO"/>
        </w:rPr>
        <w:t xml:space="preserve"> </w:t>
      </w:r>
      <w:r w:rsidR="001F7377" w:rsidRPr="00717E33">
        <w:rPr>
          <w:sz w:val="16"/>
          <w:szCs w:val="16"/>
          <w:lang w:val="es-CO"/>
        </w:rPr>
        <w:t xml:space="preserve">materiales </w:t>
      </w:r>
      <w:r w:rsidR="00C97549" w:rsidRPr="00717E33">
        <w:rPr>
          <w:sz w:val="16"/>
          <w:szCs w:val="16"/>
          <w:lang w:val="es-CO"/>
        </w:rPr>
        <w:t xml:space="preserve">en la normatividad </w:t>
      </w:r>
      <w:r w:rsidR="00D95E87" w:rsidRPr="00717E33">
        <w:rPr>
          <w:sz w:val="16"/>
          <w:szCs w:val="16"/>
          <w:lang w:val="es-CO"/>
        </w:rPr>
        <w:t>específica</w:t>
      </w:r>
      <w:r w:rsidR="001F7377" w:rsidRPr="00717E33">
        <w:rPr>
          <w:sz w:val="16"/>
          <w:szCs w:val="16"/>
          <w:lang w:val="es-CO"/>
        </w:rPr>
        <w:t xml:space="preserve"> que reduzcan o eliminen los presupuestos legales</w:t>
      </w:r>
      <w:r w:rsidR="00D95E87" w:rsidRPr="00717E33">
        <w:rPr>
          <w:sz w:val="16"/>
          <w:szCs w:val="16"/>
          <w:lang w:val="es-CO"/>
        </w:rPr>
        <w:t xml:space="preserve"> </w:t>
      </w:r>
      <w:r w:rsidR="001F7377" w:rsidRPr="00717E33">
        <w:rPr>
          <w:sz w:val="16"/>
          <w:szCs w:val="16"/>
          <w:lang w:val="es-CO"/>
        </w:rPr>
        <w:t>bajo los</w:t>
      </w:r>
      <w:r w:rsidR="0064640F" w:rsidRPr="00717E33">
        <w:rPr>
          <w:sz w:val="16"/>
          <w:szCs w:val="16"/>
          <w:lang w:val="es-CO"/>
        </w:rPr>
        <w:t xml:space="preserve"> cual</w:t>
      </w:r>
      <w:r w:rsidR="001F7377" w:rsidRPr="00717E33">
        <w:rPr>
          <w:sz w:val="16"/>
          <w:szCs w:val="16"/>
          <w:lang w:val="es-CO"/>
        </w:rPr>
        <w:t>es</w:t>
      </w:r>
      <w:r w:rsidR="0064640F" w:rsidRPr="00717E33">
        <w:rPr>
          <w:sz w:val="16"/>
          <w:szCs w:val="16"/>
          <w:lang w:val="es-CO"/>
        </w:rPr>
        <w:t xml:space="preserve"> se efectuó el análisis de equiv</w:t>
      </w:r>
      <w:bookmarkStart w:id="0" w:name="_GoBack"/>
      <w:bookmarkEnd w:id="0"/>
      <w:r w:rsidR="0064640F" w:rsidRPr="00717E33">
        <w:rPr>
          <w:sz w:val="16"/>
          <w:szCs w:val="16"/>
          <w:lang w:val="es-CO"/>
        </w:rPr>
        <w:t xml:space="preserve">alencias y </w:t>
      </w:r>
      <w:r w:rsidR="00C97549" w:rsidRPr="00717E33">
        <w:rPr>
          <w:sz w:val="16"/>
          <w:szCs w:val="16"/>
          <w:lang w:val="es-CO"/>
        </w:rPr>
        <w:t>se otorgó la acreditación a un h</w:t>
      </w:r>
      <w:r w:rsidR="006E06E5" w:rsidRPr="00717E33">
        <w:rPr>
          <w:sz w:val="16"/>
          <w:szCs w:val="16"/>
          <w:lang w:val="es-CO"/>
        </w:rPr>
        <w:t>olding del exterior, éste debe</w:t>
      </w:r>
      <w:r w:rsidR="00C97549" w:rsidRPr="00717E33">
        <w:rPr>
          <w:sz w:val="16"/>
          <w:szCs w:val="16"/>
          <w:lang w:val="es-CO"/>
        </w:rPr>
        <w:t xml:space="preserve"> remitir a la SFC</w:t>
      </w:r>
      <w:r w:rsidR="004E0A63" w:rsidRPr="00717E33">
        <w:rPr>
          <w:sz w:val="16"/>
          <w:szCs w:val="16"/>
          <w:lang w:val="es-CO"/>
        </w:rPr>
        <w:t xml:space="preserve"> </w:t>
      </w:r>
      <w:r w:rsidR="00C97549" w:rsidRPr="00717E33">
        <w:rPr>
          <w:sz w:val="16"/>
          <w:szCs w:val="16"/>
          <w:lang w:val="es-CO"/>
        </w:rPr>
        <w:t xml:space="preserve">la documentación </w:t>
      </w:r>
      <w:r w:rsidR="00714FB8" w:rsidRPr="00717E33">
        <w:rPr>
          <w:sz w:val="16"/>
          <w:szCs w:val="16"/>
          <w:lang w:val="es-CO"/>
        </w:rPr>
        <w:t>r</w:t>
      </w:r>
      <w:r w:rsidR="004E0A63" w:rsidRPr="00717E33">
        <w:rPr>
          <w:sz w:val="16"/>
          <w:szCs w:val="16"/>
          <w:lang w:val="es-CO"/>
        </w:rPr>
        <w:t>espectiva</w:t>
      </w:r>
      <w:r w:rsidR="00714FB8" w:rsidRPr="00717E33">
        <w:rPr>
          <w:sz w:val="16"/>
          <w:szCs w:val="16"/>
          <w:lang w:val="es-CO"/>
        </w:rPr>
        <w:t xml:space="preserve"> en los términos d</w:t>
      </w:r>
      <w:r w:rsidR="00C97549" w:rsidRPr="00717E33">
        <w:rPr>
          <w:sz w:val="16"/>
          <w:szCs w:val="16"/>
          <w:lang w:val="es-CO"/>
        </w:rPr>
        <w:t xml:space="preserve">el numeral </w:t>
      </w:r>
      <w:r w:rsidR="0007276C" w:rsidRPr="00717E33">
        <w:rPr>
          <w:sz w:val="16"/>
          <w:szCs w:val="16"/>
          <w:lang w:val="es-CO"/>
        </w:rPr>
        <w:t>2</w:t>
      </w:r>
      <w:r w:rsidR="00C97549" w:rsidRPr="00717E33">
        <w:rPr>
          <w:sz w:val="16"/>
          <w:szCs w:val="16"/>
          <w:lang w:val="es-CO"/>
        </w:rPr>
        <w:t xml:space="preserve"> del presente Capítulo</w:t>
      </w:r>
      <w:r w:rsidR="004E0A63" w:rsidRPr="00717E33">
        <w:rPr>
          <w:sz w:val="16"/>
          <w:szCs w:val="16"/>
          <w:lang w:val="es-CO"/>
        </w:rPr>
        <w:t xml:space="preserve">, dentro de los </w:t>
      </w:r>
      <w:r w:rsidR="0064640F" w:rsidRPr="00717E33">
        <w:rPr>
          <w:sz w:val="16"/>
          <w:szCs w:val="16"/>
          <w:lang w:val="es-CO"/>
        </w:rPr>
        <w:t>45</w:t>
      </w:r>
      <w:r w:rsidR="004E0A63" w:rsidRPr="00717E33">
        <w:rPr>
          <w:sz w:val="16"/>
          <w:szCs w:val="16"/>
          <w:lang w:val="es-CO"/>
        </w:rPr>
        <w:t xml:space="preserve"> días calendario siguientes a la expedición de la normatividad modifica</w:t>
      </w:r>
      <w:r w:rsidR="0064640F" w:rsidRPr="00717E33">
        <w:rPr>
          <w:sz w:val="16"/>
          <w:szCs w:val="16"/>
          <w:lang w:val="es-CO"/>
        </w:rPr>
        <w:t>toria</w:t>
      </w:r>
      <w:r w:rsidR="00714FB8" w:rsidRPr="00717E33">
        <w:rPr>
          <w:sz w:val="16"/>
          <w:szCs w:val="16"/>
          <w:lang w:val="es-CO"/>
        </w:rPr>
        <w:t xml:space="preserve">. Lo anterior con el fin de que la SFC pueda verificar </w:t>
      </w:r>
      <w:r w:rsidR="00921488" w:rsidRPr="00717E33">
        <w:rPr>
          <w:sz w:val="16"/>
          <w:szCs w:val="16"/>
          <w:lang w:val="es-CO"/>
        </w:rPr>
        <w:t>si se mantiene</w:t>
      </w:r>
      <w:r w:rsidR="00E517C4">
        <w:rPr>
          <w:sz w:val="16"/>
          <w:szCs w:val="16"/>
          <w:lang w:val="es-CO"/>
        </w:rPr>
        <w:t>n</w:t>
      </w:r>
      <w:r w:rsidR="00921488" w:rsidRPr="00717E33">
        <w:rPr>
          <w:sz w:val="16"/>
          <w:szCs w:val="16"/>
          <w:lang w:val="es-CO"/>
        </w:rPr>
        <w:t xml:space="preserve"> las condiciones de </w:t>
      </w:r>
      <w:r w:rsidR="0007276C" w:rsidRPr="00717E33">
        <w:rPr>
          <w:sz w:val="16"/>
          <w:szCs w:val="16"/>
          <w:lang w:val="es-CO"/>
        </w:rPr>
        <w:t xml:space="preserve">equivalencia </w:t>
      </w:r>
      <w:r w:rsidR="00714FB8" w:rsidRPr="00717E33">
        <w:rPr>
          <w:sz w:val="16"/>
          <w:szCs w:val="16"/>
          <w:lang w:val="es-CO"/>
        </w:rPr>
        <w:t>del régimen de regulación y supervisión</w:t>
      </w:r>
      <w:r w:rsidR="00C97549" w:rsidRPr="00717E33">
        <w:rPr>
          <w:sz w:val="16"/>
          <w:szCs w:val="16"/>
          <w:lang w:val="es-CO"/>
        </w:rPr>
        <w:t>.</w:t>
      </w:r>
      <w:r w:rsidR="00C97549" w:rsidRPr="00C97549">
        <w:rPr>
          <w:sz w:val="16"/>
          <w:szCs w:val="16"/>
          <w:lang w:val="es-CO"/>
        </w:rPr>
        <w:t xml:space="preserve"> </w:t>
      </w:r>
    </w:p>
    <w:p w14:paraId="62C7500D" w14:textId="77777777" w:rsidR="00D02E8F" w:rsidRPr="00C97549" w:rsidRDefault="00D02E8F" w:rsidP="00A564C6">
      <w:pPr>
        <w:ind w:left="0" w:firstLine="0"/>
        <w:rPr>
          <w:sz w:val="16"/>
          <w:szCs w:val="16"/>
          <w:lang w:val="es-CO"/>
        </w:rPr>
      </w:pPr>
    </w:p>
    <w:p w14:paraId="1356F272" w14:textId="77777777" w:rsidR="00C97549" w:rsidRPr="004E0A63" w:rsidRDefault="00F23F2F" w:rsidP="00A564C6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6</w:t>
      </w:r>
      <w:r w:rsidR="004E0A63" w:rsidRPr="004E0A63">
        <w:rPr>
          <w:b/>
          <w:sz w:val="16"/>
          <w:szCs w:val="16"/>
          <w:lang w:val="es-CO"/>
        </w:rPr>
        <w:t>.</w:t>
      </w:r>
      <w:r w:rsidR="004E0A63">
        <w:rPr>
          <w:b/>
          <w:sz w:val="16"/>
          <w:szCs w:val="16"/>
          <w:lang w:val="es-CO"/>
        </w:rPr>
        <w:t xml:space="preserve"> NECESIDAD DE NUEVA ACREDITACIÓN DE EQUIVALENCIAS </w:t>
      </w:r>
    </w:p>
    <w:p w14:paraId="099FAC3A" w14:textId="77777777" w:rsidR="00C97549" w:rsidRPr="00DC2C9D" w:rsidRDefault="00C97549" w:rsidP="00A564C6">
      <w:pPr>
        <w:ind w:left="0" w:firstLine="0"/>
        <w:rPr>
          <w:b/>
          <w:sz w:val="16"/>
          <w:szCs w:val="16"/>
          <w:lang w:val="es-CO"/>
        </w:rPr>
      </w:pPr>
    </w:p>
    <w:p w14:paraId="4D9ED202" w14:textId="259E08DE" w:rsidR="00AE5C47" w:rsidRPr="00C97549" w:rsidRDefault="00AE5C47" w:rsidP="00A564C6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Cuando se produzcan</w:t>
      </w:r>
      <w:r w:rsidR="00823614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>cambio</w:t>
      </w:r>
      <w:r w:rsidR="00A96905">
        <w:rPr>
          <w:sz w:val="16"/>
          <w:szCs w:val="16"/>
          <w:lang w:val="es-CO"/>
        </w:rPr>
        <w:t xml:space="preserve">s </w:t>
      </w:r>
      <w:r w:rsidR="00823614">
        <w:rPr>
          <w:sz w:val="16"/>
          <w:szCs w:val="16"/>
          <w:lang w:val="es-CO"/>
        </w:rPr>
        <w:t>d</w:t>
      </w:r>
      <w:r>
        <w:rPr>
          <w:sz w:val="16"/>
          <w:szCs w:val="16"/>
          <w:lang w:val="es-CO"/>
        </w:rPr>
        <w:t>e</w:t>
      </w:r>
      <w:r w:rsidR="00A96905">
        <w:rPr>
          <w:sz w:val="16"/>
          <w:szCs w:val="16"/>
          <w:lang w:val="es-CO"/>
        </w:rPr>
        <w:t>:</w:t>
      </w:r>
      <w:r>
        <w:rPr>
          <w:sz w:val="16"/>
          <w:szCs w:val="16"/>
          <w:lang w:val="es-CO"/>
        </w:rPr>
        <w:t xml:space="preserve"> holding financiero</w:t>
      </w:r>
      <w:r w:rsidR="00A96905">
        <w:rPr>
          <w:sz w:val="16"/>
          <w:szCs w:val="16"/>
          <w:lang w:val="es-CO"/>
        </w:rPr>
        <w:t xml:space="preserve"> ubicado o constituido en</w:t>
      </w:r>
      <w:r>
        <w:rPr>
          <w:sz w:val="16"/>
          <w:szCs w:val="16"/>
          <w:lang w:val="es-CO"/>
        </w:rPr>
        <w:t xml:space="preserve"> el exterior de un conglomerado financiero</w:t>
      </w:r>
      <w:r w:rsidR="00A96905">
        <w:rPr>
          <w:sz w:val="16"/>
          <w:szCs w:val="16"/>
          <w:lang w:val="es-CO"/>
        </w:rPr>
        <w:t xml:space="preserve">; </w:t>
      </w:r>
      <w:r>
        <w:rPr>
          <w:sz w:val="16"/>
          <w:szCs w:val="16"/>
          <w:lang w:val="es-CO"/>
        </w:rPr>
        <w:t>la jurisdicción donde se encuentre domiciliado o constituido</w:t>
      </w:r>
      <w:r w:rsidR="001B6F6C">
        <w:rPr>
          <w:sz w:val="16"/>
          <w:szCs w:val="16"/>
          <w:lang w:val="es-CO"/>
        </w:rPr>
        <w:t xml:space="preserve"> dicho holding</w:t>
      </w:r>
      <w:r w:rsidR="00A96905">
        <w:rPr>
          <w:sz w:val="16"/>
          <w:szCs w:val="16"/>
          <w:lang w:val="es-CO"/>
        </w:rPr>
        <w:t>;</w:t>
      </w:r>
      <w:r w:rsidR="00823614">
        <w:rPr>
          <w:sz w:val="16"/>
          <w:szCs w:val="16"/>
          <w:lang w:val="es-CO"/>
        </w:rPr>
        <w:t xml:space="preserve"> y/o  la autoridad que lo supervisa o regula</w:t>
      </w:r>
      <w:r w:rsidR="003A7960">
        <w:rPr>
          <w:sz w:val="16"/>
          <w:szCs w:val="16"/>
          <w:lang w:val="es-CO"/>
        </w:rPr>
        <w:t xml:space="preserve"> o el alcance de dicha supervisión</w:t>
      </w:r>
      <w:r w:rsidR="00823614">
        <w:rPr>
          <w:sz w:val="16"/>
          <w:szCs w:val="16"/>
          <w:lang w:val="es-CO"/>
        </w:rPr>
        <w:t>,</w:t>
      </w:r>
      <w:r w:rsidRPr="00C97549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 xml:space="preserve">éste </w:t>
      </w:r>
      <w:r w:rsidRPr="00C97549">
        <w:rPr>
          <w:sz w:val="16"/>
          <w:szCs w:val="16"/>
          <w:lang w:val="es-CO"/>
        </w:rPr>
        <w:t xml:space="preserve">debe </w:t>
      </w:r>
      <w:r>
        <w:rPr>
          <w:sz w:val="16"/>
          <w:szCs w:val="16"/>
          <w:lang w:val="es-CO"/>
        </w:rPr>
        <w:t xml:space="preserve">acreditar nuevamente ante </w:t>
      </w:r>
      <w:r w:rsidRPr="00C97549">
        <w:rPr>
          <w:sz w:val="16"/>
          <w:szCs w:val="16"/>
          <w:lang w:val="es-CO"/>
        </w:rPr>
        <w:t>la SFC</w:t>
      </w:r>
      <w:r>
        <w:rPr>
          <w:sz w:val="16"/>
          <w:szCs w:val="16"/>
          <w:lang w:val="es-CO"/>
        </w:rPr>
        <w:t xml:space="preserve"> la correspondencia del régimen de regulación prudencial y de supervisión comprensiva y consolidada </w:t>
      </w:r>
      <w:r w:rsidR="008F28A9">
        <w:rPr>
          <w:sz w:val="16"/>
          <w:szCs w:val="16"/>
          <w:lang w:val="es-CO"/>
        </w:rPr>
        <w:t>con el</w:t>
      </w:r>
      <w:r w:rsidR="00D02E8F">
        <w:rPr>
          <w:sz w:val="16"/>
          <w:szCs w:val="16"/>
          <w:lang w:val="es-CO"/>
        </w:rPr>
        <w:t xml:space="preserve"> de la S</w:t>
      </w:r>
      <w:r w:rsidR="001B6F6C">
        <w:rPr>
          <w:sz w:val="16"/>
          <w:szCs w:val="16"/>
          <w:lang w:val="es-CO"/>
        </w:rPr>
        <w:t>FC</w:t>
      </w:r>
      <w:r w:rsidRPr="00C97549">
        <w:rPr>
          <w:sz w:val="16"/>
          <w:szCs w:val="16"/>
          <w:lang w:val="es-CO"/>
        </w:rPr>
        <w:t xml:space="preserve">, </w:t>
      </w:r>
      <w:r>
        <w:rPr>
          <w:sz w:val="16"/>
          <w:szCs w:val="16"/>
          <w:lang w:val="es-CO"/>
        </w:rPr>
        <w:t xml:space="preserve">para lo cual debe aportar la </w:t>
      </w:r>
      <w:r w:rsidRPr="00C97549">
        <w:rPr>
          <w:sz w:val="16"/>
          <w:szCs w:val="16"/>
          <w:lang w:val="es-CO"/>
        </w:rPr>
        <w:t xml:space="preserve">documentación respectiva, en los términos previstos en el numeral </w:t>
      </w:r>
      <w:r w:rsidR="00215F37">
        <w:rPr>
          <w:sz w:val="16"/>
          <w:szCs w:val="16"/>
          <w:lang w:val="es-CO"/>
        </w:rPr>
        <w:t>2</w:t>
      </w:r>
      <w:r w:rsidRPr="00C97549">
        <w:rPr>
          <w:sz w:val="16"/>
          <w:szCs w:val="16"/>
          <w:lang w:val="es-CO"/>
        </w:rPr>
        <w:t xml:space="preserve"> del presente Cap</w:t>
      </w:r>
      <w:r>
        <w:rPr>
          <w:sz w:val="16"/>
          <w:szCs w:val="16"/>
          <w:lang w:val="es-CO"/>
        </w:rPr>
        <w:t>ítulo</w:t>
      </w:r>
      <w:r w:rsidRPr="00C97549">
        <w:rPr>
          <w:sz w:val="16"/>
          <w:szCs w:val="16"/>
          <w:lang w:val="es-CO"/>
        </w:rPr>
        <w:t xml:space="preserve">. </w:t>
      </w:r>
      <w:r w:rsidR="00606AC5">
        <w:rPr>
          <w:sz w:val="16"/>
          <w:szCs w:val="16"/>
          <w:lang w:val="es-CO"/>
        </w:rPr>
        <w:t>La nueva acreditación debe hacerse a más tardar 3 (tres) meses después de que</w:t>
      </w:r>
      <w:r w:rsidR="001B6F6C">
        <w:rPr>
          <w:sz w:val="16"/>
          <w:szCs w:val="16"/>
          <w:lang w:val="es-CO"/>
        </w:rPr>
        <w:t xml:space="preserve"> se perfeccione cualquiera de los</w:t>
      </w:r>
      <w:r w:rsidR="00971893">
        <w:rPr>
          <w:sz w:val="16"/>
          <w:szCs w:val="16"/>
          <w:lang w:val="es-CO"/>
        </w:rPr>
        <w:t xml:space="preserve"> </w:t>
      </w:r>
      <w:r w:rsidR="00606AC5">
        <w:rPr>
          <w:sz w:val="16"/>
          <w:szCs w:val="16"/>
          <w:lang w:val="es-CO"/>
        </w:rPr>
        <w:t>cambio</w:t>
      </w:r>
      <w:r w:rsidR="001B6F6C">
        <w:rPr>
          <w:sz w:val="16"/>
          <w:szCs w:val="16"/>
          <w:lang w:val="es-CO"/>
        </w:rPr>
        <w:t>s</w:t>
      </w:r>
      <w:r w:rsidR="00606AC5">
        <w:rPr>
          <w:sz w:val="16"/>
          <w:szCs w:val="16"/>
          <w:lang w:val="es-CO"/>
        </w:rPr>
        <w:t xml:space="preserve"> enunciado</w:t>
      </w:r>
      <w:r w:rsidR="001B6F6C">
        <w:rPr>
          <w:sz w:val="16"/>
          <w:szCs w:val="16"/>
          <w:lang w:val="es-CO"/>
        </w:rPr>
        <w:t>s</w:t>
      </w:r>
      <w:r w:rsidR="00606AC5">
        <w:rPr>
          <w:sz w:val="16"/>
          <w:szCs w:val="16"/>
          <w:lang w:val="es-CO"/>
        </w:rPr>
        <w:t xml:space="preserve"> en este numeral</w:t>
      </w:r>
      <w:r w:rsidR="001B6F6C">
        <w:rPr>
          <w:sz w:val="16"/>
          <w:szCs w:val="16"/>
          <w:lang w:val="es-CO"/>
        </w:rPr>
        <w:t>.</w:t>
      </w:r>
    </w:p>
    <w:sectPr w:rsidR="00AE5C47" w:rsidRPr="00C97549" w:rsidSect="00AA7474">
      <w:footerReference w:type="default" r:id="rId10"/>
      <w:pgSz w:w="12242" w:h="18722" w:code="14"/>
      <w:pgMar w:top="1418" w:right="1474" w:bottom="1418" w:left="1474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C9799" w14:textId="77777777" w:rsidR="00556BA0" w:rsidRDefault="00556BA0" w:rsidP="006D1E1A">
      <w:r>
        <w:separator/>
      </w:r>
    </w:p>
  </w:endnote>
  <w:endnote w:type="continuationSeparator" w:id="0">
    <w:p w14:paraId="69B6DA0F" w14:textId="77777777" w:rsidR="00556BA0" w:rsidRDefault="00556BA0" w:rsidP="006D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65830" w14:textId="77777777" w:rsidR="00754293" w:rsidRPr="008D423C" w:rsidRDefault="00754293" w:rsidP="00754293">
    <w:pPr>
      <w:pStyle w:val="Piedepgina"/>
      <w:tabs>
        <w:tab w:val="clear" w:pos="4252"/>
        <w:tab w:val="clear" w:pos="8504"/>
        <w:tab w:val="center" w:pos="8789"/>
      </w:tabs>
      <w:ind w:left="0" w:firstLine="0"/>
      <w:rPr>
        <w:rFonts w:cs="Arial"/>
        <w:b/>
        <w:sz w:val="18"/>
        <w:szCs w:val="18"/>
      </w:rPr>
    </w:pPr>
    <w:r w:rsidRPr="008D423C">
      <w:rPr>
        <w:rFonts w:cs="Arial"/>
        <w:b/>
        <w:sz w:val="18"/>
        <w:szCs w:val="18"/>
      </w:rPr>
      <w:t xml:space="preserve"> </w:t>
    </w:r>
    <w:r w:rsidR="00AD0765">
      <w:rPr>
        <w:rFonts w:cs="Arial"/>
        <w:b/>
        <w:sz w:val="18"/>
        <w:szCs w:val="18"/>
      </w:rPr>
      <w:t xml:space="preserve">                                                                                                                          </w:t>
    </w:r>
  </w:p>
  <w:p w14:paraId="77B231F4" w14:textId="6BF2A7BF" w:rsidR="00C2594B" w:rsidRPr="006D1E1A" w:rsidRDefault="00F871CC" w:rsidP="006D1E1A">
    <w:pPr>
      <w:pStyle w:val="Piedepgina"/>
      <w:tabs>
        <w:tab w:val="clear" w:pos="8504"/>
        <w:tab w:val="right" w:pos="9356"/>
      </w:tabs>
      <w:ind w:left="0" w:firstLine="0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Externa </w:t>
    </w:r>
    <w:r w:rsidR="00ED6775">
      <w:rPr>
        <w:rFonts w:cs="Arial"/>
        <w:b/>
        <w:sz w:val="18"/>
        <w:szCs w:val="18"/>
      </w:rPr>
      <w:t>014</w:t>
    </w:r>
    <w:r w:rsidR="00271B43">
      <w:rPr>
        <w:rFonts w:cs="Arial"/>
        <w:b/>
        <w:sz w:val="18"/>
        <w:szCs w:val="18"/>
      </w:rPr>
      <w:t xml:space="preserve"> de</w:t>
    </w:r>
    <w:r>
      <w:rPr>
        <w:rFonts w:cs="Arial"/>
        <w:b/>
        <w:sz w:val="18"/>
        <w:szCs w:val="18"/>
      </w:rPr>
      <w:t xml:space="preserve"> </w:t>
    </w:r>
    <w:r w:rsidR="007449DE">
      <w:rPr>
        <w:rFonts w:cs="Arial"/>
        <w:b/>
        <w:sz w:val="18"/>
        <w:szCs w:val="18"/>
      </w:rPr>
      <w:t>2018</w:t>
    </w:r>
    <w:r w:rsidR="00C2594B" w:rsidRPr="006D1E1A">
      <w:rPr>
        <w:rFonts w:cs="Arial"/>
        <w:b/>
        <w:sz w:val="18"/>
        <w:szCs w:val="18"/>
      </w:rPr>
      <w:tab/>
    </w:r>
    <w:r w:rsidR="00C2594B" w:rsidRPr="006D1E1A">
      <w:rPr>
        <w:rFonts w:cs="Arial"/>
        <w:b/>
        <w:sz w:val="18"/>
        <w:szCs w:val="18"/>
      </w:rPr>
      <w:tab/>
    </w:r>
    <w:r w:rsidR="00506BD0">
      <w:rPr>
        <w:rFonts w:cs="Arial"/>
        <w:b/>
        <w:sz w:val="18"/>
        <w:szCs w:val="18"/>
      </w:rPr>
      <w:t>Junio</w:t>
    </w:r>
    <w:r w:rsidR="00C53BAB">
      <w:rPr>
        <w:rFonts w:cs="Arial"/>
        <w:b/>
        <w:sz w:val="18"/>
        <w:szCs w:val="18"/>
      </w:rPr>
      <w:t xml:space="preserve"> </w:t>
    </w:r>
    <w:r w:rsidR="007449DE">
      <w:rPr>
        <w:rFonts w:cs="Arial"/>
        <w:b/>
        <w:sz w:val="18"/>
        <w:szCs w:val="18"/>
      </w:rPr>
      <w:t>de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EFC51" w14:textId="77777777" w:rsidR="00D76CEB" w:rsidRDefault="00D76CEB" w:rsidP="00754293">
    <w:pPr>
      <w:pStyle w:val="Piedepgina"/>
      <w:tabs>
        <w:tab w:val="clear" w:pos="4252"/>
        <w:tab w:val="clear" w:pos="8504"/>
        <w:tab w:val="center" w:pos="8789"/>
      </w:tabs>
      <w:ind w:left="0" w:firstLine="0"/>
      <w:rPr>
        <w:rFonts w:cs="Arial"/>
        <w:b/>
        <w:sz w:val="18"/>
        <w:szCs w:val="18"/>
      </w:rPr>
    </w:pPr>
  </w:p>
  <w:p w14:paraId="2A02A5F7" w14:textId="7689A9EE" w:rsidR="00AD0765" w:rsidRPr="008D423C" w:rsidRDefault="00AD0765" w:rsidP="00754293">
    <w:pPr>
      <w:pStyle w:val="Piedepgina"/>
      <w:tabs>
        <w:tab w:val="clear" w:pos="4252"/>
        <w:tab w:val="clear" w:pos="8504"/>
        <w:tab w:val="center" w:pos="8789"/>
      </w:tabs>
      <w:ind w:left="0" w:firstLine="0"/>
      <w:rPr>
        <w:rFonts w:cs="Arial"/>
        <w:b/>
        <w:sz w:val="18"/>
        <w:szCs w:val="18"/>
      </w:rPr>
    </w:pPr>
    <w:r w:rsidRPr="00694E18">
      <w:rPr>
        <w:rFonts w:cs="Arial"/>
        <w:b/>
        <w:sz w:val="18"/>
        <w:szCs w:val="18"/>
      </w:rPr>
      <w:t>P</w:t>
    </w:r>
    <w:r w:rsidR="00C0457F" w:rsidRPr="00694E18">
      <w:rPr>
        <w:rFonts w:cs="Arial"/>
        <w:b/>
        <w:sz w:val="18"/>
        <w:szCs w:val="18"/>
      </w:rPr>
      <w:t xml:space="preserve">ARTE </w:t>
    </w:r>
    <w:r w:rsidRPr="00694E18">
      <w:rPr>
        <w:rFonts w:cs="Arial"/>
        <w:b/>
        <w:sz w:val="18"/>
        <w:szCs w:val="18"/>
      </w:rPr>
      <w:t>I – TÍTULO V</w:t>
    </w:r>
    <w:r w:rsidR="00C0457F" w:rsidRPr="00694E18">
      <w:rPr>
        <w:rFonts w:cs="Arial"/>
        <w:b/>
        <w:sz w:val="18"/>
        <w:szCs w:val="18"/>
      </w:rPr>
      <w:t xml:space="preserve"> – CAPÍTULO I </w:t>
    </w:r>
    <w:r w:rsidRPr="008D423C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 xml:space="preserve">                                                                                            </w:t>
    </w:r>
    <w:r w:rsidR="00E84E3F">
      <w:rPr>
        <w:rFonts w:cs="Arial"/>
        <w:b/>
        <w:sz w:val="18"/>
        <w:szCs w:val="18"/>
      </w:rPr>
      <w:t xml:space="preserve"> </w:t>
    </w:r>
    <w:r w:rsidRPr="00DD0BD2">
      <w:rPr>
        <w:b/>
        <w:sz w:val="18"/>
        <w:szCs w:val="18"/>
      </w:rPr>
      <w:t>PÁGINA</w:t>
    </w:r>
    <w:r>
      <w:rPr>
        <w:rFonts w:cs="Arial"/>
        <w:b/>
        <w:sz w:val="18"/>
        <w:szCs w:val="18"/>
      </w:rPr>
      <w:t xml:space="preserve">    </w:t>
    </w:r>
    <w:r w:rsidR="00281684" w:rsidRPr="00281684">
      <w:rPr>
        <w:rFonts w:cs="Arial"/>
        <w:b/>
        <w:sz w:val="18"/>
        <w:szCs w:val="18"/>
      </w:rPr>
      <w:fldChar w:fldCharType="begin"/>
    </w:r>
    <w:r w:rsidR="00281684" w:rsidRPr="00281684">
      <w:rPr>
        <w:rFonts w:cs="Arial"/>
        <w:b/>
        <w:sz w:val="18"/>
        <w:szCs w:val="18"/>
      </w:rPr>
      <w:instrText>PAGE   \* MERGEFORMAT</w:instrText>
    </w:r>
    <w:r w:rsidR="00281684" w:rsidRPr="00281684">
      <w:rPr>
        <w:rFonts w:cs="Arial"/>
        <w:b/>
        <w:sz w:val="18"/>
        <w:szCs w:val="18"/>
      </w:rPr>
      <w:fldChar w:fldCharType="separate"/>
    </w:r>
    <w:r w:rsidR="00ED6775" w:rsidRPr="00ED6775">
      <w:rPr>
        <w:rFonts w:cs="Arial"/>
        <w:b/>
        <w:noProof/>
        <w:sz w:val="18"/>
        <w:szCs w:val="18"/>
        <w:lang w:val="es-ES"/>
      </w:rPr>
      <w:t>1</w:t>
    </w:r>
    <w:r w:rsidR="00281684" w:rsidRPr="00281684">
      <w:rPr>
        <w:rFonts w:cs="Arial"/>
        <w:b/>
        <w:sz w:val="18"/>
        <w:szCs w:val="18"/>
      </w:rPr>
      <w:fldChar w:fldCharType="end"/>
    </w:r>
    <w:r>
      <w:rPr>
        <w:rFonts w:cs="Arial"/>
        <w:b/>
        <w:sz w:val="18"/>
        <w:szCs w:val="18"/>
      </w:rPr>
      <w:t xml:space="preserve">                               </w:t>
    </w:r>
  </w:p>
  <w:p w14:paraId="42A5B5FE" w14:textId="4ED22684" w:rsidR="00AD0765" w:rsidRPr="006D1E1A" w:rsidRDefault="00AD0765" w:rsidP="006D1E1A">
    <w:pPr>
      <w:pStyle w:val="Piedepgina"/>
      <w:tabs>
        <w:tab w:val="clear" w:pos="8504"/>
        <w:tab w:val="right" w:pos="9356"/>
      </w:tabs>
      <w:ind w:left="0" w:firstLine="0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Externa </w:t>
    </w:r>
    <w:r w:rsidR="00D86688">
      <w:rPr>
        <w:rFonts w:cs="Arial"/>
        <w:b/>
        <w:sz w:val="18"/>
        <w:szCs w:val="18"/>
      </w:rPr>
      <w:t xml:space="preserve"> </w:t>
    </w:r>
    <w:r w:rsidR="00ED6775">
      <w:rPr>
        <w:rFonts w:cs="Arial"/>
        <w:b/>
        <w:sz w:val="18"/>
        <w:szCs w:val="18"/>
      </w:rPr>
      <w:t>014</w:t>
    </w:r>
    <w:r w:rsidR="00271B43">
      <w:rPr>
        <w:rFonts w:cs="Arial"/>
        <w:b/>
        <w:sz w:val="18"/>
        <w:szCs w:val="18"/>
      </w:rPr>
      <w:t xml:space="preserve"> de </w:t>
    </w:r>
    <w:r w:rsidR="00AA1562">
      <w:rPr>
        <w:rFonts w:cs="Arial"/>
        <w:b/>
        <w:sz w:val="18"/>
        <w:szCs w:val="18"/>
      </w:rPr>
      <w:t>2018</w:t>
    </w:r>
    <w:r w:rsidR="00B0612A">
      <w:rPr>
        <w:rFonts w:cs="Arial"/>
        <w:b/>
        <w:sz w:val="18"/>
        <w:szCs w:val="18"/>
      </w:rPr>
      <w:tab/>
      <w:t xml:space="preserve">                                                                                                  </w:t>
    </w:r>
    <w:r w:rsidR="00506BD0">
      <w:rPr>
        <w:rFonts w:cs="Arial"/>
        <w:b/>
        <w:sz w:val="18"/>
        <w:szCs w:val="18"/>
      </w:rPr>
      <w:t>Junio</w:t>
    </w:r>
    <w:r>
      <w:rPr>
        <w:rFonts w:cs="Arial"/>
        <w:b/>
        <w:sz w:val="18"/>
        <w:szCs w:val="18"/>
      </w:rPr>
      <w:t xml:space="preserve"> de 201</w:t>
    </w:r>
    <w:r w:rsidR="00AA1562">
      <w:rPr>
        <w:rFonts w:cs="Arial"/>
        <w:b/>
        <w:sz w:val="18"/>
        <w:szCs w:val="18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D928B" w14:textId="77777777" w:rsidR="00556BA0" w:rsidRDefault="00556BA0" w:rsidP="006D1E1A">
      <w:r>
        <w:separator/>
      </w:r>
    </w:p>
  </w:footnote>
  <w:footnote w:type="continuationSeparator" w:id="0">
    <w:p w14:paraId="1DB7A9E3" w14:textId="77777777" w:rsidR="00556BA0" w:rsidRDefault="00556BA0" w:rsidP="006D1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6E959" w14:textId="77777777" w:rsidR="00C2594B" w:rsidRPr="006D1E1A" w:rsidRDefault="00C2594B" w:rsidP="006D1E1A">
    <w:pPr>
      <w:pStyle w:val="Encabezado"/>
      <w:tabs>
        <w:tab w:val="clear" w:pos="8504"/>
        <w:tab w:val="right" w:pos="9356"/>
      </w:tabs>
      <w:ind w:left="0" w:firstLine="0"/>
      <w:jc w:val="center"/>
      <w:rPr>
        <w:rFonts w:cs="Arial"/>
        <w:b/>
      </w:rPr>
    </w:pPr>
    <w:r w:rsidRPr="006D1E1A">
      <w:rPr>
        <w:rFonts w:cs="Arial"/>
        <w:b/>
      </w:rPr>
      <w:t>SUPERINTENDENCIA</w:t>
    </w:r>
    <w:r>
      <w:rPr>
        <w:rFonts w:cs="Arial"/>
        <w:b/>
      </w:rPr>
      <w:t xml:space="preserve"> </w:t>
    </w:r>
    <w:r w:rsidRPr="006D1E1A">
      <w:rPr>
        <w:rFonts w:cs="Arial"/>
        <w:b/>
      </w:rPr>
      <w:t>FINANCIERA</w:t>
    </w:r>
    <w:r>
      <w:rPr>
        <w:rFonts w:cs="Arial"/>
        <w:b/>
      </w:rPr>
      <w:t xml:space="preserve"> </w:t>
    </w:r>
    <w:r w:rsidRPr="006D1E1A">
      <w:rPr>
        <w:rFonts w:cs="Arial"/>
        <w:b/>
      </w:rPr>
      <w:t>DE</w:t>
    </w:r>
    <w:r>
      <w:rPr>
        <w:rFonts w:cs="Arial"/>
        <w:b/>
      </w:rPr>
      <w:t xml:space="preserve"> </w:t>
    </w:r>
    <w:r w:rsidRPr="006D1E1A">
      <w:rPr>
        <w:rFonts w:cs="Arial"/>
        <w:b/>
      </w:rPr>
      <w:t>COLOMBIA</w:t>
    </w:r>
  </w:p>
  <w:p w14:paraId="15E2C224" w14:textId="77777777" w:rsidR="00C2594B" w:rsidRDefault="00C2594B" w:rsidP="006D1E1A">
    <w:pPr>
      <w:pStyle w:val="Encabezad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51FF"/>
    <w:multiLevelType w:val="hybridMultilevel"/>
    <w:tmpl w:val="09D69C8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A777F"/>
    <w:multiLevelType w:val="multilevel"/>
    <w:tmpl w:val="DF6814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C6E1598"/>
    <w:multiLevelType w:val="hybridMultilevel"/>
    <w:tmpl w:val="1AD4B3A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05C14"/>
    <w:multiLevelType w:val="hybridMultilevel"/>
    <w:tmpl w:val="09D69C8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D67B0"/>
    <w:multiLevelType w:val="hybridMultilevel"/>
    <w:tmpl w:val="43C2BD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A69B8"/>
    <w:multiLevelType w:val="multilevel"/>
    <w:tmpl w:val="144E5D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9C55553"/>
    <w:multiLevelType w:val="multilevel"/>
    <w:tmpl w:val="16CE20C2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BBB03FD"/>
    <w:multiLevelType w:val="multilevel"/>
    <w:tmpl w:val="CFA0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17130DA"/>
    <w:multiLevelType w:val="hybridMultilevel"/>
    <w:tmpl w:val="065C45E6"/>
    <w:lvl w:ilvl="0" w:tplc="2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B5A7A"/>
    <w:multiLevelType w:val="multilevel"/>
    <w:tmpl w:val="80E656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934E3"/>
    <w:multiLevelType w:val="hybridMultilevel"/>
    <w:tmpl w:val="39B43C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3344"/>
    <w:multiLevelType w:val="multilevel"/>
    <w:tmpl w:val="EB44161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ADE365E"/>
    <w:multiLevelType w:val="hybridMultilevel"/>
    <w:tmpl w:val="09D69C8C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D259CE"/>
    <w:multiLevelType w:val="multilevel"/>
    <w:tmpl w:val="EB581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8D74B58"/>
    <w:multiLevelType w:val="hybridMultilevel"/>
    <w:tmpl w:val="672A29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80D44"/>
    <w:multiLevelType w:val="hybridMultilevel"/>
    <w:tmpl w:val="2272EB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E1BC1"/>
    <w:multiLevelType w:val="multilevel"/>
    <w:tmpl w:val="C2CA4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BEB6D2F"/>
    <w:multiLevelType w:val="hybridMultilevel"/>
    <w:tmpl w:val="F9A49F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8A7066"/>
    <w:multiLevelType w:val="multilevel"/>
    <w:tmpl w:val="CFA0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DDE02C8"/>
    <w:multiLevelType w:val="hybridMultilevel"/>
    <w:tmpl w:val="D9088734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D21E7A"/>
    <w:multiLevelType w:val="hybridMultilevel"/>
    <w:tmpl w:val="C78248C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055ED"/>
    <w:multiLevelType w:val="hybridMultilevel"/>
    <w:tmpl w:val="39FCC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06449"/>
    <w:multiLevelType w:val="multilevel"/>
    <w:tmpl w:val="1F14B5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3" w15:restartNumberingAfterBreak="0">
    <w:nsid w:val="57E3705D"/>
    <w:multiLevelType w:val="hybridMultilevel"/>
    <w:tmpl w:val="BC22E5CC"/>
    <w:lvl w:ilvl="0" w:tplc="A1D87570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04" w:hanging="360"/>
      </w:pPr>
    </w:lvl>
    <w:lvl w:ilvl="2" w:tplc="0C0A001B" w:tentative="1">
      <w:start w:val="1"/>
      <w:numFmt w:val="lowerRoman"/>
      <w:lvlText w:val="%3."/>
      <w:lvlJc w:val="right"/>
      <w:pPr>
        <w:ind w:left="2424" w:hanging="180"/>
      </w:pPr>
    </w:lvl>
    <w:lvl w:ilvl="3" w:tplc="0C0A000F" w:tentative="1">
      <w:start w:val="1"/>
      <w:numFmt w:val="decimal"/>
      <w:lvlText w:val="%4."/>
      <w:lvlJc w:val="left"/>
      <w:pPr>
        <w:ind w:left="3144" w:hanging="360"/>
      </w:pPr>
    </w:lvl>
    <w:lvl w:ilvl="4" w:tplc="0C0A0019" w:tentative="1">
      <w:start w:val="1"/>
      <w:numFmt w:val="lowerLetter"/>
      <w:lvlText w:val="%5."/>
      <w:lvlJc w:val="left"/>
      <w:pPr>
        <w:ind w:left="3864" w:hanging="360"/>
      </w:pPr>
    </w:lvl>
    <w:lvl w:ilvl="5" w:tplc="0C0A001B" w:tentative="1">
      <w:start w:val="1"/>
      <w:numFmt w:val="lowerRoman"/>
      <w:lvlText w:val="%6."/>
      <w:lvlJc w:val="right"/>
      <w:pPr>
        <w:ind w:left="4584" w:hanging="180"/>
      </w:pPr>
    </w:lvl>
    <w:lvl w:ilvl="6" w:tplc="0C0A000F" w:tentative="1">
      <w:start w:val="1"/>
      <w:numFmt w:val="decimal"/>
      <w:lvlText w:val="%7."/>
      <w:lvlJc w:val="left"/>
      <w:pPr>
        <w:ind w:left="5304" w:hanging="360"/>
      </w:pPr>
    </w:lvl>
    <w:lvl w:ilvl="7" w:tplc="0C0A0019" w:tentative="1">
      <w:start w:val="1"/>
      <w:numFmt w:val="lowerLetter"/>
      <w:lvlText w:val="%8."/>
      <w:lvlJc w:val="left"/>
      <w:pPr>
        <w:ind w:left="6024" w:hanging="360"/>
      </w:pPr>
    </w:lvl>
    <w:lvl w:ilvl="8" w:tplc="0C0A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4" w15:restartNumberingAfterBreak="0">
    <w:nsid w:val="5B7601D2"/>
    <w:multiLevelType w:val="multilevel"/>
    <w:tmpl w:val="1F14B5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5" w15:restartNumberingAfterBreak="0">
    <w:nsid w:val="5DF42587"/>
    <w:multiLevelType w:val="multilevel"/>
    <w:tmpl w:val="ADA41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0526672"/>
    <w:multiLevelType w:val="multilevel"/>
    <w:tmpl w:val="C2CA4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09D2418"/>
    <w:multiLevelType w:val="hybridMultilevel"/>
    <w:tmpl w:val="E076CD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20CB7"/>
    <w:multiLevelType w:val="multilevel"/>
    <w:tmpl w:val="F29CF63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44E50BF"/>
    <w:multiLevelType w:val="hybridMultilevel"/>
    <w:tmpl w:val="9B6AC6C2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769D5"/>
    <w:multiLevelType w:val="hybridMultilevel"/>
    <w:tmpl w:val="B54CB6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F4CBD"/>
    <w:multiLevelType w:val="hybridMultilevel"/>
    <w:tmpl w:val="69845CB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D1E9C"/>
    <w:multiLevelType w:val="multilevel"/>
    <w:tmpl w:val="C9846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FFA2454"/>
    <w:multiLevelType w:val="hybridMultilevel"/>
    <w:tmpl w:val="B27E132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6512D"/>
    <w:multiLevelType w:val="multilevel"/>
    <w:tmpl w:val="CFA0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2446716"/>
    <w:multiLevelType w:val="hybridMultilevel"/>
    <w:tmpl w:val="D3EA3C3E"/>
    <w:lvl w:ilvl="0" w:tplc="F1560E7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624C4"/>
    <w:multiLevelType w:val="hybridMultilevel"/>
    <w:tmpl w:val="E92CCF8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8B5CDD"/>
    <w:multiLevelType w:val="multilevel"/>
    <w:tmpl w:val="1E4252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17"/>
  </w:num>
  <w:num w:numId="4">
    <w:abstractNumId w:val="21"/>
  </w:num>
  <w:num w:numId="5">
    <w:abstractNumId w:val="4"/>
  </w:num>
  <w:num w:numId="6">
    <w:abstractNumId w:val="23"/>
  </w:num>
  <w:num w:numId="7">
    <w:abstractNumId w:val="28"/>
  </w:num>
  <w:num w:numId="8">
    <w:abstractNumId w:val="2"/>
  </w:num>
  <w:num w:numId="9">
    <w:abstractNumId w:val="15"/>
  </w:num>
  <w:num w:numId="10">
    <w:abstractNumId w:val="34"/>
  </w:num>
  <w:num w:numId="11">
    <w:abstractNumId w:val="1"/>
  </w:num>
  <w:num w:numId="12">
    <w:abstractNumId w:val="32"/>
  </w:num>
  <w:num w:numId="13">
    <w:abstractNumId w:val="14"/>
  </w:num>
  <w:num w:numId="14">
    <w:abstractNumId w:val="5"/>
  </w:num>
  <w:num w:numId="15">
    <w:abstractNumId w:val="30"/>
  </w:num>
  <w:num w:numId="16">
    <w:abstractNumId w:val="20"/>
  </w:num>
  <w:num w:numId="17">
    <w:abstractNumId w:val="27"/>
  </w:num>
  <w:num w:numId="18">
    <w:abstractNumId w:val="7"/>
  </w:num>
  <w:num w:numId="19">
    <w:abstractNumId w:val="18"/>
  </w:num>
  <w:num w:numId="20">
    <w:abstractNumId w:val="33"/>
  </w:num>
  <w:num w:numId="21">
    <w:abstractNumId w:val="11"/>
  </w:num>
  <w:num w:numId="22">
    <w:abstractNumId w:val="26"/>
  </w:num>
  <w:num w:numId="23">
    <w:abstractNumId w:val="25"/>
  </w:num>
  <w:num w:numId="24">
    <w:abstractNumId w:val="37"/>
  </w:num>
  <w:num w:numId="25">
    <w:abstractNumId w:val="6"/>
  </w:num>
  <w:num w:numId="26">
    <w:abstractNumId w:val="22"/>
  </w:num>
  <w:num w:numId="27">
    <w:abstractNumId w:val="24"/>
  </w:num>
  <w:num w:numId="28">
    <w:abstractNumId w:val="9"/>
  </w:num>
  <w:num w:numId="29">
    <w:abstractNumId w:val="10"/>
  </w:num>
  <w:num w:numId="30">
    <w:abstractNumId w:val="35"/>
  </w:num>
  <w:num w:numId="31">
    <w:abstractNumId w:val="12"/>
  </w:num>
  <w:num w:numId="32">
    <w:abstractNumId w:val="3"/>
  </w:num>
  <w:num w:numId="33">
    <w:abstractNumId w:val="0"/>
  </w:num>
  <w:num w:numId="34">
    <w:abstractNumId w:val="29"/>
  </w:num>
  <w:num w:numId="35">
    <w:abstractNumId w:val="36"/>
  </w:num>
  <w:num w:numId="36">
    <w:abstractNumId w:val="19"/>
  </w:num>
  <w:num w:numId="37">
    <w:abstractNumId w:val="31"/>
  </w:num>
  <w:num w:numId="38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1A"/>
    <w:rsid w:val="000008FD"/>
    <w:rsid w:val="000054D2"/>
    <w:rsid w:val="00005D09"/>
    <w:rsid w:val="00007E67"/>
    <w:rsid w:val="00010999"/>
    <w:rsid w:val="00010C02"/>
    <w:rsid w:val="00011DEF"/>
    <w:rsid w:val="0001422D"/>
    <w:rsid w:val="000156E1"/>
    <w:rsid w:val="0001654D"/>
    <w:rsid w:val="00017B79"/>
    <w:rsid w:val="0002061A"/>
    <w:rsid w:val="0002227D"/>
    <w:rsid w:val="000225D1"/>
    <w:rsid w:val="000240AA"/>
    <w:rsid w:val="000258EC"/>
    <w:rsid w:val="00025BFC"/>
    <w:rsid w:val="00034919"/>
    <w:rsid w:val="000352E0"/>
    <w:rsid w:val="00035C7B"/>
    <w:rsid w:val="0004117A"/>
    <w:rsid w:val="00041806"/>
    <w:rsid w:val="0004248C"/>
    <w:rsid w:val="00042CAA"/>
    <w:rsid w:val="0004312A"/>
    <w:rsid w:val="00043C74"/>
    <w:rsid w:val="00050D47"/>
    <w:rsid w:val="000510C7"/>
    <w:rsid w:val="00051C1E"/>
    <w:rsid w:val="00052FC0"/>
    <w:rsid w:val="00055EA7"/>
    <w:rsid w:val="000578B3"/>
    <w:rsid w:val="00060B30"/>
    <w:rsid w:val="00062B9F"/>
    <w:rsid w:val="00064DC9"/>
    <w:rsid w:val="00064E0D"/>
    <w:rsid w:val="0007096F"/>
    <w:rsid w:val="0007276C"/>
    <w:rsid w:val="000741DF"/>
    <w:rsid w:val="00074376"/>
    <w:rsid w:val="00074874"/>
    <w:rsid w:val="000750B4"/>
    <w:rsid w:val="000758A5"/>
    <w:rsid w:val="00075C00"/>
    <w:rsid w:val="00081CCA"/>
    <w:rsid w:val="00083655"/>
    <w:rsid w:val="00084666"/>
    <w:rsid w:val="00084815"/>
    <w:rsid w:val="00084875"/>
    <w:rsid w:val="00084A67"/>
    <w:rsid w:val="00084CF8"/>
    <w:rsid w:val="000A08AB"/>
    <w:rsid w:val="000A1204"/>
    <w:rsid w:val="000A260E"/>
    <w:rsid w:val="000A30D8"/>
    <w:rsid w:val="000A4597"/>
    <w:rsid w:val="000A630D"/>
    <w:rsid w:val="000A6E14"/>
    <w:rsid w:val="000B055E"/>
    <w:rsid w:val="000B3EDA"/>
    <w:rsid w:val="000B5EBF"/>
    <w:rsid w:val="000C0F8B"/>
    <w:rsid w:val="000C164B"/>
    <w:rsid w:val="000C2096"/>
    <w:rsid w:val="000C232E"/>
    <w:rsid w:val="000C3723"/>
    <w:rsid w:val="000D3818"/>
    <w:rsid w:val="000D4C93"/>
    <w:rsid w:val="000E344F"/>
    <w:rsid w:val="000E6F9D"/>
    <w:rsid w:val="000E7EB7"/>
    <w:rsid w:val="000F0F12"/>
    <w:rsid w:val="000F48EC"/>
    <w:rsid w:val="000F6910"/>
    <w:rsid w:val="000F7D57"/>
    <w:rsid w:val="00100105"/>
    <w:rsid w:val="001013C0"/>
    <w:rsid w:val="00101B72"/>
    <w:rsid w:val="0010252F"/>
    <w:rsid w:val="00102C1B"/>
    <w:rsid w:val="001107F8"/>
    <w:rsid w:val="0011188F"/>
    <w:rsid w:val="001130D2"/>
    <w:rsid w:val="001161E5"/>
    <w:rsid w:val="00120565"/>
    <w:rsid w:val="0012070D"/>
    <w:rsid w:val="001214C9"/>
    <w:rsid w:val="00121C58"/>
    <w:rsid w:val="00123BA2"/>
    <w:rsid w:val="001242BA"/>
    <w:rsid w:val="00125255"/>
    <w:rsid w:val="00141B8B"/>
    <w:rsid w:val="0014314C"/>
    <w:rsid w:val="001467AD"/>
    <w:rsid w:val="00151044"/>
    <w:rsid w:val="00151E9D"/>
    <w:rsid w:val="001526C6"/>
    <w:rsid w:val="00154B71"/>
    <w:rsid w:val="00154C42"/>
    <w:rsid w:val="00157055"/>
    <w:rsid w:val="00157CBF"/>
    <w:rsid w:val="00160358"/>
    <w:rsid w:val="001654F3"/>
    <w:rsid w:val="00165DDC"/>
    <w:rsid w:val="00166D78"/>
    <w:rsid w:val="001702CA"/>
    <w:rsid w:val="00170DF0"/>
    <w:rsid w:val="00175425"/>
    <w:rsid w:val="00177215"/>
    <w:rsid w:val="001775B3"/>
    <w:rsid w:val="00182FE1"/>
    <w:rsid w:val="00183193"/>
    <w:rsid w:val="00190DA2"/>
    <w:rsid w:val="00193586"/>
    <w:rsid w:val="0019656E"/>
    <w:rsid w:val="001979DA"/>
    <w:rsid w:val="00197B75"/>
    <w:rsid w:val="00197BB1"/>
    <w:rsid w:val="001A1477"/>
    <w:rsid w:val="001A2DF0"/>
    <w:rsid w:val="001A67B6"/>
    <w:rsid w:val="001B005A"/>
    <w:rsid w:val="001B0E05"/>
    <w:rsid w:val="001B0EA2"/>
    <w:rsid w:val="001B1049"/>
    <w:rsid w:val="001B2D31"/>
    <w:rsid w:val="001B3F42"/>
    <w:rsid w:val="001B482D"/>
    <w:rsid w:val="001B4B87"/>
    <w:rsid w:val="001B6718"/>
    <w:rsid w:val="001B6F6C"/>
    <w:rsid w:val="001C35FC"/>
    <w:rsid w:val="001C3785"/>
    <w:rsid w:val="001C4EA8"/>
    <w:rsid w:val="001C59C2"/>
    <w:rsid w:val="001C60E6"/>
    <w:rsid w:val="001C7C46"/>
    <w:rsid w:val="001D04E5"/>
    <w:rsid w:val="001D21FB"/>
    <w:rsid w:val="001D28AA"/>
    <w:rsid w:val="001D2B67"/>
    <w:rsid w:val="001D2EB7"/>
    <w:rsid w:val="001D494D"/>
    <w:rsid w:val="001D5722"/>
    <w:rsid w:val="001D71D3"/>
    <w:rsid w:val="001D7249"/>
    <w:rsid w:val="001E0D93"/>
    <w:rsid w:val="001E10B4"/>
    <w:rsid w:val="001E2B79"/>
    <w:rsid w:val="001E3000"/>
    <w:rsid w:val="001E6E3D"/>
    <w:rsid w:val="001E6EE8"/>
    <w:rsid w:val="001E7E85"/>
    <w:rsid w:val="001F1336"/>
    <w:rsid w:val="001F36B9"/>
    <w:rsid w:val="001F3BAB"/>
    <w:rsid w:val="001F7377"/>
    <w:rsid w:val="00200438"/>
    <w:rsid w:val="00200C5E"/>
    <w:rsid w:val="0020106C"/>
    <w:rsid w:val="0020365A"/>
    <w:rsid w:val="0020619E"/>
    <w:rsid w:val="00206943"/>
    <w:rsid w:val="00206A57"/>
    <w:rsid w:val="00210810"/>
    <w:rsid w:val="00211B0A"/>
    <w:rsid w:val="00211EB0"/>
    <w:rsid w:val="00212745"/>
    <w:rsid w:val="00215F37"/>
    <w:rsid w:val="002167E4"/>
    <w:rsid w:val="00216926"/>
    <w:rsid w:val="002211F2"/>
    <w:rsid w:val="00224527"/>
    <w:rsid w:val="00226159"/>
    <w:rsid w:val="0022662A"/>
    <w:rsid w:val="00227668"/>
    <w:rsid w:val="00231D19"/>
    <w:rsid w:val="00232571"/>
    <w:rsid w:val="00233719"/>
    <w:rsid w:val="002368F7"/>
    <w:rsid w:val="00237DBC"/>
    <w:rsid w:val="00243862"/>
    <w:rsid w:val="00243EA6"/>
    <w:rsid w:val="00247C7D"/>
    <w:rsid w:val="00247EB9"/>
    <w:rsid w:val="00250E61"/>
    <w:rsid w:val="002518CA"/>
    <w:rsid w:val="00253E29"/>
    <w:rsid w:val="002548EE"/>
    <w:rsid w:val="00262CD4"/>
    <w:rsid w:val="00263BDA"/>
    <w:rsid w:val="002641D1"/>
    <w:rsid w:val="0026763E"/>
    <w:rsid w:val="00271A3F"/>
    <w:rsid w:val="00271B43"/>
    <w:rsid w:val="00271EBC"/>
    <w:rsid w:val="0027339F"/>
    <w:rsid w:val="00273F02"/>
    <w:rsid w:val="00280331"/>
    <w:rsid w:val="00281684"/>
    <w:rsid w:val="00281CBE"/>
    <w:rsid w:val="00284960"/>
    <w:rsid w:val="00290BC1"/>
    <w:rsid w:val="00295BE2"/>
    <w:rsid w:val="00296A74"/>
    <w:rsid w:val="002A28EA"/>
    <w:rsid w:val="002A2B2B"/>
    <w:rsid w:val="002A38DD"/>
    <w:rsid w:val="002A7787"/>
    <w:rsid w:val="002B05F7"/>
    <w:rsid w:val="002B18DE"/>
    <w:rsid w:val="002B3DAC"/>
    <w:rsid w:val="002B52CB"/>
    <w:rsid w:val="002B6B22"/>
    <w:rsid w:val="002C1314"/>
    <w:rsid w:val="002C3B82"/>
    <w:rsid w:val="002C588A"/>
    <w:rsid w:val="002C5C79"/>
    <w:rsid w:val="002C6286"/>
    <w:rsid w:val="002D3ADE"/>
    <w:rsid w:val="002D5A8B"/>
    <w:rsid w:val="002D6DA1"/>
    <w:rsid w:val="002E1520"/>
    <w:rsid w:val="002E210B"/>
    <w:rsid w:val="002E6380"/>
    <w:rsid w:val="002E7A36"/>
    <w:rsid w:val="002F069D"/>
    <w:rsid w:val="002F1AC3"/>
    <w:rsid w:val="002F42DD"/>
    <w:rsid w:val="002F7330"/>
    <w:rsid w:val="0030519A"/>
    <w:rsid w:val="0030523B"/>
    <w:rsid w:val="00306CEC"/>
    <w:rsid w:val="00311DFB"/>
    <w:rsid w:val="00313FDE"/>
    <w:rsid w:val="00317085"/>
    <w:rsid w:val="003211EA"/>
    <w:rsid w:val="00322CB0"/>
    <w:rsid w:val="003272DA"/>
    <w:rsid w:val="003273DD"/>
    <w:rsid w:val="0033379F"/>
    <w:rsid w:val="003357E3"/>
    <w:rsid w:val="00342396"/>
    <w:rsid w:val="00345A5A"/>
    <w:rsid w:val="00347080"/>
    <w:rsid w:val="003470AE"/>
    <w:rsid w:val="00353C48"/>
    <w:rsid w:val="003558EC"/>
    <w:rsid w:val="003573A4"/>
    <w:rsid w:val="003578D1"/>
    <w:rsid w:val="003632EA"/>
    <w:rsid w:val="00364087"/>
    <w:rsid w:val="00370321"/>
    <w:rsid w:val="00370FE4"/>
    <w:rsid w:val="00372EB8"/>
    <w:rsid w:val="003753FE"/>
    <w:rsid w:val="00380FCA"/>
    <w:rsid w:val="00381FB0"/>
    <w:rsid w:val="003826AC"/>
    <w:rsid w:val="00385446"/>
    <w:rsid w:val="00386E66"/>
    <w:rsid w:val="003872A5"/>
    <w:rsid w:val="00390FA5"/>
    <w:rsid w:val="00392B94"/>
    <w:rsid w:val="00395022"/>
    <w:rsid w:val="00396550"/>
    <w:rsid w:val="00396B5A"/>
    <w:rsid w:val="00397416"/>
    <w:rsid w:val="003A1021"/>
    <w:rsid w:val="003A188E"/>
    <w:rsid w:val="003A2E4A"/>
    <w:rsid w:val="003A7960"/>
    <w:rsid w:val="003A7A56"/>
    <w:rsid w:val="003B315F"/>
    <w:rsid w:val="003B6190"/>
    <w:rsid w:val="003C006E"/>
    <w:rsid w:val="003C266F"/>
    <w:rsid w:val="003C4F01"/>
    <w:rsid w:val="003C6959"/>
    <w:rsid w:val="003C7956"/>
    <w:rsid w:val="003D1033"/>
    <w:rsid w:val="003D1FB3"/>
    <w:rsid w:val="003D3DA9"/>
    <w:rsid w:val="003D4860"/>
    <w:rsid w:val="003D531F"/>
    <w:rsid w:val="003D5993"/>
    <w:rsid w:val="003D5E4A"/>
    <w:rsid w:val="003D6E44"/>
    <w:rsid w:val="003E0B41"/>
    <w:rsid w:val="003E2507"/>
    <w:rsid w:val="003E705A"/>
    <w:rsid w:val="003F0B02"/>
    <w:rsid w:val="003F34FC"/>
    <w:rsid w:val="003F5C04"/>
    <w:rsid w:val="003F5C26"/>
    <w:rsid w:val="003F76A1"/>
    <w:rsid w:val="003F7FCE"/>
    <w:rsid w:val="004007E2"/>
    <w:rsid w:val="00401B62"/>
    <w:rsid w:val="00403BE7"/>
    <w:rsid w:val="00406BB3"/>
    <w:rsid w:val="004102C8"/>
    <w:rsid w:val="004149B9"/>
    <w:rsid w:val="00420C20"/>
    <w:rsid w:val="004236F5"/>
    <w:rsid w:val="004256AD"/>
    <w:rsid w:val="00433856"/>
    <w:rsid w:val="00434357"/>
    <w:rsid w:val="0044008B"/>
    <w:rsid w:val="00445596"/>
    <w:rsid w:val="004458B8"/>
    <w:rsid w:val="00446B42"/>
    <w:rsid w:val="004479E1"/>
    <w:rsid w:val="00451AB3"/>
    <w:rsid w:val="00456747"/>
    <w:rsid w:val="004572E1"/>
    <w:rsid w:val="00457FDE"/>
    <w:rsid w:val="00460A6A"/>
    <w:rsid w:val="00464755"/>
    <w:rsid w:val="004662C0"/>
    <w:rsid w:val="00466BE6"/>
    <w:rsid w:val="00470DBE"/>
    <w:rsid w:val="00472468"/>
    <w:rsid w:val="004745E7"/>
    <w:rsid w:val="00476327"/>
    <w:rsid w:val="004813FF"/>
    <w:rsid w:val="0048228D"/>
    <w:rsid w:val="00482537"/>
    <w:rsid w:val="00482B4A"/>
    <w:rsid w:val="00484CC0"/>
    <w:rsid w:val="00485D2C"/>
    <w:rsid w:val="00485DEB"/>
    <w:rsid w:val="004861CE"/>
    <w:rsid w:val="004865BC"/>
    <w:rsid w:val="00486BA8"/>
    <w:rsid w:val="00486BF2"/>
    <w:rsid w:val="004870C2"/>
    <w:rsid w:val="00494693"/>
    <w:rsid w:val="00495489"/>
    <w:rsid w:val="00496D48"/>
    <w:rsid w:val="00497510"/>
    <w:rsid w:val="00497A20"/>
    <w:rsid w:val="004A0DCE"/>
    <w:rsid w:val="004A20DB"/>
    <w:rsid w:val="004A24DA"/>
    <w:rsid w:val="004A3862"/>
    <w:rsid w:val="004A45F5"/>
    <w:rsid w:val="004A75DE"/>
    <w:rsid w:val="004B0BB3"/>
    <w:rsid w:val="004B2823"/>
    <w:rsid w:val="004B34C5"/>
    <w:rsid w:val="004B382C"/>
    <w:rsid w:val="004B4048"/>
    <w:rsid w:val="004B4F61"/>
    <w:rsid w:val="004B55FC"/>
    <w:rsid w:val="004B7FBC"/>
    <w:rsid w:val="004C0FFC"/>
    <w:rsid w:val="004C3FFA"/>
    <w:rsid w:val="004C40BE"/>
    <w:rsid w:val="004D2B24"/>
    <w:rsid w:val="004D69B0"/>
    <w:rsid w:val="004E09A0"/>
    <w:rsid w:val="004E09BB"/>
    <w:rsid w:val="004E0A63"/>
    <w:rsid w:val="004E16CF"/>
    <w:rsid w:val="004E2789"/>
    <w:rsid w:val="004E314C"/>
    <w:rsid w:val="004E3974"/>
    <w:rsid w:val="004E4EE6"/>
    <w:rsid w:val="004E74D6"/>
    <w:rsid w:val="004F1BF7"/>
    <w:rsid w:val="004F5366"/>
    <w:rsid w:val="004F5A67"/>
    <w:rsid w:val="004F6042"/>
    <w:rsid w:val="004F652E"/>
    <w:rsid w:val="004F6F33"/>
    <w:rsid w:val="00501B2F"/>
    <w:rsid w:val="00502F7A"/>
    <w:rsid w:val="00503A38"/>
    <w:rsid w:val="005060D1"/>
    <w:rsid w:val="00506262"/>
    <w:rsid w:val="00506BD0"/>
    <w:rsid w:val="00510ABF"/>
    <w:rsid w:val="0051238E"/>
    <w:rsid w:val="0051395C"/>
    <w:rsid w:val="00513C7B"/>
    <w:rsid w:val="00513C8D"/>
    <w:rsid w:val="00516F54"/>
    <w:rsid w:val="00517CA4"/>
    <w:rsid w:val="00521E66"/>
    <w:rsid w:val="005272CA"/>
    <w:rsid w:val="00531264"/>
    <w:rsid w:val="0053170C"/>
    <w:rsid w:val="00533194"/>
    <w:rsid w:val="00540C4C"/>
    <w:rsid w:val="00543CC2"/>
    <w:rsid w:val="005464E5"/>
    <w:rsid w:val="00546626"/>
    <w:rsid w:val="00547AE9"/>
    <w:rsid w:val="0055099D"/>
    <w:rsid w:val="0055344F"/>
    <w:rsid w:val="00556BA0"/>
    <w:rsid w:val="00556D25"/>
    <w:rsid w:val="005571D4"/>
    <w:rsid w:val="005603C8"/>
    <w:rsid w:val="00561AA5"/>
    <w:rsid w:val="00566B7F"/>
    <w:rsid w:val="00567F9D"/>
    <w:rsid w:val="0057106D"/>
    <w:rsid w:val="0057500F"/>
    <w:rsid w:val="00575704"/>
    <w:rsid w:val="00576377"/>
    <w:rsid w:val="00580C14"/>
    <w:rsid w:val="00580DE5"/>
    <w:rsid w:val="00582AB5"/>
    <w:rsid w:val="0058445A"/>
    <w:rsid w:val="00585175"/>
    <w:rsid w:val="0058565B"/>
    <w:rsid w:val="00586868"/>
    <w:rsid w:val="00587DBC"/>
    <w:rsid w:val="005927E6"/>
    <w:rsid w:val="00594352"/>
    <w:rsid w:val="00594EEF"/>
    <w:rsid w:val="00595B11"/>
    <w:rsid w:val="00596046"/>
    <w:rsid w:val="005A0D2A"/>
    <w:rsid w:val="005A6602"/>
    <w:rsid w:val="005A6EDC"/>
    <w:rsid w:val="005A6F21"/>
    <w:rsid w:val="005A7AF2"/>
    <w:rsid w:val="005B1C3D"/>
    <w:rsid w:val="005B1FBE"/>
    <w:rsid w:val="005B435C"/>
    <w:rsid w:val="005B7443"/>
    <w:rsid w:val="005B7FD5"/>
    <w:rsid w:val="005C295E"/>
    <w:rsid w:val="005D3193"/>
    <w:rsid w:val="005D65AD"/>
    <w:rsid w:val="005E5766"/>
    <w:rsid w:val="005E5DE4"/>
    <w:rsid w:val="005E6580"/>
    <w:rsid w:val="005E6913"/>
    <w:rsid w:val="005E7B61"/>
    <w:rsid w:val="005F15E3"/>
    <w:rsid w:val="005F557D"/>
    <w:rsid w:val="0060203A"/>
    <w:rsid w:val="00602169"/>
    <w:rsid w:val="00603F0C"/>
    <w:rsid w:val="00605613"/>
    <w:rsid w:val="00606AC5"/>
    <w:rsid w:val="00610179"/>
    <w:rsid w:val="00615884"/>
    <w:rsid w:val="00617007"/>
    <w:rsid w:val="00620D56"/>
    <w:rsid w:val="00621507"/>
    <w:rsid w:val="00624DCE"/>
    <w:rsid w:val="0063216E"/>
    <w:rsid w:val="00633CBC"/>
    <w:rsid w:val="00640C52"/>
    <w:rsid w:val="00644104"/>
    <w:rsid w:val="00644EF5"/>
    <w:rsid w:val="0064515A"/>
    <w:rsid w:val="0064640F"/>
    <w:rsid w:val="006466A7"/>
    <w:rsid w:val="00647DA8"/>
    <w:rsid w:val="00650AB8"/>
    <w:rsid w:val="00651DC8"/>
    <w:rsid w:val="0065758A"/>
    <w:rsid w:val="00660F91"/>
    <w:rsid w:val="00661B27"/>
    <w:rsid w:val="006639C2"/>
    <w:rsid w:val="006646AB"/>
    <w:rsid w:val="00666902"/>
    <w:rsid w:val="00672AF6"/>
    <w:rsid w:val="00681168"/>
    <w:rsid w:val="00681648"/>
    <w:rsid w:val="006820D4"/>
    <w:rsid w:val="006831AC"/>
    <w:rsid w:val="00683CC5"/>
    <w:rsid w:val="00686591"/>
    <w:rsid w:val="00686957"/>
    <w:rsid w:val="00694E18"/>
    <w:rsid w:val="00695526"/>
    <w:rsid w:val="006A02BB"/>
    <w:rsid w:val="006A0869"/>
    <w:rsid w:val="006A12B7"/>
    <w:rsid w:val="006A2629"/>
    <w:rsid w:val="006A5226"/>
    <w:rsid w:val="006A5325"/>
    <w:rsid w:val="006A7DCA"/>
    <w:rsid w:val="006A7E45"/>
    <w:rsid w:val="006B402E"/>
    <w:rsid w:val="006B6864"/>
    <w:rsid w:val="006C0F42"/>
    <w:rsid w:val="006C23F3"/>
    <w:rsid w:val="006C2FFE"/>
    <w:rsid w:val="006D1E1A"/>
    <w:rsid w:val="006D3710"/>
    <w:rsid w:val="006D3F07"/>
    <w:rsid w:val="006D64A8"/>
    <w:rsid w:val="006D6B51"/>
    <w:rsid w:val="006D6CD5"/>
    <w:rsid w:val="006E00D4"/>
    <w:rsid w:val="006E0690"/>
    <w:rsid w:val="006E06E5"/>
    <w:rsid w:val="006E0C58"/>
    <w:rsid w:val="006E0F08"/>
    <w:rsid w:val="006E46AE"/>
    <w:rsid w:val="006E57E9"/>
    <w:rsid w:val="006E59AD"/>
    <w:rsid w:val="006E6467"/>
    <w:rsid w:val="006E7B99"/>
    <w:rsid w:val="006F006C"/>
    <w:rsid w:val="006F0F55"/>
    <w:rsid w:val="006F247D"/>
    <w:rsid w:val="006F2490"/>
    <w:rsid w:val="006F347E"/>
    <w:rsid w:val="006F51BF"/>
    <w:rsid w:val="006F5493"/>
    <w:rsid w:val="006F6643"/>
    <w:rsid w:val="006F6D90"/>
    <w:rsid w:val="006F7361"/>
    <w:rsid w:val="00700606"/>
    <w:rsid w:val="00702237"/>
    <w:rsid w:val="00706FD5"/>
    <w:rsid w:val="00707E25"/>
    <w:rsid w:val="00711005"/>
    <w:rsid w:val="007114AE"/>
    <w:rsid w:val="007131E4"/>
    <w:rsid w:val="0071385E"/>
    <w:rsid w:val="00713DB3"/>
    <w:rsid w:val="00714FB8"/>
    <w:rsid w:val="007152E2"/>
    <w:rsid w:val="00716D5B"/>
    <w:rsid w:val="007174E5"/>
    <w:rsid w:val="00717E33"/>
    <w:rsid w:val="00723156"/>
    <w:rsid w:val="00723D7A"/>
    <w:rsid w:val="00727084"/>
    <w:rsid w:val="0073124E"/>
    <w:rsid w:val="00734015"/>
    <w:rsid w:val="00737E87"/>
    <w:rsid w:val="00742D19"/>
    <w:rsid w:val="007435E7"/>
    <w:rsid w:val="0074400E"/>
    <w:rsid w:val="007449DE"/>
    <w:rsid w:val="00744E42"/>
    <w:rsid w:val="0074647B"/>
    <w:rsid w:val="00752549"/>
    <w:rsid w:val="00753AEE"/>
    <w:rsid w:val="00754293"/>
    <w:rsid w:val="00756341"/>
    <w:rsid w:val="00757080"/>
    <w:rsid w:val="0076367C"/>
    <w:rsid w:val="00765692"/>
    <w:rsid w:val="00767EEE"/>
    <w:rsid w:val="0077045B"/>
    <w:rsid w:val="007764E0"/>
    <w:rsid w:val="00783445"/>
    <w:rsid w:val="00787E51"/>
    <w:rsid w:val="00790CF1"/>
    <w:rsid w:val="007916B5"/>
    <w:rsid w:val="00791C85"/>
    <w:rsid w:val="00792671"/>
    <w:rsid w:val="007959AA"/>
    <w:rsid w:val="007A3555"/>
    <w:rsid w:val="007A374F"/>
    <w:rsid w:val="007A4162"/>
    <w:rsid w:val="007A57F3"/>
    <w:rsid w:val="007A6F21"/>
    <w:rsid w:val="007B280D"/>
    <w:rsid w:val="007B29FF"/>
    <w:rsid w:val="007B3A73"/>
    <w:rsid w:val="007B5F1F"/>
    <w:rsid w:val="007B68B0"/>
    <w:rsid w:val="007C1AD6"/>
    <w:rsid w:val="007C4FA2"/>
    <w:rsid w:val="007C50C1"/>
    <w:rsid w:val="007C71E2"/>
    <w:rsid w:val="007C7F4D"/>
    <w:rsid w:val="007D0F6F"/>
    <w:rsid w:val="007D47FB"/>
    <w:rsid w:val="007D6D3E"/>
    <w:rsid w:val="007E0115"/>
    <w:rsid w:val="007E0AC9"/>
    <w:rsid w:val="007E0BF7"/>
    <w:rsid w:val="007E113C"/>
    <w:rsid w:val="007F3C69"/>
    <w:rsid w:val="00801F6E"/>
    <w:rsid w:val="008046CB"/>
    <w:rsid w:val="00804D89"/>
    <w:rsid w:val="00813007"/>
    <w:rsid w:val="008159CD"/>
    <w:rsid w:val="0082200A"/>
    <w:rsid w:val="00823614"/>
    <w:rsid w:val="00826A57"/>
    <w:rsid w:val="008321CE"/>
    <w:rsid w:val="00837401"/>
    <w:rsid w:val="00843E80"/>
    <w:rsid w:val="00844B86"/>
    <w:rsid w:val="00847523"/>
    <w:rsid w:val="0085150E"/>
    <w:rsid w:val="00860BA8"/>
    <w:rsid w:val="00863919"/>
    <w:rsid w:val="00864CDA"/>
    <w:rsid w:val="008760FE"/>
    <w:rsid w:val="008761ED"/>
    <w:rsid w:val="008831B7"/>
    <w:rsid w:val="00884CD5"/>
    <w:rsid w:val="00886AA3"/>
    <w:rsid w:val="008870E5"/>
    <w:rsid w:val="00887B4E"/>
    <w:rsid w:val="00890D3C"/>
    <w:rsid w:val="008930F1"/>
    <w:rsid w:val="008946BA"/>
    <w:rsid w:val="00895B71"/>
    <w:rsid w:val="00897D48"/>
    <w:rsid w:val="008A3170"/>
    <w:rsid w:val="008A6B6A"/>
    <w:rsid w:val="008B0941"/>
    <w:rsid w:val="008B1182"/>
    <w:rsid w:val="008B215B"/>
    <w:rsid w:val="008B5C81"/>
    <w:rsid w:val="008B7CB2"/>
    <w:rsid w:val="008C44AC"/>
    <w:rsid w:val="008C5A1C"/>
    <w:rsid w:val="008C78FC"/>
    <w:rsid w:val="008D1975"/>
    <w:rsid w:val="008D53DA"/>
    <w:rsid w:val="008E0A45"/>
    <w:rsid w:val="008E5FC1"/>
    <w:rsid w:val="008F28A9"/>
    <w:rsid w:val="008F4970"/>
    <w:rsid w:val="00900321"/>
    <w:rsid w:val="0090258D"/>
    <w:rsid w:val="00903554"/>
    <w:rsid w:val="009036C0"/>
    <w:rsid w:val="00906679"/>
    <w:rsid w:val="0091057F"/>
    <w:rsid w:val="00910969"/>
    <w:rsid w:val="00913572"/>
    <w:rsid w:val="009137EE"/>
    <w:rsid w:val="0091402C"/>
    <w:rsid w:val="009147A6"/>
    <w:rsid w:val="00915190"/>
    <w:rsid w:val="00917982"/>
    <w:rsid w:val="00921488"/>
    <w:rsid w:val="009217FD"/>
    <w:rsid w:val="00923EEF"/>
    <w:rsid w:val="00925FBD"/>
    <w:rsid w:val="009264B6"/>
    <w:rsid w:val="00927B3E"/>
    <w:rsid w:val="00927B60"/>
    <w:rsid w:val="00930144"/>
    <w:rsid w:val="009319CD"/>
    <w:rsid w:val="009442DC"/>
    <w:rsid w:val="00945E04"/>
    <w:rsid w:val="009469D3"/>
    <w:rsid w:val="0096338A"/>
    <w:rsid w:val="00964560"/>
    <w:rsid w:val="00965D74"/>
    <w:rsid w:val="00965E86"/>
    <w:rsid w:val="009669C4"/>
    <w:rsid w:val="00966C47"/>
    <w:rsid w:val="00971893"/>
    <w:rsid w:val="00971F61"/>
    <w:rsid w:val="009814F5"/>
    <w:rsid w:val="009828F0"/>
    <w:rsid w:val="009837C1"/>
    <w:rsid w:val="00984055"/>
    <w:rsid w:val="0098479D"/>
    <w:rsid w:val="009859AB"/>
    <w:rsid w:val="00985F71"/>
    <w:rsid w:val="00986D32"/>
    <w:rsid w:val="0099483B"/>
    <w:rsid w:val="00995F32"/>
    <w:rsid w:val="00996100"/>
    <w:rsid w:val="009968FA"/>
    <w:rsid w:val="0099775F"/>
    <w:rsid w:val="009A0F9C"/>
    <w:rsid w:val="009A2C24"/>
    <w:rsid w:val="009A3C36"/>
    <w:rsid w:val="009A6296"/>
    <w:rsid w:val="009B4928"/>
    <w:rsid w:val="009B546D"/>
    <w:rsid w:val="009B7525"/>
    <w:rsid w:val="009C0343"/>
    <w:rsid w:val="009C127C"/>
    <w:rsid w:val="009C3E85"/>
    <w:rsid w:val="009C3EB6"/>
    <w:rsid w:val="009C5A30"/>
    <w:rsid w:val="009C6E7F"/>
    <w:rsid w:val="009D260D"/>
    <w:rsid w:val="009D3A1F"/>
    <w:rsid w:val="009D58E3"/>
    <w:rsid w:val="009D6029"/>
    <w:rsid w:val="009E0A08"/>
    <w:rsid w:val="009E2AA2"/>
    <w:rsid w:val="009F2937"/>
    <w:rsid w:val="009F53FA"/>
    <w:rsid w:val="009F60DC"/>
    <w:rsid w:val="00A00A2D"/>
    <w:rsid w:val="00A02AAA"/>
    <w:rsid w:val="00A0452C"/>
    <w:rsid w:val="00A11134"/>
    <w:rsid w:val="00A1127C"/>
    <w:rsid w:val="00A237E6"/>
    <w:rsid w:val="00A239DA"/>
    <w:rsid w:val="00A33408"/>
    <w:rsid w:val="00A34793"/>
    <w:rsid w:val="00A348B7"/>
    <w:rsid w:val="00A4207C"/>
    <w:rsid w:val="00A440A1"/>
    <w:rsid w:val="00A47C9B"/>
    <w:rsid w:val="00A5608A"/>
    <w:rsid w:val="00A564C6"/>
    <w:rsid w:val="00A61FDA"/>
    <w:rsid w:val="00A63A55"/>
    <w:rsid w:val="00A65F6C"/>
    <w:rsid w:val="00A66D29"/>
    <w:rsid w:val="00A67B8D"/>
    <w:rsid w:val="00A72817"/>
    <w:rsid w:val="00A73999"/>
    <w:rsid w:val="00A75F47"/>
    <w:rsid w:val="00A807BC"/>
    <w:rsid w:val="00A912FC"/>
    <w:rsid w:val="00A9174D"/>
    <w:rsid w:val="00A96905"/>
    <w:rsid w:val="00AA1562"/>
    <w:rsid w:val="00AA1682"/>
    <w:rsid w:val="00AA2EF6"/>
    <w:rsid w:val="00AA6589"/>
    <w:rsid w:val="00AA7474"/>
    <w:rsid w:val="00AA7479"/>
    <w:rsid w:val="00AB1264"/>
    <w:rsid w:val="00AB1B85"/>
    <w:rsid w:val="00AB294D"/>
    <w:rsid w:val="00AB4D3F"/>
    <w:rsid w:val="00AB6912"/>
    <w:rsid w:val="00AC3A5E"/>
    <w:rsid w:val="00AC5783"/>
    <w:rsid w:val="00AC6673"/>
    <w:rsid w:val="00AD0765"/>
    <w:rsid w:val="00AD4C8F"/>
    <w:rsid w:val="00AD5AD5"/>
    <w:rsid w:val="00AE07A3"/>
    <w:rsid w:val="00AE131D"/>
    <w:rsid w:val="00AE3416"/>
    <w:rsid w:val="00AE3EDB"/>
    <w:rsid w:val="00AE45C3"/>
    <w:rsid w:val="00AE5A5E"/>
    <w:rsid w:val="00AE5C47"/>
    <w:rsid w:val="00AE71B6"/>
    <w:rsid w:val="00AE7247"/>
    <w:rsid w:val="00AE746E"/>
    <w:rsid w:val="00AF625C"/>
    <w:rsid w:val="00AF6B03"/>
    <w:rsid w:val="00B002BF"/>
    <w:rsid w:val="00B02017"/>
    <w:rsid w:val="00B04666"/>
    <w:rsid w:val="00B0612A"/>
    <w:rsid w:val="00B1403D"/>
    <w:rsid w:val="00B159C6"/>
    <w:rsid w:val="00B16B97"/>
    <w:rsid w:val="00B2052D"/>
    <w:rsid w:val="00B23ADC"/>
    <w:rsid w:val="00B24575"/>
    <w:rsid w:val="00B2516B"/>
    <w:rsid w:val="00B2706E"/>
    <w:rsid w:val="00B304C2"/>
    <w:rsid w:val="00B3101B"/>
    <w:rsid w:val="00B331A1"/>
    <w:rsid w:val="00B3494C"/>
    <w:rsid w:val="00B35333"/>
    <w:rsid w:val="00B367DC"/>
    <w:rsid w:val="00B37B7A"/>
    <w:rsid w:val="00B41C00"/>
    <w:rsid w:val="00B44296"/>
    <w:rsid w:val="00B4431A"/>
    <w:rsid w:val="00B4496B"/>
    <w:rsid w:val="00B46C42"/>
    <w:rsid w:val="00B52582"/>
    <w:rsid w:val="00B54A49"/>
    <w:rsid w:val="00B5614B"/>
    <w:rsid w:val="00B6097D"/>
    <w:rsid w:val="00B62125"/>
    <w:rsid w:val="00B6258B"/>
    <w:rsid w:val="00B6342F"/>
    <w:rsid w:val="00B63F67"/>
    <w:rsid w:val="00B70325"/>
    <w:rsid w:val="00B72EA4"/>
    <w:rsid w:val="00B73BB2"/>
    <w:rsid w:val="00B75233"/>
    <w:rsid w:val="00B760C7"/>
    <w:rsid w:val="00B8464D"/>
    <w:rsid w:val="00B850D3"/>
    <w:rsid w:val="00B856AC"/>
    <w:rsid w:val="00B858C5"/>
    <w:rsid w:val="00B85C58"/>
    <w:rsid w:val="00B87B1A"/>
    <w:rsid w:val="00B95D32"/>
    <w:rsid w:val="00B975A4"/>
    <w:rsid w:val="00BA56F1"/>
    <w:rsid w:val="00BA6DDD"/>
    <w:rsid w:val="00BA6EF2"/>
    <w:rsid w:val="00BB0455"/>
    <w:rsid w:val="00BB13F9"/>
    <w:rsid w:val="00BB2A0D"/>
    <w:rsid w:val="00BB443E"/>
    <w:rsid w:val="00BB4773"/>
    <w:rsid w:val="00BB5F32"/>
    <w:rsid w:val="00BB657A"/>
    <w:rsid w:val="00BB7308"/>
    <w:rsid w:val="00BC0D4B"/>
    <w:rsid w:val="00BC1DAB"/>
    <w:rsid w:val="00BC25FC"/>
    <w:rsid w:val="00BC4067"/>
    <w:rsid w:val="00BC679A"/>
    <w:rsid w:val="00BD06C5"/>
    <w:rsid w:val="00BD4DB4"/>
    <w:rsid w:val="00BD596C"/>
    <w:rsid w:val="00BD64AC"/>
    <w:rsid w:val="00BE1531"/>
    <w:rsid w:val="00BE1F91"/>
    <w:rsid w:val="00BE2F39"/>
    <w:rsid w:val="00BE36BC"/>
    <w:rsid w:val="00BE69D8"/>
    <w:rsid w:val="00BE7130"/>
    <w:rsid w:val="00BF691D"/>
    <w:rsid w:val="00C0027B"/>
    <w:rsid w:val="00C00E9C"/>
    <w:rsid w:val="00C038CC"/>
    <w:rsid w:val="00C0457F"/>
    <w:rsid w:val="00C061D3"/>
    <w:rsid w:val="00C1306B"/>
    <w:rsid w:val="00C138C5"/>
    <w:rsid w:val="00C216CA"/>
    <w:rsid w:val="00C23167"/>
    <w:rsid w:val="00C2527B"/>
    <w:rsid w:val="00C2594B"/>
    <w:rsid w:val="00C25C75"/>
    <w:rsid w:val="00C26456"/>
    <w:rsid w:val="00C319C2"/>
    <w:rsid w:val="00C3216D"/>
    <w:rsid w:val="00C331D0"/>
    <w:rsid w:val="00C33632"/>
    <w:rsid w:val="00C3469C"/>
    <w:rsid w:val="00C40255"/>
    <w:rsid w:val="00C439A5"/>
    <w:rsid w:val="00C45082"/>
    <w:rsid w:val="00C4766B"/>
    <w:rsid w:val="00C50C6D"/>
    <w:rsid w:val="00C51957"/>
    <w:rsid w:val="00C5339C"/>
    <w:rsid w:val="00C53BAB"/>
    <w:rsid w:val="00C617D8"/>
    <w:rsid w:val="00C635AA"/>
    <w:rsid w:val="00C64735"/>
    <w:rsid w:val="00C70289"/>
    <w:rsid w:val="00C80AFA"/>
    <w:rsid w:val="00C816A3"/>
    <w:rsid w:val="00C8283E"/>
    <w:rsid w:val="00C839B9"/>
    <w:rsid w:val="00C84440"/>
    <w:rsid w:val="00C86873"/>
    <w:rsid w:val="00C86D5E"/>
    <w:rsid w:val="00C92D4E"/>
    <w:rsid w:val="00C97549"/>
    <w:rsid w:val="00C97CE3"/>
    <w:rsid w:val="00CA29EB"/>
    <w:rsid w:val="00CA2BA4"/>
    <w:rsid w:val="00CA5A56"/>
    <w:rsid w:val="00CA5FDF"/>
    <w:rsid w:val="00CB027F"/>
    <w:rsid w:val="00CB04DF"/>
    <w:rsid w:val="00CB6EAC"/>
    <w:rsid w:val="00CB753D"/>
    <w:rsid w:val="00CC1B58"/>
    <w:rsid w:val="00CC35C4"/>
    <w:rsid w:val="00CD3393"/>
    <w:rsid w:val="00CE0AE8"/>
    <w:rsid w:val="00CE1679"/>
    <w:rsid w:val="00CE2F35"/>
    <w:rsid w:val="00CE4D72"/>
    <w:rsid w:val="00CE4F89"/>
    <w:rsid w:val="00CF1EC5"/>
    <w:rsid w:val="00D0153F"/>
    <w:rsid w:val="00D02022"/>
    <w:rsid w:val="00D02E8F"/>
    <w:rsid w:val="00D03ABB"/>
    <w:rsid w:val="00D04717"/>
    <w:rsid w:val="00D048E7"/>
    <w:rsid w:val="00D05D03"/>
    <w:rsid w:val="00D05FFB"/>
    <w:rsid w:val="00D066E0"/>
    <w:rsid w:val="00D10576"/>
    <w:rsid w:val="00D11995"/>
    <w:rsid w:val="00D13562"/>
    <w:rsid w:val="00D147DD"/>
    <w:rsid w:val="00D20F8C"/>
    <w:rsid w:val="00D21DAA"/>
    <w:rsid w:val="00D231A8"/>
    <w:rsid w:val="00D25F04"/>
    <w:rsid w:val="00D2675A"/>
    <w:rsid w:val="00D33470"/>
    <w:rsid w:val="00D336C4"/>
    <w:rsid w:val="00D34323"/>
    <w:rsid w:val="00D3557F"/>
    <w:rsid w:val="00D356B9"/>
    <w:rsid w:val="00D357D3"/>
    <w:rsid w:val="00D358D0"/>
    <w:rsid w:val="00D36447"/>
    <w:rsid w:val="00D37616"/>
    <w:rsid w:val="00D42207"/>
    <w:rsid w:val="00D4314C"/>
    <w:rsid w:val="00D438C0"/>
    <w:rsid w:val="00D43B67"/>
    <w:rsid w:val="00D442D9"/>
    <w:rsid w:val="00D51AA1"/>
    <w:rsid w:val="00D51D78"/>
    <w:rsid w:val="00D53561"/>
    <w:rsid w:val="00D5504C"/>
    <w:rsid w:val="00D55F77"/>
    <w:rsid w:val="00D56279"/>
    <w:rsid w:val="00D567DB"/>
    <w:rsid w:val="00D620F6"/>
    <w:rsid w:val="00D6506E"/>
    <w:rsid w:val="00D67717"/>
    <w:rsid w:val="00D6797F"/>
    <w:rsid w:val="00D71669"/>
    <w:rsid w:val="00D73E88"/>
    <w:rsid w:val="00D76CEB"/>
    <w:rsid w:val="00D77F72"/>
    <w:rsid w:val="00D8165D"/>
    <w:rsid w:val="00D826AA"/>
    <w:rsid w:val="00D82B13"/>
    <w:rsid w:val="00D863FC"/>
    <w:rsid w:val="00D86688"/>
    <w:rsid w:val="00D866FA"/>
    <w:rsid w:val="00D90A70"/>
    <w:rsid w:val="00D95B45"/>
    <w:rsid w:val="00D95E87"/>
    <w:rsid w:val="00D97398"/>
    <w:rsid w:val="00DA00CC"/>
    <w:rsid w:val="00DA5321"/>
    <w:rsid w:val="00DB1889"/>
    <w:rsid w:val="00DB5310"/>
    <w:rsid w:val="00DB7C5F"/>
    <w:rsid w:val="00DC2C9D"/>
    <w:rsid w:val="00DC5638"/>
    <w:rsid w:val="00DC6F1E"/>
    <w:rsid w:val="00DD1747"/>
    <w:rsid w:val="00DD2149"/>
    <w:rsid w:val="00DD56E3"/>
    <w:rsid w:val="00DD61C0"/>
    <w:rsid w:val="00DD7A05"/>
    <w:rsid w:val="00DE3212"/>
    <w:rsid w:val="00DE3693"/>
    <w:rsid w:val="00DE3F02"/>
    <w:rsid w:val="00DE57B4"/>
    <w:rsid w:val="00DE5BA4"/>
    <w:rsid w:val="00DE6C12"/>
    <w:rsid w:val="00DE7784"/>
    <w:rsid w:val="00DE7E54"/>
    <w:rsid w:val="00DF0FD2"/>
    <w:rsid w:val="00DF2525"/>
    <w:rsid w:val="00DF3DA0"/>
    <w:rsid w:val="00E0021B"/>
    <w:rsid w:val="00E00A38"/>
    <w:rsid w:val="00E02469"/>
    <w:rsid w:val="00E02BDB"/>
    <w:rsid w:val="00E03CBA"/>
    <w:rsid w:val="00E03E9B"/>
    <w:rsid w:val="00E03FB0"/>
    <w:rsid w:val="00E04811"/>
    <w:rsid w:val="00E11CDA"/>
    <w:rsid w:val="00E1495C"/>
    <w:rsid w:val="00E22F48"/>
    <w:rsid w:val="00E24C2C"/>
    <w:rsid w:val="00E25885"/>
    <w:rsid w:val="00E27E93"/>
    <w:rsid w:val="00E311AC"/>
    <w:rsid w:val="00E31DE4"/>
    <w:rsid w:val="00E326F8"/>
    <w:rsid w:val="00E41040"/>
    <w:rsid w:val="00E43FAC"/>
    <w:rsid w:val="00E45E85"/>
    <w:rsid w:val="00E47384"/>
    <w:rsid w:val="00E50171"/>
    <w:rsid w:val="00E508DB"/>
    <w:rsid w:val="00E51135"/>
    <w:rsid w:val="00E517C4"/>
    <w:rsid w:val="00E52E33"/>
    <w:rsid w:val="00E54208"/>
    <w:rsid w:val="00E548F7"/>
    <w:rsid w:val="00E55446"/>
    <w:rsid w:val="00E608B4"/>
    <w:rsid w:val="00E61657"/>
    <w:rsid w:val="00E62F5B"/>
    <w:rsid w:val="00E63D9B"/>
    <w:rsid w:val="00E742DA"/>
    <w:rsid w:val="00E7501E"/>
    <w:rsid w:val="00E75637"/>
    <w:rsid w:val="00E77EA5"/>
    <w:rsid w:val="00E82B18"/>
    <w:rsid w:val="00E84E3F"/>
    <w:rsid w:val="00E84FEA"/>
    <w:rsid w:val="00E90621"/>
    <w:rsid w:val="00E93183"/>
    <w:rsid w:val="00E96C6D"/>
    <w:rsid w:val="00EA0FED"/>
    <w:rsid w:val="00EA1631"/>
    <w:rsid w:val="00EA5AEA"/>
    <w:rsid w:val="00EA5E94"/>
    <w:rsid w:val="00EA7BC4"/>
    <w:rsid w:val="00EB0931"/>
    <w:rsid w:val="00EB24B9"/>
    <w:rsid w:val="00EB5EB5"/>
    <w:rsid w:val="00EC3B80"/>
    <w:rsid w:val="00EC5FC5"/>
    <w:rsid w:val="00ED047F"/>
    <w:rsid w:val="00ED4EDE"/>
    <w:rsid w:val="00ED6775"/>
    <w:rsid w:val="00EE26D8"/>
    <w:rsid w:val="00EE4640"/>
    <w:rsid w:val="00EE4838"/>
    <w:rsid w:val="00EF71A2"/>
    <w:rsid w:val="00F0112D"/>
    <w:rsid w:val="00F01D21"/>
    <w:rsid w:val="00F04484"/>
    <w:rsid w:val="00F05308"/>
    <w:rsid w:val="00F05F76"/>
    <w:rsid w:val="00F11E2F"/>
    <w:rsid w:val="00F12FEF"/>
    <w:rsid w:val="00F1357A"/>
    <w:rsid w:val="00F13960"/>
    <w:rsid w:val="00F15392"/>
    <w:rsid w:val="00F1749A"/>
    <w:rsid w:val="00F21CFD"/>
    <w:rsid w:val="00F22079"/>
    <w:rsid w:val="00F23F2F"/>
    <w:rsid w:val="00F25909"/>
    <w:rsid w:val="00F27CB7"/>
    <w:rsid w:val="00F33583"/>
    <w:rsid w:val="00F33954"/>
    <w:rsid w:val="00F33A00"/>
    <w:rsid w:val="00F344C3"/>
    <w:rsid w:val="00F34583"/>
    <w:rsid w:val="00F347DF"/>
    <w:rsid w:val="00F35515"/>
    <w:rsid w:val="00F357AC"/>
    <w:rsid w:val="00F359D5"/>
    <w:rsid w:val="00F362C1"/>
    <w:rsid w:val="00F36C4E"/>
    <w:rsid w:val="00F37966"/>
    <w:rsid w:val="00F40DE7"/>
    <w:rsid w:val="00F462EF"/>
    <w:rsid w:val="00F467D9"/>
    <w:rsid w:val="00F55BAB"/>
    <w:rsid w:val="00F614AA"/>
    <w:rsid w:val="00F657B3"/>
    <w:rsid w:val="00F66665"/>
    <w:rsid w:val="00F67B68"/>
    <w:rsid w:val="00F713B1"/>
    <w:rsid w:val="00F73C88"/>
    <w:rsid w:val="00F75BD8"/>
    <w:rsid w:val="00F76B31"/>
    <w:rsid w:val="00F80F2E"/>
    <w:rsid w:val="00F83561"/>
    <w:rsid w:val="00F835D9"/>
    <w:rsid w:val="00F84C5E"/>
    <w:rsid w:val="00F8594D"/>
    <w:rsid w:val="00F86C33"/>
    <w:rsid w:val="00F86F2A"/>
    <w:rsid w:val="00F8704F"/>
    <w:rsid w:val="00F871CC"/>
    <w:rsid w:val="00F8725C"/>
    <w:rsid w:val="00F879AC"/>
    <w:rsid w:val="00F91748"/>
    <w:rsid w:val="00F928DB"/>
    <w:rsid w:val="00F93720"/>
    <w:rsid w:val="00FA29F5"/>
    <w:rsid w:val="00FA5E7C"/>
    <w:rsid w:val="00FA7D8E"/>
    <w:rsid w:val="00FB12D7"/>
    <w:rsid w:val="00FB242C"/>
    <w:rsid w:val="00FB651A"/>
    <w:rsid w:val="00FC258C"/>
    <w:rsid w:val="00FC4B37"/>
    <w:rsid w:val="00FC4EB6"/>
    <w:rsid w:val="00FC675E"/>
    <w:rsid w:val="00FC6A35"/>
    <w:rsid w:val="00FC6EC6"/>
    <w:rsid w:val="00FC79FE"/>
    <w:rsid w:val="00FD2F54"/>
    <w:rsid w:val="00FD46F9"/>
    <w:rsid w:val="00FD5A20"/>
    <w:rsid w:val="00FD67B5"/>
    <w:rsid w:val="00FD6E1F"/>
    <w:rsid w:val="00FD7040"/>
    <w:rsid w:val="00FE0710"/>
    <w:rsid w:val="00FE1F53"/>
    <w:rsid w:val="00FE2B7E"/>
    <w:rsid w:val="00FE2D90"/>
    <w:rsid w:val="00FE3BDC"/>
    <w:rsid w:val="00FE3DA4"/>
    <w:rsid w:val="00FE6800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EA1D7"/>
  <w15:docId w15:val="{4B861CE8-E175-4C40-899D-0512CAC6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1A"/>
    <w:pPr>
      <w:ind w:left="1191" w:hanging="567"/>
      <w:jc w:val="both"/>
    </w:pPr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582A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6A02BB"/>
    <w:pPr>
      <w:keepNext/>
      <w:ind w:left="0" w:firstLine="0"/>
      <w:jc w:val="left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8356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1E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D1E1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D1E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D1E1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6D1E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D1E1A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8A6B6A"/>
    <w:pPr>
      <w:ind w:left="720"/>
      <w:contextualSpacing/>
    </w:pPr>
  </w:style>
  <w:style w:type="paragraph" w:styleId="Sinespaciado">
    <w:name w:val="No Spacing"/>
    <w:uiPriority w:val="1"/>
    <w:qFormat/>
    <w:rsid w:val="00A348B7"/>
    <w:rPr>
      <w:lang w:val="es-ES_tradnl"/>
    </w:rPr>
  </w:style>
  <w:style w:type="paragraph" w:styleId="Textoindependiente">
    <w:name w:val="Body Text"/>
    <w:basedOn w:val="Normal"/>
    <w:link w:val="TextoindependienteCar"/>
    <w:rsid w:val="00317085"/>
    <w:pPr>
      <w:spacing w:after="120"/>
    </w:pPr>
  </w:style>
  <w:style w:type="character" w:customStyle="1" w:styleId="TextoindependienteCar">
    <w:name w:val="Texto independiente Car"/>
    <w:link w:val="Textoindependiente"/>
    <w:rsid w:val="00317085"/>
    <w:rPr>
      <w:rFonts w:ascii="Arial" w:hAnsi="Arial"/>
      <w:sz w:val="24"/>
      <w:lang w:val="es-ES_tradnl" w:eastAsia="es-ES"/>
    </w:rPr>
  </w:style>
  <w:style w:type="paragraph" w:styleId="Textonotapie">
    <w:name w:val="footnote text"/>
    <w:basedOn w:val="Normal"/>
    <w:link w:val="TextonotapieCar"/>
    <w:rsid w:val="007F3C69"/>
    <w:pPr>
      <w:ind w:left="0" w:firstLine="0"/>
      <w:jc w:val="left"/>
    </w:pPr>
    <w:rPr>
      <w:rFonts w:ascii="Courier New" w:hAnsi="Courier New" w:cs="Courier New"/>
      <w:sz w:val="20"/>
      <w:lang w:val="es-ES"/>
    </w:rPr>
  </w:style>
  <w:style w:type="character" w:customStyle="1" w:styleId="TextonotapieCar">
    <w:name w:val="Texto nota pie Car"/>
    <w:link w:val="Textonotapie"/>
    <w:rsid w:val="007F3C69"/>
    <w:rPr>
      <w:rFonts w:ascii="Courier New" w:hAnsi="Courier New" w:cs="Courier New"/>
      <w:lang w:val="es-ES" w:eastAsia="es-ES"/>
    </w:rPr>
  </w:style>
  <w:style w:type="character" w:styleId="Refdenotaalpie">
    <w:name w:val="footnote reference"/>
    <w:uiPriority w:val="99"/>
    <w:unhideWhenUsed/>
    <w:rsid w:val="007F3C69"/>
    <w:rPr>
      <w:vertAlign w:val="superscript"/>
    </w:rPr>
  </w:style>
  <w:style w:type="paragraph" w:customStyle="1" w:styleId="Default">
    <w:name w:val="Default"/>
    <w:rsid w:val="00062B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character" w:customStyle="1" w:styleId="Ttulo2Car">
    <w:name w:val="Título 2 Car"/>
    <w:link w:val="Ttulo2"/>
    <w:rsid w:val="006A02BB"/>
    <w:rPr>
      <w:rFonts w:ascii="Arial" w:hAnsi="Arial"/>
      <w:b/>
      <w:bCs/>
      <w:sz w:val="24"/>
      <w:lang w:val="es-ES_tradnl" w:eastAsia="es-ES"/>
    </w:rPr>
  </w:style>
  <w:style w:type="paragraph" w:styleId="Textoindependiente2">
    <w:name w:val="Body Text 2"/>
    <w:basedOn w:val="Normal"/>
    <w:link w:val="Textoindependiente2Car"/>
    <w:unhideWhenUsed/>
    <w:rsid w:val="001D21F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1D21FB"/>
    <w:rPr>
      <w:rFonts w:ascii="Arial" w:hAnsi="Arial"/>
      <w:sz w:val="24"/>
      <w:lang w:val="es-ES_tradnl" w:eastAsia="es-ES"/>
    </w:rPr>
  </w:style>
  <w:style w:type="character" w:styleId="Refdecomentario">
    <w:name w:val="annotation reference"/>
    <w:rsid w:val="00F8356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83561"/>
    <w:rPr>
      <w:sz w:val="20"/>
    </w:rPr>
  </w:style>
  <w:style w:type="character" w:customStyle="1" w:styleId="TextocomentarioCar">
    <w:name w:val="Texto comentario Car"/>
    <w:link w:val="Textocomentario"/>
    <w:rsid w:val="00F83561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83561"/>
    <w:rPr>
      <w:b/>
      <w:bCs/>
    </w:rPr>
  </w:style>
  <w:style w:type="character" w:customStyle="1" w:styleId="AsuntodelcomentarioCar">
    <w:name w:val="Asunto del comentario Car"/>
    <w:link w:val="Asuntodelcomentario"/>
    <w:rsid w:val="00F83561"/>
    <w:rPr>
      <w:rFonts w:ascii="Arial" w:hAnsi="Arial"/>
      <w:b/>
      <w:bCs/>
      <w:lang w:val="es-ES_tradnl" w:eastAsia="es-ES"/>
    </w:rPr>
  </w:style>
  <w:style w:type="character" w:customStyle="1" w:styleId="Ttulo3Car">
    <w:name w:val="Título 3 Car"/>
    <w:link w:val="Ttulo3"/>
    <w:semiHidden/>
    <w:rsid w:val="00F83561"/>
    <w:rPr>
      <w:rFonts w:ascii="Cambria" w:eastAsia="Times New Roman" w:hAnsi="Cambria" w:cs="Times New Roman"/>
      <w:b/>
      <w:bCs/>
      <w:color w:val="4F81BD"/>
      <w:sz w:val="24"/>
      <w:lang w:val="es-ES_tradnl" w:eastAsia="es-ES"/>
    </w:rPr>
  </w:style>
  <w:style w:type="character" w:customStyle="1" w:styleId="highlight">
    <w:name w:val="highlight"/>
    <w:basedOn w:val="Fuentedeprrafopredeter"/>
    <w:rsid w:val="00C70289"/>
  </w:style>
  <w:style w:type="table" w:styleId="Tablaconcuadrcula">
    <w:name w:val="Table Grid"/>
    <w:basedOn w:val="Tablanormal"/>
    <w:rsid w:val="00F87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semiHidden/>
    <w:unhideWhenUsed/>
    <w:rsid w:val="00DA532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DA5321"/>
    <w:rPr>
      <w:rFonts w:ascii="Arial" w:hAnsi="Arial"/>
      <w:sz w:val="24"/>
      <w:lang w:val="es-ES_tradnl"/>
    </w:rPr>
  </w:style>
  <w:style w:type="character" w:customStyle="1" w:styleId="Ttulo1Car">
    <w:name w:val="Título 1 Car"/>
    <w:basedOn w:val="Fuentedeprrafopredeter"/>
    <w:link w:val="Ttulo1"/>
    <w:rsid w:val="00582AB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74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58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1B365-E123-4D8E-8D41-2FC76D3D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1027</Words>
  <Characters>5651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Superintendencia Financiera de Colombia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Maria Carolina Mestre Ordoñez</dc:creator>
  <cp:lastModifiedBy>Gabriel Armando Ospina Garcia</cp:lastModifiedBy>
  <cp:revision>19</cp:revision>
  <cp:lastPrinted>2018-06-27T16:05:00Z</cp:lastPrinted>
  <dcterms:created xsi:type="dcterms:W3CDTF">2018-05-23T02:48:00Z</dcterms:created>
  <dcterms:modified xsi:type="dcterms:W3CDTF">2018-06-29T14:42:00Z</dcterms:modified>
</cp:coreProperties>
</file>