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bookmarkStart w:id="0" w:name="_GoBack"/>
      <w:bookmarkEnd w:id="0"/>
      <w:r>
        <w:rPr>
          <w:spacing w:val="0"/>
          <w:sz w:val="22"/>
          <w:szCs w:val="22"/>
        </w:rPr>
        <w:tab/>
      </w:r>
      <w:r w:rsidRPr="007276F1">
        <w:rPr>
          <w:spacing w:val="0"/>
          <w:sz w:val="22"/>
          <w:szCs w:val="22"/>
        </w:rPr>
        <w:t xml:space="preserve">Una vez obtenida la posición neta de cada moneda, su equivalente en moneda legal se calculará de la siguiente manera: 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rPr>
          <w:b/>
          <w:spacing w:val="0"/>
          <w:sz w:val="22"/>
          <w:szCs w:val="22"/>
        </w:rPr>
      </w:pPr>
      <w:r w:rsidRPr="007276F1">
        <w:rPr>
          <w:b/>
          <w:spacing w:val="0"/>
          <w:sz w:val="22"/>
          <w:szCs w:val="22"/>
        </w:rPr>
        <w:t xml:space="preserve">(i) </w:t>
      </w:r>
      <w:r w:rsidRPr="007276F1">
        <w:rPr>
          <w:spacing w:val="0"/>
          <w:sz w:val="22"/>
          <w:szCs w:val="22"/>
        </w:rPr>
        <w:t xml:space="preserve">Para determinar la exposición neta en dólares de los Estados Unidos de Norteamérica, se multiplicará la posición neta en dólares por </w:t>
      </w:r>
      <w:smartTag w:uri="urn:schemas-microsoft-com:office:smarttags" w:element="PersonName">
        <w:smartTagPr>
          <w:attr w:name="ProductID" w:val="la Tasa"/>
        </w:smartTagPr>
        <w:r w:rsidRPr="007276F1">
          <w:rPr>
            <w:spacing w:val="0"/>
            <w:sz w:val="22"/>
            <w:szCs w:val="22"/>
          </w:rPr>
          <w:t>la Tasa</w:t>
        </w:r>
      </w:smartTag>
      <w:r w:rsidRPr="007276F1">
        <w:rPr>
          <w:spacing w:val="0"/>
          <w:sz w:val="22"/>
          <w:szCs w:val="22"/>
        </w:rPr>
        <w:t xml:space="preserve"> de Cambio Representativa del Mercado (TCRM) calculada en la fecha de la evaluación. 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r w:rsidRPr="007276F1">
        <w:rPr>
          <w:b/>
          <w:spacing w:val="0"/>
          <w:sz w:val="22"/>
          <w:szCs w:val="22"/>
        </w:rPr>
        <w:t xml:space="preserve">(ii) </w:t>
      </w:r>
      <w:r w:rsidRPr="007276F1">
        <w:rPr>
          <w:spacing w:val="0"/>
          <w:sz w:val="22"/>
          <w:szCs w:val="22"/>
        </w:rPr>
        <w:t xml:space="preserve">Para monedas distintas al dólar de los Estados Unidos de Norteamérica, se debe convertir previamente las exposiciones a dólares de los Estados Unidos de Norteamérica con base en las tasas de conversión de divisas publicadas para el día del cálculo en </w:t>
      </w:r>
      <w:smartTag w:uri="urn:schemas-microsoft-com:office:smarttags" w:element="PersonName">
        <w:smartTagPr>
          <w:attr w:name="ProductID" w:val="la p￡gina Web"/>
        </w:smartTagPr>
        <w:r w:rsidRPr="007276F1">
          <w:rPr>
            <w:spacing w:val="0"/>
            <w:sz w:val="22"/>
            <w:szCs w:val="22"/>
          </w:rPr>
          <w:t>la página Web</w:t>
        </w:r>
      </w:smartTag>
      <w:r w:rsidRPr="007276F1">
        <w:rPr>
          <w:spacing w:val="0"/>
          <w:sz w:val="22"/>
          <w:szCs w:val="22"/>
        </w:rPr>
        <w:t xml:space="preserve"> del Banco Central Europeo (BCE), con seis (6) decimales aproximando el último por el sistema de redondeo (inciso segundo, literal b del numeral 6.1.3 del Capítulo I de </w:t>
      </w:r>
      <w:smartTag w:uri="urn:schemas-microsoft-com:office:smarttags" w:element="PersonName">
        <w:smartTagPr>
          <w:attr w:name="ProductID" w:val="la Circular B￡sica Contable"/>
        </w:smartTagPr>
        <w:smartTag w:uri="urn:schemas-microsoft-com:office:smarttags" w:element="PersonName">
          <w:smartTagPr>
            <w:attr w:name="ProductID" w:val="la Circular B￡sica"/>
          </w:smartTagPr>
          <w:r w:rsidRPr="007276F1">
            <w:rPr>
              <w:spacing w:val="0"/>
              <w:sz w:val="22"/>
              <w:szCs w:val="22"/>
            </w:rPr>
            <w:t>la Circular Básica</w:t>
          </w:r>
        </w:smartTag>
        <w:r w:rsidRPr="007276F1">
          <w:rPr>
            <w:spacing w:val="0"/>
            <w:sz w:val="22"/>
            <w:szCs w:val="22"/>
          </w:rPr>
          <w:t xml:space="preserve"> Contable</w:t>
        </w:r>
      </w:smartTag>
      <w:r w:rsidRPr="007276F1">
        <w:rPr>
          <w:spacing w:val="0"/>
          <w:sz w:val="22"/>
          <w:szCs w:val="22"/>
        </w:rPr>
        <w:t xml:space="preserve"> y Financiera).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92278D" w:rsidRDefault="0092278D" w:rsidP="0092278D">
      <w:pPr>
        <w:pStyle w:val="Textoindependiente"/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Para el cálculo de la exposición al riesgo de tasa de cambio, las entidades vigiladas deben calcular la sensibilidad neta en cada moneda como el producto de la posición neta y el factor de sensibilidad correspondiente definido en la Tabla 2</w:t>
      </w:r>
      <w:r>
        <w:rPr>
          <w:spacing w:val="0"/>
          <w:sz w:val="22"/>
          <w:szCs w:val="22"/>
        </w:rPr>
        <w:t>.</w:t>
      </w:r>
      <w:r>
        <w:rPr>
          <w:b/>
          <w:spacing w:val="0"/>
          <w:sz w:val="22"/>
          <w:szCs w:val="22"/>
        </w:rPr>
        <w:t xml:space="preserve"> </w:t>
      </w:r>
      <w:r w:rsidRPr="007276F1">
        <w:rPr>
          <w:spacing w:val="0"/>
          <w:sz w:val="22"/>
          <w:szCs w:val="22"/>
        </w:rPr>
        <w:t xml:space="preserve">Esta sensibilidad tendrá un valor positivo cuando la posición neta en una moneda sea larga y </w:t>
      </w:r>
      <w:proofErr w:type="gramStart"/>
      <w:r w:rsidRPr="007276F1">
        <w:rPr>
          <w:spacing w:val="0"/>
          <w:sz w:val="22"/>
          <w:szCs w:val="22"/>
        </w:rPr>
        <w:t>negativo</w:t>
      </w:r>
      <w:proofErr w:type="gramEnd"/>
      <w:r w:rsidRPr="007276F1">
        <w:rPr>
          <w:spacing w:val="0"/>
          <w:sz w:val="22"/>
          <w:szCs w:val="22"/>
        </w:rPr>
        <w:t xml:space="preserve"> cuando la posición neta sea corta.</w:t>
      </w:r>
    </w:p>
    <w:p w:rsidR="0092278D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92278D" w:rsidRPr="00690518" w:rsidRDefault="0092278D" w:rsidP="0092278D">
      <w:pPr>
        <w:pStyle w:val="Textoindependiente"/>
        <w:pBdr>
          <w:left w:val="single" w:sz="4" w:space="4" w:color="auto"/>
        </w:pBdr>
        <w:rPr>
          <w:b/>
          <w:spacing w:val="0"/>
          <w:sz w:val="22"/>
          <w:szCs w:val="22"/>
        </w:rPr>
      </w:pPr>
      <w:r>
        <w:rPr>
          <w:b/>
          <w:spacing w:val="0"/>
          <w:sz w:val="22"/>
          <w:szCs w:val="22"/>
        </w:rPr>
        <w:t>Para los casos en donde la entidad vigilada tenga inversiones en subordinadas del exterior, se debe emplear el factor de sensibilidad definido en la Tabla 2, correspondiente a la moneda de cada país en donde se encuentre domiciliada la respectiva subordinada.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La exposición al riesgo de tasa de cambio se calcula entonces como la suma de los siguientes componentes: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numPr>
          <w:ilvl w:val="0"/>
          <w:numId w:val="1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El mayor valor entre la suma de las sensibilidades netas positivas y el valor absoluto de la suma de las sensibilidades netas negativas.</w:t>
      </w:r>
    </w:p>
    <w:p w:rsidR="0092278D" w:rsidRDefault="0092278D" w:rsidP="0092278D">
      <w:pPr>
        <w:pStyle w:val="Textoindependiente"/>
        <w:numPr>
          <w:ilvl w:val="0"/>
          <w:numId w:val="1"/>
        </w:numPr>
        <w:ind w:left="709"/>
        <w:rPr>
          <w:spacing w:val="0"/>
          <w:sz w:val="22"/>
          <w:szCs w:val="22"/>
        </w:rPr>
      </w:pPr>
      <w:r w:rsidRPr="00224CF0">
        <w:rPr>
          <w:spacing w:val="0"/>
          <w:sz w:val="22"/>
          <w:szCs w:val="22"/>
        </w:rPr>
        <w:t>Para las entidades elegibles para la aproximación simplificada de tratamiento de opciones descrita en 2.1.6.1., la exposición resultante de las posiciones en opciones sobre monedas, o</w:t>
      </w:r>
    </w:p>
    <w:p w:rsidR="0092278D" w:rsidRPr="007276F1" w:rsidRDefault="0092278D" w:rsidP="0092278D">
      <w:pPr>
        <w:pStyle w:val="Textoindependiente"/>
        <w:numPr>
          <w:ilvl w:val="0"/>
          <w:numId w:val="1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 xml:space="preserve">Para las entidades que deban aplicar la metodología intermedia descrita en el numeral 2.1.6.2., los cargos correspondientes a los riesgos </w:t>
      </w:r>
      <w:r w:rsidRPr="007276F1">
        <w:rPr>
          <w:i/>
          <w:iCs/>
          <w:spacing w:val="0"/>
          <w:sz w:val="22"/>
          <w:szCs w:val="22"/>
        </w:rPr>
        <w:t xml:space="preserve">Gamma </w:t>
      </w:r>
      <w:r w:rsidRPr="007276F1">
        <w:rPr>
          <w:spacing w:val="0"/>
          <w:sz w:val="22"/>
          <w:szCs w:val="22"/>
        </w:rPr>
        <w:t xml:space="preserve">y </w:t>
      </w:r>
      <w:r w:rsidRPr="007276F1">
        <w:rPr>
          <w:i/>
          <w:iCs/>
          <w:spacing w:val="0"/>
          <w:sz w:val="22"/>
          <w:szCs w:val="22"/>
        </w:rPr>
        <w:t xml:space="preserve">Vega </w:t>
      </w:r>
      <w:r w:rsidRPr="007276F1">
        <w:rPr>
          <w:spacing w:val="0"/>
          <w:sz w:val="22"/>
          <w:szCs w:val="22"/>
        </w:rPr>
        <w:t>de dichas opciones.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rPr>
          <w:b/>
          <w:bCs/>
          <w:spacing w:val="0"/>
          <w:sz w:val="22"/>
          <w:szCs w:val="22"/>
        </w:rPr>
      </w:pPr>
      <w:r>
        <w:rPr>
          <w:b/>
          <w:bCs/>
          <w:spacing w:val="0"/>
          <w:sz w:val="22"/>
          <w:szCs w:val="22"/>
        </w:rPr>
        <w:t xml:space="preserve">2.1.4 </w:t>
      </w:r>
      <w:r w:rsidRPr="007276F1">
        <w:rPr>
          <w:b/>
          <w:bCs/>
          <w:spacing w:val="0"/>
          <w:sz w:val="22"/>
          <w:szCs w:val="22"/>
        </w:rPr>
        <w:t>Riesgo de precio de acciones</w:t>
      </w:r>
    </w:p>
    <w:p w:rsidR="0092278D" w:rsidRPr="001A732F" w:rsidRDefault="0092278D" w:rsidP="0092278D">
      <w:pPr>
        <w:pStyle w:val="Textoindependiente"/>
        <w:rPr>
          <w:b/>
          <w:bCs/>
          <w:spacing w:val="0"/>
          <w:sz w:val="16"/>
          <w:szCs w:val="16"/>
        </w:rPr>
      </w:pP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Esta sección muestra la metodología para calcular los riesgos asociados a tomar o mantener posiciones en acciones en el libro de tesorería.</w:t>
      </w:r>
    </w:p>
    <w:p w:rsidR="0092278D" w:rsidRPr="001A732F" w:rsidRDefault="0092278D" w:rsidP="0092278D">
      <w:pPr>
        <w:pStyle w:val="Textoindependiente"/>
        <w:rPr>
          <w:spacing w:val="0"/>
          <w:sz w:val="16"/>
          <w:szCs w:val="16"/>
        </w:rPr>
      </w:pP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Para efectos de lo estipulado en el presente numeral deben tenerse en cuenta:</w:t>
      </w:r>
    </w:p>
    <w:p w:rsidR="0092278D" w:rsidRPr="001A732F" w:rsidRDefault="0092278D" w:rsidP="0092278D">
      <w:pPr>
        <w:pStyle w:val="Textoindependiente"/>
        <w:rPr>
          <w:spacing w:val="0"/>
          <w:sz w:val="16"/>
          <w:szCs w:val="16"/>
        </w:rPr>
      </w:pPr>
    </w:p>
    <w:p w:rsidR="0092278D" w:rsidRPr="007276F1" w:rsidRDefault="0092278D" w:rsidP="0092278D">
      <w:pPr>
        <w:pStyle w:val="Textoindependiente"/>
        <w:numPr>
          <w:ilvl w:val="0"/>
          <w:numId w:val="3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Las inversiones en títulos participativos incluidas en el libro de tesorería</w:t>
      </w:r>
      <w:r>
        <w:rPr>
          <w:spacing w:val="0"/>
          <w:sz w:val="22"/>
          <w:szCs w:val="22"/>
        </w:rPr>
        <w:t xml:space="preserve">, </w:t>
      </w:r>
      <w:r w:rsidRPr="002F4D89">
        <w:rPr>
          <w:spacing w:val="0"/>
          <w:sz w:val="22"/>
          <w:szCs w:val="22"/>
        </w:rPr>
        <w:t>incluyendo las inversiones en acciones emitidas en el exterior y listadas en Colombia.</w:t>
      </w:r>
    </w:p>
    <w:p w:rsidR="0092278D" w:rsidRPr="007276F1" w:rsidRDefault="0092278D" w:rsidP="0092278D">
      <w:pPr>
        <w:pStyle w:val="Textoindependiente"/>
        <w:numPr>
          <w:ilvl w:val="0"/>
          <w:numId w:val="3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 xml:space="preserve">Para el caso de los establecimientos de crédito, en concordancia con lo establecido en el literal b) del artículo 7° del Decreto 1720 de 2001 o demás normas que lo sustituyan, modifiquen o subroguen, las inversiones en títulos participativos de baja o mínima </w:t>
      </w:r>
      <w:proofErr w:type="spellStart"/>
      <w:r w:rsidRPr="007276F1">
        <w:rPr>
          <w:spacing w:val="0"/>
          <w:sz w:val="22"/>
          <w:szCs w:val="22"/>
        </w:rPr>
        <w:t>bursatilidad</w:t>
      </w:r>
      <w:proofErr w:type="spellEnd"/>
      <w:r w:rsidRPr="007276F1">
        <w:rPr>
          <w:spacing w:val="0"/>
          <w:sz w:val="22"/>
          <w:szCs w:val="22"/>
        </w:rPr>
        <w:t xml:space="preserve"> computan por su valor neto de provisiones ajustado por el cincuenta por ciento (50 %) de sus valorizaciones y/o el 100% de sus desvalorizaciones, según corresponda.</w:t>
      </w:r>
    </w:p>
    <w:p w:rsidR="0092278D" w:rsidRPr="007276F1" w:rsidRDefault="0092278D" w:rsidP="0092278D">
      <w:pPr>
        <w:pStyle w:val="Textoindependiente"/>
        <w:numPr>
          <w:ilvl w:val="0"/>
          <w:numId w:val="3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 xml:space="preserve">En el mismo sentido, las inversiones disponibles para la venta en títulos participativos de alta o media </w:t>
      </w:r>
      <w:proofErr w:type="spellStart"/>
      <w:r w:rsidRPr="007276F1">
        <w:rPr>
          <w:spacing w:val="0"/>
          <w:sz w:val="22"/>
          <w:szCs w:val="22"/>
        </w:rPr>
        <w:t>bursatilidad</w:t>
      </w:r>
      <w:proofErr w:type="spellEnd"/>
      <w:r w:rsidRPr="007276F1">
        <w:rPr>
          <w:spacing w:val="0"/>
          <w:sz w:val="22"/>
          <w:szCs w:val="22"/>
        </w:rPr>
        <w:t>, computan por su valor a precios de mercado, ajustado por el cincuenta por ciento (50 %) de las ganancias o pérdidas no realizadas asociadas a tales inversiones.</w:t>
      </w:r>
    </w:p>
    <w:p w:rsidR="0092278D" w:rsidRDefault="0092278D" w:rsidP="0092278D">
      <w:pPr>
        <w:pStyle w:val="Textoindependiente"/>
        <w:numPr>
          <w:ilvl w:val="0"/>
          <w:numId w:val="3"/>
        </w:numPr>
        <w:rPr>
          <w:spacing w:val="0"/>
          <w:sz w:val="22"/>
          <w:szCs w:val="22"/>
        </w:rPr>
      </w:pPr>
      <w:r w:rsidRPr="002D770B">
        <w:rPr>
          <w:spacing w:val="0"/>
          <w:sz w:val="22"/>
          <w:szCs w:val="22"/>
        </w:rPr>
        <w:t>Las inversiones no contempladas en los literales b) y c) computan por su valor de acuerdo a las normas de valoración aplicables según lo dispuesto por las SFC.</w:t>
      </w:r>
    </w:p>
    <w:p w:rsidR="0092278D" w:rsidRPr="002D770B" w:rsidRDefault="0092278D" w:rsidP="0092278D">
      <w:pPr>
        <w:pStyle w:val="Textoindependiente"/>
        <w:numPr>
          <w:ilvl w:val="0"/>
          <w:numId w:val="3"/>
        </w:numPr>
        <w:rPr>
          <w:spacing w:val="0"/>
          <w:sz w:val="22"/>
          <w:szCs w:val="22"/>
        </w:rPr>
      </w:pPr>
      <w:r w:rsidRPr="002D770B">
        <w:rPr>
          <w:spacing w:val="0"/>
          <w:sz w:val="22"/>
          <w:szCs w:val="22"/>
        </w:rPr>
        <w:t>Las posiciones en derivados cuyo subyacente sean acciones, tales como futuros y forwards sobre acciones individuales o índices de acciones. También deberán contemplarse las operaciones a plazo realizadas en las Bolsas de Valores.</w:t>
      </w:r>
    </w:p>
    <w:p w:rsidR="0092278D" w:rsidRDefault="0092278D" w:rsidP="0092278D">
      <w:pPr>
        <w:pStyle w:val="Textoindependiente"/>
        <w:numPr>
          <w:ilvl w:val="0"/>
          <w:numId w:val="3"/>
        </w:numPr>
        <w:rPr>
          <w:spacing w:val="0"/>
          <w:sz w:val="22"/>
          <w:szCs w:val="22"/>
        </w:rPr>
        <w:sectPr w:rsidR="0092278D" w:rsidSect="0092278D">
          <w:headerReference w:type="default" r:id="rId8"/>
          <w:footerReference w:type="default" r:id="rId9"/>
          <w:headerReference w:type="first" r:id="rId10"/>
          <w:footerReference w:type="first" r:id="rId11"/>
          <w:pgSz w:w="12242" w:h="20163" w:code="5"/>
          <w:pgMar w:top="1417" w:right="1701" w:bottom="1417" w:left="1701" w:header="283" w:footer="1984" w:gutter="0"/>
          <w:pgNumType w:start="11"/>
          <w:cols w:space="720"/>
          <w:titlePg/>
          <w:docGrid w:linePitch="381"/>
        </w:sectPr>
      </w:pPr>
      <w:r w:rsidRPr="007276F1">
        <w:rPr>
          <w:spacing w:val="0"/>
          <w:sz w:val="22"/>
          <w:szCs w:val="22"/>
        </w:rPr>
        <w:t xml:space="preserve">Adicionalmente deben ser tenidas en cuenta las posiciones </w:t>
      </w:r>
      <w:proofErr w:type="gramStart"/>
      <w:r w:rsidRPr="007276F1">
        <w:rPr>
          <w:spacing w:val="0"/>
          <w:sz w:val="22"/>
          <w:szCs w:val="22"/>
        </w:rPr>
        <w:t>delta ponderadas</w:t>
      </w:r>
      <w:proofErr w:type="gramEnd"/>
      <w:r w:rsidRPr="007276F1">
        <w:rPr>
          <w:spacing w:val="0"/>
          <w:sz w:val="22"/>
          <w:szCs w:val="22"/>
        </w:rPr>
        <w:t xml:space="preserve"> de las opciones sobre acciones, siempre que la metodología aplicada por las entidades sea la descrita en el numeral </w:t>
      </w:r>
      <w:r w:rsidRPr="0076110A">
        <w:rPr>
          <w:spacing w:val="0"/>
          <w:sz w:val="22"/>
          <w:szCs w:val="22"/>
        </w:rPr>
        <w:t>2.1.6</w:t>
      </w:r>
      <w:r>
        <w:rPr>
          <w:spacing w:val="0"/>
          <w:sz w:val="22"/>
          <w:szCs w:val="22"/>
        </w:rPr>
        <w:t>.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proofErr w:type="gramStart"/>
      <w:r w:rsidRPr="007276F1">
        <w:rPr>
          <w:spacing w:val="0"/>
          <w:sz w:val="22"/>
          <w:szCs w:val="22"/>
        </w:rPr>
        <w:lastRenderedPageBreak/>
        <w:t>añadirse</w:t>
      </w:r>
      <w:proofErr w:type="gramEnd"/>
      <w:r w:rsidRPr="007276F1">
        <w:rPr>
          <w:spacing w:val="0"/>
          <w:sz w:val="22"/>
          <w:szCs w:val="22"/>
        </w:rPr>
        <w:t>, cuando correspondan, los siguientes cargos correspondientes a las posiciones en opciones:</w:t>
      </w: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numPr>
          <w:ilvl w:val="0"/>
          <w:numId w:val="4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 xml:space="preserve">Para las entidades elegibles para la aproximación simplificada de tratamiento de opciones descrita en </w:t>
      </w:r>
      <w:r w:rsidRPr="0076110A">
        <w:rPr>
          <w:spacing w:val="0"/>
          <w:sz w:val="22"/>
          <w:szCs w:val="22"/>
        </w:rPr>
        <w:t>2.1.6</w:t>
      </w:r>
      <w:r w:rsidRPr="007276F1">
        <w:rPr>
          <w:spacing w:val="0"/>
          <w:sz w:val="22"/>
          <w:szCs w:val="22"/>
        </w:rPr>
        <w:t>.1., la exposición resultante de las posiciones en opciones sobre acciones, o</w:t>
      </w:r>
    </w:p>
    <w:p w:rsidR="0092278D" w:rsidRPr="007276F1" w:rsidRDefault="0092278D" w:rsidP="0092278D">
      <w:pPr>
        <w:pStyle w:val="Textoindependiente"/>
        <w:numPr>
          <w:ilvl w:val="0"/>
          <w:numId w:val="4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 xml:space="preserve">Para las entidades que deban aplicar la metodología intermedia descrita en el numeral </w:t>
      </w:r>
      <w:r w:rsidRPr="0076110A">
        <w:rPr>
          <w:spacing w:val="0"/>
          <w:sz w:val="22"/>
          <w:szCs w:val="22"/>
        </w:rPr>
        <w:t>2.1.6</w:t>
      </w:r>
      <w:r w:rsidRPr="007276F1">
        <w:rPr>
          <w:spacing w:val="0"/>
          <w:sz w:val="22"/>
          <w:szCs w:val="22"/>
        </w:rPr>
        <w:t xml:space="preserve">.2., los cargos correspondientes a los riesgos </w:t>
      </w:r>
      <w:r w:rsidRPr="007276F1">
        <w:rPr>
          <w:i/>
          <w:iCs/>
          <w:spacing w:val="0"/>
          <w:sz w:val="22"/>
          <w:szCs w:val="22"/>
        </w:rPr>
        <w:t xml:space="preserve">Gamma </w:t>
      </w:r>
      <w:r w:rsidRPr="007276F1">
        <w:rPr>
          <w:spacing w:val="0"/>
          <w:sz w:val="22"/>
          <w:szCs w:val="22"/>
        </w:rPr>
        <w:t xml:space="preserve">y </w:t>
      </w:r>
      <w:r w:rsidRPr="007276F1">
        <w:rPr>
          <w:i/>
          <w:iCs/>
          <w:spacing w:val="0"/>
          <w:sz w:val="22"/>
          <w:szCs w:val="22"/>
        </w:rPr>
        <w:t xml:space="preserve">Vega </w:t>
      </w:r>
      <w:r w:rsidRPr="007276F1">
        <w:rPr>
          <w:spacing w:val="0"/>
          <w:sz w:val="22"/>
          <w:szCs w:val="22"/>
        </w:rPr>
        <w:t>de dichas opciones.</w:t>
      </w:r>
    </w:p>
    <w:p w:rsidR="0092278D" w:rsidRPr="007276F1" w:rsidRDefault="0092278D" w:rsidP="0092278D">
      <w:pPr>
        <w:pStyle w:val="Textoindependiente"/>
        <w:rPr>
          <w:b/>
          <w:bCs/>
          <w:spacing w:val="0"/>
          <w:sz w:val="22"/>
          <w:szCs w:val="22"/>
        </w:rPr>
      </w:pPr>
    </w:p>
    <w:p w:rsidR="0092278D" w:rsidRPr="0061100A" w:rsidRDefault="0092278D" w:rsidP="0092278D">
      <w:pPr>
        <w:pStyle w:val="Textoindependiente"/>
        <w:rPr>
          <w:b/>
          <w:bCs/>
          <w:spacing w:val="0"/>
          <w:sz w:val="22"/>
          <w:szCs w:val="22"/>
        </w:rPr>
      </w:pPr>
      <w:r w:rsidRPr="0061100A">
        <w:rPr>
          <w:b/>
          <w:bCs/>
          <w:spacing w:val="0"/>
          <w:sz w:val="22"/>
          <w:szCs w:val="22"/>
        </w:rPr>
        <w:t>Tabla 2</w:t>
      </w:r>
    </w:p>
    <w:p w:rsidR="0092278D" w:rsidRPr="0061100A" w:rsidRDefault="0092278D" w:rsidP="0092278D">
      <w:pPr>
        <w:pStyle w:val="Textoindependiente"/>
        <w:pBdr>
          <w:left w:val="single" w:sz="4" w:space="4" w:color="auto"/>
        </w:pBdr>
        <w:rPr>
          <w:b/>
          <w:bCs/>
          <w:spacing w:val="0"/>
          <w:sz w:val="22"/>
          <w:szCs w:val="22"/>
        </w:rPr>
      </w:pPr>
      <w:r w:rsidRPr="0061100A">
        <w:rPr>
          <w:b/>
          <w:bCs/>
          <w:spacing w:val="0"/>
          <w:sz w:val="22"/>
          <w:szCs w:val="22"/>
        </w:rPr>
        <w:t>Factores de Sensibilidad para el Cálculo de Riesgos de Tasa de Cambio y de Precio de Acciones</w:t>
      </w:r>
    </w:p>
    <w:p w:rsidR="0092278D" w:rsidRPr="007276F1" w:rsidRDefault="0092278D" w:rsidP="0092278D">
      <w:pPr>
        <w:pStyle w:val="Textoindependiente"/>
        <w:rPr>
          <w:b/>
          <w:bCs/>
          <w:spacing w:val="0"/>
          <w:sz w:val="22"/>
          <w:szCs w:val="22"/>
        </w:rPr>
      </w:pPr>
      <w:r>
        <w:rPr>
          <w:noProof/>
          <w:color w:val="000000"/>
          <w:spacing w:val="0"/>
          <w:sz w:val="22"/>
          <w:szCs w:val="22"/>
          <w:lang w:val="es-CO" w:eastAsia="es-C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-64770</wp:posOffset>
                </wp:positionH>
                <wp:positionV relativeFrom="paragraph">
                  <wp:posOffset>133985</wp:posOffset>
                </wp:positionV>
                <wp:extent cx="0" cy="1038225"/>
                <wp:effectExtent l="5715" t="5715" r="13335" b="13335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38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-5.1pt;margin-top:10.55pt;width:0;height:8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"/>
            </w:pict>
          </mc:Fallback>
        </mc:AlternateContent>
      </w:r>
    </w:p>
    <w:tbl>
      <w:tblPr>
        <w:tblW w:w="6227" w:type="dxa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0"/>
        <w:gridCol w:w="1327"/>
      </w:tblGrid>
      <w:tr w:rsidR="0092278D" w:rsidRPr="007276F1" w:rsidTr="0092278D">
        <w:trPr>
          <w:trHeight w:val="450"/>
          <w:jc w:val="center"/>
        </w:trPr>
        <w:tc>
          <w:tcPr>
            <w:tcW w:w="4900" w:type="dxa"/>
            <w:shd w:val="clear" w:color="auto" w:fill="auto"/>
            <w:vAlign w:val="center"/>
          </w:tcPr>
          <w:p w:rsidR="0092278D" w:rsidRPr="007276F1" w:rsidRDefault="0092278D" w:rsidP="0092278D">
            <w:pPr>
              <w:pBdr>
                <w:left w:val="single" w:sz="4" w:space="4" w:color="auto"/>
              </w:pBdr>
              <w:jc w:val="center"/>
              <w:rPr>
                <w:spacing w:val="0"/>
                <w:sz w:val="22"/>
                <w:szCs w:val="22"/>
              </w:rPr>
            </w:pPr>
            <w:r w:rsidRPr="007276F1">
              <w:rPr>
                <w:spacing w:val="0"/>
                <w:sz w:val="22"/>
                <w:szCs w:val="22"/>
              </w:rPr>
              <w:t>Moneda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92278D" w:rsidRPr="007276F1" w:rsidRDefault="0092278D" w:rsidP="0092278D">
            <w:pPr>
              <w:pBdr>
                <w:left w:val="single" w:sz="4" w:space="4" w:color="auto"/>
              </w:pBdr>
              <w:jc w:val="center"/>
              <w:rPr>
                <w:spacing w:val="0"/>
                <w:sz w:val="22"/>
                <w:szCs w:val="22"/>
              </w:rPr>
            </w:pPr>
            <w:r w:rsidRPr="007276F1">
              <w:rPr>
                <w:spacing w:val="0"/>
                <w:sz w:val="22"/>
                <w:szCs w:val="22"/>
              </w:rPr>
              <w:t>Factor de Sensibilidad</w:t>
            </w:r>
          </w:p>
        </w:tc>
      </w:tr>
      <w:tr w:rsidR="0092278D" w:rsidRPr="007276F1" w:rsidTr="0092278D">
        <w:trPr>
          <w:trHeight w:val="225"/>
          <w:jc w:val="center"/>
        </w:trPr>
        <w:tc>
          <w:tcPr>
            <w:tcW w:w="4900" w:type="dxa"/>
            <w:shd w:val="clear" w:color="auto" w:fill="auto"/>
            <w:noWrap/>
            <w:vAlign w:val="bottom"/>
          </w:tcPr>
          <w:p w:rsidR="0092278D" w:rsidRPr="007276F1" w:rsidRDefault="0092278D" w:rsidP="0092278D">
            <w:pPr>
              <w:pBdr>
                <w:left w:val="single" w:sz="4" w:space="4" w:color="auto"/>
              </w:pBdr>
              <w:rPr>
                <w:spacing w:val="0"/>
                <w:sz w:val="22"/>
                <w:szCs w:val="22"/>
              </w:rPr>
            </w:pPr>
            <w:r w:rsidRPr="007276F1">
              <w:rPr>
                <w:spacing w:val="0"/>
                <w:sz w:val="22"/>
                <w:szCs w:val="22"/>
              </w:rPr>
              <w:t>Dólar de Estados Unidos de Norteamérica</w:t>
            </w:r>
          </w:p>
        </w:tc>
        <w:tc>
          <w:tcPr>
            <w:tcW w:w="1327" w:type="dxa"/>
            <w:shd w:val="clear" w:color="auto" w:fill="auto"/>
            <w:noWrap/>
            <w:vAlign w:val="bottom"/>
          </w:tcPr>
          <w:p w:rsidR="0092278D" w:rsidRPr="0002029F" w:rsidRDefault="0092278D" w:rsidP="0092278D">
            <w:pPr>
              <w:pBdr>
                <w:left w:val="single" w:sz="4" w:space="4" w:color="auto"/>
              </w:pBdr>
              <w:jc w:val="center"/>
              <w:rPr>
                <w:b/>
                <w:spacing w:val="0"/>
                <w:sz w:val="22"/>
                <w:szCs w:val="22"/>
              </w:rPr>
            </w:pPr>
            <w:r>
              <w:rPr>
                <w:b/>
                <w:spacing w:val="0"/>
                <w:sz w:val="22"/>
                <w:szCs w:val="22"/>
              </w:rPr>
              <w:t>12.49</w:t>
            </w:r>
            <w:r w:rsidRPr="0002029F">
              <w:rPr>
                <w:b/>
                <w:spacing w:val="0"/>
                <w:sz w:val="22"/>
                <w:szCs w:val="22"/>
              </w:rPr>
              <w:t>%</w:t>
            </w:r>
          </w:p>
        </w:tc>
      </w:tr>
      <w:tr w:rsidR="0092278D" w:rsidRPr="007276F1" w:rsidTr="0092278D">
        <w:trPr>
          <w:trHeight w:val="225"/>
          <w:jc w:val="center"/>
        </w:trPr>
        <w:tc>
          <w:tcPr>
            <w:tcW w:w="4900" w:type="dxa"/>
            <w:shd w:val="clear" w:color="auto" w:fill="auto"/>
            <w:noWrap/>
            <w:vAlign w:val="bottom"/>
          </w:tcPr>
          <w:p w:rsidR="0092278D" w:rsidRPr="007276F1" w:rsidRDefault="0092278D" w:rsidP="0092278D">
            <w:pPr>
              <w:pBdr>
                <w:left w:val="single" w:sz="4" w:space="4" w:color="auto"/>
              </w:pBdr>
              <w:rPr>
                <w:spacing w:val="0"/>
                <w:sz w:val="22"/>
                <w:szCs w:val="22"/>
              </w:rPr>
            </w:pPr>
            <w:r w:rsidRPr="007276F1">
              <w:rPr>
                <w:spacing w:val="0"/>
                <w:sz w:val="22"/>
                <w:szCs w:val="22"/>
              </w:rPr>
              <w:t>Euro</w:t>
            </w:r>
          </w:p>
        </w:tc>
        <w:tc>
          <w:tcPr>
            <w:tcW w:w="1327" w:type="dxa"/>
            <w:shd w:val="clear" w:color="auto" w:fill="auto"/>
            <w:noWrap/>
            <w:vAlign w:val="bottom"/>
          </w:tcPr>
          <w:p w:rsidR="0092278D" w:rsidRPr="007276F1" w:rsidRDefault="0092278D" w:rsidP="0092278D">
            <w:pPr>
              <w:pBdr>
                <w:left w:val="single" w:sz="4" w:space="4" w:color="auto"/>
              </w:pBdr>
              <w:jc w:val="center"/>
              <w:rPr>
                <w:spacing w:val="0"/>
                <w:sz w:val="22"/>
                <w:szCs w:val="22"/>
              </w:rPr>
            </w:pPr>
            <w:r>
              <w:rPr>
                <w:b/>
                <w:spacing w:val="0"/>
                <w:sz w:val="22"/>
                <w:szCs w:val="22"/>
              </w:rPr>
              <w:t>11</w:t>
            </w:r>
            <w:r w:rsidRPr="007D51AE">
              <w:rPr>
                <w:b/>
                <w:spacing w:val="0"/>
                <w:sz w:val="22"/>
                <w:szCs w:val="22"/>
              </w:rPr>
              <w:t>%</w:t>
            </w:r>
          </w:p>
        </w:tc>
      </w:tr>
      <w:tr w:rsidR="0092278D" w:rsidRPr="007276F1" w:rsidTr="0092278D">
        <w:trPr>
          <w:trHeight w:val="216"/>
          <w:jc w:val="center"/>
        </w:trPr>
        <w:tc>
          <w:tcPr>
            <w:tcW w:w="4900" w:type="dxa"/>
            <w:shd w:val="clear" w:color="auto" w:fill="auto"/>
            <w:noWrap/>
            <w:vAlign w:val="bottom"/>
          </w:tcPr>
          <w:p w:rsidR="0092278D" w:rsidRPr="009C70A9" w:rsidRDefault="0092278D" w:rsidP="0092278D">
            <w:pPr>
              <w:pBdr>
                <w:left w:val="single" w:sz="4" w:space="4" w:color="auto"/>
              </w:pBdr>
              <w:rPr>
                <w:b/>
                <w:spacing w:val="0"/>
                <w:sz w:val="22"/>
                <w:szCs w:val="22"/>
              </w:rPr>
            </w:pPr>
            <w:r w:rsidRPr="009C70A9">
              <w:rPr>
                <w:b/>
                <w:spacing w:val="0"/>
                <w:sz w:val="22"/>
                <w:szCs w:val="22"/>
              </w:rPr>
              <w:t>Otras monedas</w:t>
            </w:r>
          </w:p>
        </w:tc>
        <w:tc>
          <w:tcPr>
            <w:tcW w:w="1327" w:type="dxa"/>
            <w:shd w:val="clear" w:color="auto" w:fill="auto"/>
            <w:noWrap/>
            <w:vAlign w:val="bottom"/>
          </w:tcPr>
          <w:p w:rsidR="0092278D" w:rsidRDefault="0092278D" w:rsidP="0092278D">
            <w:pPr>
              <w:pBdr>
                <w:left w:val="single" w:sz="4" w:space="4" w:color="auto"/>
              </w:pBdr>
              <w:jc w:val="center"/>
              <w:rPr>
                <w:b/>
                <w:spacing w:val="0"/>
                <w:sz w:val="22"/>
                <w:szCs w:val="22"/>
              </w:rPr>
            </w:pPr>
            <w:r>
              <w:rPr>
                <w:b/>
                <w:spacing w:val="0"/>
                <w:sz w:val="22"/>
                <w:szCs w:val="22"/>
              </w:rPr>
              <w:t>13.02%</w:t>
            </w:r>
          </w:p>
        </w:tc>
      </w:tr>
      <w:tr w:rsidR="0092278D" w:rsidRPr="007276F1" w:rsidTr="0092278D">
        <w:trPr>
          <w:trHeight w:val="225"/>
          <w:jc w:val="center"/>
        </w:trPr>
        <w:tc>
          <w:tcPr>
            <w:tcW w:w="4900" w:type="dxa"/>
            <w:shd w:val="clear" w:color="auto" w:fill="auto"/>
            <w:noWrap/>
            <w:vAlign w:val="bottom"/>
          </w:tcPr>
          <w:p w:rsidR="0092278D" w:rsidRPr="009472A2" w:rsidRDefault="0092278D" w:rsidP="0092278D">
            <w:pPr>
              <w:rPr>
                <w:spacing w:val="0"/>
                <w:sz w:val="22"/>
                <w:szCs w:val="22"/>
              </w:rPr>
            </w:pPr>
            <w:r w:rsidRPr="009472A2">
              <w:rPr>
                <w:spacing w:val="0"/>
                <w:sz w:val="22"/>
                <w:szCs w:val="22"/>
              </w:rPr>
              <w:t>Riesgo general precio de acciones</w:t>
            </w:r>
          </w:p>
        </w:tc>
        <w:tc>
          <w:tcPr>
            <w:tcW w:w="1327" w:type="dxa"/>
            <w:shd w:val="clear" w:color="auto" w:fill="auto"/>
            <w:noWrap/>
            <w:vAlign w:val="bottom"/>
          </w:tcPr>
          <w:p w:rsidR="0092278D" w:rsidRPr="009472A2" w:rsidRDefault="0092278D" w:rsidP="0092278D">
            <w:pPr>
              <w:jc w:val="center"/>
              <w:rPr>
                <w:spacing w:val="0"/>
                <w:sz w:val="22"/>
                <w:szCs w:val="22"/>
              </w:rPr>
            </w:pPr>
            <w:r w:rsidRPr="009472A2">
              <w:rPr>
                <w:spacing w:val="0"/>
                <w:sz w:val="22"/>
                <w:szCs w:val="22"/>
              </w:rPr>
              <w:t>14.7%</w:t>
            </w:r>
          </w:p>
        </w:tc>
      </w:tr>
    </w:tbl>
    <w:p w:rsidR="0092278D" w:rsidRPr="007276F1" w:rsidRDefault="0092278D" w:rsidP="0092278D">
      <w:pPr>
        <w:pStyle w:val="Textoindependiente"/>
        <w:rPr>
          <w:b/>
          <w:bCs/>
          <w:sz w:val="22"/>
          <w:szCs w:val="22"/>
        </w:rPr>
      </w:pP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Los factores consignados en la Tabla 2 serán revisados por la SFC y podrán ser modificados si ésta considera que los niveles establecidos no reflejan apropiadamente la sensibilidad de las posiciones expuestas a los riesgos allí contemplados.</w:t>
      </w:r>
    </w:p>
    <w:p w:rsidR="0092278D" w:rsidRPr="007276F1" w:rsidRDefault="0092278D" w:rsidP="0092278D">
      <w:pPr>
        <w:pStyle w:val="Textoindependiente"/>
        <w:rPr>
          <w:b/>
          <w:bCs/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rPr>
          <w:b/>
          <w:bCs/>
          <w:spacing w:val="0"/>
          <w:sz w:val="22"/>
          <w:szCs w:val="22"/>
        </w:rPr>
      </w:pPr>
      <w:r>
        <w:rPr>
          <w:b/>
          <w:bCs/>
          <w:spacing w:val="0"/>
          <w:sz w:val="22"/>
          <w:szCs w:val="22"/>
        </w:rPr>
        <w:t xml:space="preserve">2.1.5 </w:t>
      </w:r>
      <w:r w:rsidRPr="007276F1">
        <w:rPr>
          <w:b/>
          <w:bCs/>
          <w:spacing w:val="0"/>
          <w:sz w:val="22"/>
          <w:szCs w:val="22"/>
        </w:rPr>
        <w:t>Riesgo en inversiones realizadas en carteras colectivas.</w:t>
      </w:r>
    </w:p>
    <w:p w:rsidR="0092278D" w:rsidRPr="007276F1" w:rsidRDefault="0092278D" w:rsidP="0092278D">
      <w:pPr>
        <w:pStyle w:val="Textoindependiente"/>
        <w:rPr>
          <w:b/>
          <w:bCs/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Para las inversiones en carteras colectivas, es decir, para fondos comunes de inversión, fondos de valores y fondos de inversión la exposición a riesgos de mercado de las entidades es calculada como el producto entre el factor de riesgo aplicable a dicho fondo y la posición invertida en él. El factor de riesgo aplicable corresponde a:</w:t>
      </w:r>
    </w:p>
    <w:p w:rsidR="0092278D" w:rsidRPr="007276F1" w:rsidRDefault="0092278D" w:rsidP="0092278D">
      <w:pPr>
        <w:pStyle w:val="Textoindependiente"/>
        <w:ind w:left="360"/>
        <w:rPr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numPr>
          <w:ilvl w:val="0"/>
          <w:numId w:val="2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 xml:space="preserve">Cuando la sociedad administradora de la cartera colectiva reporte a la entidad adherente o suscriptora la composición del portafolio de inversión de la misma, la exposición a riesgos de mercado deberá ser calculada por la entidad adherente de acuerdo a las disposiciones impartidas en el numeral 2.1 del presente capítulo. </w:t>
      </w:r>
    </w:p>
    <w:p w:rsidR="0092278D" w:rsidRPr="007276F1" w:rsidRDefault="0092278D" w:rsidP="0092278D">
      <w:pPr>
        <w:pStyle w:val="Textoindependiente"/>
        <w:ind w:left="708"/>
        <w:rPr>
          <w:spacing w:val="0"/>
          <w:sz w:val="22"/>
          <w:szCs w:val="22"/>
        </w:rPr>
      </w:pPr>
    </w:p>
    <w:p w:rsidR="0092278D" w:rsidRPr="007276F1" w:rsidRDefault="0092278D" w:rsidP="0092278D">
      <w:pPr>
        <w:pStyle w:val="Textoindependiente"/>
        <w:ind w:left="708"/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El factor de riesgo de la cartera colectiva corresponderá a la razón entre esta exposición y el valor del portafolio en la correspondiente fecha de cálculo. Sin perjuicio de lo anterior, este factor de riesgo puede ser utilizado para el cálculo de la exposición a riesgos de mercado de la entidad adherente o suscriptora  por un periodo de hasta treinta días, contados a partir de la última fecha de cálculo;</w:t>
      </w:r>
    </w:p>
    <w:p w:rsidR="0092278D" w:rsidRPr="007276F1" w:rsidRDefault="0092278D" w:rsidP="0092278D">
      <w:pPr>
        <w:pStyle w:val="Textoindependiente"/>
        <w:ind w:left="360"/>
        <w:rPr>
          <w:spacing w:val="0"/>
          <w:sz w:val="22"/>
          <w:szCs w:val="22"/>
        </w:rPr>
      </w:pPr>
    </w:p>
    <w:p w:rsidR="0092278D" w:rsidRDefault="0092278D" w:rsidP="0092278D">
      <w:pPr>
        <w:pStyle w:val="Textoindependiente"/>
        <w:numPr>
          <w:ilvl w:val="0"/>
          <w:numId w:val="2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>Cuando la sociedad administradora de la cartera colectiva reporte a la entidad adherente o suscriptora la exposición a riesgos de mercado de la cartera colectiva, calculada de acuerdo a las disposiciones impartidas en el numeral 2.1 del presente capítulo, el factor de riesgo de dicha cartera colectiva corresponderá a la razón entre esta exposición y el valor del portafolio a la respectiva fecha de cálculo. Sin</w:t>
      </w:r>
      <w:r>
        <w:rPr>
          <w:spacing w:val="0"/>
          <w:sz w:val="22"/>
          <w:szCs w:val="22"/>
        </w:rPr>
        <w:t xml:space="preserve"> p</w:t>
      </w:r>
      <w:r w:rsidRPr="007276F1">
        <w:rPr>
          <w:spacing w:val="0"/>
          <w:sz w:val="22"/>
          <w:szCs w:val="22"/>
        </w:rPr>
        <w:t>erjuicio de lo anterior, este factor de riesgo puede ser utilizado para el cálculo de</w:t>
      </w:r>
      <w:r>
        <w:rPr>
          <w:spacing w:val="0"/>
          <w:sz w:val="22"/>
          <w:szCs w:val="22"/>
        </w:rPr>
        <w:t xml:space="preserve"> l</w:t>
      </w:r>
      <w:r w:rsidRPr="007276F1">
        <w:rPr>
          <w:spacing w:val="0"/>
          <w:sz w:val="22"/>
          <w:szCs w:val="22"/>
        </w:rPr>
        <w:t xml:space="preserve">a exposición a riesgos de mercado de la entidad adherente o suscriptora por un periodo de hasta treinta (30) días, contados a partir de la última fecha de cálculo; y </w:t>
      </w:r>
    </w:p>
    <w:p w:rsidR="0092278D" w:rsidRPr="007276F1" w:rsidRDefault="0092278D" w:rsidP="0092278D">
      <w:pPr>
        <w:pStyle w:val="Textoindependiente"/>
        <w:ind w:left="720"/>
        <w:rPr>
          <w:spacing w:val="0"/>
          <w:sz w:val="22"/>
          <w:szCs w:val="22"/>
        </w:rPr>
      </w:pPr>
    </w:p>
    <w:p w:rsidR="0092278D" w:rsidRDefault="0092278D" w:rsidP="0092278D">
      <w:pPr>
        <w:pStyle w:val="Textoindependiente"/>
        <w:numPr>
          <w:ilvl w:val="0"/>
          <w:numId w:val="2"/>
        </w:numPr>
        <w:rPr>
          <w:spacing w:val="0"/>
          <w:sz w:val="22"/>
          <w:szCs w:val="22"/>
        </w:rPr>
      </w:pPr>
      <w:r w:rsidRPr="007276F1">
        <w:rPr>
          <w:spacing w:val="0"/>
          <w:sz w:val="22"/>
          <w:szCs w:val="22"/>
        </w:rPr>
        <w:t xml:space="preserve">En los demás casos, el factor de riesgo aplicable es igual a un </w:t>
      </w:r>
      <w:r w:rsidRPr="00314CF3">
        <w:rPr>
          <w:spacing w:val="0"/>
          <w:sz w:val="22"/>
          <w:szCs w:val="22"/>
        </w:rPr>
        <w:t>catorce punto siete</w:t>
      </w:r>
      <w:r w:rsidRPr="007276F1">
        <w:rPr>
          <w:spacing w:val="0"/>
          <w:sz w:val="22"/>
          <w:szCs w:val="22"/>
        </w:rPr>
        <w:t xml:space="preserve"> por ciento (</w:t>
      </w:r>
      <w:r>
        <w:rPr>
          <w:spacing w:val="0"/>
          <w:sz w:val="22"/>
          <w:szCs w:val="22"/>
        </w:rPr>
        <w:t>14.7</w:t>
      </w:r>
      <w:r w:rsidRPr="00005A04">
        <w:rPr>
          <w:b/>
          <w:spacing w:val="0"/>
          <w:sz w:val="22"/>
          <w:szCs w:val="22"/>
        </w:rPr>
        <w:t>%</w:t>
      </w:r>
      <w:r w:rsidRPr="007276F1">
        <w:rPr>
          <w:spacing w:val="0"/>
          <w:sz w:val="22"/>
          <w:szCs w:val="22"/>
        </w:rPr>
        <w:t>), equivalente al cargo asociado a las posiciones más riesgosas contempladas en el modelo estándar (acciones).</w:t>
      </w:r>
    </w:p>
    <w:p w:rsidR="0092278D" w:rsidRDefault="0092278D" w:rsidP="0092278D">
      <w:pPr>
        <w:pStyle w:val="Textoindependiente"/>
        <w:rPr>
          <w:spacing w:val="0"/>
          <w:sz w:val="22"/>
          <w:szCs w:val="22"/>
        </w:rPr>
      </w:pPr>
    </w:p>
    <w:p w:rsidR="007B0C6E" w:rsidRPr="0092278D" w:rsidRDefault="007B0C6E">
      <w:pPr>
        <w:rPr>
          <w:lang w:val="es-MX"/>
        </w:rPr>
      </w:pPr>
    </w:p>
    <w:sectPr w:rsidR="007B0C6E" w:rsidRPr="0092278D" w:rsidSect="0092278D">
      <w:headerReference w:type="first" r:id="rId12"/>
      <w:footerReference w:type="first" r:id="rId13"/>
      <w:pgSz w:w="12242" w:h="20163" w:code="5"/>
      <w:pgMar w:top="1417" w:right="1701" w:bottom="1417" w:left="1701" w:header="283" w:footer="2041" w:gutter="0"/>
      <w:pgNumType w:start="1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2EC" w:rsidRDefault="000B22EC" w:rsidP="0092278D">
      <w:r>
        <w:separator/>
      </w:r>
    </w:p>
  </w:endnote>
  <w:endnote w:type="continuationSeparator" w:id="0">
    <w:p w:rsidR="000B22EC" w:rsidRDefault="000B22EC" w:rsidP="0092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8D" w:rsidRDefault="0092278D" w:rsidP="0092278D">
    <w:pPr>
      <w:pStyle w:val="Piedepgina"/>
      <w:jc w:val="center"/>
      <w:rPr>
        <w:rStyle w:val="Nmerodepgina"/>
        <w:b/>
        <w:bCs/>
        <w:spacing w:val="0"/>
        <w:sz w:val="20"/>
        <w:szCs w:val="20"/>
        <w:lang w:val="pt-BR"/>
      </w:rPr>
    </w:pPr>
    <w:r w:rsidRPr="00E24251">
      <w:rPr>
        <w:rStyle w:val="Nmerodepgina"/>
        <w:b/>
        <w:bCs/>
        <w:spacing w:val="0"/>
        <w:sz w:val="20"/>
        <w:szCs w:val="20"/>
        <w:lang w:val="pt-BR"/>
      </w:rPr>
      <w:t>Circular Externa</w:t>
    </w:r>
    <w:r>
      <w:rPr>
        <w:rStyle w:val="Nmerodepgina"/>
        <w:b/>
        <w:bCs/>
        <w:spacing w:val="0"/>
        <w:sz w:val="20"/>
        <w:szCs w:val="20"/>
        <w:lang w:val="pt-BR"/>
      </w:rPr>
      <w:t xml:space="preserve">       </w:t>
    </w:r>
    <w:r w:rsidRPr="00E24251">
      <w:rPr>
        <w:rStyle w:val="Nmerodepgina"/>
        <w:b/>
        <w:bCs/>
        <w:spacing w:val="0"/>
        <w:sz w:val="20"/>
        <w:szCs w:val="20"/>
        <w:lang w:val="pt-BR"/>
      </w:rPr>
      <w:t>de 20</w:t>
    </w:r>
    <w:r>
      <w:rPr>
        <w:rStyle w:val="Nmerodepgina"/>
        <w:b/>
        <w:bCs/>
        <w:spacing w:val="0"/>
        <w:sz w:val="20"/>
        <w:szCs w:val="20"/>
        <w:lang w:val="pt-BR"/>
      </w:rPr>
      <w:t xml:space="preserve">17                                                                      </w:t>
    </w:r>
    <w:proofErr w:type="spellStart"/>
    <w:r>
      <w:rPr>
        <w:rStyle w:val="Nmerodepgina"/>
        <w:b/>
        <w:bCs/>
        <w:spacing w:val="0"/>
        <w:sz w:val="20"/>
        <w:szCs w:val="20"/>
        <w:lang w:val="pt-BR"/>
      </w:rPr>
      <w:t>Septiembre</w:t>
    </w:r>
    <w:proofErr w:type="spellEnd"/>
    <w:r>
      <w:rPr>
        <w:rStyle w:val="Nmerodepgina"/>
        <w:b/>
        <w:bCs/>
        <w:spacing w:val="0"/>
        <w:sz w:val="20"/>
        <w:szCs w:val="20"/>
        <w:lang w:val="pt-BR"/>
      </w:rPr>
      <w:t xml:space="preserve"> de 2017</w:t>
    </w:r>
  </w:p>
  <w:p w:rsidR="0092278D" w:rsidRDefault="0092278D" w:rsidP="0092278D">
    <w:pPr>
      <w:pStyle w:val="Piedepgina"/>
      <w:jc w:val="center"/>
      <w:rPr>
        <w:rStyle w:val="Nmerodepgina"/>
        <w:b/>
        <w:bCs/>
        <w:spacing w:val="0"/>
        <w:sz w:val="20"/>
        <w:szCs w:val="20"/>
        <w:lang w:val="pt-BR"/>
      </w:rPr>
    </w:pPr>
  </w:p>
  <w:p w:rsidR="0092278D" w:rsidRDefault="0092278D" w:rsidP="0092278D">
    <w:pPr>
      <w:pStyle w:val="Piedepgina"/>
      <w:jc w:val="center"/>
      <w:rPr>
        <w:rStyle w:val="Nmerodepgina"/>
        <w:b/>
        <w:bCs/>
        <w:spacing w:val="0"/>
        <w:sz w:val="20"/>
        <w:szCs w:val="20"/>
        <w:lang w:val="pt-BR"/>
      </w:rPr>
    </w:pPr>
  </w:p>
  <w:p w:rsidR="0092278D" w:rsidRDefault="0092278D" w:rsidP="0092278D">
    <w:pPr>
      <w:pStyle w:val="Piedep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8D" w:rsidRDefault="0092278D">
    <w:pPr>
      <w:pStyle w:val="Piedepgina"/>
      <w:rPr>
        <w:rStyle w:val="Nmerodepgina"/>
        <w:b/>
        <w:bCs/>
        <w:spacing w:val="0"/>
        <w:sz w:val="20"/>
        <w:szCs w:val="20"/>
        <w:lang w:val="pt-BR"/>
      </w:rPr>
    </w:pPr>
    <w:r w:rsidRPr="00E24251">
      <w:rPr>
        <w:rStyle w:val="Nmerodepgina"/>
        <w:b/>
        <w:bCs/>
        <w:spacing w:val="0"/>
        <w:sz w:val="20"/>
        <w:szCs w:val="20"/>
        <w:lang w:val="pt-BR"/>
      </w:rPr>
      <w:t>Circular Externa</w:t>
    </w:r>
    <w:proofErr w:type="gramStart"/>
    <w:r>
      <w:rPr>
        <w:rStyle w:val="Nmerodepgina"/>
        <w:b/>
        <w:bCs/>
        <w:spacing w:val="0"/>
        <w:sz w:val="20"/>
        <w:szCs w:val="20"/>
        <w:lang w:val="pt-BR"/>
      </w:rPr>
      <w:t xml:space="preserve">  </w:t>
    </w:r>
    <w:proofErr w:type="gramEnd"/>
    <w:r w:rsidR="008A65B4">
      <w:rPr>
        <w:rStyle w:val="Nmerodepgina"/>
        <w:b/>
        <w:bCs/>
        <w:spacing w:val="0"/>
        <w:sz w:val="20"/>
        <w:szCs w:val="20"/>
        <w:lang w:val="pt-BR"/>
      </w:rPr>
      <w:t>027</w:t>
    </w:r>
    <w:r>
      <w:rPr>
        <w:rStyle w:val="Nmerodepgina"/>
        <w:b/>
        <w:bCs/>
        <w:spacing w:val="0"/>
        <w:sz w:val="20"/>
        <w:szCs w:val="20"/>
        <w:lang w:val="pt-BR"/>
      </w:rPr>
      <w:t xml:space="preserve">  </w:t>
    </w:r>
    <w:r w:rsidRPr="00E24251">
      <w:rPr>
        <w:rStyle w:val="Nmerodepgina"/>
        <w:b/>
        <w:bCs/>
        <w:spacing w:val="0"/>
        <w:sz w:val="20"/>
        <w:szCs w:val="20"/>
        <w:lang w:val="pt-BR"/>
      </w:rPr>
      <w:t xml:space="preserve">de </w:t>
    </w:r>
    <w:r>
      <w:rPr>
        <w:rStyle w:val="Nmerodepgina"/>
        <w:b/>
        <w:bCs/>
        <w:spacing w:val="0"/>
        <w:sz w:val="20"/>
        <w:szCs w:val="20"/>
        <w:lang w:val="pt-BR"/>
      </w:rPr>
      <w:t xml:space="preserve">2017                                                                          </w:t>
    </w:r>
    <w:proofErr w:type="spellStart"/>
    <w:r>
      <w:rPr>
        <w:rStyle w:val="Nmerodepgina"/>
        <w:b/>
        <w:bCs/>
        <w:spacing w:val="0"/>
        <w:sz w:val="20"/>
        <w:szCs w:val="20"/>
        <w:lang w:val="pt-BR"/>
      </w:rPr>
      <w:t>Septiembre</w:t>
    </w:r>
    <w:proofErr w:type="spellEnd"/>
    <w:r>
      <w:rPr>
        <w:rStyle w:val="Nmerodepgina"/>
        <w:b/>
        <w:bCs/>
        <w:spacing w:val="0"/>
        <w:sz w:val="20"/>
        <w:szCs w:val="20"/>
        <w:lang w:val="pt-BR"/>
      </w:rPr>
      <w:t xml:space="preserve"> de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8D" w:rsidRDefault="0092278D">
    <w:pPr>
      <w:pStyle w:val="Piedepgina"/>
      <w:rPr>
        <w:rStyle w:val="Nmerodepgina"/>
        <w:b/>
        <w:bCs/>
        <w:spacing w:val="0"/>
        <w:sz w:val="20"/>
        <w:szCs w:val="20"/>
        <w:lang w:val="pt-BR"/>
      </w:rPr>
    </w:pPr>
    <w:r w:rsidRPr="00E24251">
      <w:rPr>
        <w:rStyle w:val="Nmerodepgina"/>
        <w:b/>
        <w:bCs/>
        <w:spacing w:val="0"/>
        <w:sz w:val="20"/>
        <w:szCs w:val="20"/>
        <w:lang w:val="pt-BR"/>
      </w:rPr>
      <w:t>Circular Externa</w:t>
    </w:r>
    <w:r>
      <w:rPr>
        <w:rStyle w:val="Nmerodepgina"/>
        <w:b/>
        <w:bCs/>
        <w:spacing w:val="0"/>
        <w:sz w:val="20"/>
        <w:szCs w:val="20"/>
        <w:lang w:val="pt-BR"/>
      </w:rPr>
      <w:t xml:space="preserve"> </w:t>
    </w:r>
    <w:r w:rsidR="008A65B4">
      <w:rPr>
        <w:rStyle w:val="Nmerodepgina"/>
        <w:b/>
        <w:bCs/>
        <w:spacing w:val="0"/>
        <w:sz w:val="20"/>
        <w:szCs w:val="20"/>
        <w:lang w:val="pt-BR"/>
      </w:rPr>
      <w:t>027</w:t>
    </w:r>
    <w:r>
      <w:rPr>
        <w:rStyle w:val="Nmerodepgina"/>
        <w:b/>
        <w:bCs/>
        <w:spacing w:val="0"/>
        <w:sz w:val="20"/>
        <w:szCs w:val="20"/>
        <w:lang w:val="pt-BR"/>
      </w:rPr>
      <w:t xml:space="preserve"> </w:t>
    </w:r>
    <w:r w:rsidRPr="00E24251">
      <w:rPr>
        <w:rStyle w:val="Nmerodepgina"/>
        <w:b/>
        <w:bCs/>
        <w:spacing w:val="0"/>
        <w:sz w:val="20"/>
        <w:szCs w:val="20"/>
        <w:lang w:val="pt-BR"/>
      </w:rPr>
      <w:t xml:space="preserve">de </w:t>
    </w:r>
    <w:r>
      <w:rPr>
        <w:rStyle w:val="Nmerodepgina"/>
        <w:b/>
        <w:bCs/>
        <w:spacing w:val="0"/>
        <w:sz w:val="20"/>
        <w:szCs w:val="20"/>
        <w:lang w:val="pt-BR"/>
      </w:rPr>
      <w:t xml:space="preserve">2017                                                                          </w:t>
    </w:r>
    <w:proofErr w:type="spellStart"/>
    <w:r>
      <w:rPr>
        <w:rStyle w:val="Nmerodepgina"/>
        <w:b/>
        <w:bCs/>
        <w:spacing w:val="0"/>
        <w:sz w:val="20"/>
        <w:szCs w:val="20"/>
        <w:lang w:val="pt-BR"/>
      </w:rPr>
      <w:t>Septiembre</w:t>
    </w:r>
    <w:proofErr w:type="spellEnd"/>
    <w:r>
      <w:rPr>
        <w:rStyle w:val="Nmerodepgina"/>
        <w:b/>
        <w:bCs/>
        <w:spacing w:val="0"/>
        <w:sz w:val="20"/>
        <w:szCs w:val="20"/>
        <w:lang w:val="pt-BR"/>
      </w:rPr>
      <w:t xml:space="preserve"> de 2017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2EC" w:rsidRDefault="000B22EC" w:rsidP="0092278D">
      <w:r>
        <w:separator/>
      </w:r>
    </w:p>
  </w:footnote>
  <w:footnote w:type="continuationSeparator" w:id="0">
    <w:p w:rsidR="000B22EC" w:rsidRDefault="000B22EC" w:rsidP="00922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8D" w:rsidRDefault="0092278D" w:rsidP="0092278D">
    <w:pPr>
      <w:pStyle w:val="Encabezado"/>
      <w:jc w:val="center"/>
      <w:rPr>
        <w:b/>
        <w:sz w:val="24"/>
        <w:szCs w:val="24"/>
      </w:rPr>
    </w:pPr>
  </w:p>
  <w:p w:rsidR="0092278D" w:rsidRPr="00CA6425" w:rsidRDefault="0092278D" w:rsidP="0092278D">
    <w:pPr>
      <w:pStyle w:val="Encabezado"/>
      <w:jc w:val="center"/>
      <w:rPr>
        <w:b/>
        <w:sz w:val="24"/>
        <w:szCs w:val="24"/>
      </w:rPr>
    </w:pPr>
    <w:r>
      <w:rPr>
        <w:b/>
        <w:sz w:val="24"/>
        <w:szCs w:val="24"/>
      </w:rPr>
      <w:t>SUPERINTENDENCIA FINANCIERA DE COLOMBIA</w:t>
    </w:r>
  </w:p>
  <w:p w:rsidR="0092278D" w:rsidRDefault="0092278D" w:rsidP="0092278D">
    <w:pPr>
      <w:pStyle w:val="Piedepgina"/>
      <w:ind w:left="855" w:hanging="855"/>
      <w:rPr>
        <w:b/>
        <w:bCs/>
        <w:spacing w:val="0"/>
        <w:sz w:val="18"/>
        <w:szCs w:val="18"/>
        <w:lang w:val="es-MX"/>
      </w:rPr>
    </w:pPr>
  </w:p>
  <w:p w:rsidR="0092278D" w:rsidRPr="007E2C90" w:rsidRDefault="0092278D" w:rsidP="0092278D">
    <w:pPr>
      <w:pStyle w:val="Piedepgina"/>
      <w:ind w:left="855" w:hanging="855"/>
      <w:rPr>
        <w:rStyle w:val="Nmerodepgina"/>
        <w:b/>
        <w:bCs/>
        <w:spacing w:val="0"/>
        <w:sz w:val="18"/>
        <w:szCs w:val="18"/>
      </w:rPr>
    </w:pPr>
    <w:r>
      <w:rPr>
        <w:b/>
        <w:bCs/>
        <w:spacing w:val="0"/>
        <w:sz w:val="18"/>
        <w:szCs w:val="18"/>
        <w:lang w:val="es-MX"/>
      </w:rPr>
      <w:t>ANEXO 1:</w:t>
    </w:r>
    <w:r>
      <w:rPr>
        <w:b/>
        <w:bCs/>
        <w:spacing w:val="0"/>
        <w:sz w:val="18"/>
        <w:szCs w:val="18"/>
        <w:lang w:val="es-MX"/>
      </w:rPr>
      <w:tab/>
    </w:r>
    <w:r w:rsidRPr="00201D0E">
      <w:rPr>
        <w:b/>
        <w:bCs/>
        <w:spacing w:val="0"/>
        <w:sz w:val="18"/>
        <w:szCs w:val="18"/>
      </w:rPr>
      <w:t>CAPITULO</w:t>
    </w:r>
    <w:r>
      <w:rPr>
        <w:b/>
        <w:bCs/>
        <w:spacing w:val="0"/>
        <w:sz w:val="18"/>
        <w:szCs w:val="18"/>
      </w:rPr>
      <w:t xml:space="preserve"> XXI</w:t>
    </w:r>
    <w:r>
      <w:rPr>
        <w:rStyle w:val="Nmerodepgina"/>
        <w:b/>
        <w:bCs/>
        <w:spacing w:val="0"/>
        <w:sz w:val="18"/>
        <w:szCs w:val="18"/>
      </w:rPr>
      <w:t xml:space="preserve"> </w:t>
    </w:r>
    <w:r w:rsidRPr="007E2C90">
      <w:rPr>
        <w:rStyle w:val="Nmerodepgina"/>
        <w:b/>
        <w:bCs/>
        <w:spacing w:val="0"/>
        <w:sz w:val="18"/>
        <w:szCs w:val="18"/>
      </w:rPr>
      <w:t xml:space="preserve">REGLAS </w:t>
    </w:r>
    <w:r>
      <w:rPr>
        <w:rStyle w:val="Nmerodepgina"/>
        <w:b/>
        <w:bCs/>
        <w:spacing w:val="0"/>
        <w:sz w:val="18"/>
        <w:szCs w:val="18"/>
      </w:rPr>
      <w:t>RELATIVAS</w:t>
    </w:r>
    <w:r w:rsidRPr="007E2C90">
      <w:rPr>
        <w:rStyle w:val="Nmerodepgina"/>
        <w:b/>
        <w:bCs/>
        <w:spacing w:val="0"/>
        <w:sz w:val="18"/>
        <w:szCs w:val="18"/>
      </w:rPr>
      <w:t xml:space="preserve"> A LA </w:t>
    </w:r>
    <w:r>
      <w:rPr>
        <w:rStyle w:val="Nmerodepgina"/>
        <w:b/>
        <w:bCs/>
        <w:spacing w:val="0"/>
        <w:sz w:val="18"/>
        <w:szCs w:val="18"/>
      </w:rPr>
      <w:t xml:space="preserve">ADMINISTRACIÓN </w:t>
    </w:r>
    <w:r w:rsidRPr="007E2C90">
      <w:rPr>
        <w:rStyle w:val="Nmerodepgina"/>
        <w:b/>
        <w:bCs/>
        <w:spacing w:val="0"/>
        <w:sz w:val="18"/>
        <w:szCs w:val="18"/>
      </w:rPr>
      <w:t>DE LOS RIESGOS DE MERCADO</w:t>
    </w:r>
    <w:r>
      <w:rPr>
        <w:rStyle w:val="Nmerodepgina"/>
        <w:b/>
        <w:bCs/>
        <w:spacing w:val="0"/>
        <w:sz w:val="18"/>
        <w:szCs w:val="18"/>
      </w:rPr>
      <w:t xml:space="preserve"> </w:t>
    </w:r>
  </w:p>
  <w:p w:rsidR="0092278D" w:rsidRPr="002D770B" w:rsidRDefault="0092278D" w:rsidP="0092278D">
    <w:pPr>
      <w:pStyle w:val="Piedepgina"/>
      <w:rPr>
        <w:b/>
        <w:bCs/>
        <w:spacing w:val="0"/>
        <w:sz w:val="18"/>
        <w:szCs w:val="18"/>
      </w:rPr>
    </w:pPr>
    <w:r w:rsidRPr="007E2C90">
      <w:rPr>
        <w:rStyle w:val="Nmerodepgina"/>
        <w:b/>
        <w:bCs/>
        <w:spacing w:val="0"/>
        <w:sz w:val="18"/>
        <w:szCs w:val="18"/>
      </w:rPr>
      <w:t xml:space="preserve">Página </w:t>
    </w:r>
    <w:r>
      <w:rPr>
        <w:rStyle w:val="Nmerodepgina"/>
        <w:b/>
        <w:bCs/>
        <w:spacing w:val="0"/>
        <w:sz w:val="18"/>
        <w:szCs w:val="18"/>
      </w:rPr>
      <w:t>13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8D" w:rsidRDefault="0092278D" w:rsidP="0092278D">
    <w:pPr>
      <w:pStyle w:val="Encabezado"/>
      <w:jc w:val="center"/>
      <w:rPr>
        <w:b/>
        <w:sz w:val="24"/>
        <w:szCs w:val="24"/>
      </w:rPr>
    </w:pPr>
  </w:p>
  <w:p w:rsidR="0092278D" w:rsidRPr="00CA6425" w:rsidRDefault="0092278D" w:rsidP="0092278D">
    <w:pPr>
      <w:pStyle w:val="Encabezado"/>
      <w:jc w:val="center"/>
      <w:rPr>
        <w:b/>
        <w:sz w:val="24"/>
        <w:szCs w:val="24"/>
      </w:rPr>
    </w:pPr>
    <w:r>
      <w:rPr>
        <w:b/>
        <w:sz w:val="24"/>
        <w:szCs w:val="24"/>
      </w:rPr>
      <w:t>SUPERINTENDENCIA FINANCIERA DE COLOMBIA</w:t>
    </w:r>
  </w:p>
  <w:p w:rsidR="0092278D" w:rsidRDefault="0092278D" w:rsidP="0092278D">
    <w:pPr>
      <w:pStyle w:val="Piedepgina"/>
      <w:ind w:left="855" w:hanging="855"/>
      <w:rPr>
        <w:b/>
        <w:bCs/>
        <w:spacing w:val="0"/>
        <w:sz w:val="18"/>
        <w:szCs w:val="18"/>
        <w:lang w:val="es-MX"/>
      </w:rPr>
    </w:pPr>
  </w:p>
  <w:p w:rsidR="0092278D" w:rsidRPr="007E2C90" w:rsidRDefault="0092278D" w:rsidP="0092278D">
    <w:pPr>
      <w:pStyle w:val="Piedepgina"/>
      <w:ind w:left="855" w:hanging="855"/>
      <w:rPr>
        <w:rStyle w:val="Nmerodepgina"/>
        <w:b/>
        <w:bCs/>
        <w:spacing w:val="0"/>
        <w:sz w:val="18"/>
        <w:szCs w:val="18"/>
      </w:rPr>
    </w:pPr>
    <w:r>
      <w:rPr>
        <w:b/>
        <w:bCs/>
        <w:spacing w:val="0"/>
        <w:sz w:val="18"/>
        <w:szCs w:val="18"/>
        <w:lang w:val="es-MX"/>
      </w:rPr>
      <w:t>ANEXO 1:</w:t>
    </w:r>
    <w:r>
      <w:rPr>
        <w:b/>
        <w:bCs/>
        <w:spacing w:val="0"/>
        <w:sz w:val="18"/>
        <w:szCs w:val="18"/>
        <w:lang w:val="es-MX"/>
      </w:rPr>
      <w:tab/>
    </w:r>
    <w:r w:rsidRPr="00201D0E">
      <w:rPr>
        <w:b/>
        <w:bCs/>
        <w:spacing w:val="0"/>
        <w:sz w:val="18"/>
        <w:szCs w:val="18"/>
      </w:rPr>
      <w:t>CAPITULO</w:t>
    </w:r>
    <w:r>
      <w:rPr>
        <w:b/>
        <w:bCs/>
        <w:spacing w:val="0"/>
        <w:sz w:val="18"/>
        <w:szCs w:val="18"/>
      </w:rPr>
      <w:t xml:space="preserve"> XXI</w:t>
    </w:r>
    <w:r>
      <w:rPr>
        <w:rStyle w:val="Nmerodepgina"/>
        <w:b/>
        <w:bCs/>
        <w:spacing w:val="0"/>
        <w:sz w:val="18"/>
        <w:szCs w:val="18"/>
      </w:rPr>
      <w:t xml:space="preserve"> </w:t>
    </w:r>
    <w:r w:rsidRPr="007E2C90">
      <w:rPr>
        <w:rStyle w:val="Nmerodepgina"/>
        <w:b/>
        <w:bCs/>
        <w:spacing w:val="0"/>
        <w:sz w:val="18"/>
        <w:szCs w:val="18"/>
      </w:rPr>
      <w:t xml:space="preserve">REGLAS </w:t>
    </w:r>
    <w:r>
      <w:rPr>
        <w:rStyle w:val="Nmerodepgina"/>
        <w:b/>
        <w:bCs/>
        <w:spacing w:val="0"/>
        <w:sz w:val="18"/>
        <w:szCs w:val="18"/>
      </w:rPr>
      <w:t>RELATIVAS</w:t>
    </w:r>
    <w:r w:rsidRPr="007E2C90">
      <w:rPr>
        <w:rStyle w:val="Nmerodepgina"/>
        <w:b/>
        <w:bCs/>
        <w:spacing w:val="0"/>
        <w:sz w:val="18"/>
        <w:szCs w:val="18"/>
      </w:rPr>
      <w:t xml:space="preserve"> A LA </w:t>
    </w:r>
    <w:r>
      <w:rPr>
        <w:rStyle w:val="Nmerodepgina"/>
        <w:b/>
        <w:bCs/>
        <w:spacing w:val="0"/>
        <w:sz w:val="18"/>
        <w:szCs w:val="18"/>
      </w:rPr>
      <w:t xml:space="preserve">ADMINISTRACIÓN </w:t>
    </w:r>
    <w:r w:rsidRPr="007E2C90">
      <w:rPr>
        <w:rStyle w:val="Nmerodepgina"/>
        <w:b/>
        <w:bCs/>
        <w:spacing w:val="0"/>
        <w:sz w:val="18"/>
        <w:szCs w:val="18"/>
      </w:rPr>
      <w:t>DE LOS RIESGOS DE MERCADO</w:t>
    </w:r>
    <w:r>
      <w:rPr>
        <w:rStyle w:val="Nmerodepgina"/>
        <w:b/>
        <w:bCs/>
        <w:spacing w:val="0"/>
        <w:sz w:val="18"/>
        <w:szCs w:val="18"/>
      </w:rPr>
      <w:t xml:space="preserve"> </w:t>
    </w:r>
  </w:p>
  <w:p w:rsidR="0092278D" w:rsidRPr="002D770B" w:rsidRDefault="0092278D" w:rsidP="0092278D">
    <w:pPr>
      <w:pStyle w:val="Piedepgina"/>
      <w:rPr>
        <w:b/>
        <w:bCs/>
        <w:spacing w:val="0"/>
        <w:sz w:val="18"/>
        <w:szCs w:val="18"/>
      </w:rPr>
    </w:pPr>
    <w:r w:rsidRPr="007E2C90">
      <w:rPr>
        <w:rStyle w:val="Nmerodepgina"/>
        <w:b/>
        <w:bCs/>
        <w:spacing w:val="0"/>
        <w:sz w:val="18"/>
        <w:szCs w:val="18"/>
      </w:rPr>
      <w:t xml:space="preserve">Página </w:t>
    </w:r>
    <w:r>
      <w:rPr>
        <w:rStyle w:val="Nmerodepgina"/>
        <w:b/>
        <w:bCs/>
        <w:spacing w:val="0"/>
        <w:sz w:val="18"/>
        <w:szCs w:val="18"/>
      </w:rPr>
      <w:t>11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78D" w:rsidRDefault="0092278D" w:rsidP="0092278D">
    <w:pPr>
      <w:pStyle w:val="Encabezado"/>
      <w:jc w:val="center"/>
      <w:rPr>
        <w:b/>
        <w:sz w:val="24"/>
        <w:szCs w:val="24"/>
      </w:rPr>
    </w:pPr>
  </w:p>
  <w:p w:rsidR="0092278D" w:rsidRDefault="0092278D" w:rsidP="0092278D">
    <w:pPr>
      <w:pStyle w:val="Encabezado"/>
      <w:jc w:val="center"/>
      <w:rPr>
        <w:b/>
        <w:sz w:val="24"/>
        <w:szCs w:val="24"/>
      </w:rPr>
    </w:pPr>
  </w:p>
  <w:p w:rsidR="0092278D" w:rsidRPr="00CA6425" w:rsidRDefault="0092278D" w:rsidP="0092278D">
    <w:pPr>
      <w:pStyle w:val="Encabezado"/>
      <w:jc w:val="center"/>
      <w:rPr>
        <w:b/>
        <w:sz w:val="24"/>
        <w:szCs w:val="24"/>
      </w:rPr>
    </w:pPr>
    <w:r>
      <w:rPr>
        <w:b/>
        <w:sz w:val="24"/>
        <w:szCs w:val="24"/>
      </w:rPr>
      <w:t>SUPERINTENDENCIA FINANCIERA DE COLOMBIA</w:t>
    </w:r>
  </w:p>
  <w:p w:rsidR="0092278D" w:rsidRDefault="0092278D" w:rsidP="0092278D">
    <w:pPr>
      <w:pStyle w:val="Piedepgina"/>
      <w:ind w:left="855" w:hanging="855"/>
      <w:rPr>
        <w:b/>
        <w:bCs/>
        <w:spacing w:val="0"/>
        <w:sz w:val="18"/>
        <w:szCs w:val="18"/>
        <w:lang w:val="es-MX"/>
      </w:rPr>
    </w:pPr>
  </w:p>
  <w:p w:rsidR="0092278D" w:rsidRPr="007E2C90" w:rsidRDefault="0092278D" w:rsidP="0092278D">
    <w:pPr>
      <w:pStyle w:val="Piedepgina"/>
      <w:ind w:left="855" w:hanging="855"/>
      <w:rPr>
        <w:rStyle w:val="Nmerodepgina"/>
        <w:b/>
        <w:bCs/>
        <w:spacing w:val="0"/>
        <w:sz w:val="18"/>
        <w:szCs w:val="18"/>
      </w:rPr>
    </w:pPr>
    <w:r>
      <w:rPr>
        <w:b/>
        <w:bCs/>
        <w:spacing w:val="0"/>
        <w:sz w:val="18"/>
        <w:szCs w:val="18"/>
        <w:lang w:val="es-MX"/>
      </w:rPr>
      <w:t>ANEXO 1:</w:t>
    </w:r>
    <w:r>
      <w:rPr>
        <w:b/>
        <w:bCs/>
        <w:spacing w:val="0"/>
        <w:sz w:val="18"/>
        <w:szCs w:val="18"/>
        <w:lang w:val="es-MX"/>
      </w:rPr>
      <w:tab/>
    </w:r>
    <w:r w:rsidRPr="00201D0E">
      <w:rPr>
        <w:b/>
        <w:bCs/>
        <w:spacing w:val="0"/>
        <w:sz w:val="18"/>
        <w:szCs w:val="18"/>
      </w:rPr>
      <w:t>CAPITULO</w:t>
    </w:r>
    <w:r>
      <w:rPr>
        <w:b/>
        <w:bCs/>
        <w:spacing w:val="0"/>
        <w:sz w:val="18"/>
        <w:szCs w:val="18"/>
      </w:rPr>
      <w:t xml:space="preserve"> XXI</w:t>
    </w:r>
    <w:r>
      <w:rPr>
        <w:rStyle w:val="Nmerodepgina"/>
        <w:b/>
        <w:bCs/>
        <w:spacing w:val="0"/>
        <w:sz w:val="18"/>
        <w:szCs w:val="18"/>
      </w:rPr>
      <w:t xml:space="preserve"> </w:t>
    </w:r>
    <w:r w:rsidRPr="007E2C90">
      <w:rPr>
        <w:rStyle w:val="Nmerodepgina"/>
        <w:b/>
        <w:bCs/>
        <w:spacing w:val="0"/>
        <w:sz w:val="18"/>
        <w:szCs w:val="18"/>
      </w:rPr>
      <w:t xml:space="preserve">REGLAS </w:t>
    </w:r>
    <w:r>
      <w:rPr>
        <w:rStyle w:val="Nmerodepgina"/>
        <w:b/>
        <w:bCs/>
        <w:spacing w:val="0"/>
        <w:sz w:val="18"/>
        <w:szCs w:val="18"/>
      </w:rPr>
      <w:t>RELATIVAS</w:t>
    </w:r>
    <w:r w:rsidRPr="007E2C90">
      <w:rPr>
        <w:rStyle w:val="Nmerodepgina"/>
        <w:b/>
        <w:bCs/>
        <w:spacing w:val="0"/>
        <w:sz w:val="18"/>
        <w:szCs w:val="18"/>
      </w:rPr>
      <w:t xml:space="preserve"> A LA </w:t>
    </w:r>
    <w:r>
      <w:rPr>
        <w:rStyle w:val="Nmerodepgina"/>
        <w:b/>
        <w:bCs/>
        <w:spacing w:val="0"/>
        <w:sz w:val="18"/>
        <w:szCs w:val="18"/>
      </w:rPr>
      <w:t xml:space="preserve">ADMINISTRACIÓN </w:t>
    </w:r>
    <w:r w:rsidRPr="007E2C90">
      <w:rPr>
        <w:rStyle w:val="Nmerodepgina"/>
        <w:b/>
        <w:bCs/>
        <w:spacing w:val="0"/>
        <w:sz w:val="18"/>
        <w:szCs w:val="18"/>
      </w:rPr>
      <w:t>DE LOS RIESGOS DE MERCADO</w:t>
    </w:r>
    <w:r>
      <w:rPr>
        <w:rStyle w:val="Nmerodepgina"/>
        <w:b/>
        <w:bCs/>
        <w:spacing w:val="0"/>
        <w:sz w:val="18"/>
        <w:szCs w:val="18"/>
      </w:rPr>
      <w:t xml:space="preserve"> </w:t>
    </w:r>
  </w:p>
  <w:p w:rsidR="0092278D" w:rsidRPr="002D770B" w:rsidRDefault="0092278D" w:rsidP="0092278D">
    <w:pPr>
      <w:pStyle w:val="Piedepgina"/>
      <w:rPr>
        <w:b/>
        <w:bCs/>
        <w:spacing w:val="0"/>
        <w:sz w:val="18"/>
        <w:szCs w:val="18"/>
      </w:rPr>
    </w:pPr>
    <w:r w:rsidRPr="007E2C90">
      <w:rPr>
        <w:rStyle w:val="Nmerodepgina"/>
        <w:b/>
        <w:bCs/>
        <w:spacing w:val="0"/>
        <w:sz w:val="18"/>
        <w:szCs w:val="18"/>
      </w:rPr>
      <w:t xml:space="preserve">Página </w:t>
    </w:r>
    <w:r>
      <w:rPr>
        <w:rStyle w:val="Nmerodepgina"/>
        <w:b/>
        <w:bCs/>
        <w:spacing w:val="0"/>
        <w:sz w:val="18"/>
        <w:szCs w:val="18"/>
      </w:rPr>
      <w:t>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D2A15"/>
    <w:multiLevelType w:val="hybridMultilevel"/>
    <w:tmpl w:val="30242990"/>
    <w:lvl w:ilvl="0" w:tplc="594876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186C6E"/>
    <w:multiLevelType w:val="hybridMultilevel"/>
    <w:tmpl w:val="065C6D8A"/>
    <w:lvl w:ilvl="0" w:tplc="594876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7427782"/>
    <w:multiLevelType w:val="hybridMultilevel"/>
    <w:tmpl w:val="2D8E0486"/>
    <w:lvl w:ilvl="0" w:tplc="594876C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6E95EF4"/>
    <w:multiLevelType w:val="hybridMultilevel"/>
    <w:tmpl w:val="0492B50C"/>
    <w:lvl w:ilvl="0" w:tplc="2674924C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78D"/>
    <w:rsid w:val="000B22EC"/>
    <w:rsid w:val="00310BE0"/>
    <w:rsid w:val="005A017A"/>
    <w:rsid w:val="007B0C6E"/>
    <w:rsid w:val="008A65B4"/>
    <w:rsid w:val="0092278D"/>
    <w:rsid w:val="00AB2679"/>
    <w:rsid w:val="00B3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78D"/>
    <w:pPr>
      <w:spacing w:after="0" w:line="240" w:lineRule="auto"/>
    </w:pPr>
    <w:rPr>
      <w:rFonts w:ascii="Arial" w:eastAsia="Times New Roman" w:hAnsi="Arial" w:cs="Arial"/>
      <w:spacing w:val="20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278D"/>
    <w:pPr>
      <w:jc w:val="both"/>
    </w:pPr>
    <w:rPr>
      <w:sz w:val="24"/>
      <w:szCs w:val="24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92278D"/>
    <w:rPr>
      <w:rFonts w:ascii="Arial" w:eastAsia="Times New Roman" w:hAnsi="Arial" w:cs="Arial"/>
      <w:spacing w:val="20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rsid w:val="0092278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2278D"/>
    <w:rPr>
      <w:rFonts w:ascii="Arial" w:eastAsia="Times New Roman" w:hAnsi="Arial" w:cs="Arial"/>
      <w:spacing w:val="20"/>
      <w:sz w:val="28"/>
      <w:szCs w:val="28"/>
      <w:lang w:eastAsia="es-ES"/>
    </w:rPr>
  </w:style>
  <w:style w:type="character" w:styleId="Nmerodepgina">
    <w:name w:val="page number"/>
    <w:rsid w:val="0092278D"/>
    <w:rPr>
      <w:rFonts w:cs="Times New Roman"/>
    </w:rPr>
  </w:style>
  <w:style w:type="paragraph" w:styleId="Encabezado">
    <w:name w:val="header"/>
    <w:basedOn w:val="Normal"/>
    <w:link w:val="EncabezadoCar"/>
    <w:rsid w:val="0092278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2278D"/>
    <w:rPr>
      <w:rFonts w:ascii="Arial" w:eastAsia="Times New Roman" w:hAnsi="Arial" w:cs="Arial"/>
      <w:spacing w:val="20"/>
      <w:sz w:val="28"/>
      <w:szCs w:val="28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78D"/>
    <w:pPr>
      <w:spacing w:after="0" w:line="240" w:lineRule="auto"/>
    </w:pPr>
    <w:rPr>
      <w:rFonts w:ascii="Arial" w:eastAsia="Times New Roman" w:hAnsi="Arial" w:cs="Arial"/>
      <w:spacing w:val="20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rsid w:val="0092278D"/>
    <w:pPr>
      <w:jc w:val="both"/>
    </w:pPr>
    <w:rPr>
      <w:sz w:val="24"/>
      <w:szCs w:val="24"/>
      <w:lang w:val="es-MX"/>
    </w:rPr>
  </w:style>
  <w:style w:type="character" w:customStyle="1" w:styleId="TextoindependienteCar">
    <w:name w:val="Texto independiente Car"/>
    <w:basedOn w:val="Fuentedeprrafopredeter"/>
    <w:link w:val="Textoindependiente"/>
    <w:rsid w:val="0092278D"/>
    <w:rPr>
      <w:rFonts w:ascii="Arial" w:eastAsia="Times New Roman" w:hAnsi="Arial" w:cs="Arial"/>
      <w:spacing w:val="20"/>
      <w:sz w:val="24"/>
      <w:szCs w:val="24"/>
      <w:lang w:val="es-MX" w:eastAsia="es-ES"/>
    </w:rPr>
  </w:style>
  <w:style w:type="paragraph" w:styleId="Piedepgina">
    <w:name w:val="footer"/>
    <w:basedOn w:val="Normal"/>
    <w:link w:val="PiedepginaCar"/>
    <w:rsid w:val="0092278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2278D"/>
    <w:rPr>
      <w:rFonts w:ascii="Arial" w:eastAsia="Times New Roman" w:hAnsi="Arial" w:cs="Arial"/>
      <w:spacing w:val="20"/>
      <w:sz w:val="28"/>
      <w:szCs w:val="28"/>
      <w:lang w:eastAsia="es-ES"/>
    </w:rPr>
  </w:style>
  <w:style w:type="character" w:styleId="Nmerodepgina">
    <w:name w:val="page number"/>
    <w:rsid w:val="0092278D"/>
    <w:rPr>
      <w:rFonts w:cs="Times New Roman"/>
    </w:rPr>
  </w:style>
  <w:style w:type="paragraph" w:styleId="Encabezado">
    <w:name w:val="header"/>
    <w:basedOn w:val="Normal"/>
    <w:link w:val="EncabezadoCar"/>
    <w:rsid w:val="0092278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92278D"/>
    <w:rPr>
      <w:rFonts w:ascii="Arial" w:eastAsia="Times New Roman" w:hAnsi="Arial" w:cs="Arial"/>
      <w:spacing w:val="20"/>
      <w:sz w:val="28"/>
      <w:szCs w:val="2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1042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superfinanciera</Company>
  <LinksUpToDate>false</LinksUpToDate>
  <CharactersWithSpaces>6766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Andres Muñoz Gallego</dc:creator>
  <cp:lastModifiedBy>Gabriel Armando Ospina Garcia</cp:lastModifiedBy>
  <cp:revision>3</cp:revision>
  <cp:lastPrinted>2017-09-28T00:29:00Z</cp:lastPrinted>
  <dcterms:created xsi:type="dcterms:W3CDTF">2017-10-02T17:41:00Z</dcterms:created>
  <dcterms:modified xsi:type="dcterms:W3CDTF">2017-10-02T20:47:00Z</dcterms:modified>
</cp:coreProperties>
</file>