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4DA" w:rsidRPr="00051253" w:rsidRDefault="0002135F">
      <w:pPr>
        <w:pStyle w:val="Cuerpo"/>
        <w:widowControl w:val="0"/>
        <w:jc w:val="both"/>
        <w:rPr>
          <w:rStyle w:val="Ninguno"/>
          <w:rFonts w:ascii="Arial" w:eastAsia="Arial" w:hAnsi="Arial" w:cs="Arial"/>
          <w:sz w:val="16"/>
          <w:szCs w:val="16"/>
          <w:lang w:val="es-CO"/>
        </w:rPr>
      </w:pPr>
      <w:bookmarkStart w:id="0" w:name="_GoBack"/>
      <w:bookmarkEnd w:id="0"/>
      <w:r w:rsidRPr="00051253">
        <w:rPr>
          <w:rStyle w:val="Ninguno"/>
          <w:rFonts w:ascii="Arial" w:hAnsi="Arial"/>
          <w:sz w:val="16"/>
          <w:szCs w:val="16"/>
          <w:lang w:val="es-CO"/>
        </w:rPr>
        <w:t>5.2.3.7. De todas las gestiones realizadas para la recuperación de cartera y de la información que se suministró a los deudores debe dejarse constancia documental, es decir, que pueda ser reproducida y suministrada al deudor cuando éste o las entidades competentes así lo requieran.</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5.2.3.8. Las gestiones de cobro deben efectuarse de manera respetuosa y en horarios adecuados para los consumidores financieros. Se entenderá por horarios adecuados aquellos que no afecten la intimidad personal y familiar del deudor.</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5.2.3.9. Cuando habiéndose desplegado la gestión de cobro en horarios adecuados, no sea posible localizar al deudor, la entidad podrá de manera excepcional, intentar ubicarlo en horarios extraordinarios.</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5.2.3.10. Los funcionarios o terceros autorizados para adelantar la gestión de cobranza deben reportar a la entidad vigilada de manera inmediata el acuerdo a que se llegó con el deudor y el dinero cancelado por éste, a fin de que la aplicación del pago sea igualmente inmediata.</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5.2.3.11. De todos los pagos efectuados por el deudor debe expedirse un comprobante en el cual se encuentre desagregada la aplicación del pago, el cual podrá ser entregado concomitante con el pago o posteriormente.</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5.2.3.12. Las entidades vigiladas deben establecer mecanismos tendientes a garantizar, por parte de los funcionarios o los terceros autorizados para realizar la gestión de cobranza, la custodia y reserva de la información del cliente.</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5.2.3.13. Las entidades vigiladas deben llevar un registro permanentemente actualizado en el cual se indique a qué casa de cobranza externa fue remitido el deudor, cuando sea el caso.</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5.2.3.14. Las entidades deben informarle al deudor el orden de la imputación de pagos.</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5.2.3.15. Las entidades deben garantizar que exista transparencia en la información que suministran directamente los funcionarios de ésta y terceros facultados para realizar la gestión de cobranza, de manera que no existan inconsistencias entre una y otra información.</w:t>
      </w:r>
    </w:p>
    <w:p w:rsidR="00ED44DA" w:rsidRPr="00051253" w:rsidRDefault="00ED44DA">
      <w:pPr>
        <w:pStyle w:val="Cuerpo"/>
        <w:widowControl w:val="0"/>
        <w:ind w:left="720"/>
        <w:jc w:val="both"/>
        <w:rPr>
          <w:rFonts w:ascii="Arial" w:eastAsia="Arial" w:hAnsi="Arial" w:cs="Arial"/>
          <w:bCs/>
          <w:sz w:val="16"/>
          <w:szCs w:val="16"/>
          <w:lang w:val="es-CO"/>
        </w:rPr>
      </w:pPr>
    </w:p>
    <w:p w:rsidR="00ED44DA" w:rsidRPr="00051253" w:rsidRDefault="0002135F">
      <w:pPr>
        <w:pStyle w:val="Ttulo2"/>
        <w:rPr>
          <w:b w:val="0"/>
          <w:lang w:val="es-CO"/>
        </w:rPr>
      </w:pPr>
      <w:r w:rsidRPr="00051253">
        <w:rPr>
          <w:b w:val="0"/>
          <w:lang w:val="es-CO"/>
        </w:rPr>
        <w:t>5.3. Cobranza judicial</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Cuando el cobro de la obligación se realice a través de un proceso judicial, las entidades deben observar las directrices impartidas por el juez en cada etapa del proceso, pues él es el único competente para adoptar los mecanismos tendientes a hacer cumplir sus decisiones.</w:t>
      </w:r>
    </w:p>
    <w:p w:rsidR="00ED44DA" w:rsidRPr="00051253" w:rsidRDefault="00ED44DA">
      <w:pPr>
        <w:pStyle w:val="Cuerpo"/>
        <w:widowControl w:val="0"/>
        <w:jc w:val="both"/>
        <w:rPr>
          <w:rFonts w:ascii="Arial" w:eastAsia="Arial" w:hAnsi="Arial" w:cs="Arial"/>
          <w:bCs/>
          <w:sz w:val="16"/>
          <w:szCs w:val="16"/>
          <w:lang w:val="es-CO"/>
        </w:rPr>
      </w:pPr>
    </w:p>
    <w:p w:rsidR="00ED44DA" w:rsidRPr="00051253" w:rsidRDefault="0002135F">
      <w:pPr>
        <w:pStyle w:val="Ttulo2"/>
        <w:rPr>
          <w:b w:val="0"/>
          <w:lang w:val="es-CO"/>
        </w:rPr>
      </w:pPr>
      <w:r w:rsidRPr="00051253">
        <w:rPr>
          <w:b w:val="0"/>
          <w:lang w:val="es-CO"/>
        </w:rPr>
        <w:t>5.4. Cobranza en los créditos de vivienda</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 xml:space="preserve">Tratándose del cobro de créditos de vivienda, las entidades vigiladas deben informar a los deudores que los gastos en que incurran las entidades financieras por concepto de gestiones de cobranza corren por cuenta de la respectiva institución vigilada hasta el momento en que se presente la demanda, y que el cobro judicial corre a cargo del deudor. Lo anterior, de conformidad con lo establecido por el art. 16 del Decreto 2331 de 1998, en concordancia con el </w:t>
      </w:r>
      <w:proofErr w:type="spellStart"/>
      <w:r w:rsidRPr="00051253">
        <w:rPr>
          <w:rStyle w:val="Ninguno"/>
          <w:rFonts w:ascii="Arial" w:hAnsi="Arial"/>
          <w:sz w:val="16"/>
          <w:szCs w:val="16"/>
          <w:lang w:val="es-CO"/>
        </w:rPr>
        <w:t>subnumeral</w:t>
      </w:r>
      <w:proofErr w:type="spellEnd"/>
      <w:r w:rsidRPr="00051253">
        <w:rPr>
          <w:rStyle w:val="Ninguno"/>
          <w:rFonts w:ascii="Arial" w:hAnsi="Arial"/>
          <w:sz w:val="16"/>
          <w:szCs w:val="16"/>
          <w:lang w:val="es-CO"/>
        </w:rPr>
        <w:t xml:space="preserve"> 1.3.3. </w:t>
      </w:r>
      <w:proofErr w:type="gramStart"/>
      <w:r w:rsidRPr="00051253">
        <w:rPr>
          <w:rStyle w:val="Ninguno"/>
          <w:rFonts w:ascii="Arial" w:hAnsi="Arial"/>
          <w:sz w:val="16"/>
          <w:szCs w:val="16"/>
          <w:lang w:val="es-CO"/>
        </w:rPr>
        <w:t>del</w:t>
      </w:r>
      <w:proofErr w:type="gramEnd"/>
      <w:r w:rsidRPr="00051253">
        <w:rPr>
          <w:rStyle w:val="Ninguno"/>
          <w:rFonts w:ascii="Arial" w:hAnsi="Arial"/>
          <w:sz w:val="16"/>
          <w:szCs w:val="16"/>
          <w:lang w:val="es-CO"/>
        </w:rPr>
        <w:t xml:space="preserve"> Capítulo VI, Título I de la Parte II de la presente Circular.</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Ttulo2"/>
        <w:rPr>
          <w:b w:val="0"/>
          <w:lang w:val="es-CO"/>
        </w:rPr>
      </w:pPr>
      <w:r w:rsidRPr="00051253">
        <w:rPr>
          <w:b w:val="0"/>
          <w:lang w:val="es-CO"/>
        </w:rPr>
        <w:t>5.5. Cobranza en los microcréditos</w:t>
      </w:r>
    </w:p>
    <w:p w:rsidR="00ED44DA" w:rsidRPr="00051253" w:rsidRDefault="00ED44DA">
      <w:pPr>
        <w:pStyle w:val="Cuerpo"/>
        <w:widowControl w:val="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En el caso de los gastos de cobranza de las obligaciones derivadas de microcréditos, las entidades vigiladas deben observar lo previsto en el art. 39 de la Ley 590 de 2000 y sus normas complementarias. Dicha disposición autoriza expresamente a los intermediarios financieros y a las organizaciones especializadas en crédito micro empresarial para cobrar honorarios y comisiones de conformidad con las tarifas que autorice el Consejo Superior de Microempresa.</w:t>
      </w:r>
    </w:p>
    <w:p w:rsidR="00ED44DA" w:rsidRPr="00051253" w:rsidRDefault="00ED44DA">
      <w:pPr>
        <w:pStyle w:val="Piedepgina"/>
        <w:tabs>
          <w:tab w:val="clear" w:pos="8504"/>
          <w:tab w:val="right" w:pos="8760"/>
        </w:tabs>
        <w:ind w:right="360"/>
        <w:jc w:val="both"/>
        <w:rPr>
          <w:rFonts w:ascii="Arial" w:eastAsia="Arial" w:hAnsi="Arial" w:cs="Arial"/>
          <w:sz w:val="16"/>
          <w:szCs w:val="16"/>
          <w:lang w:val="es-CO"/>
        </w:rPr>
      </w:pPr>
    </w:p>
    <w:p w:rsidR="00ED44DA" w:rsidRPr="00051253" w:rsidRDefault="0002135F">
      <w:pPr>
        <w:pStyle w:val="Cuerpo"/>
        <w:widowControl w:val="0"/>
        <w:jc w:val="both"/>
        <w:rPr>
          <w:rStyle w:val="Ninguno"/>
          <w:rFonts w:ascii="Arial" w:eastAsia="Arial" w:hAnsi="Arial" w:cs="Arial"/>
          <w:sz w:val="16"/>
          <w:szCs w:val="16"/>
          <w:lang w:val="es-CO"/>
        </w:rPr>
      </w:pPr>
      <w:r w:rsidRPr="00051253">
        <w:rPr>
          <w:rStyle w:val="Ninguno"/>
          <w:rFonts w:ascii="Arial" w:hAnsi="Arial"/>
          <w:sz w:val="16"/>
          <w:szCs w:val="16"/>
          <w:lang w:val="es-CO"/>
        </w:rPr>
        <w:t xml:space="preserve">El cobro de honorarios y comisiones autorizadas a las entidades otorgantes de microcrédito se consideran erogaciones autorizadas en tanto se generen en un crédito que está siendo atendido normalmente. No obstante, ante la mora de una obligación de esta naturaleza, resultarán aplicables los lineamientos generales contenidos en los </w:t>
      </w:r>
      <w:proofErr w:type="spellStart"/>
      <w:r w:rsidRPr="00051253">
        <w:rPr>
          <w:rStyle w:val="Ninguno"/>
          <w:rFonts w:ascii="Arial" w:hAnsi="Arial"/>
          <w:sz w:val="16"/>
          <w:szCs w:val="16"/>
          <w:lang w:val="es-CO"/>
        </w:rPr>
        <w:t>subnumerales</w:t>
      </w:r>
      <w:proofErr w:type="spellEnd"/>
      <w:r w:rsidRPr="00051253">
        <w:rPr>
          <w:rStyle w:val="Ninguno"/>
          <w:rFonts w:ascii="Arial" w:hAnsi="Arial"/>
          <w:sz w:val="16"/>
          <w:szCs w:val="16"/>
          <w:lang w:val="es-CO"/>
        </w:rPr>
        <w:t xml:space="preserve"> 5.2 y 5.3 del presente Capítulo.</w:t>
      </w:r>
    </w:p>
    <w:p w:rsidR="00ED44DA" w:rsidRPr="00051253" w:rsidRDefault="00ED44DA">
      <w:pPr>
        <w:pStyle w:val="Cuerpo"/>
        <w:widowControl w:val="0"/>
        <w:ind w:left="720"/>
        <w:jc w:val="both"/>
        <w:rPr>
          <w:rFonts w:ascii="Arial" w:eastAsia="Arial" w:hAnsi="Arial" w:cs="Arial"/>
          <w:bCs/>
          <w:sz w:val="16"/>
          <w:szCs w:val="16"/>
          <w:lang w:val="es-CO"/>
        </w:rPr>
      </w:pPr>
    </w:p>
    <w:p w:rsidR="00ED44DA" w:rsidRPr="00051253" w:rsidRDefault="0002135F">
      <w:pPr>
        <w:pStyle w:val="Ttulo1"/>
        <w:rPr>
          <w:b w:val="0"/>
          <w:lang w:val="es-CO"/>
        </w:rPr>
      </w:pPr>
      <w:r w:rsidRPr="00051253">
        <w:rPr>
          <w:b w:val="0"/>
          <w:lang w:val="es-CO"/>
        </w:rPr>
        <w:t xml:space="preserve">6. CLÁUSULAS Y PRÁCTICAS ABUSIVAS </w:t>
      </w:r>
    </w:p>
    <w:p w:rsidR="00ED44DA" w:rsidRPr="00051253" w:rsidRDefault="00ED44DA">
      <w:pPr>
        <w:pStyle w:val="Cuerpo"/>
        <w:ind w:right="312"/>
        <w:jc w:val="both"/>
        <w:rPr>
          <w:rFonts w:ascii="Arial" w:eastAsia="Arial" w:hAnsi="Arial" w:cs="Arial"/>
          <w:bCs/>
          <w:sz w:val="16"/>
          <w:szCs w:val="16"/>
          <w:lang w:val="es-CO"/>
        </w:rPr>
      </w:pPr>
    </w:p>
    <w:p w:rsidR="00ED44DA" w:rsidRPr="00051253" w:rsidRDefault="0002135F">
      <w:pPr>
        <w:pStyle w:val="nfasissutil1"/>
        <w:ind w:left="0"/>
        <w:rPr>
          <w:rStyle w:val="Ninguno"/>
          <w:spacing w:val="0"/>
          <w:sz w:val="16"/>
          <w:szCs w:val="16"/>
          <w:lang w:val="es-CO"/>
        </w:rPr>
      </w:pPr>
      <w:r w:rsidRPr="00051253">
        <w:rPr>
          <w:rStyle w:val="Ninguno"/>
          <w:spacing w:val="0"/>
          <w:sz w:val="16"/>
          <w:szCs w:val="16"/>
          <w:lang w:val="es-CO"/>
        </w:rPr>
        <w:t>De acuerdo con lo establecido en el literal e</w:t>
      </w:r>
      <w:r w:rsidRPr="00051253">
        <w:rPr>
          <w:rStyle w:val="Ninguno"/>
          <w:bCs/>
          <w:spacing w:val="0"/>
          <w:sz w:val="16"/>
          <w:szCs w:val="16"/>
          <w:lang w:val="es-CO"/>
        </w:rPr>
        <w:t>)</w:t>
      </w:r>
      <w:r w:rsidRPr="00051253">
        <w:rPr>
          <w:rStyle w:val="Ninguno"/>
          <w:spacing w:val="0"/>
          <w:sz w:val="16"/>
          <w:szCs w:val="16"/>
          <w:lang w:val="es-CO"/>
        </w:rPr>
        <w:t xml:space="preserve"> del art</w:t>
      </w:r>
      <w:r w:rsidRPr="00051253">
        <w:rPr>
          <w:rStyle w:val="Ninguno"/>
          <w:bCs/>
          <w:spacing w:val="0"/>
          <w:sz w:val="16"/>
          <w:szCs w:val="16"/>
          <w:lang w:val="es-CO"/>
        </w:rPr>
        <w:t>.</w:t>
      </w:r>
      <w:r w:rsidRPr="00051253">
        <w:rPr>
          <w:rStyle w:val="Ninguno"/>
          <w:spacing w:val="0"/>
          <w:sz w:val="16"/>
          <w:szCs w:val="16"/>
          <w:lang w:val="es-CO"/>
        </w:rPr>
        <w:t xml:space="preserve"> 7 de la Ley 1328 de 2009, las entidades vigiladas deben abstenerse de incurrir en conductas que conlleven abusos contractuales o de convenir cláusulas que puedan afectar el equilibrio del contrato o que den lugar a un abuso de posición dominante contractual.</w:t>
      </w:r>
    </w:p>
    <w:p w:rsidR="00ED44DA" w:rsidRPr="00051253" w:rsidRDefault="00ED44DA">
      <w:pPr>
        <w:pStyle w:val="nfasissutil1"/>
        <w:ind w:left="0"/>
        <w:rPr>
          <w:rStyle w:val="Ninguno"/>
          <w:spacing w:val="0"/>
          <w:sz w:val="16"/>
          <w:szCs w:val="16"/>
          <w:lang w:val="es-CO"/>
        </w:rPr>
      </w:pPr>
    </w:p>
    <w:p w:rsidR="00ED44DA" w:rsidRPr="00051253" w:rsidRDefault="0002135F">
      <w:pPr>
        <w:pStyle w:val="Cuerpo"/>
        <w:jc w:val="both"/>
        <w:rPr>
          <w:rStyle w:val="Ninguno"/>
          <w:rFonts w:ascii="Arial" w:eastAsia="Arial" w:hAnsi="Arial" w:cs="Arial"/>
          <w:bCs/>
          <w:sz w:val="16"/>
          <w:szCs w:val="16"/>
          <w:lang w:val="es-CO"/>
        </w:rPr>
      </w:pPr>
      <w:r w:rsidRPr="00051253">
        <w:rPr>
          <w:rStyle w:val="Ninguno"/>
          <w:rFonts w:ascii="Arial" w:hAnsi="Arial"/>
          <w:sz w:val="16"/>
          <w:szCs w:val="16"/>
          <w:lang w:val="es-CO"/>
        </w:rPr>
        <w:t>En concordancia con lo anterior,</w:t>
      </w:r>
      <w:r w:rsidRPr="00051253">
        <w:rPr>
          <w:rStyle w:val="Ninguno"/>
          <w:rFonts w:ascii="Arial" w:hAnsi="Arial"/>
          <w:bCs/>
          <w:sz w:val="16"/>
          <w:szCs w:val="16"/>
          <w:lang w:val="es-CO"/>
        </w:rPr>
        <w:t xml:space="preserve"> el art. 11 de la citada ley prohíbe expresamente </w:t>
      </w:r>
      <w:r w:rsidRPr="00051253">
        <w:rPr>
          <w:rStyle w:val="Ninguno"/>
          <w:rFonts w:ascii="Arial" w:hAnsi="Arial"/>
          <w:sz w:val="16"/>
          <w:szCs w:val="16"/>
          <w:lang w:val="es-CO"/>
        </w:rPr>
        <w:t>la incorporación de cláusulas o estipulaciones abusivas en los contratos de adhesión que utilicen las entidades vigiladas y el literal e) del mismo art</w:t>
      </w:r>
      <w:r w:rsidR="00A03FB7" w:rsidRPr="00051253">
        <w:rPr>
          <w:rStyle w:val="Ninguno"/>
          <w:rFonts w:ascii="Arial" w:hAnsi="Arial"/>
          <w:sz w:val="16"/>
          <w:szCs w:val="16"/>
          <w:lang w:val="es-CO"/>
        </w:rPr>
        <w:t xml:space="preserve">. </w:t>
      </w:r>
      <w:r w:rsidRPr="00051253">
        <w:rPr>
          <w:rStyle w:val="Ninguno"/>
          <w:rFonts w:ascii="Arial" w:hAnsi="Arial"/>
          <w:sz w:val="16"/>
          <w:szCs w:val="16"/>
          <w:lang w:val="es-CO"/>
        </w:rPr>
        <w:t>le</w:t>
      </w:r>
      <w:r w:rsidRPr="00051253">
        <w:rPr>
          <w:rStyle w:val="Ninguno"/>
          <w:rFonts w:ascii="Arial" w:hAnsi="Arial"/>
          <w:bCs/>
          <w:sz w:val="16"/>
          <w:szCs w:val="16"/>
          <w:lang w:val="es-CO"/>
        </w:rPr>
        <w:t xml:space="preserve"> otorga </w:t>
      </w:r>
      <w:r w:rsidRPr="00051253">
        <w:rPr>
          <w:rStyle w:val="Ninguno"/>
          <w:rFonts w:ascii="Arial" w:hAnsi="Arial"/>
          <w:sz w:val="16"/>
          <w:szCs w:val="16"/>
          <w:lang w:val="es-CO"/>
        </w:rPr>
        <w:t>a la SFC la facultad de establecer de manera previa y general cláusulas y estipulaciones que han de ser consideradas como abusivas</w:t>
      </w:r>
      <w:r w:rsidRPr="00051253">
        <w:rPr>
          <w:rStyle w:val="Ninguno"/>
          <w:rFonts w:ascii="Arial" w:hAnsi="Arial"/>
          <w:bCs/>
          <w:sz w:val="16"/>
          <w:szCs w:val="16"/>
          <w:lang w:val="es-CO"/>
        </w:rPr>
        <w:t>.</w:t>
      </w:r>
    </w:p>
    <w:p w:rsidR="00ED44DA" w:rsidRPr="00051253" w:rsidRDefault="00ED44DA">
      <w:pPr>
        <w:pStyle w:val="nfasissutil1"/>
        <w:ind w:left="0"/>
        <w:rPr>
          <w:rStyle w:val="Ninguno"/>
          <w:bCs/>
          <w:spacing w:val="0"/>
          <w:sz w:val="16"/>
          <w:szCs w:val="16"/>
          <w:lang w:val="es-CO"/>
        </w:rPr>
      </w:pPr>
    </w:p>
    <w:p w:rsidR="00ED44DA" w:rsidRPr="00051253" w:rsidRDefault="0002135F">
      <w:pPr>
        <w:pStyle w:val="nfasissutil1"/>
        <w:ind w:left="0"/>
        <w:rPr>
          <w:rStyle w:val="Ninguno"/>
          <w:bCs/>
          <w:spacing w:val="0"/>
          <w:sz w:val="16"/>
          <w:szCs w:val="16"/>
          <w:lang w:val="es-CO"/>
        </w:rPr>
      </w:pPr>
      <w:r w:rsidRPr="00051253">
        <w:rPr>
          <w:rStyle w:val="Ninguno"/>
          <w:bCs/>
          <w:spacing w:val="0"/>
          <w:sz w:val="16"/>
          <w:szCs w:val="16"/>
          <w:lang w:val="es-CO"/>
        </w:rPr>
        <w:t>A su turno, el art</w:t>
      </w:r>
      <w:r w:rsidR="006A241D" w:rsidRPr="00051253">
        <w:rPr>
          <w:rStyle w:val="Ninguno"/>
          <w:bCs/>
          <w:spacing w:val="0"/>
          <w:sz w:val="16"/>
          <w:szCs w:val="16"/>
          <w:lang w:val="es-CO"/>
        </w:rPr>
        <w:t>.</w:t>
      </w:r>
      <w:r w:rsidRPr="00051253">
        <w:rPr>
          <w:rStyle w:val="Ninguno"/>
          <w:bCs/>
          <w:spacing w:val="0"/>
          <w:sz w:val="16"/>
          <w:szCs w:val="16"/>
          <w:lang w:val="es-CO"/>
        </w:rPr>
        <w:t xml:space="preserve"> 12 de la misma ley establece algunas prácticas que se consideran abusivas y en su literal d) le otorga a la SFC la facultad de establecer de manera previa y general otras prácticas que se consideran abusivas por parte de las entidades vigiladas.     </w:t>
      </w:r>
    </w:p>
    <w:p w:rsidR="00ED44DA" w:rsidRPr="00051253" w:rsidRDefault="00ED44DA">
      <w:pPr>
        <w:pStyle w:val="Cuerpo"/>
        <w:jc w:val="both"/>
        <w:rPr>
          <w:rFonts w:ascii="Arial" w:eastAsia="Arial" w:hAnsi="Arial" w:cs="Arial"/>
          <w:sz w:val="16"/>
          <w:szCs w:val="16"/>
          <w:lang w:val="es-CO"/>
        </w:rPr>
      </w:pPr>
    </w:p>
    <w:p w:rsidR="00ED44DA" w:rsidRPr="00051253" w:rsidRDefault="0002135F">
      <w:pPr>
        <w:pStyle w:val="Cuerpo"/>
        <w:jc w:val="both"/>
        <w:rPr>
          <w:rStyle w:val="Ninguno"/>
          <w:sz w:val="16"/>
          <w:szCs w:val="16"/>
          <w:lang w:val="es-CO"/>
        </w:rPr>
      </w:pPr>
      <w:r w:rsidRPr="00051253">
        <w:rPr>
          <w:rStyle w:val="Ninguno"/>
          <w:rFonts w:ascii="Arial" w:hAnsi="Arial"/>
          <w:sz w:val="16"/>
          <w:szCs w:val="16"/>
          <w:lang w:val="es-CO"/>
        </w:rPr>
        <w:t xml:space="preserve">En desarrollo de todo lo anterior, </w:t>
      </w:r>
      <w:r w:rsidRPr="00051253">
        <w:rPr>
          <w:rStyle w:val="Ninguno"/>
          <w:rFonts w:ascii="Arial" w:hAnsi="Arial"/>
          <w:bCs/>
          <w:sz w:val="16"/>
          <w:szCs w:val="16"/>
          <w:lang w:val="es-CO"/>
        </w:rPr>
        <w:t xml:space="preserve">atendiendo el mandato legal contenido en la Ley 1328 de 2009 </w:t>
      </w:r>
      <w:r w:rsidRPr="00051253">
        <w:rPr>
          <w:rStyle w:val="Ninguno"/>
          <w:rFonts w:ascii="Arial" w:hAnsi="Arial"/>
          <w:sz w:val="16"/>
          <w:szCs w:val="16"/>
          <w:lang w:val="es-CO"/>
        </w:rPr>
        <w:t xml:space="preserve"> y con el propósito de garantizar una adecuada protección a los consumidores financieros, la SFC señala a continuación algunos ejemplos de cláusulas, estipulaciones y prácticas que se consideran abusivas. </w:t>
      </w:r>
    </w:p>
    <w:p w:rsidR="00ED44DA" w:rsidRPr="00051253" w:rsidRDefault="00ED44DA">
      <w:pPr>
        <w:pStyle w:val="Cuerpo"/>
        <w:jc w:val="both"/>
        <w:rPr>
          <w:sz w:val="16"/>
          <w:szCs w:val="16"/>
          <w:lang w:val="es-CO"/>
        </w:rPr>
      </w:pP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 Cláusulas abusivas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Salvo que medie autorización legal expresa para incorporar este tipo de cláusulas en los contratos que celebren las entidades vigiladas, son abusivas de acuerdo con lo previsto por la Ley 1328 de 2009, las siguientes cláusulas o estipulaciones: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 Las que prevean o impliquen limitación o renuncia al ejercicio de los derechos de los consumidores financieros. Son ejemplo de estas cláusulas las siguientes: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lastRenderedPageBreak/>
        <w:t>6.1.1.1. Las que impidan a los consumidores financieros solicitar el pago de perjuicios o pedir la terminación o resolución del contrato, inclusive en los eventos de incumplimiento de las obligaciones a cargo de la entidad vigilada.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6.1.1.2. Las que facultan a las entidades vigiladas a contratar o renovar seguros, obligatorios o no, por cuenta del deudor, sin que se le haya dado información en relación con las características del producto tales como coberturas, exclusiones, tarifas y que no se le haya dado la posibilidad de escoger la entidad aseguradora.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6.1.1.3. Las que estipulan que el consumidor financiero no podrá ejercer el derecho de defensa y contradicción, limitan los medios probatorios, imponen medios de prueba, exigen solemnidades no previstas en la ley, o cualquier otra que limite el ejercicio del derecho de defensa.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6.1.1.4. Las que restrinjan el derecho de los consumidores financieros a acudir al defensor del consumidor financiero o a la SFC para la resolución de las controversias, cuando se ha pactado un mecanismo alternativo de solución de conflictos para resolverlas.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6.1.1.5. Las que limitan el pago anticipado total o parcial de las obligaciones, la posibilidad de elegir si se hace abonar a capital con disminución de plazo o abonar a capital con disminución del valor de la cuota de la obligación.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6.1.1.6. Las que imponen que el consumidor financiero asuma toda la responsabilidad por cualquier operación realizada con la clave asignada, incluso cuando se cause un perjuicio como consecuencia del incumplimiento de normas de seguridad de la información, o debilidades en el sistema de administración de riesgo operativo, por parte de la entidad vigilada.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6.1.1.7. Las que establecen el cobro de cuotas de manejo en cuentas de ahorros o corrientes en las que se consignen las mesadas pensionales y/o subsidios periódicos provistos por el Estado.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6.1.1.8. Las que limitan contractualmente el alcance de la garantía legal que se debe otorgar respecto de los servicios prestados, cuando la indemnización del siniestro amparado por una entidad aseguradora se realiza mediante reposición, reparación o reconstrucción del bien asegurado, salvo que el asegurado, tomador o beneficiario sea quien selecciona el proveedor del servicio o el bien objeto de reposición.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6.1.1.9. Las que autorizan a las entidades vigiladas a compartir los datos personales del consumidor financiero sin que haya autorización, previa y expresa, por parte de la ley o del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6.1.1.10. Las que establecen que el consumidor financiero no recibirá extractos, cuentas de cobro, estados de cuentas o documentos similares, cuando incurra en mora.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6.1.1.11. Las que para la terminación del contrato o cancelación de un producto o servicio, impongan al consumidor financiero el cumplimiento de requisitos mayores a los solicitados al momento de la celebración del mismo, o que impongan mayores cargas o costos a los legalmente establecidos.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6.1.2. Las que inviertan la carga de la prueba en perjuicio del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6.1.3. Las que incluyan espacios en blanco y para su diligenciamiento no haya instrucciones claras en la carta de instrucciones.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 Las que exoneren o atenúen los deberes y responsabilidades propios del objeto social de las entidades vigiladas. Son ejemplos de estas cláusulas las siguientes: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6.1.4.1. Las que exoneran de toda responsabilidad a las entidades vigiladas en caso de pérdida o hurto de instrumentos, títulos o claves y limitan</w:t>
      </w:r>
      <w:r>
        <w:rPr>
          <w:rStyle w:val="Ninguno"/>
          <w:rFonts w:ascii="Arial" w:hAnsi="Arial"/>
          <w:b/>
          <w:bCs/>
          <w:sz w:val="16"/>
          <w:szCs w:val="16"/>
          <w:lang w:val="es-CO"/>
        </w:rPr>
        <w:t xml:space="preserve"> </w:t>
      </w:r>
      <w:r w:rsidRPr="00EF233D">
        <w:rPr>
          <w:rStyle w:val="Ninguno"/>
          <w:rFonts w:ascii="Arial" w:hAnsi="Arial"/>
          <w:b/>
          <w:bCs/>
          <w:sz w:val="16"/>
          <w:szCs w:val="16"/>
          <w:lang w:val="es-CO"/>
        </w:rPr>
        <w:t>el derecho del consumidor financiero de demostrar que efectivamente la entidad vigilada incurrió en dolo o culpa.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6.1.4.2. Sin perjuicio de los deberes de custodia y diligencia del consumidor financiero, las que imponen que este asuma de manera anticipada toda la responsabilidad derivada del uso de los diferentes instrumentos o claves para la realización de operaciones (tarjetas débito, crédito, talonarios, dispositivos móviles, títulos, entre otros), así como por cualquier falsedad, adulteración, extravío o uso indebido que de ellos se haga por un tercero.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6.1.4.3. Las que establecen que la entidad vigilada no será responsable por los retiros realizados con documentación adulterada, falsificada o indebidamente diligenciada, cuando la entidad vigilada no haya dispuesto de mecanismos idóneos para verificar adulteraciones o falsificaciones a dichos documentos o, cuando habiendo dispuesto de ellos, las adulteraciones o falsificaciones eran notorias.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6.1.4.4. Las que establezcan que la entidad vigilada no es responsable respecto de los perjuicios o daños derivados de virus, equipos o programas inadecuados o fraudulentos que puedan afectar la confidencialidad o integridad de la información administrada por la entidad.</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6.1.4.5. Las que establecen que la entidad no será responsable por las posibles discrepancias que puedan surgir entre la versión de sus documentos impresos y la versión electrónica de los mismos publicados en la página web.</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6.1.4.6. Sin perjuicio de las normas aplicables a esta materia, las que eximen de responsabilidad a las entidades vigiladas por la entrega o transferencia de recursos a terceros no autorizados, por el pago de cheques falsos, o por el pago de cheques que no cumplen con las condiciones de manejo establecidas por el consumidor financiero para tal efecto.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6.1.4.7. Las que establecen que la entidad vigilada no responderá por la exactitud, veracidad, oportunidad e integridad de la información contenida en sus respectivos sitios web.</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6.1.4.8. Las que exoneran de responsabilidad a la entidad aseguradora por demora o incumplimiento en los procesos de reposición, reparación o reconstrucción del bien asegurado efectuados a título de indemnización, cuando las causas de la demora son atribuibles a la entidad aseguradora o a la red mediante la cual presta sus servicios.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lastRenderedPageBreak/>
        <w:t>6.1.4.9. Las que limitan la posibilidad de realizar pagos por los distintos canales habilitados por la entidad o las que establecen que los pagos realizados por medio de estos canales se entienden como no realizados.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6.1.4.10. Las que exoneran de responsabilidad a la entidad vigilada por los pagos recibidos que hayan sido efectuados de forma diferente a la definida en el contrato.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6.1.4.11. Las que eximen de responsabilidad por dolo o culpa a la entidad vigilada respecto de la continuidad del servicio y de los riesgos a los que se encuentra expuesta la infraestructura tecnológica de su sistema de pagos y su operación.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6.1.4.12. Las que eximen de responsabilidad a la entidad vigilada por dolo o culpa cuando el consumidor financiero no pueda efectuar operaciones por fallas en los sistemas, las comunicaciones, o los canales, o por defectos en sus productos o suspensión del servicio.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6.1.4.13. Las que eximen de responsabilidad a la entidad vigilada por dolo o culpa por la pérdida de los extractos cuando se remiten en forma física o por correo electrónico.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6.1.4.14. Las que establecen la exoneración de responsabilidad por depósitos que se efectúen bajo denominación o número de cuenta incorrecto cuando estos sean indicados por el consumidor financiero, pero que la entidad vigilada estaba en capacidad de prevenir.</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w:t>
      </w:r>
      <w:r w:rsidR="00C768C2">
        <w:rPr>
          <w:rStyle w:val="Ninguno"/>
          <w:rFonts w:ascii="Arial" w:hAnsi="Arial"/>
          <w:b/>
          <w:bCs/>
          <w:sz w:val="16"/>
          <w:szCs w:val="16"/>
          <w:lang w:val="es-CO"/>
        </w:rPr>
        <w:t>.</w:t>
      </w:r>
      <w:r w:rsidRPr="00EF233D">
        <w:rPr>
          <w:rStyle w:val="Ninguno"/>
          <w:rFonts w:ascii="Arial" w:hAnsi="Arial"/>
          <w:b/>
          <w:bCs/>
          <w:sz w:val="16"/>
          <w:szCs w:val="16"/>
          <w:lang w:val="es-CO"/>
        </w:rPr>
        <w:t xml:space="preserve"> Las que autoricen a las entidades vigiladas para adoptar decisiones de manera unilateral o le impongan a los consumidores financieros modificaciones u obligaciones adicionales a las inicialmente pactadas en el contrato, y que puedan ocasionar perjuicios al consumidor financiero. Son ejemplos de estas cláusulas las siguientes: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6.1.5.1. Las que señalan el número de cuotas en que se difieren las compras o avances que se hagan mediante tarjeta de crédito en el territorio nacional. No obstante lo anterior, las entidades vigiladas pueden establecer políticas para la definición del número de cuotas, cuando por la naturaleza de la transacción, no exista posibilidad de toma de decisión por parte del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6.1.5.2. Las que permiten acelerar de manera automática el plazo de una obligación por el incumplimiento en una de las cuotas, sin haberlo informado al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6.1.5.3. Las que permiten acelerar el plazo o terminar de manera automática una obligación por el incumplimiento de otra, sin informar previamente al consumidor financiero con al menos 5 días hábiles de antelación.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6.1.5.4. Las que facultan a las entidades vigiladas para modificar unilateralmente las tarifas, tasas de interés, precios o los costos asociados a los productos o servicios pactados sin notificación previa al titular del mismo por el medio y/o canal que habitualmente utiliza la entidad vigilada y que haya sido autorizado por el consumidor financiero, cuando ello implique un mayor costo o un perjuicio para él.</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6.1.5.5. Las que autorizan a los intermediarios de valores la realización de operaciones sin que medie una instrucción u orden previa y expresa de los consumidores financieros, cuando esta se requiera.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6.1.5.6. Las que establecen la prórroga o renovación automática de un contrato sin el consentimiento del consumidor financiero, salvo que esta conlleve un beneficio para el consumidor financiero o se le haya dado la oportunidad de aprobar o rechazar con suficiente antelación si se realiza o no la prórroga o renovación.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6.1.5.7. Las que incorporan causales de terminación de cobertura del contrato de </w:t>
      </w:r>
      <w:proofErr w:type="gramStart"/>
      <w:r w:rsidRPr="00EF233D">
        <w:rPr>
          <w:rStyle w:val="Ninguno"/>
          <w:rFonts w:ascii="Arial" w:hAnsi="Arial"/>
          <w:b/>
          <w:bCs/>
          <w:sz w:val="16"/>
          <w:szCs w:val="16"/>
          <w:lang w:val="es-CO"/>
        </w:rPr>
        <w:t>seguro diferentes</w:t>
      </w:r>
      <w:proofErr w:type="gramEnd"/>
      <w:r w:rsidRPr="00EF233D">
        <w:rPr>
          <w:rStyle w:val="Ninguno"/>
          <w:rFonts w:ascii="Arial" w:hAnsi="Arial"/>
          <w:b/>
          <w:bCs/>
          <w:sz w:val="16"/>
          <w:szCs w:val="16"/>
          <w:lang w:val="es-CO"/>
        </w:rPr>
        <w:t xml:space="preserve"> a las enunciadas en la ley, sin que medie previa notificación al asegurado.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6.1.5.8. Las que establecen que las transacciones realizadas mediante  utilizaciones con tarjeta de crédito internacional se liquidarán con la tasa de cambio de la fecha de compensación sin que dicha tasa sea determinada o determinable y las que facultan a las entidades vigiladas para aplicar una tasa que no ha sido previamente informada al consumidor financiero de acuerdo a lo establecido en el parágrafo 1 del art. 70 de la Resolución Externa 8 de 2000.</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6.1.5.9. Las que presuman cualquier manifestación de voluntad del consumidor financiero, cuando de esta se deriven erogaciones u obligaciones a su cargo.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w:t>
      </w:r>
      <w:r w:rsidR="00C768C2">
        <w:rPr>
          <w:rStyle w:val="Ninguno"/>
          <w:rFonts w:ascii="Arial" w:hAnsi="Arial"/>
          <w:b/>
          <w:bCs/>
          <w:sz w:val="16"/>
          <w:szCs w:val="16"/>
          <w:lang w:val="es-CO"/>
        </w:rPr>
        <w:t>.</w:t>
      </w:r>
      <w:r w:rsidRPr="00EF233D">
        <w:rPr>
          <w:rStyle w:val="Ninguno"/>
          <w:rFonts w:ascii="Arial" w:hAnsi="Arial"/>
          <w:b/>
          <w:bCs/>
          <w:sz w:val="16"/>
          <w:szCs w:val="16"/>
          <w:lang w:val="es-CO"/>
        </w:rPr>
        <w:t xml:space="preserve"> Las que afectan el equilibrio contractual o dan lugar a abuso de posición dominante contractual. Son ejemplos de estas cláusulas las siguientes: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 Las que le imponen al consumidor financiero la aceptación de plazos o límites temporales para presentar quejas o reclamos en desconocimiento de los establecidos en la ley, así como las estipulaciones que restrinjan o limiten la forma de interponerlos, salvo que los plazos o límites legales se modifiquen en beneficio del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6.1.6.2. Las que le imponen, directa o indirectamente, al consumidor financiero la designación de un notario específico que dará fe pública sobre el servicio proveído, el crédito que se le otorgue o las garantías correspondientes.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6.1.6.3. Las que autorizan a la entidad vigilada a destruir cheques pagados y girados por el librador, sin perjuicio de lo establecido en las normas que regulan lo relacionado con la conservación de archivos y documentos, especialmente en lo que tiene que ver con asegurar, por cualquier medio técnico adecuado, su reproducción exacta.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6.1.6.4. Las que obligan a mantener al consumidor financiero la estricta confidencialidad sobre las fallas del servicio o sobre las fallas de los sistemas de información de la entidad vigilada.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6.1.6.5. Las que estipulan que no se pagarán intereses por los dineros depositados en productos de ahorro.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6.1.6.6. Las que condicionan el reconocimiento de la indemnización de siniestros que afectan una póliza de seguro a actuaciones meramente potestativas de las entidades aseguradoras.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lastRenderedPageBreak/>
        <w:t>6.1.6.7. Las que establecen que si durante la vigencia de la póliza se modifican las condiciones generales y/o particulares depositadas ante esta Superintendencia, las mismas se consideran automáticamente incorporadas al momento de su renovación, sin que estas hayan sido previamente informadas y suministradas al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6.1.6.8. Las que imponen al consumidor financiero la obligación de pagar gastos, comisiones o cuotas de manejo que no son expresamente determinadas o determinables.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6.1.6.9. Las que autorizan a la entidad vigilada para cobrar por servicios no prestados o por el cumplimiento de prestaciones propias del contrato que no implican un servicio adicional, tales como aquellas que autorizan a las aseguradoras para cobrar al consumidor financiero por efectuar el pago del siniestro, o aquellas que facultan a las entidades vigiladas para cobrar a sus deudores por el desembolso de sus créditos.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6.1.6.10. Las que exijan la suscripción del contrato sin que la entidad vigilada garantice el otorgamiento del producto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6.1.6.11. Las que exijan la </w:t>
      </w:r>
      <w:proofErr w:type="spellStart"/>
      <w:r w:rsidRPr="00EF233D">
        <w:rPr>
          <w:rStyle w:val="Ninguno"/>
          <w:rFonts w:ascii="Arial" w:hAnsi="Arial"/>
          <w:b/>
          <w:bCs/>
          <w:sz w:val="16"/>
          <w:szCs w:val="16"/>
          <w:lang w:val="es-CO"/>
        </w:rPr>
        <w:t>preconstitución</w:t>
      </w:r>
      <w:proofErr w:type="spellEnd"/>
      <w:r w:rsidRPr="00EF233D">
        <w:rPr>
          <w:rStyle w:val="Ninguno"/>
          <w:rFonts w:ascii="Arial" w:hAnsi="Arial"/>
          <w:b/>
          <w:bCs/>
          <w:sz w:val="16"/>
          <w:szCs w:val="16"/>
          <w:lang w:val="es-CO"/>
        </w:rPr>
        <w:t xml:space="preserve"> de garantías sin que la entidad vigilada haya adelantado los respectivos estudios de crédito.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6.1.6.12. Las que permiten descontar de manera anticipada las cuotas de créditos.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6.1.6.13. Las que establecen el cobro del primer paz y salvo por cancelación total de obligaciones de crédito, incluido dentro de las tarifas a cargo de los consumidores financieros bajo la denominación genérica de certificaciones o cualquier otra semejante.</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6.1.6.14. Las que autorizan a la entidad vigilada para exigir al consumidor financiero mantener un saldo mínimo en su cuenta de ahorros.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6.1.6.15. Las que establecen el carácter de vinculante de cualquier documento en el que se mencionen rangos de tasa o precios por concepto de posibles obligaciones derivadas de cualquier contrato financiero, sin que conste allí el pleno conocimiento y aceptación por parte del consumidor financiero, ni asociación al documento contractual que formalice la relación jurídica.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6.1.6.16. Las que establecen que el consumidor financiero debe efectuar pagos desde la fecha de aprobación de los créditos, aun cuando el desembolso de los mismos se realice con posterioridad a dicha fecha.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6.1.6.17. Las que establecen que las entidades vigiladas se exoneran de responder por incumplimientos contractuales originados en conflictos internos o por hurtos ocurridos en sus oficinas o instalaciones.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6.1.6.18. Las que incluyan el pago de intereses no autorizados legalmente, sin perjuicio de la eventual responsabilidad penal.</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 Prácticas abusivas.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Se consideran abusivas por parte de las entidades vigiladas, entre otras, las siguientes prácticas: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 El condicionamiento al consumidor financiero por parte de la entidad vigilada para que acceda a la adquisición de uno o más productos o servicios que presta directamente o por medio de otras instituciones vigiladas a través de su red de oficinas, o realice inversiones o similares, para el otorgamiento de otro u otros de sus productos y servicios, y que no son necesarios para su natural prestación.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 El iniciar o renovar un servicio o un producto sin solicitud o autorización previa expresa del consumidor financiero y/o imponiéndole un plazo para comunicar que no acepta el inicio o renovación del servicio y/o producto.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6.2.3. Que los funcionarios de las entidades aseguradoras, intermediarios de seguros o instituciones financieras diligencien las solicitudes de seguro o las declaraciones de </w:t>
      </w:r>
      <w:proofErr w:type="spellStart"/>
      <w:r w:rsidRPr="00EF233D">
        <w:rPr>
          <w:rStyle w:val="Ninguno"/>
          <w:rFonts w:ascii="Arial" w:hAnsi="Arial"/>
          <w:b/>
          <w:bCs/>
          <w:sz w:val="16"/>
          <w:szCs w:val="16"/>
          <w:lang w:val="es-CO"/>
        </w:rPr>
        <w:t>asegurabilidad</w:t>
      </w:r>
      <w:proofErr w:type="spellEnd"/>
      <w:r w:rsidRPr="00EF233D">
        <w:rPr>
          <w:rStyle w:val="Ninguno"/>
          <w:rFonts w:ascii="Arial" w:hAnsi="Arial"/>
          <w:b/>
          <w:bCs/>
          <w:sz w:val="16"/>
          <w:szCs w:val="16"/>
          <w:lang w:val="es-CO"/>
        </w:rPr>
        <w:t xml:space="preserve"> sin permitir que el consumidor financiero lo haga o las conozca.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 Invertir la carga de la prueba en caso de fraudes en contra del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6.2.5. Presentar o poner a disposición del consumidor financiero los contratos con letras ilegibles y/o difíciles de leer</w:t>
      </w:r>
      <w:r>
        <w:rPr>
          <w:rStyle w:val="Ninguno"/>
          <w:rFonts w:ascii="Arial" w:hAnsi="Arial"/>
          <w:b/>
          <w:bCs/>
          <w:sz w:val="16"/>
          <w:szCs w:val="16"/>
          <w:lang w:val="es-CO"/>
        </w:rPr>
        <w:t>.</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6.2.6. Realizar cobros por concepto de gastos de cobranza de manera automática y sin realizar previamente gestión profesional alguna encaminada a conseguir el pago.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6.2.7. Cobrar al consumidor financiero por servicios y productos, sin que este haya dado una autorización o consentimiento previo y expreso.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6.2.8. Establecer restricciones para el recaudo y el pago de las obligaciones que no responden a </w:t>
      </w:r>
      <w:r w:rsidR="00CC492C">
        <w:rPr>
          <w:rStyle w:val="Ninguno"/>
          <w:rFonts w:ascii="Arial" w:hAnsi="Arial"/>
          <w:b/>
          <w:bCs/>
          <w:sz w:val="16"/>
          <w:szCs w:val="16"/>
          <w:lang w:val="es-CO"/>
        </w:rPr>
        <w:t>criterios claros y plenamente e</w:t>
      </w:r>
      <w:r w:rsidRPr="00EF233D">
        <w:rPr>
          <w:rStyle w:val="Ninguno"/>
          <w:rFonts w:ascii="Arial" w:hAnsi="Arial"/>
          <w:b/>
          <w:bCs/>
          <w:sz w:val="16"/>
          <w:szCs w:val="16"/>
          <w:lang w:val="es-CO"/>
        </w:rPr>
        <w:t>stablecidos.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6.2.9. Abstenerse de advertir a los potenciales suscriptores de los títulos de capitalización que en caso de terminación anticipada de los títulos sólo recibirán el valor de rescate de acuerdo con el número de cuotas pagadas.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6.2.10. Inducir al consumidor financiero en la adquisición de un crédito de vivienda para que contrate más productos con la entidad vigilada como requisito para concederle el beneficio de cobertura de la tasa de interés para vivienda, no obstante que dicho beneficio es asumido por el Estado.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6.2.11. Ofrecer tasas promocionales de interés como mecanismo para otorgar créditos al consumidor financiero y no mantenerlas o modificarlas con anterioridad al término promocionado.  </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6.2.12. Abstenerse de entregar o poner a disposición de los consumidores financieros copia de los contratos y/o de los reglamentos de los productos o servicios contratados.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6.2.13. Conducir a los consumidores financieros a declarar que conocen y aceptan los reglamentos de determinados productos o servicios sin haberlos entregado o puesto a su disposición previamente.</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6.2.14. Cobrar cuotas de manejo cuando la tarjeta de crédito o la cuenta está inactiva, porque no se ha entregado el plástico o porque no se ha habilitado su utilización.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6.2.15.  No informar al tomador que, con ocasión de la revocación del seguro de que trata el art. 1071 del C. </w:t>
      </w:r>
      <w:proofErr w:type="spellStart"/>
      <w:r w:rsidRPr="00EF233D">
        <w:rPr>
          <w:rStyle w:val="Ninguno"/>
          <w:rFonts w:ascii="Arial" w:hAnsi="Arial"/>
          <w:b/>
          <w:bCs/>
          <w:sz w:val="16"/>
          <w:szCs w:val="16"/>
          <w:lang w:val="es-CO"/>
        </w:rPr>
        <w:t>Cio</w:t>
      </w:r>
      <w:proofErr w:type="spellEnd"/>
      <w:r w:rsidRPr="00EF233D">
        <w:rPr>
          <w:rStyle w:val="Ninguno"/>
          <w:rFonts w:ascii="Arial" w:hAnsi="Arial"/>
          <w:b/>
          <w:bCs/>
          <w:sz w:val="16"/>
          <w:szCs w:val="16"/>
          <w:lang w:val="es-CO"/>
        </w:rPr>
        <w:t>, procede el reintegro de la prima no devengada del seguro, y/o dispone a su favor de unos saldos correspondientes a la devolución de la prima no devengada.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6.2.16. Negar o demorar injustificadamente el suministro de información al consumidor financiero relacionado con el saldo total o parcial de la obligación cuando este lo solicite.</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6.2.17. Hacer efectivos los cobros de saldos de transacciones que se encuentran en trámite de objeción por parte de</w:t>
      </w:r>
      <w:r>
        <w:rPr>
          <w:rStyle w:val="Ninguno"/>
          <w:rFonts w:ascii="Arial" w:hAnsi="Arial"/>
          <w:b/>
          <w:bCs/>
          <w:sz w:val="16"/>
          <w:szCs w:val="16"/>
          <w:lang w:val="es-CO"/>
        </w:rPr>
        <w:t xml:space="preserve"> los consumidores financieros. </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6.2.18. Exigir documentos no relacionados con la ocurrencia del siniestro, la cuantía de la pérdida o el contrato de seguro para atender el pago de la indemnización derivada de una póliza de seguro.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6.2.19. Indagar los requisitos de </w:t>
      </w:r>
      <w:proofErr w:type="spellStart"/>
      <w:r w:rsidRPr="00EF233D">
        <w:rPr>
          <w:rStyle w:val="Ninguno"/>
          <w:rFonts w:ascii="Arial" w:hAnsi="Arial"/>
          <w:b/>
          <w:bCs/>
          <w:sz w:val="16"/>
          <w:szCs w:val="16"/>
          <w:lang w:val="es-CO"/>
        </w:rPr>
        <w:t>asegurabilidad</w:t>
      </w:r>
      <w:proofErr w:type="spellEnd"/>
      <w:r w:rsidRPr="00EF233D">
        <w:rPr>
          <w:rStyle w:val="Ninguno"/>
          <w:rFonts w:ascii="Arial" w:hAnsi="Arial"/>
          <w:b/>
          <w:bCs/>
          <w:sz w:val="16"/>
          <w:szCs w:val="16"/>
          <w:lang w:val="es-CO"/>
        </w:rPr>
        <w:t xml:space="preserve"> únicamente al momento de ocurrencia de los siniestros y no al momento de la celebración del contrato.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6.2.20. Dilatar de manera injustificada las reclamaciones ante las aseguradoras, por parte de las instituciones financieras, cuando se contratan seguros por cuenta de los consumidores financieros o cuando independientemente de quien haya contratado el seguro, las instituciones financieras figuran como beneficiarios de los mismos.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6.2.21. Generar sobregiros derivados de cargos que se registren contra cuentas corrientes inactivas, o contra cuentas sin saldo por causa distinta al pago de cheques.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6.2.22. Descontar anticipadamente del valor del crédito desembolsado una o varias cuotas no causadas.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6.2.23. Realizar prórrogas de obligaciones por parte de las entidades vigiladas, sin contar con el consentimiento expreso del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6.2.24. Solicitar documentos innecesarios para el pago anticipado total o parcial de las obligaciones, de conformidad con los límites establecidos en la ley para el efecto.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6.2.25. Limitar el derecho de los consumidores financieros a dar por terminado los contratos, salvo que se trate de contratos irrevocables o por circunstancias determinadas en la ley.</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6.2.26. Aplicar las tasas más altas dentro del rango cuando se han ofrecido tasas de interés por rangos para un crédito, sin especificar los criterios empleados para su aplicación.</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6.2.27. Cobrar al consumidor financiero por los extractos entregados en oficinas, cuando no se le han hecho llegar de previamente.</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6.2.28. No poner a disposición del consumidor financiero publicidad e información transparente, precisa, clara, veraz, oportuna y verificable, sobre las características propias de los productos o servicios ofrecidos y/o suministrados. En particular, no suministrar información que permita y facilite su comparación y comprensión frente a los diferentes productos y servicios ofrecidos en el mercado.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6.2.29. No poner a disposición del consumidor financiero información sobre la posibilidad de hacer abonos o pagar anticipadamente un crédito en los términos que establezca la ley.</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6.2.30. Obstruir o condicionar el derecho que tienen los consumidores financieros de conocer la liquidación de intereses proyectados a la fecha en la que este pretenda pagar anticipadamente la totalidad o parte del crédito a su cargo.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6.2.31. Obligar al consumidor financiero a la suscripción del contrato o de títulos o valores sin que la entidad vigilada haya autorizado el otorgamiento del producto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 xml:space="preserve">6.2.32. No informar al consumidor financiero sobre la posibilidad de obtener una devolución del valor de la prima pagada en caso de disminución del riesgo por el cambio en el valor del bien asegurado y del tiempo que ha trascurrido de la vigencia del seguro, de conformidad con el art. 1065 del C. </w:t>
      </w:r>
      <w:proofErr w:type="spellStart"/>
      <w:r w:rsidRPr="00EF233D">
        <w:rPr>
          <w:rStyle w:val="Ninguno"/>
          <w:rFonts w:ascii="Arial" w:hAnsi="Arial"/>
          <w:b/>
          <w:bCs/>
          <w:sz w:val="16"/>
          <w:szCs w:val="16"/>
          <w:lang w:val="es-CO"/>
        </w:rPr>
        <w:t>Cio</w:t>
      </w:r>
      <w:proofErr w:type="spellEnd"/>
      <w:r w:rsidRPr="00EF233D">
        <w:rPr>
          <w:rStyle w:val="Ninguno"/>
          <w:rFonts w:ascii="Arial" w:hAnsi="Arial"/>
          <w:b/>
          <w:bCs/>
          <w:sz w:val="16"/>
          <w:szCs w:val="16"/>
          <w:lang w:val="es-CO"/>
        </w:rPr>
        <w:t>.</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6.2.33. No dar información clara y completa al consumidor financiero al momento del pago anticipado total de las obligaciones, quedando saldos que luego son reportados a las bases de datos o condicionar el derecho al pago anticipado de las obligaciones en una sola operación, obligando a hacerlo mediante pagos independientes.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6.2.34. Cobrar por certificaciones solicitadas por los consumidores financieros para hacer efectivo su derecho de proceder al pago anticipado total o parcial de las obligaciones.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6.2.35. Restringir o limitar el derecho del consumidor financiero de interponer quejas o reclamos por un solo canal o evitar recibir quejas en las oficinas o por cualquier otro medio.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6.2.36. No dar la aplicación que indique el consumidor financiero a los pagos o abonos extraordinarios para la cancelación anticipada de sus obligaciones.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6.2.37. No informar al consumidor financiero las consecuencias que tiene en la calificación de cartera, cuando se acuerde una refinanciación o restructuración de sus obligaciones.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6.2.38. Realizar cobros de estudios de crédito cuando no haya autorización expresa para ello.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lastRenderedPageBreak/>
        <w:t>6.2.39. Continuar el cobro de cuotas de manejo después de haber recibido la notificación de la decisión del consumidor financiero de dar por terminado el contrato de apertura de crédito.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6.2.40. Establecer mediante una sola firma, la autorización para el manejo de información personal, la autorización para permitir que la entidad vigilada comparta información personal del consumidor financiero con las entidades pertenecientes a su conglomerado financiero, sus filiales o subsidiarias en Colombia o en el exterior y los terceros que apoyan sus operaciones de cobranza y de cualquier otra naturaleza y la autorización para el reporte de información negativa sobre incumplimiento de obligaciones a los operadores de bancos de datos de información financiera o crediticia o hacerlo sin el lleno de los requisitos que establece la normatividad en materia de protección de datos personales.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6.2.41. Exigir que las pólizas que aportan los deudores de seguros de vida o de bienes dados en garantía, sean redactadas de forma exacta al seguro colectivo contratado por la entidad financiera, aun cuando las coberturas otorgadas sean las mismas.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6.2.42. No entregar las condiciones de las pólizas colectivas cuando un asegurado o beneficiario la solicita al establecimiento de crédito o entidad aseguradora.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6.2.43. No informar al consumidor financiero sobre la figura de la compensación automática respecto de cualquier obligación recíproca que exista o pudiera llegar a existir entre el consumidor financiero y la entidad vigilada.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6.2.44. Limitar las consultas, operaciones, traslados y transferencias por internet respecto de cuentas donde se reciben las mesadas pensionales y cuentas de ahorro indistintamente que se manejen o no con libreta, sin informar al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6.2.45. Bloquear los saldos de las cuentas con anterioridad a la fecha en la que se efectúa el débito automático de una obligación, a fin de garantizar el pago de los mismos.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6.2.46. No entregar los pagarés con sello de cancelado cuando el consumidor financiero cancela totalmente la obligación garantizada por los mismos.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6.2.47. Negarse a darle al consumidor financiero en su calidad de titular de la cuenta el número de identificación de sus productos o créditos, cuanto este pretenda realizar consignaciones o pagos por ventanilla relacionados con los mismos.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6.2.48. No informar al consumidor financiero las razones exactas por las cuales se le niega la aprobación de un crédito.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6.2.49. Bloquear la adquisición de nuevos productos por el incumplimiento en las obligaciones derivadas de productos previamente adquiridos sin haberle informado previamente al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6.2.50. Registrar contablemente el pago de las operaciones realizadas en horario adicional el día hábil siguiente, cuando estas se han realizado en efectivo en la misma entidad, por internet y/o a través del débito automático del dinero depositado por el consumidor financiero en cuentas de la misma entidad financiera.</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6.2.51 Disminuir o aumentar el monto del crédito vigente, sin que exista un análisis previo de riesgos, ni se informe de manera previa y expresa al consumidor financiero.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6.2.52. Obligar al consumidor financiero a certificar que se encuentra en un computador seguro.</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F233D" w:rsidRDefault="00EF233D" w:rsidP="00EF233D">
      <w:pPr>
        <w:pStyle w:val="Cuerpo"/>
        <w:pBdr>
          <w:left w:val="single" w:sz="4" w:space="1" w:color="000000" w:themeColor="text1"/>
        </w:pBdr>
        <w:jc w:val="both"/>
        <w:rPr>
          <w:rStyle w:val="Ninguno"/>
          <w:rFonts w:ascii="Arial" w:hAnsi="Arial"/>
          <w:b/>
          <w:bCs/>
          <w:sz w:val="16"/>
          <w:szCs w:val="16"/>
          <w:lang w:val="es-CO"/>
        </w:rPr>
      </w:pPr>
      <w:r w:rsidRPr="00EF233D">
        <w:rPr>
          <w:rStyle w:val="Ninguno"/>
          <w:rFonts w:ascii="Arial" w:hAnsi="Arial"/>
          <w:b/>
          <w:bCs/>
          <w:sz w:val="16"/>
          <w:szCs w:val="16"/>
          <w:lang w:val="es-CO"/>
        </w:rPr>
        <w:t>6.2.53. Vincular a los consumidores financieros a productos respecto de los cuales no son destinatarios, tales como vinculación a fondos de pensiones obligatorias a personas que no deben realizar aportes obligatorios.</w:t>
      </w:r>
    </w:p>
    <w:p w:rsidR="00EF233D" w:rsidRPr="00EF233D" w:rsidRDefault="00EF233D" w:rsidP="00EF233D">
      <w:pPr>
        <w:pStyle w:val="Cuerpo"/>
        <w:pBdr>
          <w:left w:val="single" w:sz="4" w:space="1" w:color="000000" w:themeColor="text1"/>
        </w:pBdr>
        <w:jc w:val="both"/>
        <w:rPr>
          <w:rStyle w:val="Ninguno"/>
          <w:rFonts w:ascii="Arial" w:hAnsi="Arial"/>
          <w:b/>
          <w:bCs/>
          <w:sz w:val="16"/>
          <w:szCs w:val="16"/>
          <w:lang w:val="es-CO"/>
        </w:rPr>
      </w:pPr>
    </w:p>
    <w:p w:rsidR="00ED44DA" w:rsidRPr="00212249" w:rsidRDefault="00EF233D" w:rsidP="00EF233D">
      <w:pPr>
        <w:pStyle w:val="Cuerpo"/>
        <w:pBdr>
          <w:left w:val="single" w:sz="4" w:space="1" w:color="000000" w:themeColor="text1"/>
        </w:pBdr>
        <w:jc w:val="both"/>
        <w:rPr>
          <w:b/>
          <w:sz w:val="16"/>
          <w:szCs w:val="16"/>
          <w:lang w:val="es-CO"/>
        </w:rPr>
      </w:pPr>
      <w:r w:rsidRPr="00EF233D">
        <w:rPr>
          <w:rStyle w:val="Ninguno"/>
          <w:rFonts w:ascii="Arial" w:hAnsi="Arial"/>
          <w:b/>
          <w:bCs/>
          <w:sz w:val="16"/>
          <w:szCs w:val="16"/>
          <w:lang w:val="es-CO"/>
        </w:rPr>
        <w:t>6.2.54. Todas aquellas conductas que contravengan los supuestos establecidos como cláusulas abusivas en la ley o en las circulares de esta superintendencia que impartan instrucciones sobre la materia.</w:t>
      </w:r>
    </w:p>
    <w:sectPr w:rsidR="00ED44DA" w:rsidRPr="00212249" w:rsidSect="00525A46">
      <w:headerReference w:type="default" r:id="rId7"/>
      <w:footerReference w:type="default" r:id="rId8"/>
      <w:pgSz w:w="12240" w:h="18720"/>
      <w:pgMar w:top="1418" w:right="1701" w:bottom="1418" w:left="1701" w:header="720" w:footer="1134" w:gutter="0"/>
      <w:pgNumType w:start="3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625" w:rsidRDefault="00251625">
      <w:r>
        <w:separator/>
      </w:r>
    </w:p>
  </w:endnote>
  <w:endnote w:type="continuationSeparator" w:id="0">
    <w:p w:rsidR="00251625" w:rsidRDefault="00251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DA" w:rsidRDefault="0002135F">
    <w:pPr>
      <w:pStyle w:val="Piedepgina"/>
      <w:tabs>
        <w:tab w:val="clear" w:pos="8504"/>
        <w:tab w:val="right" w:pos="8760"/>
      </w:tabs>
      <w:ind w:right="360"/>
      <w:rPr>
        <w:rStyle w:val="Ninguno"/>
        <w:sz w:val="18"/>
        <w:szCs w:val="18"/>
        <w:lang w:val="pt-PT"/>
      </w:rPr>
    </w:pPr>
    <w:r>
      <w:rPr>
        <w:rStyle w:val="Ninguno"/>
        <w:rFonts w:ascii="Arial" w:hAnsi="Arial"/>
        <w:b/>
        <w:bCs/>
        <w:sz w:val="18"/>
        <w:szCs w:val="18"/>
        <w:lang w:val="pt-PT"/>
      </w:rPr>
      <w:t>PARTE I - TÍTULO III – CAPÍTULO I</w:t>
    </w:r>
    <w:r>
      <w:rPr>
        <w:rStyle w:val="Ninguno"/>
        <w:rFonts w:ascii="Arial" w:hAnsi="Arial"/>
        <w:b/>
        <w:bCs/>
        <w:sz w:val="18"/>
        <w:szCs w:val="18"/>
        <w:lang w:val="pt-PT"/>
      </w:rPr>
      <w:tab/>
    </w:r>
    <w:r>
      <w:rPr>
        <w:rStyle w:val="Ninguno"/>
        <w:rFonts w:ascii="Arial" w:hAnsi="Arial"/>
        <w:b/>
        <w:bCs/>
        <w:sz w:val="18"/>
        <w:szCs w:val="18"/>
        <w:lang w:val="pt-PT"/>
      </w:rPr>
      <w:tab/>
      <w:t xml:space="preserve">PÁGINA </w:t>
    </w:r>
    <w:r>
      <w:rPr>
        <w:rStyle w:val="Ninguno"/>
        <w:rFonts w:ascii="Arial" w:eastAsia="Arial" w:hAnsi="Arial" w:cs="Arial"/>
        <w:b/>
        <w:bCs/>
        <w:sz w:val="18"/>
        <w:szCs w:val="18"/>
        <w:lang w:val="pt-PT"/>
      </w:rPr>
      <w:fldChar w:fldCharType="begin"/>
    </w:r>
    <w:r>
      <w:rPr>
        <w:rStyle w:val="Ninguno"/>
        <w:rFonts w:ascii="Arial" w:eastAsia="Arial" w:hAnsi="Arial" w:cs="Arial"/>
        <w:b/>
        <w:bCs/>
        <w:sz w:val="18"/>
        <w:szCs w:val="18"/>
        <w:lang w:val="pt-PT"/>
      </w:rPr>
      <w:instrText xml:space="preserve"> PAGE </w:instrText>
    </w:r>
    <w:r>
      <w:rPr>
        <w:rStyle w:val="Ninguno"/>
        <w:rFonts w:ascii="Arial" w:eastAsia="Arial" w:hAnsi="Arial" w:cs="Arial"/>
        <w:b/>
        <w:bCs/>
        <w:sz w:val="18"/>
        <w:szCs w:val="18"/>
        <w:lang w:val="pt-PT"/>
      </w:rPr>
      <w:fldChar w:fldCharType="separate"/>
    </w:r>
    <w:r w:rsidR="00776D4E">
      <w:rPr>
        <w:rStyle w:val="Ninguno"/>
        <w:rFonts w:ascii="Arial" w:eastAsia="Arial" w:hAnsi="Arial" w:cs="Arial"/>
        <w:b/>
        <w:bCs/>
        <w:noProof/>
        <w:sz w:val="18"/>
        <w:szCs w:val="18"/>
        <w:lang w:val="pt-PT"/>
      </w:rPr>
      <w:t>35</w:t>
    </w:r>
    <w:r>
      <w:rPr>
        <w:rStyle w:val="Ninguno"/>
        <w:rFonts w:ascii="Arial" w:eastAsia="Arial" w:hAnsi="Arial" w:cs="Arial"/>
        <w:b/>
        <w:bCs/>
        <w:sz w:val="18"/>
        <w:szCs w:val="18"/>
        <w:lang w:val="pt-PT"/>
      </w:rPr>
      <w:fldChar w:fldCharType="end"/>
    </w:r>
  </w:p>
  <w:p w:rsidR="00ED44DA" w:rsidRDefault="00C768C2">
    <w:pPr>
      <w:pStyle w:val="Piedepgina"/>
      <w:tabs>
        <w:tab w:val="clear" w:pos="8504"/>
        <w:tab w:val="right" w:pos="8760"/>
        <w:tab w:val="right" w:pos="8789"/>
      </w:tabs>
      <w:ind w:right="360"/>
    </w:pPr>
    <w:r>
      <w:rPr>
        <w:rStyle w:val="Ninguno"/>
        <w:rFonts w:ascii="Arial" w:hAnsi="Arial"/>
        <w:b/>
        <w:bCs/>
        <w:sz w:val="18"/>
        <w:szCs w:val="18"/>
      </w:rPr>
      <w:t xml:space="preserve">Circular Externa </w:t>
    </w:r>
    <w:r w:rsidR="00776D4E">
      <w:rPr>
        <w:rStyle w:val="Ninguno"/>
        <w:rFonts w:ascii="Arial" w:hAnsi="Arial"/>
        <w:b/>
        <w:bCs/>
        <w:sz w:val="18"/>
        <w:szCs w:val="18"/>
      </w:rPr>
      <w:t xml:space="preserve">018 </w:t>
    </w:r>
    <w:r w:rsidR="0002135F">
      <w:rPr>
        <w:rStyle w:val="Ninguno"/>
        <w:rFonts w:ascii="Arial" w:hAnsi="Arial"/>
        <w:b/>
        <w:bCs/>
        <w:sz w:val="18"/>
        <w:szCs w:val="18"/>
      </w:rPr>
      <w:t xml:space="preserve"> de 201</w:t>
    </w:r>
    <w:r w:rsidR="0051467F">
      <w:rPr>
        <w:rStyle w:val="Ninguno"/>
        <w:rFonts w:ascii="Arial" w:hAnsi="Arial"/>
        <w:b/>
        <w:bCs/>
        <w:sz w:val="18"/>
        <w:szCs w:val="18"/>
      </w:rPr>
      <w:t>6</w:t>
    </w:r>
    <w:r w:rsidR="0002135F">
      <w:rPr>
        <w:rStyle w:val="Ninguno"/>
        <w:rFonts w:ascii="Arial" w:hAnsi="Arial"/>
        <w:b/>
        <w:bCs/>
        <w:sz w:val="18"/>
        <w:szCs w:val="18"/>
      </w:rPr>
      <w:tab/>
    </w:r>
    <w:r w:rsidR="0002135F">
      <w:rPr>
        <w:rStyle w:val="Ninguno"/>
        <w:rFonts w:ascii="Arial" w:hAnsi="Arial"/>
        <w:b/>
        <w:bCs/>
        <w:sz w:val="18"/>
        <w:szCs w:val="18"/>
      </w:rPr>
      <w:tab/>
    </w:r>
    <w:r>
      <w:rPr>
        <w:rStyle w:val="Ninguno"/>
        <w:rFonts w:ascii="Arial" w:hAnsi="Arial"/>
        <w:b/>
        <w:bCs/>
        <w:sz w:val="18"/>
        <w:szCs w:val="18"/>
      </w:rPr>
      <w:t>Mayo</w:t>
    </w:r>
    <w:r w:rsidR="001E6119">
      <w:rPr>
        <w:rStyle w:val="Ninguno"/>
        <w:rFonts w:ascii="Arial" w:hAnsi="Arial"/>
        <w:b/>
        <w:bCs/>
        <w:sz w:val="18"/>
        <w:szCs w:val="18"/>
      </w:rPr>
      <w:t xml:space="preserve"> </w:t>
    </w:r>
    <w:r w:rsidR="0002135F">
      <w:rPr>
        <w:rStyle w:val="Ninguno"/>
        <w:rFonts w:ascii="Arial" w:hAnsi="Arial"/>
        <w:b/>
        <w:bCs/>
        <w:sz w:val="18"/>
        <w:szCs w:val="18"/>
      </w:rPr>
      <w:t>de 201</w:t>
    </w:r>
    <w:r w:rsidR="001E6119">
      <w:rPr>
        <w:rStyle w:val="Ninguno"/>
        <w:rFonts w:ascii="Arial" w:hAnsi="Arial"/>
        <w:b/>
        <w:bCs/>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625" w:rsidRDefault="00251625">
      <w:r>
        <w:separator/>
      </w:r>
    </w:p>
  </w:footnote>
  <w:footnote w:type="continuationSeparator" w:id="0">
    <w:p w:rsidR="00251625" w:rsidRDefault="00251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DA" w:rsidRDefault="0002135F">
    <w:pPr>
      <w:pStyle w:val="Encabezado"/>
      <w:tabs>
        <w:tab w:val="clear" w:pos="8838"/>
        <w:tab w:val="right" w:pos="8818"/>
      </w:tabs>
      <w:jc w:val="center"/>
      <w:rPr>
        <w:rStyle w:val="Ninguno"/>
        <w:rFonts w:ascii="Arial" w:eastAsia="Arial" w:hAnsi="Arial" w:cs="Arial"/>
        <w:b/>
        <w:bCs/>
      </w:rPr>
    </w:pPr>
    <w:r>
      <w:rPr>
        <w:rStyle w:val="Ninguno"/>
        <w:rFonts w:ascii="Arial" w:hAnsi="Arial"/>
        <w:b/>
        <w:bCs/>
      </w:rPr>
      <w:t>SUPERINTENDENCIA FINANCIERA DE COLOMBIA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D44DA"/>
    <w:rsid w:val="00017D8D"/>
    <w:rsid w:val="0002135F"/>
    <w:rsid w:val="00040325"/>
    <w:rsid w:val="00043B96"/>
    <w:rsid w:val="00051253"/>
    <w:rsid w:val="00054208"/>
    <w:rsid w:val="000939DD"/>
    <w:rsid w:val="000A1A83"/>
    <w:rsid w:val="000A45AA"/>
    <w:rsid w:val="000B1F09"/>
    <w:rsid w:val="000C378E"/>
    <w:rsid w:val="000C7356"/>
    <w:rsid w:val="001076F9"/>
    <w:rsid w:val="0011372D"/>
    <w:rsid w:val="00114BE1"/>
    <w:rsid w:val="0012051C"/>
    <w:rsid w:val="00124C8E"/>
    <w:rsid w:val="00136F58"/>
    <w:rsid w:val="00167493"/>
    <w:rsid w:val="00171BEA"/>
    <w:rsid w:val="001B1B0B"/>
    <w:rsid w:val="001C10E9"/>
    <w:rsid w:val="001C552B"/>
    <w:rsid w:val="001E6119"/>
    <w:rsid w:val="001E6FF1"/>
    <w:rsid w:val="00205699"/>
    <w:rsid w:val="00212249"/>
    <w:rsid w:val="0022074F"/>
    <w:rsid w:val="00242D07"/>
    <w:rsid w:val="00251625"/>
    <w:rsid w:val="00295252"/>
    <w:rsid w:val="002B05DC"/>
    <w:rsid w:val="002B4368"/>
    <w:rsid w:val="002B7934"/>
    <w:rsid w:val="002C6084"/>
    <w:rsid w:val="002C7FD3"/>
    <w:rsid w:val="002D3836"/>
    <w:rsid w:val="002F612D"/>
    <w:rsid w:val="003307A9"/>
    <w:rsid w:val="00337CC9"/>
    <w:rsid w:val="00343F90"/>
    <w:rsid w:val="00352368"/>
    <w:rsid w:val="00360AFE"/>
    <w:rsid w:val="00370C05"/>
    <w:rsid w:val="003811D4"/>
    <w:rsid w:val="00385341"/>
    <w:rsid w:val="00396290"/>
    <w:rsid w:val="003A45CA"/>
    <w:rsid w:val="003B3E37"/>
    <w:rsid w:val="003C2080"/>
    <w:rsid w:val="003E0F37"/>
    <w:rsid w:val="003E64D0"/>
    <w:rsid w:val="003F59BC"/>
    <w:rsid w:val="0044790E"/>
    <w:rsid w:val="00453E27"/>
    <w:rsid w:val="00470925"/>
    <w:rsid w:val="004760A8"/>
    <w:rsid w:val="00480154"/>
    <w:rsid w:val="004A69EF"/>
    <w:rsid w:val="004C664B"/>
    <w:rsid w:val="004E0CEE"/>
    <w:rsid w:val="0051467F"/>
    <w:rsid w:val="00525A46"/>
    <w:rsid w:val="00553CD0"/>
    <w:rsid w:val="00557E77"/>
    <w:rsid w:val="005642AA"/>
    <w:rsid w:val="005726A3"/>
    <w:rsid w:val="005C2695"/>
    <w:rsid w:val="00621A77"/>
    <w:rsid w:val="0062724F"/>
    <w:rsid w:val="00637F6B"/>
    <w:rsid w:val="00657437"/>
    <w:rsid w:val="00687D1A"/>
    <w:rsid w:val="006A241D"/>
    <w:rsid w:val="006A435E"/>
    <w:rsid w:val="006C1253"/>
    <w:rsid w:val="006D6EEA"/>
    <w:rsid w:val="00761390"/>
    <w:rsid w:val="00761F0C"/>
    <w:rsid w:val="007655CB"/>
    <w:rsid w:val="00776D4E"/>
    <w:rsid w:val="007816AE"/>
    <w:rsid w:val="0078781E"/>
    <w:rsid w:val="007F0CA5"/>
    <w:rsid w:val="007F1E4D"/>
    <w:rsid w:val="008009EE"/>
    <w:rsid w:val="00813588"/>
    <w:rsid w:val="00867FC5"/>
    <w:rsid w:val="00900A93"/>
    <w:rsid w:val="00902E83"/>
    <w:rsid w:val="00911AC8"/>
    <w:rsid w:val="0092369F"/>
    <w:rsid w:val="00925D03"/>
    <w:rsid w:val="0094266D"/>
    <w:rsid w:val="009450B8"/>
    <w:rsid w:val="009552D7"/>
    <w:rsid w:val="009A383F"/>
    <w:rsid w:val="00A03FB7"/>
    <w:rsid w:val="00A07360"/>
    <w:rsid w:val="00A14646"/>
    <w:rsid w:val="00A501C1"/>
    <w:rsid w:val="00A53CF5"/>
    <w:rsid w:val="00A57094"/>
    <w:rsid w:val="00A60820"/>
    <w:rsid w:val="00A61257"/>
    <w:rsid w:val="00A7222F"/>
    <w:rsid w:val="00A81F60"/>
    <w:rsid w:val="00AD21DB"/>
    <w:rsid w:val="00B002C8"/>
    <w:rsid w:val="00B13409"/>
    <w:rsid w:val="00B239AC"/>
    <w:rsid w:val="00B25273"/>
    <w:rsid w:val="00B36552"/>
    <w:rsid w:val="00B62475"/>
    <w:rsid w:val="00B9708C"/>
    <w:rsid w:val="00BB33D1"/>
    <w:rsid w:val="00BD56C6"/>
    <w:rsid w:val="00BE0699"/>
    <w:rsid w:val="00BF04CE"/>
    <w:rsid w:val="00BF45BD"/>
    <w:rsid w:val="00C21975"/>
    <w:rsid w:val="00C3648D"/>
    <w:rsid w:val="00C50BF2"/>
    <w:rsid w:val="00C75069"/>
    <w:rsid w:val="00C768C2"/>
    <w:rsid w:val="00C831AB"/>
    <w:rsid w:val="00C86DCD"/>
    <w:rsid w:val="00C9540B"/>
    <w:rsid w:val="00CA3545"/>
    <w:rsid w:val="00CA7F44"/>
    <w:rsid w:val="00CC492C"/>
    <w:rsid w:val="00CE2DC2"/>
    <w:rsid w:val="00CE47A7"/>
    <w:rsid w:val="00D15B44"/>
    <w:rsid w:val="00D316CB"/>
    <w:rsid w:val="00D65200"/>
    <w:rsid w:val="00D85483"/>
    <w:rsid w:val="00D867EC"/>
    <w:rsid w:val="00DF2281"/>
    <w:rsid w:val="00E00AD5"/>
    <w:rsid w:val="00E01F1D"/>
    <w:rsid w:val="00E35C4D"/>
    <w:rsid w:val="00E63224"/>
    <w:rsid w:val="00E66053"/>
    <w:rsid w:val="00E87CA7"/>
    <w:rsid w:val="00EB1F40"/>
    <w:rsid w:val="00ED2B9B"/>
    <w:rsid w:val="00ED44DA"/>
    <w:rsid w:val="00EF233D"/>
    <w:rsid w:val="00EF444B"/>
    <w:rsid w:val="00F12743"/>
    <w:rsid w:val="00F12990"/>
    <w:rsid w:val="00F16822"/>
    <w:rsid w:val="00F62F2A"/>
    <w:rsid w:val="00F90D40"/>
    <w:rsid w:val="00F93855"/>
    <w:rsid w:val="00FB00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Ttulo1">
    <w:name w:val="heading 1"/>
    <w:next w:val="Cuerpo"/>
    <w:pPr>
      <w:keepNext/>
      <w:jc w:val="both"/>
      <w:outlineLvl w:val="0"/>
    </w:pPr>
    <w:rPr>
      <w:rFonts w:ascii="Arial" w:hAnsi="Arial" w:cs="Arial Unicode MS"/>
      <w:b/>
      <w:bCs/>
      <w:caps/>
      <w:color w:val="000000"/>
      <w:kern w:val="32"/>
      <w:sz w:val="16"/>
      <w:szCs w:val="16"/>
      <w:u w:color="000000"/>
      <w:lang w:val="es-ES_tradnl"/>
    </w:rPr>
  </w:style>
  <w:style w:type="paragraph" w:styleId="Ttulo2">
    <w:name w:val="heading 2"/>
    <w:next w:val="Cuerpo"/>
    <w:pPr>
      <w:keepNext/>
      <w:jc w:val="both"/>
      <w:outlineLvl w:val="1"/>
    </w:pPr>
    <w:rPr>
      <w:rFonts w:ascii="Arial" w:hAnsi="Arial" w:cs="Arial Unicode MS"/>
      <w:b/>
      <w:bCs/>
      <w:color w:val="000000"/>
      <w:sz w:val="16"/>
      <w:szCs w:val="16"/>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ourier New" w:hAnsi="Courier New" w:cs="Arial Unicode MS"/>
      <w:color w:val="000000"/>
      <w:sz w:val="24"/>
      <w:szCs w:val="24"/>
      <w:u w:color="000000"/>
      <w:lang w:val="es-ES_tradnl"/>
    </w:rPr>
  </w:style>
  <w:style w:type="character" w:customStyle="1" w:styleId="Ninguno">
    <w:name w:val="Ninguno"/>
    <w:rPr>
      <w:lang w:val="es-ES_tradnl"/>
    </w:rPr>
  </w:style>
  <w:style w:type="paragraph" w:styleId="Piedepgina">
    <w:name w:val="footer"/>
    <w:pPr>
      <w:tabs>
        <w:tab w:val="center" w:pos="4252"/>
        <w:tab w:val="right" w:pos="8504"/>
      </w:tabs>
    </w:pPr>
    <w:rPr>
      <w:rFonts w:ascii="Courier New" w:hAnsi="Courier New" w:cs="Arial Unicode MS"/>
      <w:color w:val="000000"/>
      <w:sz w:val="24"/>
      <w:szCs w:val="24"/>
      <w:u w:color="000000"/>
      <w:lang w:val="es-ES_tradnl"/>
    </w:rPr>
  </w:style>
  <w:style w:type="paragraph" w:customStyle="1" w:styleId="Cuerpo">
    <w:name w:val="Cuerpo"/>
    <w:rPr>
      <w:rFonts w:ascii="Courier New" w:hAnsi="Courier New" w:cs="Arial Unicode MS"/>
      <w:color w:val="000000"/>
      <w:sz w:val="24"/>
      <w:szCs w:val="24"/>
      <w:u w:color="000000"/>
      <w:lang w:val="es-ES_tradnl"/>
    </w:rPr>
  </w:style>
  <w:style w:type="paragraph" w:customStyle="1" w:styleId="nfasissutil1">
    <w:name w:val="Énfasis sutil1"/>
    <w:pPr>
      <w:widowControl w:val="0"/>
      <w:ind w:left="720"/>
      <w:jc w:val="both"/>
    </w:pPr>
    <w:rPr>
      <w:rFonts w:ascii="Arial" w:hAnsi="Arial" w:cs="Arial Unicode MS"/>
      <w:color w:val="000000"/>
      <w:spacing w:val="2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75069"/>
    <w:rPr>
      <w:rFonts w:ascii="Tahoma" w:hAnsi="Tahoma" w:cs="Tahoma"/>
      <w:sz w:val="16"/>
      <w:szCs w:val="16"/>
    </w:rPr>
  </w:style>
  <w:style w:type="character" w:customStyle="1" w:styleId="TextodegloboCar">
    <w:name w:val="Texto de globo Car"/>
    <w:basedOn w:val="Fuentedeprrafopredeter"/>
    <w:link w:val="Textodeglobo"/>
    <w:uiPriority w:val="99"/>
    <w:semiHidden/>
    <w:rsid w:val="00C75069"/>
    <w:rPr>
      <w:rFonts w:ascii="Tahoma" w:hAnsi="Tahoma" w:cs="Tahoma"/>
      <w:sz w:val="16"/>
      <w:szCs w:val="16"/>
      <w:lang w:val="en-US" w:eastAsia="en-US"/>
    </w:rPr>
  </w:style>
  <w:style w:type="character" w:styleId="Nmerodepgina">
    <w:name w:val="page number"/>
    <w:rsid w:val="00E35C4D"/>
  </w:style>
  <w:style w:type="paragraph" w:customStyle="1" w:styleId="Normal2">
    <w:name w:val="Normal2"/>
    <w:rsid w:val="00017D8D"/>
    <w:pPr>
      <w:tabs>
        <w:tab w:val="left" w:pos="576"/>
      </w:tabs>
      <w:ind w:left="576" w:hanging="576"/>
      <w:jc w:val="both"/>
    </w:pPr>
    <w:rPr>
      <w:rFonts w:ascii="Arial" w:eastAsia="Arial" w:hAnsi="Arial" w:cs="Arial"/>
      <w:color w:val="000000"/>
      <w:u w:color="00000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Ttulo1">
    <w:name w:val="heading 1"/>
    <w:next w:val="Cuerpo"/>
    <w:pPr>
      <w:keepNext/>
      <w:jc w:val="both"/>
      <w:outlineLvl w:val="0"/>
    </w:pPr>
    <w:rPr>
      <w:rFonts w:ascii="Arial" w:hAnsi="Arial" w:cs="Arial Unicode MS"/>
      <w:b/>
      <w:bCs/>
      <w:caps/>
      <w:color w:val="000000"/>
      <w:kern w:val="32"/>
      <w:sz w:val="16"/>
      <w:szCs w:val="16"/>
      <w:u w:color="000000"/>
      <w:lang w:val="es-ES_tradnl"/>
    </w:rPr>
  </w:style>
  <w:style w:type="paragraph" w:styleId="Ttulo2">
    <w:name w:val="heading 2"/>
    <w:next w:val="Cuerpo"/>
    <w:pPr>
      <w:keepNext/>
      <w:jc w:val="both"/>
      <w:outlineLvl w:val="1"/>
    </w:pPr>
    <w:rPr>
      <w:rFonts w:ascii="Arial" w:hAnsi="Arial" w:cs="Arial Unicode MS"/>
      <w:b/>
      <w:bCs/>
      <w:color w:val="000000"/>
      <w:sz w:val="16"/>
      <w:szCs w:val="16"/>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ourier New" w:hAnsi="Courier New" w:cs="Arial Unicode MS"/>
      <w:color w:val="000000"/>
      <w:sz w:val="24"/>
      <w:szCs w:val="24"/>
      <w:u w:color="000000"/>
      <w:lang w:val="es-ES_tradnl"/>
    </w:rPr>
  </w:style>
  <w:style w:type="character" w:customStyle="1" w:styleId="Ninguno">
    <w:name w:val="Ninguno"/>
    <w:rPr>
      <w:lang w:val="es-ES_tradnl"/>
    </w:rPr>
  </w:style>
  <w:style w:type="paragraph" w:styleId="Piedepgina">
    <w:name w:val="footer"/>
    <w:pPr>
      <w:tabs>
        <w:tab w:val="center" w:pos="4252"/>
        <w:tab w:val="right" w:pos="8504"/>
      </w:tabs>
    </w:pPr>
    <w:rPr>
      <w:rFonts w:ascii="Courier New" w:hAnsi="Courier New" w:cs="Arial Unicode MS"/>
      <w:color w:val="000000"/>
      <w:sz w:val="24"/>
      <w:szCs w:val="24"/>
      <w:u w:color="000000"/>
      <w:lang w:val="es-ES_tradnl"/>
    </w:rPr>
  </w:style>
  <w:style w:type="paragraph" w:customStyle="1" w:styleId="Cuerpo">
    <w:name w:val="Cuerpo"/>
    <w:rPr>
      <w:rFonts w:ascii="Courier New" w:hAnsi="Courier New" w:cs="Arial Unicode MS"/>
      <w:color w:val="000000"/>
      <w:sz w:val="24"/>
      <w:szCs w:val="24"/>
      <w:u w:color="000000"/>
      <w:lang w:val="es-ES_tradnl"/>
    </w:rPr>
  </w:style>
  <w:style w:type="paragraph" w:customStyle="1" w:styleId="nfasissutil1">
    <w:name w:val="Énfasis sutil1"/>
    <w:pPr>
      <w:widowControl w:val="0"/>
      <w:ind w:left="720"/>
      <w:jc w:val="both"/>
    </w:pPr>
    <w:rPr>
      <w:rFonts w:ascii="Arial" w:hAnsi="Arial" w:cs="Arial Unicode MS"/>
      <w:color w:val="000000"/>
      <w:spacing w:val="2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75069"/>
    <w:rPr>
      <w:rFonts w:ascii="Tahoma" w:hAnsi="Tahoma" w:cs="Tahoma"/>
      <w:sz w:val="16"/>
      <w:szCs w:val="16"/>
    </w:rPr>
  </w:style>
  <w:style w:type="character" w:customStyle="1" w:styleId="TextodegloboCar">
    <w:name w:val="Texto de globo Car"/>
    <w:basedOn w:val="Fuentedeprrafopredeter"/>
    <w:link w:val="Textodeglobo"/>
    <w:uiPriority w:val="99"/>
    <w:semiHidden/>
    <w:rsid w:val="00C75069"/>
    <w:rPr>
      <w:rFonts w:ascii="Tahoma" w:hAnsi="Tahoma" w:cs="Tahoma"/>
      <w:sz w:val="16"/>
      <w:szCs w:val="16"/>
      <w:lang w:val="en-US" w:eastAsia="en-US"/>
    </w:rPr>
  </w:style>
  <w:style w:type="character" w:styleId="Nmerodepgina">
    <w:name w:val="page number"/>
    <w:rsid w:val="00E35C4D"/>
  </w:style>
  <w:style w:type="paragraph" w:customStyle="1" w:styleId="Normal2">
    <w:name w:val="Normal2"/>
    <w:rsid w:val="00017D8D"/>
    <w:pPr>
      <w:tabs>
        <w:tab w:val="left" w:pos="576"/>
      </w:tabs>
      <w:ind w:left="576" w:hanging="576"/>
      <w:jc w:val="both"/>
    </w:pPr>
    <w:rPr>
      <w:rFonts w:ascii="Arial" w:eastAsia="Arial" w:hAnsi="Arial" w:cs="Arial"/>
      <w:color w:val="000000"/>
      <w:u w:color="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4788</Words>
  <Characters>26339</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presentacion</dc:creator>
  <cp:lastModifiedBy>Gabriel Armando Ospina Garcia</cp:lastModifiedBy>
  <cp:revision>2</cp:revision>
  <cp:lastPrinted>2016-05-25T14:57:00Z</cp:lastPrinted>
  <dcterms:created xsi:type="dcterms:W3CDTF">2016-05-26T13:19:00Z</dcterms:created>
  <dcterms:modified xsi:type="dcterms:W3CDTF">2016-05-26T13:19:00Z</dcterms:modified>
</cp:coreProperties>
</file>