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IV. Deberes y responsabilidades</w:t>
      </w:r>
    </w:p>
    <w:p>
      <w:pPr>
        <w:jc w:val="center"/>
      </w:pPr>
      <w:r>
        <w:rPr>
          <w:rFonts w:ascii="Verdana" w:hAnsi="Verdana" w:cs="Verdana" w:eastAsia="Verdana"/>
          <w:sz w:val="24"/>
          <w:b w:val="on"/>
        </w:rPr>
        <w:t>Capítulo I. Obligaciones especiales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Inscripción en el registro mercantil</w:t>
      </w:r>
    </w:p>
    <w:p>
      <w:pPr>
        <w:jc w:val="both"/>
      </w:pPr>
      <w:r>
        <w:rPr>
          <w:rFonts w:ascii="Verdana" w:hAnsi="Verdana" w:cs="Verdana" w:eastAsia="Verdana"/>
          <w:sz w:val="24"/>
        </w:rPr>
        <w:t>La matrícula de las entidades vigiladas y las inscripciones en el registro mercantil de los actos y documentos sujetos a dicha formalidad deben adelantarse de acuerdo con lo previsto en los artículos 10 y 19 del Código de Comercio.</w:t>
      </w:r>
      <w:r>
        <w:rPr>
          <w:rFonts w:ascii="Verdana" w:hAnsi="Verdana" w:cs="Verdana" w:eastAsia="Verdana"/>
          <w:sz w:val="24"/>
        </w:rPr>
        <w:t>De igual forma, tratándose de sucursales de bancos y compañías de seguros del exterior, la inscripción en el registro mercantil debe cumplir con lo previsto en el artículo 469 y siguientes del Código de Comercio y, de manera preferente, con los requisitos específicos del artículo 53 del Estatuto Orgánico del Sistema Financiero (EOSF).</w:t>
      </w:r>
      <w:r>
        <w:rPr>
          <w:rFonts w:ascii="Verdana" w:hAnsi="Verdana" w:cs="Verdana" w:eastAsia="Verdana"/>
          <w:sz w:val="24"/>
        </w:rPr>
        <w:t>Asimismo, cuando se configure una situación de control en los términos de los artículos 260 y 261 del Código de Comercio, se deberá atender a lo dispuesto en el artículo 30 de la Ley 222 de 1995. En los casos en que la matriz sea una entidad extranjera, corresponde a la filial o filiales vigiladas constituidas en el país presentar, para su inscripción en el registro mercantil, el documento privado de que trata el mencionado artículo 30 de la Ley 222 de 1995.</w:t>
      </w:r>
    </w:p>
    <w:p>
      <w:pPr>
        <w:jc w:val="left"/>
      </w:pPr>
      <w:r>
        <w:rPr>
          <w:rFonts w:ascii="Verdana" w:hAnsi="Verdana" w:cs="Verdana" w:eastAsia="Verdana"/>
          <w:sz w:val="24"/>
          <w:b w:val="on"/>
        </w:rPr>
        <w:t>2. Registro de libros en las cámaras de comercio</w:t>
      </w:r>
    </w:p>
    <w:p>
      <w:pPr>
        <w:jc w:val="both"/>
      </w:pPr>
      <w:r>
        <w:rPr>
          <w:rFonts w:ascii="Verdana" w:hAnsi="Verdana" w:cs="Verdana" w:eastAsia="Verdana"/>
          <w:sz w:val="24"/>
        </w:rPr>
        <w:t>Las entidades vigiladas deben atender lo dispuesto en el numeral 7 del artículo 28 del Código de Comercio y, en consecuencia, inscribir en el registro mercantil los libros de registro de socios o accionistas y los de actas de asamblea y juntas de socios. En todo caso, las entidades vigiladas podrán llevar dichos libros en archivos electrónicos siempre que cumplan con los requerimientos establecidos en el artículo 56 del Código de Comercio y las disposiciones contenidas en el artículo 2.2.2.39.1</w:t>
      </w:r>
      <w:r>
        <w:rPr>
          <w:rFonts w:ascii="Verdana" w:hAnsi="Verdana" w:cs="Verdana" w:eastAsia="Verdana"/>
          <w:sz w:val="24"/>
        </w:rPr>
        <w:t xml:space="preserve">. </w:t>
      </w:r>
      <w:r>
        <w:rPr>
          <w:rFonts w:ascii="Verdana" w:hAnsi="Verdana" w:cs="Verdana" w:eastAsia="Verdana"/>
          <w:sz w:val="24"/>
        </w:rPr>
        <w:t>del Decreto 1074 de 2015 o las normas que lo modifiquen.</w:t>
      </w:r>
    </w:p>
    <w:p>
      <w:pPr>
        <w:jc w:val="left"/>
      </w:pPr>
      <w:r>
        <w:rPr>
          <w:rFonts w:ascii="Verdana" w:hAnsi="Verdana" w:cs="Verdana" w:eastAsia="Verdana"/>
          <w:sz w:val="24"/>
          <w:b w:val="on"/>
        </w:rPr>
        <w:t>3. Certificación de la existencia y representación legal de las entidades sometidas a vigilancia de la SFC</w:t>
      </w:r>
    </w:p>
    <w:p>
      <w:pPr>
        <w:jc w:val="both"/>
      </w:pPr>
      <w:r>
        <w:rPr>
          <w:rFonts w:ascii="Verdana" w:hAnsi="Verdana" w:cs="Verdana" w:eastAsia="Verdana"/>
          <w:sz w:val="24"/>
        </w:rPr>
        <w:t>Atendiendo las funciones de certificación y publicidad que tiene la Superintendencia Financiera de Colombia (SFC), le corresponde expedir los certificados de existencia y representación legal de las sociedades vigiladas, bajo el entendido que dichos documentos tienen carácter probatorio y no suplen el sistema de publicidad mercantil a cargo de la Cámaras de Comercio, cuya función es la de brindar oponibilidad frente a terceros a los actos sujetos a registro.</w:t>
      </w:r>
      <w:r>
        <w:rPr>
          <w:rFonts w:ascii="Verdana" w:hAnsi="Verdana" w:cs="Verdana" w:eastAsia="Verdana"/>
          <w:sz w:val="24"/>
        </w:rPr>
        <w:t>En consecuencia, para todos los efectos legales basta la certificación que expida la SFC para acreditar y probar la existencia y representación legal de las entidades sujetas a su inspección y vigilancia, en tanto que los certificados que expiden las Cámaras de Comercio únicamente acreditan que el acto mediante el cual se constituyó la entidad o mediante el cual se dio posesión a los representantes legales fue debidamente inscrito en el registro mercantil.</w:t>
      </w:r>
      <w:r>
        <w:rPr>
          <w:rFonts w:ascii="Verdana" w:hAnsi="Verdana" w:cs="Verdana" w:eastAsia="Verdana"/>
          <w:sz w:val="24"/>
        </w:rPr>
        <w:t>En todo caso, los representantes legales de las entidades vigiladas deben, dentro de los 5 días siguientes a la inscripción de nombramientos de nuevos representantes legales de sucursales, informar a SFC dichas modificaciones, indicando el documento contentivo del nombramiento, la fecha y el número de inscripción.</w:t>
      </w:r>
    </w:p>
    <w:p>
      <w:pPr>
        <w:jc w:val="left"/>
      </w:pPr>
      <w:r>
        <w:rPr>
          <w:rFonts w:ascii="Verdana" w:hAnsi="Verdana" w:cs="Verdana" w:eastAsia="Verdana"/>
          <w:sz w:val="24"/>
          <w:b w:val="on"/>
        </w:rPr>
        <w:t>4. Conservación de documentos</w:t>
      </w:r>
    </w:p>
    <w:p>
      <w:pPr>
        <w:jc w:val="left"/>
      </w:pPr>
      <w:r>
        <w:rPr>
          <w:rFonts w:ascii="Verdana" w:hAnsi="Verdana" w:cs="Verdana" w:eastAsia="Verdana"/>
          <w:sz w:val="24"/>
          <w:b w:val="on"/>
        </w:rPr>
        <w:t>4.1. Conservación</w:t>
      </w:r>
    </w:p>
    <w:p>
      <w:pPr>
        <w:jc w:val="both"/>
      </w:pPr>
      <w:r>
        <w:rPr>
          <w:rFonts w:ascii="Verdana" w:hAnsi="Verdana" w:cs="Verdana" w:eastAsia="Verdana"/>
          <w:sz w:val="24"/>
        </w:rPr>
        <w:t>De acuerdo con el artículo 96 del EOSF, las entidades vigiladas por la SFC deben conservar sus libros y papeles originales o en su medio de creación por un período no menor a 5 años desde la fecha del último asiento, documento o comprobante, sin perjuicio de lo que exijan disposiciones especiales. Una vez transcurrido dicho lapso y de conformidad con el artículo 28 de la Ley 962 de 2005, las entidades vigiladas deben conservar sus libros y papeles por 5 años más a través de cualquier medio técnico adecuado que garantice su reproducción exacta, salvo en los casos en que no puedan ser destruidos sus originales.</w:t>
      </w:r>
    </w:p>
    <w:p>
      <w:pPr>
        <w:jc w:val="left"/>
      </w:pPr>
      <w:r>
        <w:rPr>
          <w:rFonts w:ascii="Verdana" w:hAnsi="Verdana" w:cs="Verdana" w:eastAsia="Verdana"/>
          <w:sz w:val="24"/>
          <w:b w:val="on"/>
        </w:rPr>
        <w:t>4.2. Conservación en forma de mensajes de datos</w:t>
      </w:r>
    </w:p>
    <w:p>
      <w:pPr>
        <w:jc w:val="both"/>
      </w:pPr>
      <w:r>
        <w:rPr>
          <w:rFonts w:ascii="Verdana" w:hAnsi="Verdana" w:cs="Verdana" w:eastAsia="Verdana"/>
          <w:sz w:val="24"/>
        </w:rPr>
        <w:t>Los libros y papeles del comerciante conservados a través de medios electrónicos, en tanto asumen la condición de mensaje de datos, tienen efectos jurídicos, siempre que cumplan con las condiciones señaladas en el Código de Comercio, el artículo 12 de la Ley 527 de 1999, el artículo 2.2.2.39.11. delDecreto 1074 de 2015 o cualquier norma que la sustituya, modifique o derogue.</w:t>
      </w:r>
      <w:r>
        <w:rPr>
          <w:rFonts w:ascii="Verdana" w:hAnsi="Verdana" w:cs="Verdana" w:eastAsia="Verdana"/>
          <w:sz w:val="24"/>
        </w:rPr>
        <w:t xml:space="preserve">En concordancia con lo antes señalado, las entidades vigiladas pueden mantener los soportes de las actividades propias del desarrollo de su objeto social en cualquier medio electrónico, óptico o similar, en tanto cumplan las condiciones señaladas por las disposiciones citadas, incluida la microfilmación realizada acorde con los Decretos 2527 de 1950, 3354 de 1954 y Decreto 2620 de 1993. </w:t>
      </w:r>
      <w:r>
        <w:rPr>
          <w:rFonts w:ascii="Verdana" w:hAnsi="Verdana" w:cs="Verdana" w:eastAsia="Verdana"/>
          <w:sz w:val="24"/>
        </w:rPr>
        <w:t xml:space="preserve">Pueden, en consecuencia, conservarse los documentos y expedientes que han sido sometidos al trámite normal y los que, encontrándose en trámite, por su importancia, merezcan un especial cuidado en la conservación y autenticidad. Sin embargo, en este caso no pueden ser destruidos sus originales hasta cuando haya transcurrido el tiempo que la prudencia y la costumbre aconsejen en cada caso, según su naturaleza. </w:t>
      </w:r>
    </w:p>
    <w:p>
      <w:pPr>
        <w:jc w:val="left"/>
      </w:pPr>
      <w:r>
        <w:rPr>
          <w:rFonts w:ascii="Verdana" w:hAnsi="Verdana" w:cs="Verdana" w:eastAsia="Verdana"/>
          <w:sz w:val="24"/>
          <w:b w:val="on"/>
        </w:rPr>
        <w:t>5. Colaboración con la justicia y las autoridades</w:t>
      </w:r>
    </w:p>
    <w:p>
      <w:pPr>
        <w:jc w:val="both"/>
      </w:pPr>
      <w:r>
        <w:rPr>
          <w:rFonts w:ascii="Verdana" w:hAnsi="Verdana" w:cs="Verdana" w:eastAsia="Verdana"/>
          <w:sz w:val="24"/>
        </w:rPr>
        <w:t xml:space="preserve">De conformidad con la Constitución Nacional, tanto los particulares como las autoridades deben ceñir sus actuaciones a la buena fe, respetar a las autoridades y colaborar con la justicia. En tal sentido, debe entenderse que la información requerida por las autoridades judiciales y administrativas de parte de las entidades vigiladas por esta Superintendencia es de carácter confidencial y privada, y está subordinada a los fines de la administración de justicia y de las investigaciones que realizan dichas autoridades. </w:t>
      </w:r>
      <w:r>
        <w:rPr>
          <w:rFonts w:ascii="Verdana" w:hAnsi="Verdana" w:cs="Verdana" w:eastAsia="Verdana"/>
          <w:sz w:val="24"/>
        </w:rPr>
        <w:t> </w:t>
      </w:r>
      <w:r>
        <w:rPr>
          <w:rFonts w:ascii="Verdana" w:hAnsi="Verdana" w:cs="Verdana" w:eastAsia="Verdana"/>
          <w:sz w:val="24"/>
        </w:rPr>
        <w:t>Lo anterior, en tanto sea ejercida por funcionarios competentes y tenga por objeto garantizar el derecho de todos los ciudadanos. Esta situación, considerada de orden público, permite levantar y ceder las prerrogativas de la reserva sobre los papeles privados.</w:t>
      </w:r>
    </w:p>
    <w:p>
      <w:pPr>
        <w:jc w:val="left"/>
      </w:pPr>
      <w:r>
        <w:rPr>
          <w:rFonts w:ascii="Verdana" w:hAnsi="Verdana" w:cs="Verdana" w:eastAsia="Verdana"/>
          <w:sz w:val="24"/>
          <w:b w:val="on"/>
        </w:rPr>
        <w:t>5.1. Cumplimiento de las medidas cautelares</w:t>
      </w:r>
    </w:p>
    <w:p>
      <w:pPr>
        <w:jc w:val="both"/>
      </w:pPr>
      <w:r>
        <w:rPr>
          <w:rFonts w:ascii="Verdana" w:hAnsi="Verdana" w:cs="Verdana" w:eastAsia="Verdana"/>
          <w:sz w:val="24"/>
        </w:rPr>
        <w:t>Se entiende como un deber de colaboración con la justicia por parte de las entidades vigiladas el cumplimiento inmediato de las medidas cautelares recibidas sobre los bienes y haberes de los clientes, sin que sea posible controvertir u oponerse a su cumplimiento. Lo anterior, sin perjuicio de lo establecido en el numeral 5.1.6 sobre órdenes de embargo respecto de recursos inembargables.</w:t>
        <w:cr/>
      </w:r>
      <w:r>
        <w:rPr>
          <w:rFonts w:ascii="Verdana" w:hAnsi="Verdana" w:cs="Verdana" w:eastAsia="Verdana"/>
          <w:sz w:val="24"/>
        </w:rPr>
        <w:t/>
        <w:cr/>
      </w:r>
      <w:r>
        <w:rPr>
          <w:rFonts w:ascii="Verdana" w:hAnsi="Verdana" w:cs="Verdana" w:eastAsia="Verdana"/>
          <w:sz w:val="24"/>
        </w:rPr>
        <w:t>Recibida copia del oficio de embargo expedido por autoridad jurisdiccional es de entenderse que la misma es auténtica en tanto provenga del correo electrónico oficial de la autoridad judicial en los términos del artículo 11 de la Ley 2213 de 2022 o contenga las firmas originales y los sellos de funcionarios judiciales competentes para decretar las medidas de embargo y, por tanto, cumple plenos efectos probatorios, mientras no se compruebe tacha de falsedad. Igualmente, aun siendo copia, goza de la calidad de documento público, en tanto se otorgue por funcionario público en ejercicio de las funciones que le impone el cargo desempeñado, conforme lo dispone la Ley.</w:t>
        <w:cr/>
      </w:r>
      <w:r>
        <w:rPr>
          <w:rFonts w:ascii="Verdana" w:hAnsi="Verdana" w:cs="Verdana" w:eastAsia="Verdana"/>
          <w:sz w:val="24"/>
        </w:rPr>
        <w:t/>
        <w:cr/>
      </w:r>
      <w:r>
        <w:rPr>
          <w:rFonts w:ascii="Verdana" w:hAnsi="Verdana" w:cs="Verdana" w:eastAsia="Verdana"/>
          <w:sz w:val="24"/>
        </w:rPr>
        <w:t>Cuando al recibir una orden se tengan dudas respecto de su contenido, por desfiguración de la identidad real o de la cuenta de que se trata, o si los registros de la entidad no se ajustan exactamente a los que aparecen en las órdenes judiciales, es deber de la entidad obrar con el máximo de cautela y prudencia, debiendo consultar de inmediato a la autoridad que decretó el embargo a fin de que sea ella quien defina si es procedente incluir tales fondos en el embargo.</w:t>
        <w:cr/>
      </w:r>
      <w:r>
        <w:rPr>
          <w:rFonts w:ascii="Verdana" w:hAnsi="Verdana" w:cs="Verdana" w:eastAsia="Verdana"/>
          <w:sz w:val="24"/>
        </w:rPr>
        <w:t/>
        <w:cr/>
      </w:r>
      <w:r>
        <w:rPr>
          <w:rFonts w:ascii="Verdana" w:hAnsi="Verdana" w:cs="Verdana" w:eastAsia="Verdana"/>
          <w:sz w:val="24"/>
        </w:rPr>
        <w:t>Ahora bien, recibida una orden de embargo, debe observarse el procedimiento establecido en la Ley y, en todo caso, tener presentes las siguientes instrucciones:</w:t>
        <w:cr/>
      </w:r>
    </w:p>
    <w:p>
      <w:pPr>
        <w:jc w:val="both"/>
      </w:pPr>
      <w:r>
        <w:rPr>
          <w:rFonts w:ascii="Verdana" w:hAnsi="Verdana" w:cs="Verdana" w:eastAsia="Verdana"/>
          <w:sz w:val="24"/>
        </w:rPr>
        <w:t>5.1.1. Afectación de la cuenta: recibido por parte de la entidad vigilada el oficio del juez en que se le notifique la orden de embargar, la entidad vigilada debe afectar los depósitos por el valor correspondiente según los registros que presente el mismo en la fecha y hora de recibo de la respectiva comunicación, de conformidad con el artículo 1387 del Código de Comercio y los numerales 4 y 10 del artículo 593 del CGP.</w:t>
        <w:cr/>
      </w:r>
    </w:p>
    <w:p>
      <w:pPr>
        <w:jc w:val="both"/>
      </w:pPr>
      <w:r>
        <w:rPr>
          <w:rFonts w:ascii="Verdana" w:hAnsi="Verdana" w:cs="Verdana" w:eastAsia="Verdana"/>
          <w:sz w:val="24"/>
        </w:rPr>
        <w:t>5.1.2. Información sobre la cuantía afectada: la entidad vigilada debe entregar al portador del oficio un volante en el que conste la cuantía del saldo afectado por la orden, con la indicación de que la mención es provisional. Con la recepción del oficio queda consumado el embargo.</w:t>
      </w:r>
    </w:p>
    <w:p>
      <w:pPr>
        <w:jc w:val="both"/>
      </w:pPr>
      <w:r>
        <w:rPr>
          <w:rFonts w:ascii="Verdana" w:hAnsi="Verdana" w:cs="Verdana" w:eastAsia="Verdana"/>
          <w:sz w:val="24"/>
        </w:rPr>
        <w:t>5.1.3. Término para consignar las sumas embargadas: en los 3 días siguientes a la comunicación del embargo y de conformidad con el numeral 10 del artículo 593 del CGP, la entidad vigilada debe consignar las sumas retenidas en la cuenta de depósitos judiciales, e informar al juzgado en forma definitiva sobre la cuantía total de la suma embargada, enviándole el recibo en el que conste que dicho valor se encuentra a su disposición en la "cuenta de depósitos judiciales" que al efecto exista en las entidades que encuentran autorizadas para recibir depósitos de esta naturaleza, conforme a lo preceptuado en los artículos 2.12.5.1. y 2.12.5.2. del Decreto 1071 de 2015.</w:t>
      </w:r>
    </w:p>
    <w:p>
      <w:pPr>
        <w:jc w:val="both"/>
      </w:pPr>
      <w:r>
        <w:rPr>
          <w:rFonts w:ascii="Verdana" w:hAnsi="Verdana" w:cs="Verdana" w:eastAsia="Verdana"/>
          <w:sz w:val="24"/>
        </w:rPr>
        <w:t>5.1.4. Procedimiento sobre las cantidades depositadas con posterioridad a la orden de embargo: en caso de que el saldo existente en la cuenta corriente en la fecha y hora en que se comunique la orden de embargo sea inferior a la cuantía señalada en el oficio, quedan afectadas con dicha orden las cantidades depositadas con posterioridad hasta que sea cubierto el límite establecido en ella. Debe proceder entonces la entidad vigilada a dar cumplimiento, en lo pertinente, a lo dispuesto en el subnumeral anterior.</w:t>
        <w:cr/>
      </w:r>
      <w:r>
        <w:rPr>
          <w:rFonts w:ascii="Verdana" w:hAnsi="Verdana" w:cs="Verdana" w:eastAsia="Verdana"/>
          <w:sz w:val="24"/>
        </w:rPr>
        <w:t/>
        <w:cr/>
      </w:r>
      <w:r>
        <w:rPr>
          <w:rFonts w:ascii="Verdana" w:hAnsi="Verdana" w:cs="Verdana" w:eastAsia="Verdana"/>
          <w:sz w:val="24"/>
        </w:rPr>
        <w:t>En cuanto al valor de los cheques que se encuentren en las diligencias del canje, deben distinguirse las siguientes hipótesis:</w:t>
        <w:cr/>
      </w:r>
      <w:r>
        <w:rPr>
          <w:rFonts w:ascii="Verdana" w:hAnsi="Verdana" w:cs="Verdana" w:eastAsia="Verdana"/>
          <w:sz w:val="24"/>
        </w:rPr>
        <w:t/>
        <w:cr/>
      </w:r>
      <w:r>
        <w:rPr>
          <w:rFonts w:ascii="Verdana" w:hAnsi="Verdana" w:cs="Verdana" w:eastAsia="Verdana"/>
          <w:sz w:val="24"/>
        </w:rPr>
        <w:t>a.	Cheques recibidos al cobro: hasta tanto sean confirmados por el banco librado, el valor de los cheques no queda cobijado por la orden de embargo, no obstante, el embargo recaerá sobre las sumas que se depositen luego de notificada la orden hasta el límite indicado en la orden respectiva.</w:t>
        <w:cr/>
      </w:r>
      <w:r>
        <w:rPr>
          <w:rFonts w:ascii="Verdana" w:hAnsi="Verdana" w:cs="Verdana" w:eastAsia="Verdana"/>
          <w:sz w:val="24"/>
        </w:rPr>
        <w:t/>
        <w:cr/>
      </w:r>
      <w:r>
        <w:rPr>
          <w:rFonts w:ascii="Verdana" w:hAnsi="Verdana" w:cs="Verdana" w:eastAsia="Verdana"/>
          <w:sz w:val="24"/>
        </w:rPr>
        <w:t>b.	Cheques negociados en propiedad: si como operación complementaria al cobrar un cheque, el banco concede al cliente un préstamo pagadero con el producto del título una vez sea este satisfecho, la suma mutuada, en cuanto es de propiedad del cliente, queda afectada en lo correspondiente por la orden de embargo.</w:t>
        <w:cr/>
      </w:r>
    </w:p>
    <w:p>
      <w:pPr>
        <w:jc w:val="both"/>
      </w:pPr>
      <w:r>
        <w:rPr>
          <w:rFonts w:ascii="Verdana" w:hAnsi="Verdana" w:cs="Verdana" w:eastAsia="Verdana"/>
          <w:sz w:val="24"/>
        </w:rPr>
        <w:t>5.1.5. Procedimiento cuando el saldo embargado es inferior al límite señalado en la orden: cuando el saldo embargado sea inferior al límite señalado en la orden judicial, no puede el banco pagar cheques librados en sobregiro por el respectivo cuenta correntista, ni, en general, permitirle el retiro de fondos en descubierto, so pena de quedar dichas sumas embargadas en lo pertinente, por cuanto las citadas operaciones implican siempre el otorgamiento de un préstamo, cuyo producto ingresa al patrimonio del titular de la cuenta, bien que por voluntad suya en el correspondiente cheque u orden de pago se indique en ciertos eventos como beneficiaria a una tercera persona.</w:t>
      </w:r>
    </w:p>
    <w:p>
      <w:pPr>
        <w:jc w:val="both"/>
      </w:pPr>
      <w:r>
        <w:rPr>
          <w:rFonts w:ascii="Verdana" w:hAnsi="Verdana" w:cs="Verdana" w:eastAsia="Verdana"/>
          <w:sz w:val="24"/>
        </w:rPr>
        <w:t>5.1.6. Procedimiento en caso de medidas cautelares decretadas sobre recursos inembargables: de conformidad con lo dispuesto en los artículos 48 y 63 de la Constitución Política, 134 y 182 de la Ley 100 de 1993, 19 del Decreto Extraordinario 111 de 1996 (Estatuto Orgánico del Presupuesto), 91 de la Ley 715 de 2001, 8 del Decreto 050 de 2003, son inembargables los recursos de: el Sistema de Seguridad Social, las rentas incorporadas al Presupuesto General de la Nación así como los bienes y derechos de los órganos que lo conforman, el Sistema General de Participaciones -SGP-, Regalías y los demás recursos a los que la ley le otorgue la condición de inembargables.</w:t>
      </w:r>
      <w:r>
        <w:rPr>
          <w:rFonts w:ascii="Verdana" w:hAnsi="Verdana" w:cs="Verdana" w:eastAsia="Verdana"/>
          <w:sz w:val="24"/>
        </w:rPr>
        <w:t>En tal virtud, en los eventos en los cuales las entidades vigiladas reciban órdenes de embargo respecto de los recursos anteriormente mencionados, deben cumplir el procedimiento señalado en el parágrafo del artículo 594 del CGP.</w:t>
      </w:r>
      <w:r>
        <w:rPr>
          <w:rFonts w:ascii="Verdana" w:hAnsi="Verdana" w:cs="Verdana" w:eastAsia="Verdana"/>
          <w:sz w:val="24"/>
        </w:rPr>
        <w:t>Al momento de la celebración de cualquier contrato de depósito, corresponderá a las entidades vigiladas solicitar la información que les permita identificar la condición de inembargabilidad de los respectivos recursos.</w:t>
      </w:r>
    </w:p>
    <w:p>
      <w:pPr>
        <w:jc w:val="both"/>
      </w:pPr>
      <w:r>
        <w:rPr>
          <w:rFonts w:ascii="Verdana" w:hAnsi="Verdana" w:cs="Verdana" w:eastAsia="Verdana"/>
          <w:sz w:val="24"/>
        </w:rPr>
        <w:t xml:space="preserve">5.1.7. Procedimiento en caso de medidas cautelares decretadas por entidades territoriales en procesos de cobro coactivo de deudas fiscales: de conformidad con lo dispuesto en los artículos 5° de la Ley 1066 de 2006 y 823 del Estatuto Tributario, tratándose de medidas cautelares decretadas por entidades territoriales en procesos de cobro coactivo de deudas fiscales, debe darse cumplimiento al procedimiento señalado en el inciso 5° del artículo 837-1 del Estatuto Tributario, hasta tanto sea admitida la demanda interpuesta contra los actos tributarios que sirven de título ejecutivo o el ejecutado garantice el pago del 100% del valor en discusión, mediante caución bancaria o de compañías de seguros. </w:t>
      </w:r>
    </w:p>
    <w:p>
      <w:pPr>
        <w:jc w:val="left"/>
      </w:pPr>
      <w:r>
        <w:rPr>
          <w:rFonts w:ascii="Verdana" w:hAnsi="Verdana" w:cs="Verdana" w:eastAsia="Verdana"/>
          <w:sz w:val="24"/>
          <w:b w:val="on"/>
        </w:rPr>
        <w:t>5.2. Suministro de información</w:t>
      </w:r>
    </w:p>
    <w:p>
      <w:pPr>
        <w:jc w:val="both"/>
      </w:pPr>
      <w:r>
        <w:rPr>
          <w:rFonts w:ascii="Verdana" w:hAnsi="Verdana" w:cs="Verdana" w:eastAsia="Verdana"/>
          <w:sz w:val="24"/>
        </w:rPr>
        <w:t>Constituye, igualmente, un deber de colaboración con las autoridades el suministro de información tanto de clientes de las entidades vigiladas como de sus productos. En los eventos en los cuales esta Superintendencia, en ejercicio de sus facultades legales, o alguna otra autoridad competente, investigue sobre los mismos, las entidades vigiladas deben guardar absoluta reserva sobre el contenido de tales investigaciones y deben abstenerse de informar de dicha situación a los titulares de las cuentas respectivas.</w:t>
      </w:r>
      <w:r>
        <w:rPr>
          <w:rFonts w:ascii="Verdana" w:hAnsi="Verdana" w:cs="Verdana" w:eastAsia="Verdana"/>
          <w:sz w:val="24"/>
        </w:rPr>
        <w:t>Así mismo, es deber de las entidades vigiladas suministrar información sobre hechos o actuaciones de profesionales vinculados laboralmente o bajo cualquier otra forma contractual, en el marco de actuaciones o investigaciones que se adelanten frente a los mismos, así como de los clientes vinculados a actividades que por su carácter de interés público puedan afectar el bien común.</w:t>
      </w:r>
    </w:p>
    <w:p>
      <w:pPr>
        <w:jc w:val="left"/>
      </w:pPr>
      <w:r>
        <w:rPr>
          <w:rFonts w:ascii="Verdana" w:hAnsi="Verdana" w:cs="Verdana" w:eastAsia="Verdana"/>
          <w:sz w:val="24"/>
          <w:b w:val="on"/>
        </w:rPr>
        <w:t>5.3. Responsabilidad de las entidades</w:t>
      </w:r>
    </w:p>
    <w:p>
      <w:pPr>
        <w:jc w:val="both"/>
      </w:pPr>
      <w:r>
        <w:rPr>
          <w:rFonts w:ascii="Verdana" w:hAnsi="Verdana" w:cs="Verdana" w:eastAsia="Verdana"/>
          <w:sz w:val="24"/>
        </w:rPr>
        <w:t>Las entidades vigiladas deben adoptar las medidas a que haya lugar, tendientes a procurar el inmediato y correcto cumplimiento de las órdenes emitidas por las autoridades judiciales y administrativas, y corregir el incumplimiento o las demoras en la atención de las órdenes impartidas. Ello en el entendido de que la colaboración con la justicia no sólo es un deber, sino que su incumplimiento, acarrea la imposición de sanciones, incluso de índole penal.</w:t>
      </w:r>
    </w:p>
    <w:p>
      <w:pPr>
        <w:jc w:val="left"/>
      </w:pPr>
      <w:r>
        <w:rPr>
          <w:rFonts w:ascii="Verdana" w:hAnsi="Verdana" w:cs="Verdana" w:eastAsia="Verdana"/>
          <w:sz w:val="24"/>
          <w:b w:val="on"/>
        </w:rPr>
        <w:t>6. Reserva bancaria</w:t>
      </w:r>
    </w:p>
    <w:p>
      <w:pPr>
        <w:jc w:val="both"/>
      </w:pPr>
      <w:r>
        <w:rPr>
          <w:rFonts w:ascii="Verdana" w:hAnsi="Verdana" w:cs="Verdana" w:eastAsia="Verdana"/>
          <w:sz w:val="24"/>
        </w:rPr>
        <w:t>La reserva bancaria es considerada como una de las garantías más valiosas que tienen los clientes o usuarios que transfieren a las entidades vigiladas, a título de secreto, parte o toda su información personal y su intimidad económica, por cuanto se considera que dicha información hace parte del derecho a la intimidad, por un lado, y de la confidencialidad reconocida que tienen los libros y papeles del comerciante. La bondad del secreto ha sido reconocida por la doctrina y por la jurisprudencia, y es por ello que los actos que la violentan son objeto de censura.</w:t>
      </w:r>
      <w:r>
        <w:rPr>
          <w:rFonts w:ascii="Verdana" w:hAnsi="Verdana" w:cs="Verdana" w:eastAsia="Verdana"/>
          <w:sz w:val="24"/>
        </w:rPr>
        <w:t>Por otro lado, la reserva bancaria, de conformidad con el artículo 7, literal i., de la Ley 1328 de 2009, se ha entendido como el deber que tienen las entidades y sus funcionarios de guardar reserva y discreción sobre los datos de los consumidores financieros o sobre aquellos relacionados con la situación propia de la compañía, que conozcan en desarrollo de su profesión u oficio, so pena de asumir las consecuencias penales, laborales y administrativas que el incumplimiento a dicho precepto podría acarrear al infractor.</w:t>
      </w:r>
      <w:r>
        <w:rPr>
          <w:rFonts w:ascii="Verdana" w:hAnsi="Verdana" w:cs="Verdana" w:eastAsia="Verdana"/>
          <w:sz w:val="24"/>
        </w:rPr>
        <w:t>A fin de garantizar el mencionado derecho, las vigiladas deben proteger la información confidencial de sus clientes, adoptando procedimientos y mecanismos de control que deben ser incorporados en el código de buen gobierno o código de ética de las instituciones, a fin de evitar filtraciones de la mencionada información.</w:t>
      </w:r>
      <w:r>
        <w:rPr>
          <w:rFonts w:ascii="Verdana" w:hAnsi="Verdana" w:cs="Verdana" w:eastAsia="Verdana"/>
          <w:sz w:val="24"/>
        </w:rPr>
        <w:t>Igualmente, debe garantizarse el adecuado cumplimiento de las disposiciones contenidas en las Leyes 1266 de 2008 y 1581 de 2012 en materia de Protección de Datos Personales y Habeas Data.</w:t>
      </w:r>
      <w:r>
        <w:rPr>
          <w:rFonts w:ascii="Verdana" w:hAnsi="Verdana" w:cs="Verdana" w:eastAsia="Verdana"/>
          <w:sz w:val="24"/>
        </w:rPr>
        <w:t>No obstante, al ser la reserva bancaria una figura amparada por los derechos constitucionales a la intimidad y fundamentada en el principio del secreto profesional y la reserva de los papeles del comerciante, el amparo a la misma no debe conducir a extremos exagerados por los alcances que pretendan darse a esta práctica. De ella nace para las entidades vigiladas un imperativo de conducta cuya observancia estricta es jurídica y debe favorecerse en cuanto no exceda limitaciones que, en una u otra forma, tienden a evitar que la costumbre de discreción de los administradores y directores se convierta en herramienta que haga prevalecer el interés privado sobre las conveniencias generales de la comunidad.</w:t>
      </w:r>
      <w:r>
        <w:rPr>
          <w:rFonts w:ascii="Verdana" w:hAnsi="Verdana" w:cs="Verdana" w:eastAsia="Verdana"/>
          <w:sz w:val="24"/>
        </w:rPr>
        <w:t xml:space="preserve">Así es como, por la reserva bancaria no pueden llegar a resultar protegidas conductas criminales, abusivas o contrarias a la buena fe que ha de regir el tráfico mercantil, o, lo que es más grave aún, resultar encubierta información que facilite la labor de la administración de justicia o de las funciones desarrolladas por las autoridades administrativas. </w:t>
      </w:r>
      <w:r>
        <w:rPr>
          <w:rFonts w:ascii="Verdana" w:hAnsi="Verdana" w:cs="Verdana" w:eastAsia="Verdana"/>
          <w:sz w:val="24"/>
        </w:rPr>
        <w:t>De otra parte, no puede olvidarse que la reserva bancaria tampoco tiene vigencia cuando, ante las circunstancias previstas en el artículo 15 de la Constitución Política, es decir para efectos tributarios, judiciales y para los casos de inspección, vigilancia e intervención del Estado, requiere exigirse la presentación de libros de contabilidad y demás documentos privados, en los términos que señale la ley. En estas situaciones y cumplidas las formalidades pertinentes, el deber de discreción desaparece como imperativo de forzosa observancia por parte del vigilado y es responsabilidad de la respectiva oficina pública evitar que sea lesionada la intimidad de clientes inocentes de la entidad que fue constreñida a exhibir su archivo total o parcialmente.</w:t>
      </w:r>
    </w:p>
    <w:p>
      <w:pPr>
        <w:jc w:val="left"/>
      </w:pPr>
      <w:r>
        <w:rPr>
          <w:rFonts w:ascii="Verdana" w:hAnsi="Verdana" w:cs="Verdana" w:eastAsia="Verdana"/>
          <w:sz w:val="24"/>
          <w:b w:val="on"/>
        </w:rPr>
        <w:t>6.1. Tratamiento de la reserva bancaria de inversionistas extranjeros</w:t>
      </w:r>
    </w:p>
    <w:p>
      <w:pPr>
        <w:jc w:val="both"/>
      </w:pPr>
      <w:r>
        <w:rPr>
          <w:rFonts w:ascii="Verdana" w:hAnsi="Verdana" w:cs="Verdana" w:eastAsia="Verdana"/>
          <w:sz w:val="24"/>
        </w:rPr>
        <w:t>En el evento contemplado en el literal f., numeral 3 del artículo 53 del EOSF, la SFC puede subordinar la autorización de constitución o de adquisición de acciones en entidades vigiladas a que quienes pretendan realizar la inversión suministren toda la información que estime pertinente respecto de los beneficiarios reales del capital social de la entidad financiera al momento de su constitución y posteriormente, independientemente del régimen legal aplicable en materia de confidencialidad en el país de origen del inversionista.</w:t>
      </w:r>
      <w:r>
        <w:rPr>
          <w:rFonts w:ascii="Verdana" w:hAnsi="Verdana" w:cs="Verdana" w:eastAsia="Verdana"/>
          <w:sz w:val="24"/>
        </w:rPr>
        <w:t>Lo anterior, sin perjuicio de que se propenda por lograr acuerdos para el intercambio recíproco de información relevante con el organismo de supervisión del país en donde esté constituida la casa matriz de la entidad vigilada constituida en Colombia, o el banco o compañía de seguros del exterior que opere por medio de sucursal en el país.</w:t>
      </w:r>
    </w:p>
    <w:p>
      <w:pPr>
        <w:jc w:val="left"/>
      </w:pPr>
      <w:r>
        <w:rPr>
          <w:rFonts w:ascii="Verdana" w:hAnsi="Verdana" w:cs="Verdana" w:eastAsia="Verdana"/>
          <w:sz w:val="24"/>
          <w:b w:val="on"/>
        </w:rPr>
        <w:t>6.2. Inoponibilidad de la reserva bancaria frente a actuaciones del Ministerio Público</w:t>
      </w:r>
    </w:p>
    <w:p>
      <w:pPr>
        <w:jc w:val="both"/>
      </w:pPr>
      <w:r>
        <w:rPr>
          <w:rFonts w:ascii="Verdana" w:hAnsi="Verdana" w:cs="Verdana" w:eastAsia="Verdana"/>
          <w:sz w:val="24"/>
        </w:rPr>
        <w:t xml:space="preserve">Teniendo en cuenta las funciones que constitucionalmente le competen al Ministerio Público, en particular la concerniente a la supervisión de la conducta de los servidores públicos y el ejercicio consecuencial de la acción disciplinaria, por ningún motivo le es lícito a las entidades financieras oponer la reserva bancaria a los agentes del Ministerio Público, cuando éstos, en el ejercicio de sus funciones y a fin de instruir averiguaciones de tipo disciplinario, requieran datos e informes de relevancia probatoria dentro de ese proceso. </w:t>
      </w:r>
      <w:r>
        <w:rPr>
          <w:rFonts w:ascii="Verdana" w:hAnsi="Verdana" w:cs="Verdana" w:eastAsia="Verdana"/>
          <w:sz w:val="24"/>
        </w:rPr>
        <w:t>El sistema de la responsabilidad pública por daños ocasionados a los ciudadanos suministra elementos de defensa suficientes para el caso que esa información sea obtenida y utilizada con el fin de causar perjuicios a funcionarios o empleados libres de toda culpa.</w:t>
      </w:r>
    </w:p>
    <w:p>
      <w:pPr>
        <w:jc w:val="left"/>
      </w:pPr>
      <w:r>
        <w:rPr>
          <w:rFonts w:ascii="Verdana" w:hAnsi="Verdana" w:cs="Verdana" w:eastAsia="Verdana"/>
          <w:sz w:val="24"/>
          <w:b w:val="on"/>
        </w:rPr>
        <w:t>6.3. Reserva de las actuaciones del Ministerio Público y otras autoridades</w:t>
      </w:r>
    </w:p>
    <w:p>
      <w:pPr>
        <w:jc w:val="both"/>
      </w:pPr>
      <w:r>
        <w:rPr>
          <w:rFonts w:ascii="Verdana" w:hAnsi="Verdana" w:cs="Verdana" w:eastAsia="Verdana"/>
          <w:sz w:val="24"/>
        </w:rPr>
        <w:t>Es un deber de las entidades vigiladas, y de sus funcionarios o personal con acceso a las mismas, mantener reserva respecto de las diligencias, solicitudes de información y, en general, llamados a prestar colaboración que realice la Procuraduría General de la Nación, así como las que realicen las autoridades judiciales y administrativas dentro de indagaciones o investigaciones que adelanten en contra de clientes, usuarios, personal de la entidad vigilada o funcionarios públicos vinculados en el ejercicio de sus cargos a dichas entidades, so pena de hacerse acreedores a las sanciones previstas por la ley para el efecto.</w:t>
        <w:cr/>
      </w:r>
    </w:p>
    <w:p>
      <w:pPr>
        <w:jc w:val="left"/>
      </w:pPr>
      <w:r>
        <w:rPr>
          <w:rFonts w:ascii="Verdana" w:hAnsi="Verdana" w:cs="Verdana" w:eastAsia="Verdana"/>
          <w:sz w:val="24"/>
          <w:b w:val="on"/>
        </w:rPr>
        <w:t>6.4. Reserva bancaria sobre cuentas inactivas</w:t>
      </w:r>
    </w:p>
    <w:p>
      <w:pPr>
        <w:jc w:val="both"/>
      </w:pPr>
      <w:r>
        <w:rPr>
          <w:rFonts w:ascii="Verdana" w:hAnsi="Verdana" w:cs="Verdana" w:eastAsia="Verdana"/>
          <w:sz w:val="24"/>
        </w:rPr>
        <w:t>No obstante la aplicación de la reserva bancaria en general, frente a solicitudes de información de saldos en cuentas corrientes y/o de ahorro inactivas, la entidad vigilada debe evaluar el fundamento jurídico que le asiste al peticionario con base en el cual se puede deducir la viabilidad de suministrar dicha información, las razones o el interés jurídico en que se apoya la solicitud, el propósito o finalidad de la información, la competencia de la autoridad que la requiere y la naturaleza de la información, para, con base en dichos presupuestos, proceder a dar la respuesta a que haya lugar a la mayor brevedad posible.</w:t>
      </w:r>
    </w:p>
    <w:p>
      <w:pPr>
        <w:jc w:val="left"/>
      </w:pPr>
      <w:r>
        <w:rPr>
          <w:rFonts w:ascii="Verdana" w:hAnsi="Verdana" w:cs="Verdana" w:eastAsia="Verdana"/>
          <w:sz w:val="24"/>
          <w:b w:val="on"/>
        </w:rPr>
        <w:t>6.5. Extensión del concepto de reserva bancaria</w:t>
      </w:r>
    </w:p>
    <w:p>
      <w:pPr>
        <w:jc w:val="both"/>
      </w:pPr>
      <w:r>
        <w:rPr>
          <w:rFonts w:ascii="Verdana" w:hAnsi="Verdana" w:cs="Verdana" w:eastAsia="Verdana"/>
          <w:sz w:val="24"/>
        </w:rPr>
        <w:t>Las instrucciones y disposiciones antes referidas aplican a las entidades vigiladas que, en desarrollo de su objeto social, celebren operaciones sobre valores ejecutadas en desarrollo de la relación contractual y sus resultados; así como, sobre la información de sus clientes y cualquier otra que, de acuerdo con las normas que rigen el mercado de valores, tenga carácter confidencial.</w:t>
      </w:r>
    </w:p>
    <w:p>
      <w:pPr>
        <w:jc w:val="left"/>
      </w:pPr>
      <w:r>
        <w:rPr>
          <w:rFonts w:ascii="Verdana" w:hAnsi="Verdana" w:cs="Verdana" w:eastAsia="Verdana"/>
          <w:sz w:val="24"/>
          <w:b w:val="on"/>
        </w:rPr>
        <w:t>7. Reformas estatutarias</w:t>
      </w:r>
    </w:p>
    <w:p>
      <w:pPr>
        <w:jc w:val="both"/>
      </w:pPr>
      <w:r>
        <w:rPr>
          <w:rFonts w:ascii="Verdana" w:hAnsi="Verdana" w:cs="Verdana" w:eastAsia="Verdana"/>
          <w:sz w:val="24"/>
        </w:rPr>
        <w:t>De manera general, las reformas a los estatutos de las entidades vigiladas no requieren ser autorizadas por la SFC, a menos que acorde con las facultades del ente de control así deba serlo. En tal sentido y como quiera que en todo caso dichas reformas deben ser informadas a este organismo tan pronto sean aprobadas, se requiere efectuar las siguientes precisiones:</w:t>
      </w:r>
    </w:p>
    <w:p>
      <w:pPr>
        <w:jc w:val="left"/>
      </w:pPr>
      <w:r>
        <w:rPr>
          <w:rFonts w:ascii="Verdana" w:hAnsi="Verdana" w:cs="Verdana" w:eastAsia="Verdana"/>
          <w:sz w:val="24"/>
          <w:b w:val="on"/>
        </w:rPr>
        <w:t>7.1. Autorizaciones especiales</w:t>
      </w:r>
    </w:p>
    <w:p>
      <w:pPr>
        <w:jc w:val="both"/>
      </w:pPr>
      <w:r>
        <w:rPr>
          <w:rFonts w:ascii="Verdana" w:hAnsi="Verdana" w:cs="Verdana" w:eastAsia="Verdana"/>
          <w:sz w:val="24"/>
        </w:rPr>
        <w:t>Comportan autorizaciones especiales y, por ende, deben impartirse previamente, las relativas a la conversión y escisión de entidades vigiladas, así como la cesión de activos, pasivos y contratos, conforme a lo previsto en el numeral 4, artículo 71 del EOSF, en la medida en que tales operaciones conlleven reformas estatutarias, so pena de ineficacia.</w:t>
      </w:r>
      <w:r>
        <w:rPr>
          <w:rFonts w:ascii="Verdana" w:hAnsi="Verdana" w:cs="Verdana" w:eastAsia="Verdana"/>
          <w:sz w:val="24"/>
        </w:rPr>
        <w:t>Igualmente, tratándose de las entidades a que se refiere el numeral 1 del parágrafo 3 del artículo 75 de la Ley 964 de 2005, requieren autorización previa de la SFC las reformas estatutarias de: i) fusión, ii) transformación, iii) disolución anticipada y iv) reducción del capital social cuando implique reembolso efectivo de aportes.</w:t>
      </w:r>
    </w:p>
    <w:p>
      <w:pPr>
        <w:jc w:val="left"/>
      </w:pPr>
      <w:r>
        <w:rPr>
          <w:rFonts w:ascii="Verdana" w:hAnsi="Verdana" w:cs="Verdana" w:eastAsia="Verdana"/>
          <w:sz w:val="24"/>
          <w:b w:val="on"/>
        </w:rPr>
        <w:t>7.2. Información sobre reformas estatutarias</w:t>
      </w:r>
    </w:p>
    <w:p>
      <w:pPr>
        <w:jc w:val="both"/>
      </w:pPr>
      <w:r>
        <w:rPr>
          <w:rFonts w:ascii="Verdana" w:hAnsi="Verdana" w:cs="Verdana" w:eastAsia="Verdana"/>
          <w:sz w:val="24"/>
        </w:rPr>
        <w:t>Las entidades vigiladas deben informar a la SFC sobre las reformas a los estatutos sociales, dentro de los 15 días hábiles siguientes a su aprobación por parte de la asamblea de accionistas respectiva, mediante el envío del acta correspondiente en la cual conste la adopción de dicha decisión.</w:t>
      </w:r>
      <w:r>
        <w:rPr>
          <w:rFonts w:ascii="Verdana" w:hAnsi="Verdana" w:cs="Verdana" w:eastAsia="Verdana"/>
          <w:sz w:val="24"/>
        </w:rPr>
        <w:t>En el evento en que la Superintendencia encuentre que las reformas no se ajustan a la ley, puede ordenar las modificaciones pertinentes, en cuyo caso la entidad debe en forma inmediata adelantar las gestiones conducentes para ese efecto.</w:t>
      </w:r>
    </w:p>
    <w:p>
      <w:pPr>
        <w:jc w:val="left"/>
      </w:pPr>
      <w:r>
        <w:rPr>
          <w:rFonts w:ascii="Verdana" w:hAnsi="Verdana" w:cs="Verdana" w:eastAsia="Verdana"/>
          <w:sz w:val="24"/>
          <w:b w:val="on"/>
        </w:rPr>
        <w:t>7.3. Solemnización de la reforma</w:t>
      </w:r>
    </w:p>
    <w:p>
      <w:pPr>
        <w:jc w:val="both"/>
      </w:pPr>
      <w:r>
        <w:rPr>
          <w:rFonts w:ascii="Verdana" w:hAnsi="Verdana" w:cs="Verdana" w:eastAsia="Verdana"/>
          <w:sz w:val="24"/>
        </w:rPr>
        <w:t>La solemnización de toda reforma estatutaria debe acreditarse dentro del mes siguiente a la fecha del otorgamiento de la escritura pública, remitiendo, para tal efecto, copia de esta, del certificado de la Cámara de Comercio en el que conste su inscripción, y copia íntegra de los estatutos sociales debidamente actualizada.</w:t>
      </w:r>
      <w:r>
        <w:rPr>
          <w:rFonts w:ascii="Verdana" w:hAnsi="Verdana" w:cs="Verdana" w:eastAsia="Verdana"/>
          <w:sz w:val="24"/>
        </w:rPr>
        <w:t>Tratándose de reformas estatutarias de Fondos Mutuos de Inversión, bastará la remisión de la copia de la escritura pública mediante la cual se protocolice la reforma.</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IV. Capítulo I: Obligaciones especiales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2025-07-03T14:26:21Z</dcterms:created>
  <dc:creator>Apache POI</dc:creator>
</cp:coreProperties>
</file>