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II. Prestación de los servicios financieros</w:t>
      </w:r>
    </w:p>
    <w:p>
      <w:pPr>
        <w:jc w:val="center"/>
      </w:pPr>
      <w:r>
        <w:rPr>
          <w:rFonts w:ascii="Verdana" w:hAnsi="Verdana" w:cs="Verdana" w:eastAsia="Verdana"/>
          <w:sz w:val="24"/>
          <w:b w:val="on"/>
        </w:rPr>
        <w:t>Capítulo II. Prestación transfronteriza de servicios financieros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 xml:space="preserve">1. Oficinas de representación y contratos de corresponsalía </w:t>
      </w:r>
    </w:p>
    <w:p>
      <w:pPr>
        <w:jc w:val="left"/>
      </w:pPr>
      <w:r>
        <w:rPr>
          <w:rFonts w:ascii="Verdana" w:hAnsi="Verdana" w:cs="Verdana" w:eastAsia="Verdana"/>
          <w:sz w:val="24"/>
          <w:b w:val="on"/>
        </w:rPr>
        <w:t>1.1. Aspectos generales</w:t>
      </w:r>
    </w:p>
    <w:p>
      <w:pPr>
        <w:jc w:val="both"/>
      </w:pPr>
      <w:r>
        <w:rPr>
          <w:rFonts w:ascii="Verdana" w:hAnsi="Verdana" w:cs="Verdana" w:eastAsia="Verdana"/>
          <w:sz w:val="24"/>
        </w:rPr>
        <w:t>La actividad de las oficinas de representación de instituciones del exterior y los contratos de corresponsalía celebrados por las sociedades comisionistas de bolsa de valores y las corporaciones financieras se rigen por las instrucciones contempladas en el presente Capítulo, además de lo previsto en la Ley 964 de 2005, el Estatuto Orgánico del Sistema Financiero (EOSF) y la Parte 4 del Decreto 2555 de 2010, en lo que les resulte aplicable a cada uno.</w:t>
      </w:r>
    </w:p>
    <w:p>
      <w:pPr>
        <w:jc w:val="left"/>
      </w:pPr>
      <w:r>
        <w:rPr>
          <w:rFonts w:ascii="Verdana" w:hAnsi="Verdana" w:cs="Verdana" w:eastAsia="Verdana"/>
          <w:sz w:val="24"/>
          <w:b w:val="on"/>
        </w:rPr>
        <w:t>1.1.1. Régimen de apertura de oficinas de representación y contratos de corresponsalía</w:t>
      </w:r>
    </w:p>
    <w:p>
      <w:pPr>
        <w:jc w:val="both"/>
      </w:pPr>
      <w:r>
        <w:rPr>
          <w:rFonts w:ascii="Verdana" w:hAnsi="Verdana" w:cs="Verdana" w:eastAsia="Verdana"/>
          <w:sz w:val="24"/>
        </w:rPr>
        <w:t>Para la solicitud de apertura de una oficina de representación o de autorización de un contrato de corresponsalía ante la Superintendencia Financiera de Colombia (SFC), se debe dar cumplimiento a lo previsto en el artículo 4.1.1.1.4. del Decreto 2555 de 2010. La documentación soporte de la solicitud debe cumplir con las formalidades establecidas en la ley para los documentos otorgados en el exterior y deben ser actualizados cuando a ello hubiere lugar, sin perjuicio del deber de información previsto en este Capítulo.</w:t>
      </w:r>
      <w:r>
        <w:rPr>
          <w:rFonts w:ascii="Verdana" w:hAnsi="Verdana" w:cs="Verdana" w:eastAsia="Verdana"/>
          <w:sz w:val="24"/>
        </w:rPr>
        <w:t>Las instituciones del exterior que deseen establecer una oficina de representación en Colombia, así como las instituciones del mercado de valores extranjeras que opten por celebrar un contrato de corresponsalía, deberán presentar una solicitud a la SFC de conformidad con los términos establecidos en este Capítulo. La solicitud correspondiente deberá ser presentada por el representante legal o apoderado de la institución extranjera interesada, o por el futuro corresponsal en caso de ser aplicable, junto con los documentos requeridos en el artículo 4.1.1.1.4 del Decreto 2555 de 2010. Todos los documentos deben ser presentados en español o con su traducción oficial a este idioma.</w:t>
      </w:r>
      <w:r>
        <w:rPr>
          <w:rFonts w:ascii="Verdana" w:hAnsi="Verdana" w:cs="Verdana" w:eastAsia="Verdana"/>
          <w:sz w:val="24"/>
        </w:rPr>
        <w:t>No obstante, de conformidad con lo establecido en el numeral 10 del artículo 4.1.1.1.4 del Decreto 2555 de 2010, la SFC puede solicitar documentación adicional para formarse un criterio sobre la idoneidad de la institución del exterior, de sus administradores, accionistas o del plan de negocios.</w:t>
      </w:r>
      <w:r>
        <w:rPr>
          <w:rFonts w:ascii="Verdana" w:hAnsi="Verdana" w:cs="Verdana" w:eastAsia="Verdana"/>
          <w:sz w:val="24"/>
        </w:rPr>
        <w:t>Toda la documentación soporte de la solicitud debe cumplir con las formalidades establecidas en la ley para los documentos otorgados en el exterior y deben ser actualizados cuando a ello hubiere lugar, sin perjuicio del deber de información previsto en este Capítulo.</w:t>
      </w:r>
    </w:p>
    <w:p>
      <w:pPr>
        <w:jc w:val="left"/>
      </w:pPr>
      <w:r>
        <w:rPr>
          <w:rFonts w:ascii="Verdana" w:hAnsi="Verdana" w:cs="Verdana" w:eastAsia="Verdana"/>
          <w:sz w:val="24"/>
          <w:b w:val="on"/>
        </w:rPr>
        <w:t>1.1.2. Excepciones al régimen de apertura</w:t>
      </w:r>
    </w:p>
    <w:p>
      <w:pPr>
        <w:jc w:val="both"/>
      </w:pPr>
      <w:r>
        <w:rPr>
          <w:rFonts w:ascii="Verdana" w:hAnsi="Verdana" w:cs="Verdana" w:eastAsia="Verdana"/>
          <w:sz w:val="24"/>
        </w:rPr>
        <w:t>Las instituciones a las que se refiere el artículo 4.1.1.1.3 del Decreto 2555 de 2010 no están obligadas a tener una oficina de representación ni a celebrar contratos de corresponsalía en Colombia. En todo caso, de acuerdo con el artículo 4.1.1.1.5. del Decreto 2555 de 2010, la representación de las instituciones del exterior a través de la matriz, filiales o subsidiarias establecidas en Colombia requiere de autorización previa de la SFC.</w:t>
      </w:r>
    </w:p>
    <w:p>
      <w:pPr>
        <w:jc w:val="left"/>
      </w:pPr>
      <w:r>
        <w:rPr>
          <w:rFonts w:ascii="Verdana" w:hAnsi="Verdana" w:cs="Verdana" w:eastAsia="Verdana"/>
          <w:sz w:val="24"/>
          <w:b w:val="on"/>
        </w:rPr>
        <w:t>1.1.3. Actividades autorizadas</w:t>
      </w:r>
    </w:p>
    <w:p>
      <w:pPr>
        <w:jc w:val="both"/>
      </w:pPr>
      <w:r>
        <w:rPr>
          <w:rFonts w:ascii="Verdana" w:hAnsi="Verdana" w:cs="Verdana" w:eastAsia="Verdana"/>
          <w:sz w:val="24"/>
        </w:rPr>
        <w:t>En concordancia con las actividades autorizadas a las oficinas de representación y a los corresponsales en los artículos 4.1.1.1.6 y 4.1.1.1.7 del Decreto 2555 de 2010, según corresponda, las actividades de promoción o publicidad que desarrollen estas entidades deben limitarse a los productos y servicios autorizados por la SFC en el correspondiente acto administrativo</w:t>
      </w:r>
      <w:r>
        <w:rPr>
          <w:rFonts w:ascii="Verdana" w:hAnsi="Verdana" w:cs="Verdana" w:eastAsia="Verdana"/>
          <w:sz w:val="24"/>
        </w:rPr>
        <w:t xml:space="preserve"> </w:t>
      </w:r>
      <w:r>
        <w:rPr>
          <w:rFonts w:ascii="Verdana" w:hAnsi="Verdana" w:cs="Verdana" w:eastAsia="Verdana"/>
          <w:sz w:val="24"/>
        </w:rPr>
        <w:t xml:space="preserve">de apertura o de autorización del contrato respectivo, según sea el caso. </w:t>
      </w:r>
      <w:r>
        <w:rPr>
          <w:rFonts w:ascii="Verdana" w:hAnsi="Verdana" w:cs="Verdana" w:eastAsia="Verdana"/>
          <w:sz w:val="24"/>
        </w:rPr>
        <w:t>La promoción o publicidad de productos o servicios diferentes o adicionales a los autorizados por la SFC requiere la autorización previa de este ente de control, sin perjuicio de las sanciones y/o demás medidas a las que haya lugar, en el evento en que dicha actividad se realice sin la autorización correspondiente.</w:t>
      </w:r>
      <w:r>
        <w:rPr>
          <w:rFonts w:ascii="Verdana" w:hAnsi="Verdana" w:cs="Verdana" w:eastAsia="Verdana"/>
          <w:sz w:val="24"/>
        </w:rPr>
        <w:t>En todo caso</w:t>
      </w:r>
      <w:r>
        <w:rPr>
          <w:rFonts w:ascii="Verdana" w:hAnsi="Verdana" w:cs="Verdana" w:eastAsia="Verdana"/>
          <w:sz w:val="24"/>
        </w:rPr>
        <w:t xml:space="preserve">, </w:t>
      </w:r>
      <w:r>
        <w:rPr>
          <w:rFonts w:ascii="Verdana" w:hAnsi="Verdana" w:cs="Verdana" w:eastAsia="Verdana"/>
          <w:sz w:val="24"/>
        </w:rPr>
        <w:t>la apertura de una oficina de representación o la celebración de un contrato de corresponsalía para el ofrecimiento de productos o servicios de una entidad del exterior no exime del cumplimiento de las normas colombianas sobre oferta pública de valores.</w:t>
      </w:r>
    </w:p>
    <w:p>
      <w:pPr>
        <w:jc w:val="left"/>
      </w:pPr>
      <w:r>
        <w:rPr>
          <w:rFonts w:ascii="Verdana" w:hAnsi="Verdana" w:cs="Verdana" w:eastAsia="Verdana"/>
          <w:sz w:val="24"/>
          <w:b w:val="on"/>
        </w:rPr>
        <w:t>1.1.4. Identificación</w:t>
      </w:r>
    </w:p>
    <w:p>
      <w:pPr>
        <w:jc w:val="both"/>
      </w:pPr>
      <w:r>
        <w:rPr>
          <w:rFonts w:ascii="Verdana" w:hAnsi="Verdana" w:cs="Verdana" w:eastAsia="Verdana"/>
          <w:sz w:val="24"/>
        </w:rPr>
        <w:t xml:space="preserve">En desarrollo de lo previsto en el numeral 5 del artículo 4.1.1.1.5. y el artículo 4.1.1.1.9. del Decreto 2555 de 2010, las oficinas de representación de instituciones del exterior, las sociedades comisionistas de bolsas de valores y corporaciones financieras que celebren contratos de corresponsalía, así como las entidades vigiladas que representen a la entidad matriz, filial o subsidiaria del exterior deben informar a los clientes potenciales y actuales de las instituciones del exterior sobre las actividades de las referidas instituciones del exterior, y distinguir sus propios productos y servicios de los productos y servicios de dichas instituciones. </w:t>
      </w:r>
    </w:p>
    <w:p>
      <w:pPr>
        <w:jc w:val="left"/>
      </w:pPr>
      <w:r>
        <w:rPr>
          <w:rFonts w:ascii="Verdana" w:hAnsi="Verdana" w:cs="Verdana" w:eastAsia="Verdana"/>
          <w:sz w:val="24"/>
          <w:b w:val="on"/>
        </w:rPr>
        <w:t>1.1.5. Cambio de dirección</w:t>
      </w:r>
    </w:p>
    <w:p>
      <w:pPr>
        <w:jc w:val="both"/>
      </w:pPr>
      <w:r>
        <w:rPr>
          <w:rFonts w:ascii="Verdana" w:hAnsi="Verdana" w:cs="Verdana" w:eastAsia="Verdana"/>
          <w:sz w:val="24"/>
        </w:rPr>
        <w:t>El representante de la oficina de representación, así como los representantes de las sociedades comisionistas de bolsa de valores y de las corporaciones financieras que celebren un contrato de corresponsalía con instituciones del mercado de valores del exterior, deben informar a la SFC de manera inmediata cualquier cambio de dirección de la institución del exterior. En dicha notificación se deberá incluir la nueva dirección, teléfonos y cualquier otro dato necesario para su localización.</w:t>
      </w:r>
      <w:r>
        <w:rPr>
          <w:rFonts w:ascii="Verdana" w:hAnsi="Verdana" w:cs="Verdana" w:eastAsia="Verdana"/>
          <w:sz w:val="24"/>
        </w:rPr>
        <w:t>En el mismo término, el representante de la institución del exterior autorizada por la SFC para desarrollar las actividades propias de las oficinas de representación, bajo alguna de las reglas especiales contempladas en los numerales 7 y 8 del artículo 4.1.1.1.3 del Decreto 2555 de 2010, debe informar a la SFC cualquier modificación de los datos suministrados para su localización.</w:t>
      </w:r>
    </w:p>
    <w:p>
      <w:pPr>
        <w:jc w:val="left"/>
      </w:pPr>
      <w:r>
        <w:rPr>
          <w:rFonts w:ascii="Verdana" w:hAnsi="Verdana" w:cs="Verdana" w:eastAsia="Verdana"/>
          <w:sz w:val="24"/>
          <w:b w:val="on"/>
        </w:rPr>
        <w:t>1.1.6. Obligaciones</w:t>
      </w:r>
    </w:p>
    <w:p>
      <w:pPr>
        <w:jc w:val="left"/>
      </w:pPr>
      <w:r>
        <w:rPr>
          <w:rFonts w:ascii="Verdana" w:hAnsi="Verdana" w:cs="Verdana" w:eastAsia="Verdana"/>
          <w:sz w:val="24"/>
          <w:b w:val="on"/>
        </w:rPr>
        <w:t>1.1.6.1. Obligaciones generales</w:t>
      </w:r>
    </w:p>
    <w:p>
      <w:pPr>
        <w:jc w:val="both"/>
      </w:pPr>
      <w:r>
        <w:rPr>
          <w:rFonts w:ascii="Verdana" w:hAnsi="Verdana" w:cs="Verdana" w:eastAsia="Verdana"/>
          <w:sz w:val="24"/>
        </w:rPr>
        <w:t>Las oficinas de representación, las sociedades comisionistas de bolsa de valores y las corporaciones financieras que operen en desarrollo de un contrato de corresponsalía celebrado con instituciones del mercado de valores del exterior, y las entidades a las que se refiere el artículo 4.1.1.1.5. del Decreto 2555 de 2010, deben cumplir con los deberes de los comerciantes previstos en la normatividad vigente, atendiendo a las particularidades de su naturaleza.</w:t>
      </w:r>
    </w:p>
    <w:p>
      <w:pPr>
        <w:jc w:val="left"/>
      </w:pPr>
      <w:r>
        <w:rPr>
          <w:rFonts w:ascii="Verdana" w:hAnsi="Verdana" w:cs="Verdana" w:eastAsia="Verdana"/>
          <w:sz w:val="24"/>
          <w:b w:val="on"/>
        </w:rPr>
        <w:t>1.1.6.2. Obligaciones especiales</w:t>
      </w:r>
    </w:p>
    <w:p>
      <w:pPr>
        <w:jc w:val="left"/>
      </w:pPr>
      <w:r>
        <w:rPr>
          <w:rFonts w:ascii="Verdana" w:hAnsi="Verdana" w:cs="Verdana" w:eastAsia="Verdana"/>
          <w:sz w:val="24"/>
          <w:b w:val="on"/>
        </w:rPr>
        <w:t>1.1.6.2.1. Deber de información</w:t>
      </w:r>
    </w:p>
    <w:p>
      <w:pPr>
        <w:jc w:val="both"/>
      </w:pPr>
      <w:r>
        <w:rPr>
          <w:rFonts w:ascii="Verdana" w:hAnsi="Verdana" w:cs="Verdana" w:eastAsia="Verdana"/>
          <w:sz w:val="24"/>
        </w:rPr>
        <w:t xml:space="preserve">Los representantes de las oficinas de representación, incluyendo la representación de la matriz, filial o subsidiaria establecida en el país de la institución del exterior, y las sociedades comisionistas de bolsa de valores y las corporaciones financieras que operen en desarrollo de un contrato de corresponsalía celebrado con instituciones del mercado de valores del exterior, deben dar estricto cumplimiento al mandato de información a los clientes potenciales o actuales de la entidad del exterior, según lo previsto en el artículo 4.1.1.1.9 del Decreto 2555 de 2010 en el sentido de dar información completa en relación con los productos y servicios que promociona, indicando que son prestados por la institución del exterior. </w:t>
      </w:r>
      <w:r>
        <w:rPr>
          <w:rFonts w:ascii="Verdana" w:hAnsi="Verdana" w:cs="Verdana" w:eastAsia="Verdana"/>
          <w:sz w:val="24"/>
        </w:rPr>
        <w:t>De conformidad con el artículo 4.1.1.1.9 del Decreto 2555 de 2010, las constancias de cumplimiento del suministro de la información mencionada deben documentarse debidamente y mantenerse a disposición de la SFC de manera adecuada y oportuna.</w:t>
      </w:r>
      <w:r>
        <w:rPr>
          <w:rFonts w:ascii="Verdana" w:hAnsi="Verdana" w:cs="Verdana" w:eastAsia="Verdana"/>
          <w:sz w:val="24"/>
        </w:rPr>
        <w:t>Además, debe informarse a los clientes potenciales o actuales de las instituciones del exterior los mecanismos disponibles para la presentación de quejas o reclamaciones relacionados con la actividad que desarrollan, y advertir que los mismos no cuentan con un defensor del consumidor financiero en nuestro país.</w:t>
      </w:r>
      <w:r>
        <w:rPr>
          <w:rFonts w:ascii="Verdana" w:hAnsi="Verdana" w:cs="Verdana" w:eastAsia="Verdana"/>
          <w:sz w:val="24"/>
        </w:rPr>
        <w:t xml:space="preserve">Corresponde al representante adoptar procedimientos de información a los clientes potenciales o actuales de las instituciones del exterior, los cuales deben ser estrictamente observados por los funcionarios encargados de adelantar labores de promoción y publicidad. </w:t>
      </w:r>
      <w:r>
        <w:rPr>
          <w:rFonts w:ascii="Verdana" w:hAnsi="Verdana" w:cs="Verdana" w:eastAsia="Verdana"/>
          <w:sz w:val="24"/>
        </w:rPr>
        <w:t>En los mecanismos de divulgación de información y promoción que se utilicen se debe indicar con claridad que se trata de una oficina de representación en Colombia, de la representación de una institución financiera, reaseguradora o del mercado de valores del exterior o de una actividad de corresponsalía, así como la identificación de la entidad que va a prestar el servicio u ofrecer el producto promovido o promocionado.</w:t>
      </w:r>
    </w:p>
    <w:p>
      <w:pPr>
        <w:jc w:val="left"/>
      </w:pPr>
      <w:r>
        <w:rPr>
          <w:rFonts w:ascii="Verdana" w:hAnsi="Verdana" w:cs="Verdana" w:eastAsia="Verdana"/>
          <w:sz w:val="24"/>
          <w:b w:val="on"/>
        </w:rPr>
        <w:t xml:space="preserve">1.1.6.2.2. Deber de asesoría profesional </w:t>
      </w:r>
    </w:p>
    <w:p>
      <w:pPr>
        <w:jc w:val="both"/>
      </w:pPr>
      <w:r>
        <w:rPr>
          <w:rFonts w:ascii="Verdana" w:hAnsi="Verdana" w:cs="Verdana" w:eastAsia="Verdana"/>
          <w:sz w:val="24"/>
        </w:rPr>
        <w:t>Los representantes de las oficinas de representación de instituciones del exterior, incluyendo la representación de la matriz, filial o subsidiaria establecida en el país de la institución del exterior, y las sociedades comisionistas de bolsa de valores y las corporaciones financieras que operen en desarrollo de un contrato de corresponsalía celebrado con instituciones del mercado de valores del exterior deben brindar asesoría profesional a los clientes potenciales o actuales de las instituciones del exterior, en los términos del inciso segundo del</w:t>
      </w:r>
      <w:r>
        <w:rPr>
          <w:rFonts w:ascii="Verdana" w:hAnsi="Verdana" w:cs="Verdana" w:eastAsia="Verdana"/>
          <w:sz w:val="24"/>
        </w:rPr>
        <w:t xml:space="preserve"> </w:t>
      </w:r>
      <w:r>
        <w:rPr>
          <w:rFonts w:ascii="Verdana" w:hAnsi="Verdana" w:cs="Verdana" w:eastAsia="Verdana"/>
          <w:sz w:val="24"/>
        </w:rPr>
        <w:t>artículo 4.1.1.1.9 del Decreto 2555 de 2010.</w:t>
      </w:r>
      <w:r>
        <w:rPr>
          <w:rFonts w:ascii="Verdana" w:hAnsi="Verdana" w:cs="Verdana" w:eastAsia="Verdana"/>
          <w:sz w:val="24"/>
        </w:rPr>
        <w:t>De conformidad con el artículo 4.1.1.1.9 del Decreto 2555 de 2010, las constancias de cumplimiento del suministro de la información mencionada deben documentarse debidamente y mantenerse a disposición de la SFC de manera adecuada y oportuna.</w:t>
      </w:r>
    </w:p>
    <w:p>
      <w:pPr>
        <w:jc w:val="left"/>
      </w:pPr>
      <w:r>
        <w:rPr>
          <w:rFonts w:ascii="Verdana" w:hAnsi="Verdana" w:cs="Verdana" w:eastAsia="Verdana"/>
          <w:sz w:val="24"/>
          <w:b w:val="on"/>
        </w:rPr>
        <w:t xml:space="preserve">1.1.6.2.3. Otros deberes especiales </w:t>
      </w:r>
    </w:p>
    <w:p>
      <w:pPr>
        <w:jc w:val="both"/>
      </w:pPr>
      <w:r>
        <w:rPr>
          <w:rFonts w:ascii="Verdana" w:hAnsi="Verdana" w:cs="Verdana" w:eastAsia="Verdana"/>
          <w:sz w:val="24"/>
        </w:rPr>
        <w:t>Los representantes de las oficinas de representación de instituciones del exterior, incluyendo la representación a través de la matriz, filial o subsidiaria establecida en el país de la institución del exterior, y las sociedades comisionistas de bolsa de valores y las corporaciones financieras que operen en desarrollo de un contrato de corresponsalía celebrado con instituciones del mercado de valores del exterior deben adoptar las medidas necesarias para abstenerse de realizar cualquier acto que implique el ejercicio de actividades prohibidas de conformidad con el Decreto 2555 de 2010.</w:t>
      </w:r>
    </w:p>
    <w:p>
      <w:pPr>
        <w:jc w:val="left"/>
      </w:pPr>
      <w:r>
        <w:rPr>
          <w:rFonts w:ascii="Verdana" w:hAnsi="Verdana" w:cs="Verdana" w:eastAsia="Verdana"/>
          <w:sz w:val="24"/>
          <w:b w:val="on"/>
        </w:rPr>
        <w:t>1.1.6.3. Deberes especiales para los eventos previstos en los numerales 7 y 8 del artículo 4.1.1.1.3 del Decreto 2555 de 2010</w:t>
      </w:r>
    </w:p>
    <w:p>
      <w:pPr>
        <w:jc w:val="both"/>
      </w:pPr>
      <w:r>
        <w:rPr>
          <w:rFonts w:ascii="Verdana" w:hAnsi="Verdana" w:cs="Verdana" w:eastAsia="Verdana"/>
          <w:sz w:val="24"/>
        </w:rPr>
        <w:t>Los representantes de instituciones financieras, reaseguradoras o del mercado de valores del exterior autorizadas por la SFC para desarrollar actividades bajo alguna de las excepciones contempladas en los numerales señalados tienen, además, los siguientes deberes:</w:t>
      </w:r>
    </w:p>
    <w:p>
      <w:pPr>
        <w:jc w:val="both"/>
      </w:pPr>
      <w:r>
        <w:rPr>
          <w:rFonts w:ascii="Verdana" w:hAnsi="Verdana" w:cs="Verdana" w:eastAsia="Verdana"/>
          <w:sz w:val="24"/>
        </w:rPr>
        <w:t>1.1.6.3.1. Observar en la realización de actos de promoción y publicidad lo dispuesto en el artículo 4.1.1.1.1 y siguientes del Decreto 2555 de 2010, así como las instrucciones impartidas por la SFC.</w:t>
      </w:r>
    </w:p>
    <w:p>
      <w:pPr>
        <w:jc w:val="both"/>
      </w:pPr>
      <w:r>
        <w:rPr>
          <w:rFonts w:ascii="Verdana" w:hAnsi="Verdana" w:cs="Verdana" w:eastAsia="Verdana"/>
          <w:sz w:val="24"/>
        </w:rPr>
        <w:t xml:space="preserve">1.1.6.3.2. Brindar información suficiente y oportuna que le permita a los clientes diferenciar claramente entre: (i) los productos y servicios que presta la institución del exterior, y (ii) los productos y servicios que presta la entidad vigilada establecida en Colombia. </w:t>
      </w:r>
    </w:p>
    <w:p>
      <w:pPr>
        <w:jc w:val="both"/>
      </w:pPr>
      <w:r>
        <w:rPr>
          <w:rFonts w:ascii="Verdana" w:hAnsi="Verdana" w:cs="Verdana" w:eastAsia="Verdana"/>
          <w:sz w:val="24"/>
        </w:rPr>
        <w:t>1.1.6.3.3. Velar porque toda promoción de productos y servicios se encuentre debidamente documentada.</w:t>
        <w:cr/>
      </w:r>
    </w:p>
    <w:p>
      <w:pPr>
        <w:jc w:val="left"/>
      </w:pPr>
      <w:r>
        <w:rPr>
          <w:rFonts w:ascii="Verdana" w:hAnsi="Verdana" w:cs="Verdana" w:eastAsia="Verdana"/>
          <w:sz w:val="24"/>
          <w:b w:val="on"/>
        </w:rPr>
        <w:t>1.1.7. Remisión de información</w:t>
      </w:r>
    </w:p>
    <w:p>
      <w:pPr>
        <w:jc w:val="both"/>
      </w:pPr>
      <w:r>
        <w:rPr>
          <w:rFonts w:ascii="Verdana" w:hAnsi="Verdana" w:cs="Verdana" w:eastAsia="Verdana"/>
          <w:sz w:val="24"/>
        </w:rPr>
        <w:t>Los representantes de las oficinas de representación de instituciones financieras, reaseguradoras y del mercado de valores del exterior, y las sociedades comisionistas de bolsa de valores y las corporaciones financieras que operen en desarrollo de un contrato de corresponsalía celebrado con instituciones del mercado de valores del exterior, deben remitir a esta Superintendencia la información que se solicita en los anexos del presente Capítulo, en los términos y periodicidad que en los mismos se indican.</w:t>
      </w:r>
      <w:r>
        <w:rPr>
          <w:rFonts w:ascii="Verdana" w:hAnsi="Verdana" w:cs="Verdana" w:eastAsia="Verdana"/>
          <w:sz w:val="24"/>
        </w:rPr>
        <w:t>Sin perjuicio de lo anterior, cualquier modificación en la información presentada para obtener la aprobación de la apertura de la oficina o la autorización del contrato de corresponsalía, según corresponda, debe ser informada de manera inmediata a esta Superintendencia. Así mismo, debe informarse cualquier proceso de reorganización que afecte a la institución del exterior, los cambios de razón o denominación social, o medidas equivalentes a la toma de posesión.</w:t>
      </w:r>
    </w:p>
    <w:p>
      <w:pPr>
        <w:jc w:val="left"/>
      </w:pPr>
      <w:r>
        <w:rPr>
          <w:rFonts w:ascii="Verdana" w:hAnsi="Verdana" w:cs="Verdana" w:eastAsia="Verdana"/>
          <w:sz w:val="24"/>
          <w:b w:val="on"/>
        </w:rPr>
        <w:t xml:space="preserve">1.2. Oficinas de Representación </w:t>
      </w:r>
    </w:p>
    <w:p>
      <w:pPr>
        <w:jc w:val="both"/>
      </w:pPr>
      <w:r>
        <w:rPr>
          <w:rFonts w:ascii="Verdana" w:hAnsi="Verdana" w:cs="Verdana" w:eastAsia="Verdana"/>
          <w:sz w:val="24"/>
        </w:rPr>
        <w:t>Además de los presupuestos generales consagrados en el numeral 1.1 del presente Capítulo, la actividad de las oficinas de representación de instituciones financieras, reaseguradoras y del mercado de valores del exterior debe observar las siguientes disposiciones especiales:</w:t>
      </w:r>
    </w:p>
    <w:p>
      <w:pPr>
        <w:jc w:val="left"/>
      </w:pPr>
      <w:r>
        <w:rPr>
          <w:rFonts w:ascii="Verdana" w:hAnsi="Verdana" w:cs="Verdana" w:eastAsia="Verdana"/>
          <w:sz w:val="24"/>
          <w:b w:val="on"/>
        </w:rPr>
        <w:t>1.2.1. Representación de varias instituciones del exterior</w:t>
      </w:r>
    </w:p>
    <w:p>
      <w:pPr>
        <w:jc w:val="left"/>
      </w:pPr>
      <w:r>
        <w:rPr>
          <w:rFonts w:ascii="Verdana" w:hAnsi="Verdana" w:cs="Verdana" w:eastAsia="Verdana"/>
          <w:sz w:val="24"/>
          <w:b w:val="on"/>
        </w:rPr>
        <w:t>1.2.1.1. Representación a través una oficina de representación en Colombia</w:t>
      </w:r>
    </w:p>
    <w:p>
      <w:pPr>
        <w:jc w:val="both"/>
      </w:pPr>
      <w:r>
        <w:rPr>
          <w:rFonts w:ascii="Verdana" w:hAnsi="Verdana" w:cs="Verdana" w:eastAsia="Verdana"/>
          <w:sz w:val="24"/>
        </w:rPr>
        <w:t>De conformidad con el parágrafo 1 del artículo 4.1.1.1.4 del Decreto 2555 de 2010, una misma oficina de representación de una entidad del exterior puede promocionar o publicitar productos y/o servicios de varias instituciones del exterior, siempre y cuando las mismas se encuentren relacionadas mediante vínculos de subordinación o tengan una matriz común. Dicha situación de subordinación o la existencia de una matriz común debe ser acreditada ante la SFC.</w:t>
      </w:r>
      <w:r>
        <w:rPr>
          <w:rFonts w:ascii="Verdana" w:hAnsi="Verdana" w:cs="Verdana" w:eastAsia="Verdana"/>
          <w:sz w:val="24"/>
        </w:rPr>
        <w:t> </w:t>
      </w:r>
      <w:r>
        <w:rPr>
          <w:rFonts w:ascii="Verdana" w:hAnsi="Verdana" w:cs="Verdana" w:eastAsia="Verdana"/>
          <w:sz w:val="24"/>
        </w:rPr>
        <w:t>En este evento, el representante legal designado por la institución del exterior o su apoderado debe presentar ante la SFC la documentación a la que se hace referencia en el artículo 4.1.1.1.4 del Decreto 2555 de 2010 y la lista de chequeo correspondiente. </w:t>
      </w:r>
    </w:p>
    <w:p>
      <w:pPr>
        <w:jc w:val="both"/>
      </w:pPr>
      <w:r>
        <w:rPr>
          <w:rFonts w:ascii="Verdana" w:hAnsi="Verdana" w:cs="Verdana" w:eastAsia="Verdana"/>
          <w:sz w:val="24"/>
        </w:rPr>
        <w:t>1.2.1.2. Representación de una entidad financiera, reaseguradora o del mercado de valores del exterior a través de la matriz, filial o subsidiaria establecida en Colombia.</w:t>
        <w:cr/>
      </w:r>
      <w:r>
        <w:rPr>
          <w:rFonts w:ascii="Verdana" w:hAnsi="Verdana" w:cs="Verdana" w:eastAsia="Verdana"/>
          <w:sz w:val="24"/>
        </w:rPr>
        <w:t>De conformidad con lo previsto en el artículo 4.1.1.1.5 del Decreto 2555 de 2010, las entidades financieras, reaseguradoras o del mercado de valores del exterior pueden a través de la matriz, filial o subsidiaria establecida en Colombia adelantar la promoción de sus productos y/o servicios sin necesidad de constituir una oficina de representación, siempre y cuando las mismas se encuentren relacionadas mediante vínculos de subordinación o tengan una matriz común. Dicha situación de subordinación debe ser acreditada ante la SFC.</w:t>
      </w:r>
      <w:r>
        <w:rPr>
          <w:rFonts w:ascii="Verdana" w:hAnsi="Verdana" w:cs="Verdana" w:eastAsia="Verdana"/>
          <w:sz w:val="24"/>
        </w:rPr>
        <w:t xml:space="preserve">En este evento, el representante legal designado por la institución del exterior o su apoderado debe solicitar la autorización de la SFC presentando la documentación a la que se hace referencia en el artículo 4.1.1.1.4 del Decreto 2555 de 2010 y la lista de chequeo correspondiente, incluyendo además, la resolución, acuerdo o decisión del órgano o funcionario competente de la institución del exterior en la cual se acredite que se ha aprobado llevar a cabo la promoción de sus productos y/o servicios a través de su matriz, filial o subsidiaria en territorio Colombiano. </w:t>
      </w:r>
      <w:r>
        <w:rPr>
          <w:rFonts w:ascii="Verdana" w:hAnsi="Verdana" w:cs="Verdana" w:eastAsia="Verdana"/>
          <w:sz w:val="24"/>
        </w:rPr>
        <w:t>En el evento en el que la institución del exterior decida hacer uso de la red de oficinas de la entidad establecida en el país , se deben adoptar las medidas necesarias para que el público identifique claramente que la institución del exterior es una persona jurídica distinta y autónoma de la entidad establecida en el país cuya red se utiliza.</w:t>
      </w:r>
    </w:p>
    <w:p>
      <w:pPr>
        <w:jc w:val="left"/>
      </w:pPr>
      <w:r>
        <w:rPr>
          <w:rFonts w:ascii="Verdana" w:hAnsi="Verdana" w:cs="Verdana" w:eastAsia="Verdana"/>
          <w:sz w:val="24"/>
          <w:b w:val="on"/>
        </w:rPr>
        <w:t>1.2.2. Oficinas de representación de reaseguradoras del exterior</w:t>
      </w:r>
    </w:p>
    <w:p>
      <w:pPr>
        <w:jc w:val="both"/>
      </w:pPr>
      <w:r>
        <w:rPr>
          <w:rFonts w:ascii="Verdana" w:hAnsi="Verdana" w:cs="Verdana" w:eastAsia="Verdana"/>
          <w:sz w:val="24"/>
        </w:rPr>
        <w:t xml:space="preserve">Las oficinas de representación de reaseguradoras del exterior solo podrán operar en la aceptación o cesión de responsabilidades en reaseguro, en nombre y por cuenta de la reaseguradora representada. </w:t>
      </w:r>
      <w:r>
        <w:rPr>
          <w:rFonts w:ascii="Verdana" w:hAnsi="Verdana" w:cs="Verdana" w:eastAsia="Verdana"/>
          <w:sz w:val="24"/>
        </w:rPr>
        <w:t xml:space="preserve">En desarrollo de tales actividades, las oficinas de representación de las instituciones reaseguradoras del exterior podrán realizar actos de cobranza, pago, compensación o conciliación de saldos derivados de su actividad, realizados exclusivamente con sus cedentes, retrocesionarios e intermediarios de reaseguro, de acuerdo con las facultades otorgadas para tal efecto y dentro del marco de los convenios celebrados con las instituciones aseguradoras nacionales. </w:t>
      </w:r>
      <w:r>
        <w:rPr>
          <w:rFonts w:ascii="Verdana" w:hAnsi="Verdana" w:cs="Verdana" w:eastAsia="Verdana"/>
          <w:sz w:val="24"/>
        </w:rPr>
        <w:t>En todo caso, las oficinas de representación de instituciones reaseguradoras del exterior no podrán actuar directa o indirectamente como compañías de seguros.</w:t>
      </w:r>
    </w:p>
    <w:p>
      <w:pPr>
        <w:jc w:val="left"/>
      </w:pPr>
      <w:r>
        <w:rPr>
          <w:rFonts w:ascii="Verdana" w:hAnsi="Verdana" w:cs="Verdana" w:eastAsia="Verdana"/>
          <w:sz w:val="24"/>
          <w:b w:val="on"/>
        </w:rPr>
        <w:t xml:space="preserve">1.2.3. Representación legal de las oficinas de representación </w:t>
      </w:r>
    </w:p>
    <w:p>
      <w:pPr>
        <w:jc w:val="both"/>
      </w:pPr>
      <w:r>
        <w:rPr>
          <w:rFonts w:ascii="Verdana" w:hAnsi="Verdana" w:cs="Verdana" w:eastAsia="Verdana"/>
          <w:sz w:val="24"/>
        </w:rPr>
        <w:t>La representación legal de las oficinas de representación debe cumplir las disposiciones del artículo 4.1.1.1.11. del Decreto 2555 de 2010.</w:t>
        <w:cr/>
      </w:r>
    </w:p>
    <w:p>
      <w:pPr>
        <w:jc w:val="left"/>
      </w:pPr>
      <w:r>
        <w:rPr>
          <w:rFonts w:ascii="Verdana" w:hAnsi="Verdana" w:cs="Verdana" w:eastAsia="Verdana"/>
          <w:sz w:val="24"/>
          <w:b w:val="on"/>
        </w:rPr>
        <w:t xml:space="preserve">1.2.4. Clausura de las oficinas de representación </w:t>
      </w:r>
    </w:p>
    <w:p>
      <w:pPr>
        <w:jc w:val="both"/>
      </w:pPr>
      <w:r>
        <w:rPr>
          <w:rFonts w:ascii="Verdana" w:hAnsi="Verdana" w:cs="Verdana" w:eastAsia="Verdana"/>
          <w:sz w:val="24"/>
        </w:rPr>
        <w:t>La clausura de las oficinas de representación requiere autorización previa de esta Superintendencia. Para este efecto, cuando una institución del exterior determine el cierre de su oficina de representación en Colombia, el representante de la misma o el representante legal de la institución del exterior debe informar tal hecho a la SFC, remitiendo el documento en el cual conste la decisión adoptada por el órgano o el funcionario competente de la entidad extranjera, por lo menos con 1 mes de anticipación a la proyectada clausura.</w:t>
      </w:r>
      <w:r>
        <w:rPr>
          <w:rFonts w:ascii="Verdana" w:hAnsi="Verdana" w:cs="Verdana" w:eastAsia="Verdana"/>
          <w:sz w:val="24"/>
        </w:rPr>
        <w:t xml:space="preserve">La institución que se haya acogido a alguna de las excepciones contempladas en los numerales 7 y 8 del artículo 4.1.1.1.3 del Decreto 2555 de 2010 y que proyecte concluir su actividad en Colombia, también debe obtener autorización previa de la SFC para el efecto, dando aviso de tal hecho con la antelación señalada en el inciso anterior adjuntando el documento en el cual conste dicha decisión. Toda la documentación que se presente debe cumplir con las formalidades previstas en la ley para los documentos otorgados en el exterior. </w:t>
      </w:r>
      <w:r>
        <w:rPr>
          <w:rFonts w:ascii="Verdana" w:hAnsi="Verdana" w:cs="Verdana" w:eastAsia="Verdana"/>
          <w:sz w:val="24"/>
        </w:rPr>
        <w:t xml:space="preserve">El cierre de la oficina de representación de una entidad reaseguradora del exterior no implica la cancelación de la inscripción del reasegurador del exterior en el REACOEX, salvo en aquellos casos en los cuales se presente una solicitud expresa en tal sentido. </w:t>
      </w:r>
    </w:p>
    <w:p>
      <w:pPr>
        <w:jc w:val="left"/>
      </w:pPr>
      <w:r>
        <w:rPr>
          <w:rFonts w:ascii="Verdana" w:hAnsi="Verdana" w:cs="Verdana" w:eastAsia="Verdana"/>
          <w:sz w:val="24"/>
          <w:b w:val="on"/>
        </w:rPr>
        <w:t xml:space="preserve">1.3. Contratos de corresponsalía </w:t>
      </w:r>
    </w:p>
    <w:p>
      <w:pPr>
        <w:jc w:val="both"/>
      </w:pPr>
      <w:r>
        <w:rPr>
          <w:rFonts w:ascii="Verdana" w:hAnsi="Verdana" w:cs="Verdana" w:eastAsia="Verdana"/>
          <w:sz w:val="24"/>
        </w:rPr>
        <w:t xml:space="preserve">Además de los presupuestos generales consagrados en el numeral 1.1 del presente Capítulo, los contratos de corresponsalía celebrados por las sociedades comisionistas de bolsa de valores y las corporaciones financieras deben observar las siguientes disposiciones especiales: </w:t>
        <w:cr/>
      </w:r>
    </w:p>
    <w:p>
      <w:pPr>
        <w:jc w:val="left"/>
      </w:pPr>
      <w:r>
        <w:rPr>
          <w:rFonts w:ascii="Verdana" w:hAnsi="Verdana" w:cs="Verdana" w:eastAsia="Verdana"/>
          <w:sz w:val="24"/>
          <w:b w:val="on"/>
        </w:rPr>
        <w:t xml:space="preserve">1.3.1. Excepciones a las normas aplicables a las oficinas de representación </w:t>
      </w:r>
    </w:p>
    <w:p>
      <w:pPr>
        <w:jc w:val="both"/>
      </w:pPr>
      <w:r>
        <w:rPr>
          <w:rFonts w:ascii="Verdana" w:hAnsi="Verdana" w:cs="Verdana" w:eastAsia="Verdana"/>
          <w:sz w:val="24"/>
        </w:rPr>
        <w:t>De acuerdo con lo previsto en el literal b) del numeral 3 del artículo 4.1.1.1.2 del Decreto 2555 del 2010, a los contratos de corresponsalía no les será aplicable lo contemplado en los artículos 4.1.1.1.5, 4.1.1.1.6 y 4.1.1.1.11 del citado ordenamiento.</w:t>
        <w:cr/>
      </w:r>
    </w:p>
    <w:p>
      <w:pPr>
        <w:jc w:val="left"/>
      </w:pPr>
      <w:r>
        <w:rPr>
          <w:rFonts w:ascii="Verdana" w:hAnsi="Verdana" w:cs="Verdana" w:eastAsia="Verdana"/>
          <w:sz w:val="24"/>
          <w:b w:val="on"/>
        </w:rPr>
        <w:t>1.3.2. Regímenes de Autorización de Contratos de Corresponsalía</w:t>
      </w:r>
    </w:p>
    <w:p>
      <w:pPr>
        <w:jc w:val="both"/>
      </w:pPr>
      <w:r>
        <w:rPr>
          <w:rFonts w:ascii="Verdana" w:hAnsi="Verdana" w:cs="Verdana" w:eastAsia="Verdana"/>
          <w:sz w:val="24"/>
        </w:rPr>
        <w:t>El procedimiento de autorización de contratos de corresponsalía, así como cualquier modificación a los mismos, se sujetará al régimen de autorización general o individual, de acuerdo con las disposiciones contenidas en el presente subnumeral.</w:t>
      </w:r>
    </w:p>
    <w:p>
      <w:pPr>
        <w:jc w:val="left"/>
      </w:pPr>
      <w:r>
        <w:rPr>
          <w:rFonts w:ascii="Verdana" w:hAnsi="Verdana" w:cs="Verdana" w:eastAsia="Verdana"/>
          <w:sz w:val="24"/>
          <w:b w:val="on"/>
        </w:rPr>
        <w:t>1.3.2.1. Régimen de autorización general</w:t>
      </w:r>
    </w:p>
    <w:p>
      <w:pPr>
        <w:jc w:val="both"/>
      </w:pPr>
      <w:r>
        <w:rPr>
          <w:rFonts w:ascii="Verdana" w:hAnsi="Verdana" w:cs="Verdana" w:eastAsia="Verdana"/>
          <w:sz w:val="24"/>
        </w:rPr>
        <w:t>1.3.2.1.1. Se entienden autorizados de manera general, los contratos de corresponsalía celebrados entre una sociedad comisionista de bolsa de valores o una corporación financiera y una institución del mercado de valores del exterior, en los términos del literal b) del numeral 3 del artículo 4.1.1.1.2 del Decreto 2555 de 2010, siempre que se cumplan los siguientes requisitos:</w:t>
      </w:r>
    </w:p>
    <w:p>
      <w:pPr>
        <w:jc w:val="both"/>
      </w:pPr>
      <w:r>
        <w:rPr>
          <w:rFonts w:ascii="Verdana" w:hAnsi="Verdana" w:cs="Verdana" w:eastAsia="Verdana"/>
          <w:sz w:val="24"/>
        </w:rPr>
        <w:t>1.3.2.1.1.1. Que la sociedad comisionista de bolsa de valores o la corporación financiera tenga como mínimo un año de funcionamiento como entidad vigilada por la SFC.</w:t>
      </w:r>
    </w:p>
    <w:p>
      <w:pPr>
        <w:jc w:val="both"/>
      </w:pPr>
      <w:r>
        <w:rPr>
          <w:rFonts w:ascii="Verdana" w:hAnsi="Verdana" w:cs="Verdana" w:eastAsia="Verdana"/>
          <w:sz w:val="24"/>
        </w:rPr>
        <w:t>1.3.2.1.1.2. Que la sociedad comisionista de bolsa de valores o la corporación financiera, en el año inmediatamente anterior a la fecha de solicitud de autorización del contrato de corresponsalía, no haya sido objeto de sanciones impuestas por el Autorregulador del Mercado de Valores o por la SFC por cualquier infracción relacionada con el incumplimiento de deberes legales al régimen aplicable a la promoción y publicidad de productos y/o servicios de instituciones del exterior.</w:t>
      </w:r>
    </w:p>
    <w:p>
      <w:pPr>
        <w:jc w:val="both"/>
      </w:pPr>
      <w:r>
        <w:rPr>
          <w:rFonts w:ascii="Verdana" w:hAnsi="Verdana" w:cs="Verdana" w:eastAsia="Verdana"/>
          <w:sz w:val="24"/>
        </w:rPr>
        <w:t xml:space="preserve">1.3.2.1.1.3. Que la sociedad comisionista de bolsa de valores o la corporación financiera, en el año inmediatamente anterior a la fecha de solicitud de autorización del contrato de corresponsalía, no haya sido objeto de una orden administrativa impartida por la SFC, relacionada con incumplimientos a las normas que regulan la promoción y publicidad de productos y/o servicios de instituciones del exterior. </w:t>
      </w:r>
    </w:p>
    <w:p>
      <w:pPr>
        <w:jc w:val="both"/>
      </w:pPr>
      <w:r>
        <w:rPr>
          <w:rFonts w:ascii="Verdana" w:hAnsi="Verdana" w:cs="Verdana" w:eastAsia="Verdana"/>
          <w:sz w:val="24"/>
        </w:rPr>
        <w:t>1.3.2.1.1.4. Que la sociedad comisionista de bolsa de valores o la corporación financiera no haya sido objeto de la adopción de una medida de toma de posesión o de un instituto de salvamento en los tres años inmediatamente anteriores a la fecha de la solicitud de autorización del contrato de corresponsalía.</w:t>
        <w:cr/>
      </w:r>
    </w:p>
    <w:p>
      <w:pPr>
        <w:jc w:val="both"/>
      </w:pPr>
      <w:r>
        <w:rPr>
          <w:rFonts w:ascii="Verdana" w:hAnsi="Verdana" w:cs="Verdana" w:eastAsia="Verdana"/>
          <w:sz w:val="24"/>
        </w:rPr>
        <w:t xml:space="preserve">1.3.2.1.1.5. Que la institución del mercado de valores del exterior con la cual se pretenda celebrar el contrato de corresponsalía: i) esté sujeta en su jurisdicción de origen a la supervisión por parte de una autoridad que sea miembro del Comité de Supervisión Bancaria de Basilea; o ii) que esté domiciliada en una jurisdicción que sea miembro de la Organización para la Cooperación y el Desarrollo Económico (OCDE). </w:t>
      </w:r>
      <w:r>
        <w:rPr>
          <w:rFonts w:ascii="Verdana" w:hAnsi="Verdana" w:cs="Verdana" w:eastAsia="Verdana"/>
          <w:sz w:val="24"/>
        </w:rPr>
        <w:t>Así mismo, se podrá acceder al régimen de autorización general si la autoridad de supervisión de la institución del mercado de valores del exterior es signataria del Anexo A de Memorando Multilateral de Entendimiento para la Cooperación y el Intercambio de Información de la Organización Internacional de Comisiones de Valores (IOSCO) o cuenta con un memorando de entendimiento bilateral para cooperación mutua y supervisión transfronteriza con la SFC. </w:t>
      </w:r>
    </w:p>
    <w:p>
      <w:pPr>
        <w:jc w:val="both"/>
      </w:pPr>
      <w:r>
        <w:rPr>
          <w:rFonts w:ascii="Verdana" w:hAnsi="Verdana" w:cs="Verdana" w:eastAsia="Verdana"/>
          <w:sz w:val="24"/>
        </w:rPr>
        <w:t>1.3.2.1.1.6. Que la institución del mercado de valores del exterior con la cual se pretenda celebrar el contrato de corresponsalía no haya sido objeto de una sanción, orden o medida similar impartida por la autoridad competente en su jurisdicción de origen, en el año inmediatamente anterior a la fecha de la solicitud de autorización del contrato de corresponsalía en relación con los productos y/o servicios que serán promocionados en Colombia.</w:t>
      </w:r>
    </w:p>
    <w:p>
      <w:pPr>
        <w:jc w:val="both"/>
      </w:pPr>
      <w:r>
        <w:rPr>
          <w:rFonts w:ascii="Verdana" w:hAnsi="Verdana" w:cs="Verdana" w:eastAsia="Verdana"/>
          <w:sz w:val="24"/>
        </w:rPr>
        <w:t>1.3.2.1.1.7. Que la institución del mercado de valores del exterior con la cual se pretenda celebrar el contrato de corresponsalía haya ofrecido o prestado en su jurisdicción el producto o servicio que será promocionado en el territorio nacional, al menos durante un año anterior a la fecha de solicitud de autorización.</w:t>
      </w:r>
    </w:p>
    <w:p>
      <w:pPr>
        <w:jc w:val="both"/>
      </w:pPr>
      <w:r>
        <w:rPr>
          <w:rFonts w:ascii="Verdana" w:hAnsi="Verdana" w:cs="Verdana" w:eastAsia="Verdana"/>
          <w:sz w:val="24"/>
        </w:rPr>
        <w:t>1.3.2.1.1.8. Tratándose de la promoción de fondos de inversión, tanto la sociedad administradora y/o gestora como cada uno de los vehículos de inversión que serán objeto de publicidad a través del contrato de corresponsalía, deben estar sujetos a la supervisión o inscritos ante una autoridad del exterior de conformidad con lo establecido en el numeral 1.3.2.1.1.5. del presente Capitulo. </w:t>
      </w:r>
    </w:p>
    <w:p>
      <w:pPr>
        <w:jc w:val="both"/>
      </w:pPr>
      <w:r>
        <w:rPr>
          <w:rFonts w:ascii="Verdana" w:hAnsi="Verdana" w:cs="Verdana" w:eastAsia="Verdana"/>
          <w:sz w:val="24"/>
        </w:rPr>
        <w:t xml:space="preserve">1.3.2.1.2. Trámite de autorización general: Para adelantar el trámite de autorización general, la sociedad comisionista de bolsa de valores o la corporación financiera debe remitir a la SFC la documentación relacionada en la lista de chequeo correspondiente junto con una certificación suscrita por el representante legal en la que manifieste: </w:t>
        <w:cr/>
      </w:r>
    </w:p>
    <w:p>
      <w:pPr>
        <w:jc w:val="both"/>
      </w:pPr>
      <w:r>
        <w:rPr>
          <w:rFonts w:ascii="Verdana" w:hAnsi="Verdana" w:cs="Verdana" w:eastAsia="Verdana"/>
          <w:sz w:val="24"/>
        </w:rPr>
        <w:t>1.3.2.1.2.1. Que su representada, la institución del mercado de valores del exterior, cumple con las condiciones establecidas en el numeral 1.3.2.1.1 del presente Capítulo y la Parte 4 del Decreto 2555 de 2010.</w:t>
        <w:cr/>
      </w:r>
    </w:p>
    <w:p>
      <w:pPr>
        <w:jc w:val="both"/>
      </w:pPr>
      <w:r>
        <w:rPr>
          <w:rFonts w:ascii="Verdana" w:hAnsi="Verdana" w:cs="Verdana" w:eastAsia="Verdana"/>
          <w:sz w:val="24"/>
        </w:rPr>
        <w:t>1.3.2.1.2.2. Que la institución del mercado de valores del exterior cuyos productos y/o servicios se pretendan promocionar o publicitar en desarrollo del contrato de corresponsalía corresponde a lo establecido en el numeral 3 del artículo 4.1.1.1.2 del Decreto 2555 de 2010.</w:t>
      </w:r>
    </w:p>
    <w:p>
      <w:pPr>
        <w:jc w:val="both"/>
      </w:pPr>
      <w:r>
        <w:rPr>
          <w:rFonts w:ascii="Verdana" w:hAnsi="Verdana" w:cs="Verdana" w:eastAsia="Verdana"/>
          <w:sz w:val="24"/>
        </w:rPr>
        <w:t xml:space="preserve">1.3.2.1.2.3. Que las entidades, como cada uno de los vehículos de inversión que se utilicen en desarrollo del contrato de corresponsalía, están sujetos en su jurisdicción de origen a la supervisión de una autoridad competente, cuando se trate de cualquier producto en cuya administración, gestión, distribución y custodia sean partícipes diferentes entidades. </w:t>
        <w:cr/>
      </w:r>
    </w:p>
    <w:p>
      <w:pPr>
        <w:jc w:val="left"/>
      </w:pPr>
      <w:r>
        <w:rPr>
          <w:rFonts w:ascii="Verdana" w:hAnsi="Verdana" w:cs="Verdana" w:eastAsia="Verdana"/>
          <w:sz w:val="24"/>
          <w:b w:val="on"/>
        </w:rPr>
        <w:t>1.3.2.2. Régimen de autorización individual</w:t>
      </w:r>
    </w:p>
    <w:p>
      <w:pPr>
        <w:jc w:val="both"/>
      </w:pPr>
      <w:r>
        <w:rPr>
          <w:rFonts w:ascii="Verdana" w:hAnsi="Verdana" w:cs="Verdana" w:eastAsia="Verdana"/>
          <w:sz w:val="24"/>
        </w:rPr>
        <w:t>Se someterán al régimen de autorización individual, los contratos de corresponsalía celebrados entre una sociedad comisionista de bolsa de valores o una corporación financiera y una institución del mercado de valores del exterior, cuando no se cumpla con los requisitos previstos en el numeral 1.3.2.1 de este Capítulo. La solicitud de autorización del contrato de corresponsalía bajo el régimen individual deberá cumplir con los requisitos establecidos en la lista de chequeo correspondiente.</w:t>
      </w:r>
    </w:p>
    <w:p>
      <w:pPr>
        <w:jc w:val="left"/>
      </w:pPr>
      <w:r>
        <w:rPr>
          <w:rFonts w:ascii="Verdana" w:hAnsi="Verdana" w:cs="Verdana" w:eastAsia="Verdana"/>
          <w:sz w:val="24"/>
          <w:b w:val="on"/>
        </w:rPr>
        <w:t>1.3.3. Terminación del contrato de corresponsalía</w:t>
      </w:r>
    </w:p>
    <w:p>
      <w:pPr>
        <w:jc w:val="both"/>
      </w:pPr>
      <w:r>
        <w:rPr>
          <w:rFonts w:ascii="Verdana" w:hAnsi="Verdana" w:cs="Verdana" w:eastAsia="Verdana"/>
          <w:sz w:val="24"/>
        </w:rPr>
        <w:t>Cuando una institución del mercado de valores del exterior o la sociedad comisionista de bolsa o la corporación financiera decidan dar por terminado el contrato de corresponsalía, deberán informar, con por lo menos 30 días de anticipación, dicha situación a esta Superintendencia.</w:t>
      </w:r>
      <w:r>
        <w:rPr>
          <w:rFonts w:ascii="Verdana" w:hAnsi="Verdana" w:cs="Verdana" w:eastAsia="Verdana"/>
          <w:sz w:val="24"/>
        </w:rPr>
        <w:t>Sin perjuicio de la documentación que solicite la SFC para los efectos del presente numeral, deben informar los mecanismos de comunicación que se implementarán a efectos de que los clientes de las instituciones del exterior puedan presentar peticiones o reclamaciones y continúen accediendo a información relacionada con los productos y/o servicios de la institución del exterior.</w:t>
      </w:r>
    </w:p>
    <w:p>
      <w:pPr>
        <w:jc w:val="left"/>
      </w:pPr>
      <w:r>
        <w:rPr>
          <w:rFonts w:ascii="Verdana" w:hAnsi="Verdana" w:cs="Verdana" w:eastAsia="Verdana"/>
          <w:sz w:val="24"/>
          <w:b w:val="on"/>
        </w:rPr>
        <w:t>2. Oficinas promotoras de instituciones financieras, reaseguradoras y del mercado de valores del exterior</w:t>
      </w:r>
    </w:p>
    <w:p>
      <w:pPr>
        <w:jc w:val="both"/>
      </w:pPr>
      <w:r>
        <w:rPr>
          <w:rFonts w:ascii="Verdana" w:hAnsi="Verdana" w:cs="Verdana" w:eastAsia="Verdana"/>
          <w:sz w:val="24"/>
        </w:rPr>
        <w:t xml:space="preserve">Si las instituciones financieras, reaseguradoras y del mercado de valores del exterior que tengan oficina de representación en Colombia deciden establecer oficinas promotoras en lugares diferentes a los de su domicilio, en los términos del numeral 5 del artículo 4.1.1.1.7 del Decreto 2555 de 2010, debe darse previo aviso de forma inmediata de tal hecho a la SFC. </w:t>
      </w:r>
    </w:p>
    <w:p>
      <w:pPr>
        <w:jc w:val="left"/>
      </w:pPr>
      <w:r>
        <w:rPr>
          <w:rFonts w:ascii="Verdana" w:hAnsi="Verdana" w:cs="Verdana" w:eastAsia="Verdana"/>
          <w:sz w:val="24"/>
          <w:b w:val="on"/>
        </w:rPr>
        <w:t>3. Apertura de sucursales en el exterior</w:t>
      </w:r>
    </w:p>
    <w:p>
      <w:pPr>
        <w:jc w:val="both"/>
      </w:pPr>
      <w:r>
        <w:rPr>
          <w:rFonts w:ascii="Verdana" w:hAnsi="Verdana" w:cs="Verdana" w:eastAsia="Verdana"/>
          <w:sz w:val="24"/>
        </w:rPr>
        <w:t>Las instituciones financieras, aseguradoras y del mercado de valores colombianas pueden establecer sucursales en el exterior, acorde con el régimen legal de la jurisdicción donde pretendan constituirse, siempre que de manera previa se haya realizado la respectiva solicitud de autorización de la SFC, la cual debe presentarse acompañada de la documentación establecida en la lista de chequeo correspondiente.</w:t>
      </w:r>
      <w:r>
        <w:rPr>
          <w:rFonts w:ascii="Verdana" w:hAnsi="Verdana" w:cs="Verdana" w:eastAsia="Verdana"/>
          <w:sz w:val="24"/>
        </w:rPr>
        <w:t>Lo anterior, sin perjuicio de que, si la mencionada apertura conlleva la aprobación de inversiones en el exterior, de capital o en activos fijos, la solicitud debe ser efectuada a través del trámite correspondiente y del lleno de los requisitos contenidos en la lista de chequeo correspondiente.</w:t>
      </w:r>
    </w:p>
    <w:p>
      <w:pPr>
        <w:jc w:val="left"/>
      </w:pPr>
      <w:r>
        <w:rPr>
          <w:rFonts w:ascii="Verdana" w:hAnsi="Verdana" w:cs="Verdana" w:eastAsia="Verdana"/>
          <w:sz w:val="24"/>
          <w:b w:val="on"/>
        </w:rPr>
        <w:t>4. Listado de valores extranjeros en los sistemas de cotización de valores del extranjero mediante acuerdos o convenios de integración de bolsas de valores</w:t>
      </w:r>
    </w:p>
    <w:p>
      <w:pPr>
        <w:jc w:val="both"/>
      </w:pPr>
      <w:r>
        <w:rPr>
          <w:rFonts w:ascii="Verdana" w:hAnsi="Verdana" w:cs="Verdana" w:eastAsia="Verdana"/>
          <w:sz w:val="24"/>
        </w:rPr>
        <w:t xml:space="preserve">De conformidad con el parágrafo del artículo 2.15.6.2.2. del Decreto 2555 de 2010, la SFC define el contenido mínimo de los acuerdos que se celebren entre los proveedores de infraestructura locales y extranjeros para efectos del listado de valores en los sistemas de cotizaciones de valores del extranjero mediante acuerdos o convenios de integración de bolsas de valores o de acuerdos o convenios entre sistemas de negociación de valores o de registro de operaciones sobre valores. </w:t>
      </w:r>
    </w:p>
    <w:p>
      <w:pPr>
        <w:jc w:val="left"/>
      </w:pPr>
      <w:r>
        <w:rPr>
          <w:rFonts w:ascii="Verdana" w:hAnsi="Verdana" w:cs="Verdana" w:eastAsia="Verdana"/>
          <w:sz w:val="24"/>
          <w:b w:val="on"/>
        </w:rPr>
        <w:t>4.1. Contenido mínimo de los acuerdos o convenios de integración que celebren las bolsas de valores locales con las del exterior</w:t>
      </w:r>
    </w:p>
    <w:p>
      <w:pPr>
        <w:jc w:val="both"/>
      </w:pPr>
    </w:p>
    <w:p>
      <w:pPr>
        <w:jc w:val="both"/>
      </w:pPr>
      <w:r>
        <w:rPr>
          <w:rFonts w:ascii="Verdana" w:hAnsi="Verdana" w:cs="Verdana" w:eastAsia="Verdana"/>
          <w:sz w:val="24"/>
        </w:rPr>
        <w:t>4.1.1. El objeto del convenio.</w:t>
        <w:cr/>
      </w:r>
    </w:p>
    <w:p>
      <w:pPr>
        <w:jc w:val="both"/>
      </w:pPr>
      <w:r>
        <w:rPr>
          <w:rFonts w:ascii="Verdana" w:hAnsi="Verdana" w:cs="Verdana" w:eastAsia="Verdana"/>
          <w:sz w:val="24"/>
        </w:rPr>
        <w:t>4.1.2. Los términos y definiciones propias a cada bolsa de valores y las comunes a éstas.</w:t>
        <w:cr/>
      </w:r>
    </w:p>
    <w:p>
      <w:pPr>
        <w:jc w:val="both"/>
      </w:pPr>
      <w:r>
        <w:rPr>
          <w:rFonts w:ascii="Verdana" w:hAnsi="Verdana" w:cs="Verdana" w:eastAsia="Verdana"/>
          <w:sz w:val="24"/>
        </w:rPr>
        <w:t>4.1.3. Las condiciones económicas del convenio:</w:t>
      </w:r>
    </w:p>
    <w:p>
      <w:pPr>
        <w:jc w:val="both"/>
      </w:pPr>
      <w:r>
        <w:rPr>
          <w:rFonts w:ascii="Verdana" w:hAnsi="Verdana" w:cs="Verdana" w:eastAsia="Verdana"/>
          <w:sz w:val="24"/>
        </w:rPr>
        <w:t>4.1.3.1. Determinación y distribución de costos y gastos.</w:t>
        <w:cr/>
      </w:r>
    </w:p>
    <w:p>
      <w:pPr>
        <w:jc w:val="both"/>
      </w:pPr>
      <w:r>
        <w:rPr>
          <w:rFonts w:ascii="Verdana" w:hAnsi="Verdana" w:cs="Verdana" w:eastAsia="Verdana"/>
          <w:sz w:val="24"/>
        </w:rPr>
        <w:t>4.1.3.2. Determinación y distribución de ingresos.</w:t>
        <w:cr/>
      </w:r>
    </w:p>
    <w:p>
      <w:pPr>
        <w:jc w:val="both"/>
      </w:pPr>
      <w:r>
        <w:rPr>
          <w:rFonts w:ascii="Verdana" w:hAnsi="Verdana" w:cs="Verdana" w:eastAsia="Verdana"/>
          <w:sz w:val="24"/>
        </w:rPr>
        <w:t>4.1.3.3. Régimen de tarifas aplicables al acceso al mercado integrado y al enrutamiento de órdenes, así como a la venta o comercialización de información de éste.</w:t>
      </w:r>
    </w:p>
    <w:p>
      <w:pPr>
        <w:jc w:val="both"/>
      </w:pPr>
      <w:r>
        <w:rPr>
          <w:rFonts w:ascii="Verdana" w:hAnsi="Verdana" w:cs="Verdana" w:eastAsia="Verdana"/>
          <w:sz w:val="24"/>
        </w:rPr>
        <w:t>4.1.3.4. Los valores que pueden ser negociados en el marco del acuerdo así como el tipo de operaciones que se podrán realizar con base en éste.</w:t>
      </w:r>
    </w:p>
    <w:p>
      <w:pPr>
        <w:jc w:val="both"/>
      </w:pPr>
      <w:r>
        <w:rPr>
          <w:rFonts w:ascii="Verdana" w:hAnsi="Verdana" w:cs="Verdana" w:eastAsia="Verdana"/>
          <w:sz w:val="24"/>
        </w:rPr>
        <w:t>4.1.3.5. La moneda en la que se realizarán las operaciones.</w:t>
      </w:r>
    </w:p>
    <w:p>
      <w:pPr>
        <w:jc w:val="both"/>
      </w:pPr>
      <w:r>
        <w:rPr>
          <w:rFonts w:ascii="Verdana" w:hAnsi="Verdana" w:cs="Verdana" w:eastAsia="Verdana"/>
          <w:sz w:val="24"/>
        </w:rPr>
        <w:t xml:space="preserve">4.1.3.6. Los mecanismos para evitar la realización de operaciones no autorizadas en el marco de los acuerdos de integración. </w:t>
        <w:cr/>
      </w:r>
    </w:p>
    <w:p>
      <w:pPr>
        <w:jc w:val="both"/>
      </w:pPr>
      <w:r>
        <w:rPr>
          <w:rFonts w:ascii="Verdana" w:hAnsi="Verdana" w:cs="Verdana" w:eastAsia="Verdana"/>
          <w:sz w:val="24"/>
        </w:rPr>
        <w:t>4.1.3.7. Horarios de negociación de los respectivos mercados y reglas de operación en días festivos.</w:t>
        <w:cr/>
      </w:r>
    </w:p>
    <w:p>
      <w:pPr>
        <w:jc w:val="both"/>
      </w:pPr>
      <w:r>
        <w:rPr>
          <w:rFonts w:ascii="Verdana" w:hAnsi="Verdana" w:cs="Verdana" w:eastAsia="Verdana"/>
          <w:sz w:val="24"/>
        </w:rPr>
        <w:t xml:space="preserve">4.1.3.8. Los derechos y obligaciones de las bolsas de valores que suscriban el acuerdo. En particular se deben contemplar las siguientes obligaciones a cargo de las bolsas de valores locales: </w:t>
      </w:r>
    </w:p>
    <w:p>
      <w:pPr>
        <w:jc w:val="both"/>
      </w:pPr>
      <w:r>
        <w:rPr>
          <w:rFonts w:ascii="Verdana" w:hAnsi="Verdana" w:cs="Verdana" w:eastAsia="Verdana"/>
          <w:sz w:val="24"/>
        </w:rPr>
        <w:t>4.1.3.8.1. Tramitar las autorizaciones y reglamentos necesarios para el desarrollo de las actividades propias de los acuerdos de integración.</w:t>
      </w:r>
    </w:p>
    <w:p>
      <w:pPr>
        <w:jc w:val="both"/>
      </w:pPr>
      <w:r>
        <w:rPr>
          <w:rFonts w:ascii="Verdana" w:hAnsi="Verdana" w:cs="Verdana" w:eastAsia="Verdana"/>
          <w:sz w:val="24"/>
        </w:rPr>
        <w:t>4.1.3.8.2. Establecer los mecanismos para que los inversionistas del mercado colombiano puedan conocer la información financiera, económica, contable, jurídica y administrativa de los emisores listados en mercados foráneos, incluyendo aquella que se considera información relevante en el país o en el mercado de valores de origen, en los términos establecidos en el numeral 2 del artículo 2.15.6.1.7 del Decreto 2555 de 2010.</w:t>
      </w:r>
    </w:p>
    <w:p>
      <w:pPr>
        <w:jc w:val="both"/>
      </w:pPr>
      <w:r>
        <w:rPr>
          <w:rFonts w:ascii="Verdana" w:hAnsi="Verdana" w:cs="Verdana" w:eastAsia="Verdana"/>
          <w:sz w:val="24"/>
        </w:rPr>
        <w:t>4.1.3.8.3. Establecer los mecanismos para capacitar a las sociedades comisionistas de bolsa de valores locales y difundir la información relacionada con las reglas de negociación de los mercados extranjeros que forman parte de los acuerdos de integración, así como de los cambios en dichos sistemas.</w:t>
        <w:cr/>
      </w:r>
    </w:p>
    <w:p>
      <w:pPr>
        <w:jc w:val="both"/>
      </w:pPr>
      <w:r>
        <w:rPr>
          <w:rFonts w:ascii="Verdana" w:hAnsi="Verdana" w:cs="Verdana" w:eastAsia="Verdana"/>
          <w:sz w:val="24"/>
        </w:rPr>
        <w:t>4.1.3.8.4. Informar a las demás bolsas que sean parte de los acuerdos de integración sobre las propuestas de cambios que se presenten en las reglas de negociación del mercado local, en los procedimientos, en la plataforma tecnológica usada, así como de cualquier normatividad que tenga efectos en el mercado integrado.</w:t>
      </w:r>
    </w:p>
    <w:p>
      <w:pPr>
        <w:jc w:val="both"/>
      </w:pPr>
      <w:r>
        <w:rPr>
          <w:rFonts w:ascii="Verdana" w:hAnsi="Verdana" w:cs="Verdana" w:eastAsia="Verdana"/>
          <w:sz w:val="24"/>
        </w:rPr>
        <w:t>4.1.3.8.5. Expedir las reglas de funcionamiento del mercado resultante de los acuerdos de integración de bolsas.</w:t>
        <w:cr/>
      </w:r>
    </w:p>
    <w:p>
      <w:pPr>
        <w:jc w:val="both"/>
      </w:pPr>
      <w:r>
        <w:rPr>
          <w:rFonts w:ascii="Verdana" w:hAnsi="Verdana" w:cs="Verdana" w:eastAsia="Verdana"/>
          <w:sz w:val="24"/>
        </w:rPr>
        <w:t>4.1.3.8.6. Informar al público en general, tanto local como en el extranjero, sobre las reglas de funcionamiento del mercado resultante de los acuerdos de integración.</w:t>
      </w:r>
    </w:p>
    <w:p>
      <w:pPr>
        <w:jc w:val="both"/>
      </w:pPr>
      <w:r>
        <w:rPr>
          <w:rFonts w:ascii="Verdana" w:hAnsi="Verdana" w:cs="Verdana" w:eastAsia="Verdana"/>
          <w:sz w:val="24"/>
        </w:rPr>
        <w:t>4.1.3.8.7. Crear un procedimiento para el ingreso, validación y rechazo de órdenes provenientes del extranjero, cuando éste sea necesario.</w:t>
      </w:r>
    </w:p>
    <w:p>
      <w:pPr>
        <w:jc w:val="both"/>
      </w:pPr>
      <w:r>
        <w:rPr>
          <w:rFonts w:ascii="Verdana" w:hAnsi="Verdana" w:cs="Verdana" w:eastAsia="Verdana"/>
          <w:sz w:val="24"/>
        </w:rPr>
        <w:t>4.1.3.8.8. Publicar la información de las operaciones realizadas sobre valores del mercado local.</w:t>
      </w:r>
    </w:p>
    <w:p>
      <w:pPr>
        <w:jc w:val="both"/>
      </w:pPr>
      <w:r>
        <w:rPr>
          <w:rFonts w:ascii="Verdana" w:hAnsi="Verdana" w:cs="Verdana" w:eastAsia="Verdana"/>
          <w:sz w:val="24"/>
        </w:rPr>
        <w:t>4.1.3.8.9. Mantener a disposición de las autoridades competentes la información relacionada con las operaciones que se celebren en el mercado resultante de los acuerdos de integración. Dicha información debe permitir identificar las sociedades comisionistas a través de las cuales se impartieron las órdenes correspondientes, tanto la extranjera como la local, el registro de la orden en el libro de negociación de la bolsa, indicando fecha y hora de ingreso, la especie sobre la cual se impartieron las órdenes, la cantidad, y los demás datos que permitan la adecuada y completa identificación y trazabilidad, tanto de las órdenes como de las operaciones.</w:t>
      </w:r>
    </w:p>
    <w:p>
      <w:pPr>
        <w:jc w:val="both"/>
      </w:pPr>
      <w:r>
        <w:rPr>
          <w:rFonts w:ascii="Verdana" w:hAnsi="Verdana" w:cs="Verdana" w:eastAsia="Verdana"/>
          <w:sz w:val="24"/>
        </w:rPr>
        <w:t>4.1.3.8.10. Cumplir las disposiciones sobre prevención y control de lavado de activos y financiación del terrorismo, según el régimen legal de cada país.</w:t>
        <w:cr/>
      </w:r>
    </w:p>
    <w:p>
      <w:pPr>
        <w:jc w:val="both"/>
      </w:pPr>
      <w:r>
        <w:rPr>
          <w:rFonts w:ascii="Verdana" w:hAnsi="Verdana" w:cs="Verdana" w:eastAsia="Verdana"/>
          <w:sz w:val="24"/>
        </w:rPr>
        <w:t>4.1.3.9. Los mecanismos para el intercambio de la información entre las bolsas, cuando ésta sea solicitada por las autoridades.</w:t>
      </w:r>
    </w:p>
    <w:p>
      <w:pPr>
        <w:jc w:val="both"/>
      </w:pPr>
      <w:r>
        <w:rPr>
          <w:rFonts w:ascii="Verdana" w:hAnsi="Verdana" w:cs="Verdana" w:eastAsia="Verdana"/>
          <w:sz w:val="24"/>
        </w:rPr>
        <w:t>4.1.3.10. El mecanismo de resolución de las controversias generadas por la ejecución del convenio.</w:t>
        <w:cr/>
      </w:r>
    </w:p>
    <w:p>
      <w:pPr>
        <w:jc w:val="both"/>
      </w:pPr>
      <w:r>
        <w:rPr>
          <w:rFonts w:ascii="Verdana" w:hAnsi="Verdana" w:cs="Verdana" w:eastAsia="Verdana"/>
          <w:sz w:val="24"/>
        </w:rPr>
        <w:t>4.1.3.11. Una cláusula general de responsabilidad, en la que se establezca que cada bolsa de valores responde por sus actuaciones ante las autoridades competentes, así como por los hechos de sus funcionarios En todo caso, las bolsas de valores locales no responderán por las obligaciones a cargo de las bolsas de valores del exterior.</w:t>
      </w:r>
    </w:p>
    <w:p>
      <w:pPr>
        <w:jc w:val="both"/>
      </w:pPr>
      <w:r>
        <w:rPr>
          <w:rFonts w:ascii="Verdana" w:hAnsi="Verdana" w:cs="Verdana" w:eastAsia="Verdana"/>
          <w:sz w:val="24"/>
        </w:rPr>
        <w:t>4.1.3.12. Los mecanismos para garantizar la continuidad de las operaciones en el mercado resultante de los acuerdos de integración, así como la obligación de establecer un plan de contingencia que le permita asegurar el cumplimiento de los servicios prestados.</w:t>
      </w:r>
    </w:p>
    <w:p>
      <w:pPr>
        <w:jc w:val="both"/>
      </w:pPr>
      <w:r>
        <w:rPr>
          <w:rFonts w:ascii="Verdana" w:hAnsi="Verdana" w:cs="Verdana" w:eastAsia="Verdana"/>
          <w:sz w:val="24"/>
        </w:rPr>
        <w:t>4.1.3.13. El establecimiento de la infraestructura necesaria (plataforma tecnológica, procesos, sistemas de seguridad) para operar el mercado resultante de los acuerdos de integración.</w:t>
      </w:r>
    </w:p>
    <w:p>
      <w:pPr>
        <w:jc w:val="both"/>
      </w:pPr>
      <w:r>
        <w:rPr>
          <w:rFonts w:ascii="Verdana" w:hAnsi="Verdana" w:cs="Verdana" w:eastAsia="Verdana"/>
          <w:sz w:val="24"/>
        </w:rPr>
        <w:t>4.1.3.14. Los mecanismos y procedimientos periódicos de pruebas de funcionamiento tecnológico y operativo del sistema de enrutamiento intermediado, las cuales deben tener una periodicidad determinada.</w:t>
      </w:r>
    </w:p>
    <w:p>
      <w:pPr>
        <w:jc w:val="both"/>
      </w:pPr>
      <w:r>
        <w:rPr>
          <w:rFonts w:ascii="Verdana" w:hAnsi="Verdana" w:cs="Verdana" w:eastAsia="Verdana"/>
          <w:sz w:val="24"/>
        </w:rPr>
        <w:t>4.1.3.15. Los mecanismos y canales oficiales de comunicación entre las partes, así como los comités que se creen para coordinar el desarrollo y funcionamiento del mercado resultante de los acuerdos de integración.</w:t>
      </w:r>
    </w:p>
    <w:p>
      <w:pPr>
        <w:jc w:val="both"/>
      </w:pPr>
      <w:r>
        <w:rPr>
          <w:rFonts w:ascii="Verdana" w:hAnsi="Verdana" w:cs="Verdana" w:eastAsia="Verdana"/>
          <w:sz w:val="24"/>
        </w:rPr>
        <w:t>4.1.3.16. Establecer mecanismos de divulgación de información cuando se presenten medidas disciplinarias, administrativas o judiciales que conlleven a la suspensión o cese de actividades de sociedades comisionistas locales que sean parte del mercado resultante de los acuerdos de integración.</w:t>
      </w:r>
    </w:p>
    <w:p>
      <w:pPr>
        <w:jc w:val="both"/>
      </w:pPr>
      <w:r>
        <w:rPr>
          <w:rFonts w:ascii="Verdana" w:hAnsi="Verdana" w:cs="Verdana" w:eastAsia="Verdana"/>
          <w:sz w:val="24"/>
        </w:rPr>
        <w:t>4.1.3.17. Las instrucciones sobre la confidencialidad, custodia y propiedad de la información.</w:t>
      </w:r>
    </w:p>
    <w:p>
      <w:pPr>
        <w:jc w:val="both"/>
      </w:pPr>
      <w:r>
        <w:rPr>
          <w:rFonts w:ascii="Verdana" w:hAnsi="Verdana" w:cs="Verdana" w:eastAsia="Verdana"/>
          <w:sz w:val="24"/>
        </w:rPr>
        <w:t>4.1.3.18. Las instrucciones sobre los acuerdos de niveles de servicios que se presten entre las partes, considerando al menos:</w:t>
        <w:cr/>
      </w:r>
    </w:p>
    <w:p>
      <w:pPr>
        <w:jc w:val="both"/>
      </w:pPr>
      <w:r>
        <w:rPr>
          <w:rFonts w:ascii="Verdana" w:hAnsi="Verdana" w:cs="Verdana" w:eastAsia="Verdana"/>
          <w:sz w:val="24"/>
        </w:rPr>
        <w:t>4.1.3.18.1. Horarios para la atención de incidentes.</w:t>
      </w:r>
    </w:p>
    <w:p>
      <w:pPr>
        <w:jc w:val="both"/>
      </w:pPr>
      <w:r>
        <w:rPr>
          <w:rFonts w:ascii="Verdana" w:hAnsi="Verdana" w:cs="Verdana" w:eastAsia="Verdana"/>
          <w:sz w:val="24"/>
        </w:rPr>
        <w:t>4.1.3.18.2. Tiempos para resolver incidentes presentados.</w:t>
        <w:cr/>
      </w:r>
    </w:p>
    <w:p>
      <w:pPr>
        <w:jc w:val="both"/>
      </w:pPr>
      <w:r>
        <w:rPr>
          <w:rFonts w:ascii="Verdana" w:hAnsi="Verdana" w:cs="Verdana" w:eastAsia="Verdana"/>
          <w:sz w:val="24"/>
        </w:rPr>
        <w:t>4.1.3.19. La vigencia del convenio</w:t>
        <w:cr/>
      </w:r>
    </w:p>
    <w:p>
      <w:pPr>
        <w:jc w:val="both"/>
      </w:pPr>
      <w:r>
        <w:rPr>
          <w:rFonts w:ascii="Verdana" w:hAnsi="Verdana" w:cs="Verdana" w:eastAsia="Verdana"/>
          <w:sz w:val="24"/>
        </w:rPr>
        <w:t>4.1.3.20. Las condiciones y régimen de terminación del convenio, cuando ésta ocurra:</w:t>
        <w:cr/>
      </w:r>
    </w:p>
    <w:p>
      <w:pPr>
        <w:jc w:val="both"/>
      </w:pPr>
      <w:r>
        <w:rPr>
          <w:rFonts w:ascii="Verdana" w:hAnsi="Verdana" w:cs="Verdana" w:eastAsia="Verdana"/>
          <w:sz w:val="24"/>
        </w:rPr>
        <w:t>4.1.3.20.1. Por acuerdo de las partes.</w:t>
      </w:r>
    </w:p>
    <w:p>
      <w:pPr>
        <w:jc w:val="both"/>
      </w:pPr>
      <w:r>
        <w:rPr>
          <w:rFonts w:ascii="Verdana" w:hAnsi="Verdana" w:cs="Verdana" w:eastAsia="Verdana"/>
          <w:sz w:val="24"/>
        </w:rPr>
        <w:t>4.1.3.20.2. Por circunstancias ajenas a la voluntad de las partes.</w:t>
      </w:r>
    </w:p>
    <w:p>
      <w:pPr>
        <w:jc w:val="both"/>
      </w:pPr>
      <w:r>
        <w:rPr>
          <w:rFonts w:ascii="Verdana" w:hAnsi="Verdana" w:cs="Verdana" w:eastAsia="Verdana"/>
          <w:sz w:val="24"/>
        </w:rPr>
        <w:t>4.1.3.20.3. De manera unilateral por una o varias de las partes.</w:t>
      </w:r>
    </w:p>
    <w:p>
      <w:pPr>
        <w:jc w:val="both"/>
      </w:pPr>
      <w:r>
        <w:rPr>
          <w:rFonts w:ascii="Verdana" w:hAnsi="Verdana" w:cs="Verdana" w:eastAsia="Verdana"/>
          <w:sz w:val="24"/>
        </w:rPr>
        <w:t>4.1.3.21. La legislación que regirá el convenio o acuerdo.</w:t>
      </w:r>
    </w:p>
    <w:p>
      <w:pPr>
        <w:jc w:val="left"/>
      </w:pPr>
      <w:r>
        <w:rPr>
          <w:rFonts w:ascii="Verdana" w:hAnsi="Verdana" w:cs="Verdana" w:eastAsia="Verdana"/>
          <w:sz w:val="24"/>
          <w:b w:val="on"/>
        </w:rPr>
        <w:t>4.2. Contenidos mínimos de los acuerdos o convenios de integración que celebren los depósitos de valores locales y los depósitos de valores del exterior</w:t>
      </w:r>
    </w:p>
    <w:p>
      <w:pPr>
        <w:jc w:val="both"/>
      </w:pPr>
      <w:r>
        <w:rPr>
          <w:rFonts w:ascii="Verdana" w:hAnsi="Verdana" w:cs="Verdana" w:eastAsia="Verdana"/>
          <w:sz w:val="24"/>
        </w:rPr>
        <w:t>4.2.1. El objeto del acuerdo.</w:t>
        <w:cr/>
      </w:r>
    </w:p>
    <w:p>
      <w:pPr>
        <w:jc w:val="both"/>
      </w:pPr>
      <w:r>
        <w:rPr>
          <w:rFonts w:ascii="Verdana" w:hAnsi="Verdana" w:cs="Verdana" w:eastAsia="Verdana"/>
          <w:sz w:val="24"/>
        </w:rPr>
        <w:t>4.2.2. Los términos y definiciones propias a cada depósito y las comunes a éstos.</w:t>
        <w:cr/>
      </w:r>
    </w:p>
    <w:p>
      <w:pPr>
        <w:jc w:val="both"/>
      </w:pPr>
      <w:r>
        <w:rPr>
          <w:rFonts w:ascii="Verdana" w:hAnsi="Verdana" w:cs="Verdana" w:eastAsia="Verdana"/>
          <w:sz w:val="24"/>
        </w:rPr>
        <w:t>4.2.3. Las condiciones económicas del convenio:</w:t>
        <w:cr/>
      </w:r>
    </w:p>
    <w:p>
      <w:pPr>
        <w:jc w:val="both"/>
      </w:pPr>
      <w:r>
        <w:rPr>
          <w:rFonts w:ascii="Verdana" w:hAnsi="Verdana" w:cs="Verdana" w:eastAsia="Verdana"/>
          <w:sz w:val="24"/>
        </w:rPr>
        <w:t>4.2.3.1. Determinación y distribución de costos y gastos.</w:t>
      </w:r>
    </w:p>
    <w:p>
      <w:pPr>
        <w:jc w:val="both"/>
      </w:pPr>
      <w:r>
        <w:rPr>
          <w:rFonts w:ascii="Verdana" w:hAnsi="Verdana" w:cs="Verdana" w:eastAsia="Verdana"/>
          <w:sz w:val="24"/>
        </w:rPr>
        <w:t>4.2.3.2. Determinación y distribución de ingresos.</w:t>
        <w:cr/>
      </w:r>
    </w:p>
    <w:p>
      <w:pPr>
        <w:jc w:val="both"/>
      </w:pPr>
      <w:r>
        <w:rPr>
          <w:rFonts w:ascii="Verdana" w:hAnsi="Verdana" w:cs="Verdana" w:eastAsia="Verdana"/>
          <w:sz w:val="24"/>
        </w:rPr>
        <w:t>4.2.4. Las condiciones del servicio recíproco entre las partes.</w:t>
        <w:cr/>
      </w:r>
    </w:p>
    <w:p>
      <w:pPr>
        <w:jc w:val="both"/>
      </w:pPr>
      <w:r>
        <w:rPr>
          <w:rFonts w:ascii="Verdana" w:hAnsi="Verdana" w:cs="Verdana" w:eastAsia="Verdana"/>
          <w:sz w:val="24"/>
        </w:rPr>
        <w:t>4.2.5. Horarios establecidos para la compensación y liquidación de operaciones sobre valores realizadas en el mercado resultante de los acuerdos de integración.</w:t>
      </w:r>
    </w:p>
    <w:p>
      <w:pPr>
        <w:jc w:val="both"/>
      </w:pPr>
      <w:r>
        <w:rPr>
          <w:rFonts w:ascii="Verdana" w:hAnsi="Verdana" w:cs="Verdana" w:eastAsia="Verdana"/>
          <w:sz w:val="24"/>
        </w:rPr>
        <w:t>4.2.6. Descripción de la infraestructura necesaria (plataforma tecnológica, procesos, sistemas de seguridad) para realizar la compensación y liquidación de las operaciones sobre valores que se realicen en el mercado resultante de los acuerdos de integración.</w:t>
      </w:r>
    </w:p>
    <w:p>
      <w:pPr>
        <w:jc w:val="both"/>
      </w:pPr>
      <w:r>
        <w:rPr>
          <w:rFonts w:ascii="Verdana" w:hAnsi="Verdana" w:cs="Verdana" w:eastAsia="Verdana"/>
          <w:sz w:val="24"/>
        </w:rPr>
        <w:t>4.2.7. Los mecanismos y procedimientos periódicos de pruebas de funcionamiento tecnológico y operativo del sistema, los cuales deben tener una periodicidad determinada.</w:t>
      </w:r>
    </w:p>
    <w:p>
      <w:pPr>
        <w:jc w:val="both"/>
      </w:pPr>
      <w:r>
        <w:rPr>
          <w:rFonts w:ascii="Verdana" w:hAnsi="Verdana" w:cs="Verdana" w:eastAsia="Verdana"/>
          <w:sz w:val="24"/>
        </w:rPr>
        <w:t>4.2.8. La obligación de contar con procedimientos o mecanismos sobre los siguientes aspectos:</w:t>
      </w:r>
    </w:p>
    <w:p>
      <w:pPr>
        <w:jc w:val="both"/>
      </w:pPr>
      <w:r>
        <w:rPr>
          <w:rFonts w:ascii="Verdana" w:hAnsi="Verdana" w:cs="Verdana" w:eastAsia="Verdana"/>
          <w:sz w:val="24"/>
        </w:rPr>
        <w:t>4.2.8.1. Creación, administración, clausura y normatividad aplicable de las cuentas que se abrirán para el desarrollo del servicio recíproco entre las partes.</w:t>
        <w:cr/>
      </w:r>
    </w:p>
    <w:p>
      <w:pPr>
        <w:jc w:val="both"/>
      </w:pPr>
      <w:r>
        <w:rPr>
          <w:rFonts w:ascii="Verdana" w:hAnsi="Verdana" w:cs="Verdana" w:eastAsia="Verdana"/>
          <w:sz w:val="24"/>
        </w:rPr>
        <w:t>4.2.8.2. Compensación y liquidación de valores.</w:t>
      </w:r>
    </w:p>
    <w:p>
      <w:pPr>
        <w:jc w:val="both"/>
      </w:pPr>
      <w:r>
        <w:rPr>
          <w:rFonts w:ascii="Verdana" w:hAnsi="Verdana" w:cs="Verdana" w:eastAsia="Verdana"/>
          <w:sz w:val="24"/>
        </w:rPr>
        <w:t>4.2.8.3. Registros contables.</w:t>
        <w:cr/>
      </w:r>
    </w:p>
    <w:p>
      <w:pPr>
        <w:jc w:val="both"/>
      </w:pPr>
      <w:r>
        <w:rPr>
          <w:rFonts w:ascii="Verdana" w:hAnsi="Verdana" w:cs="Verdana" w:eastAsia="Verdana"/>
          <w:sz w:val="24"/>
        </w:rPr>
        <w:t>4.2.8.4. Registros espejo, cuando sean procedentes.</w:t>
        <w:cr/>
      </w:r>
    </w:p>
    <w:p>
      <w:pPr>
        <w:jc w:val="both"/>
      </w:pPr>
      <w:r>
        <w:rPr>
          <w:rFonts w:ascii="Verdana" w:hAnsi="Verdana" w:cs="Verdana" w:eastAsia="Verdana"/>
          <w:sz w:val="24"/>
        </w:rPr>
        <w:t>4.2.8.5. Recepción y entrega de valores.</w:t>
      </w:r>
    </w:p>
    <w:p>
      <w:pPr>
        <w:jc w:val="both"/>
      </w:pPr>
      <w:r>
        <w:rPr>
          <w:rFonts w:ascii="Verdana" w:hAnsi="Verdana" w:cs="Verdana" w:eastAsia="Verdana"/>
          <w:sz w:val="24"/>
        </w:rPr>
        <w:t>4.2.8.6. Movimientos y registros respecto de la titularidad de los valores anotados en la cuenta global a nombre de un depósito centralizado de valores extranjero.</w:t>
      </w:r>
    </w:p>
    <w:p>
      <w:pPr>
        <w:jc w:val="both"/>
      </w:pPr>
      <w:r>
        <w:rPr>
          <w:rFonts w:ascii="Verdana" w:hAnsi="Verdana" w:cs="Verdana" w:eastAsia="Verdana"/>
          <w:sz w:val="24"/>
        </w:rPr>
        <w:t>4.2.8.7. Generación de reportes de información de los beneficiarios finales de los valores, cuando sea aplicable.</w:t>
      </w:r>
    </w:p>
    <w:p>
      <w:pPr>
        <w:jc w:val="both"/>
      </w:pPr>
      <w:r>
        <w:rPr>
          <w:rFonts w:ascii="Verdana" w:hAnsi="Verdana" w:cs="Verdana" w:eastAsia="Verdana"/>
          <w:sz w:val="24"/>
        </w:rPr>
        <w:t>4.2.8.8. Certificación de la titularidad y demás derechos respecto de los valores de cada país.</w:t>
        <w:cr/>
      </w:r>
    </w:p>
    <w:p>
      <w:pPr>
        <w:jc w:val="both"/>
      </w:pPr>
      <w:r>
        <w:rPr>
          <w:rFonts w:ascii="Verdana" w:hAnsi="Verdana" w:cs="Verdana" w:eastAsia="Verdana"/>
          <w:sz w:val="24"/>
        </w:rPr>
        <w:t>4.2.8.9. Registro de las afectaciones, gravámenes y medidas cautelares, según proceda, así como los cambios de titularidad y traslados de valores.</w:t>
      </w:r>
    </w:p>
    <w:p>
      <w:pPr>
        <w:jc w:val="both"/>
      </w:pPr>
      <w:r>
        <w:rPr>
          <w:rFonts w:ascii="Verdana" w:hAnsi="Verdana" w:cs="Verdana" w:eastAsia="Verdana"/>
          <w:sz w:val="24"/>
        </w:rPr>
        <w:t>4.2.8.10. La manera de hacer efectivos los derechos de los inversionistas.</w:t>
      </w:r>
    </w:p>
    <w:p>
      <w:pPr>
        <w:jc w:val="both"/>
      </w:pPr>
      <w:r>
        <w:rPr>
          <w:rFonts w:ascii="Verdana" w:hAnsi="Verdana" w:cs="Verdana" w:eastAsia="Verdana"/>
          <w:sz w:val="24"/>
        </w:rPr>
        <w:t>4.2.8.11. Bloqueo y desbloqueo de valores.</w:t>
      </w:r>
    </w:p>
    <w:p>
      <w:pPr>
        <w:jc w:val="both"/>
      </w:pPr>
      <w:r>
        <w:rPr>
          <w:rFonts w:ascii="Verdana" w:hAnsi="Verdana" w:cs="Verdana" w:eastAsia="Verdana"/>
          <w:sz w:val="24"/>
        </w:rPr>
        <w:t>4.2.8.12. Eventos corporativos y ejercicio de derechos políticos y económicos de los titulares finales frente a los emisores de cada país.</w:t>
      </w:r>
    </w:p>
    <w:p>
      <w:pPr>
        <w:jc w:val="both"/>
      </w:pPr>
      <w:r>
        <w:rPr>
          <w:rFonts w:ascii="Verdana" w:hAnsi="Verdana" w:cs="Verdana" w:eastAsia="Verdana"/>
          <w:sz w:val="24"/>
        </w:rPr>
        <w:t>4.2.8.13. Suministro de información y atención de requerimientos por parte de los organismos de supervisión y demás autoridades administrativas y judiciales competentes y reconocidas en cada país.</w:t>
      </w:r>
    </w:p>
    <w:p>
      <w:pPr>
        <w:jc w:val="both"/>
      </w:pPr>
      <w:r>
        <w:rPr>
          <w:rFonts w:ascii="Verdana" w:hAnsi="Verdana" w:cs="Verdana" w:eastAsia="Verdana"/>
          <w:sz w:val="24"/>
        </w:rPr>
        <w:t>4.2.8.14. Contenido y periodicidad del suministro de la información necesaria para que los depósitos centralizados de valores extranjeros puedan cumplir con el objeto, funciones y obligaciones objeto de la realización de dichos convenios.</w:t>
      </w:r>
    </w:p>
    <w:p>
      <w:pPr>
        <w:jc w:val="both"/>
      </w:pPr>
      <w:r>
        <w:rPr>
          <w:rFonts w:ascii="Verdana" w:hAnsi="Verdana" w:cs="Verdana" w:eastAsia="Verdana"/>
          <w:sz w:val="24"/>
        </w:rPr>
        <w:t>4.2.9. La moneda en la que se realizará la compensación y liquidación de las operaciones</w:t>
        <w:cr/>
      </w:r>
    </w:p>
    <w:p>
      <w:pPr>
        <w:jc w:val="both"/>
      </w:pPr>
      <w:r>
        <w:rPr>
          <w:rFonts w:ascii="Verdana" w:hAnsi="Verdana" w:cs="Verdana" w:eastAsia="Verdana"/>
          <w:sz w:val="24"/>
        </w:rPr>
        <w:t>4.2.10. Las obligaciones sobre los siguientes elementos:</w:t>
        <w:cr/>
      </w:r>
    </w:p>
    <w:p>
      <w:pPr>
        <w:jc w:val="both"/>
      </w:pPr>
      <w:r>
        <w:rPr>
          <w:rFonts w:ascii="Verdana" w:hAnsi="Verdana" w:cs="Verdana" w:eastAsia="Verdana"/>
          <w:sz w:val="24"/>
        </w:rPr>
        <w:t>4.2.10.1. El cumplimiento de las normas aplicables.</w:t>
      </w:r>
    </w:p>
    <w:p>
      <w:pPr>
        <w:jc w:val="both"/>
      </w:pPr>
      <w:r>
        <w:rPr>
          <w:rFonts w:ascii="Verdana" w:hAnsi="Verdana" w:cs="Verdana" w:eastAsia="Verdana"/>
          <w:sz w:val="24"/>
        </w:rPr>
        <w:t>4.2.10.2. El cumplimiento de las instrucciones impartidas por los depósitos, sus depositantes, directos e indirectos, en cada una de las etapas correspondientes.</w:t>
      </w:r>
    </w:p>
    <w:p>
      <w:pPr>
        <w:jc w:val="both"/>
      </w:pPr>
      <w:r>
        <w:rPr>
          <w:rFonts w:ascii="Verdana" w:hAnsi="Verdana" w:cs="Verdana" w:eastAsia="Verdana"/>
          <w:sz w:val="24"/>
        </w:rPr>
        <w:t>4.2.10.3. La obligación de mantener permanentemente conciliadas las cuentas de los inversionistas locales y los saldos de la cuenta sin participación proindiviso del depósito local en el depósito extranjero.</w:t>
        <w:cr/>
      </w:r>
    </w:p>
    <w:p>
      <w:pPr>
        <w:jc w:val="both"/>
      </w:pPr>
      <w:r>
        <w:rPr>
          <w:rFonts w:ascii="Verdana" w:hAnsi="Verdana" w:cs="Verdana" w:eastAsia="Verdana"/>
          <w:sz w:val="24"/>
        </w:rPr>
        <w:t>4.2.10.4. El cumplimiento de las disposiciones sobre prevención y control de lavado de activos y financiación del terrorismo, según el régimen legal de cada Estado.</w:t>
        <w:cr/>
      </w:r>
    </w:p>
    <w:p>
      <w:pPr>
        <w:jc w:val="both"/>
      </w:pPr>
      <w:r>
        <w:rPr>
          <w:rFonts w:ascii="Verdana" w:hAnsi="Verdana" w:cs="Verdana" w:eastAsia="Verdana"/>
          <w:sz w:val="24"/>
        </w:rPr>
        <w:t>4.2.10.5. Informar oportunamente de los proyectos de modificación de los reglamentos internos, en los procedimientos, la plataforma tecnológica usada, así como de los cambios de legislación interna y de cualquier otro hecho que resulte de importancia para el funcionamiento del mercado integrado.</w:t>
      </w:r>
    </w:p>
    <w:p>
      <w:pPr>
        <w:jc w:val="both"/>
      </w:pPr>
      <w:r>
        <w:rPr>
          <w:rFonts w:ascii="Verdana" w:hAnsi="Verdana" w:cs="Verdana" w:eastAsia="Verdana"/>
          <w:sz w:val="24"/>
        </w:rPr>
        <w:t>4.2.10.6. El deber de informar de manera inmediata sobre la ejecución de órdenes judiciales o administrativas respecto de valores negociados en el mercado integrado, así como su procedimiento.</w:t>
      </w:r>
    </w:p>
    <w:p>
      <w:pPr>
        <w:jc w:val="both"/>
      </w:pPr>
      <w:r>
        <w:rPr>
          <w:rFonts w:ascii="Verdana" w:hAnsi="Verdana" w:cs="Verdana" w:eastAsia="Verdana"/>
          <w:sz w:val="24"/>
        </w:rPr>
        <w:t>4.2.10.7. La obligación de mantener disponible la información individualizada de los inversionistas extranjeros para todos los efectos legales, frente a las autoridades y los emisores.</w:t>
      </w:r>
    </w:p>
    <w:p>
      <w:pPr>
        <w:jc w:val="both"/>
      </w:pPr>
      <w:r>
        <w:rPr>
          <w:rFonts w:ascii="Verdana" w:hAnsi="Verdana" w:cs="Verdana" w:eastAsia="Verdana"/>
          <w:sz w:val="24"/>
        </w:rPr>
        <w:t>4.2.11. Establecer un plan de contingencia y continuidad del negocio, que le permita asegurar el cumplimiento de los servicios prestados.</w:t>
        <w:cr/>
      </w:r>
    </w:p>
    <w:p>
      <w:pPr>
        <w:jc w:val="both"/>
      </w:pPr>
      <w:r>
        <w:rPr>
          <w:rFonts w:ascii="Verdana" w:hAnsi="Verdana" w:cs="Verdana" w:eastAsia="Verdana"/>
          <w:sz w:val="24"/>
        </w:rPr>
        <w:t>4.2.12. Mecanismos y canales oficiales de comunicación entre las partes.</w:t>
      </w:r>
    </w:p>
    <w:p>
      <w:pPr>
        <w:jc w:val="both"/>
      </w:pPr>
      <w:r>
        <w:rPr>
          <w:rFonts w:ascii="Verdana" w:hAnsi="Verdana" w:cs="Verdana" w:eastAsia="Verdana"/>
          <w:sz w:val="24"/>
        </w:rPr>
        <w:t>4.2.13. La manera de proceder y las responsabilidades de las partes ante el incumplimiento de las obligaciones acordadas entre éstas.</w:t>
        <w:cr/>
      </w:r>
    </w:p>
    <w:p>
      <w:pPr>
        <w:jc w:val="both"/>
      </w:pPr>
      <w:r>
        <w:rPr>
          <w:rFonts w:ascii="Verdana" w:hAnsi="Verdana" w:cs="Verdana" w:eastAsia="Verdana"/>
          <w:sz w:val="24"/>
        </w:rPr>
        <w:t>4.2.14. Los comités que se creen para coordinar el desarrollo y funcionamiento de los depósitos centralizados de valores en el mercado integrado.</w:t>
      </w:r>
    </w:p>
    <w:p>
      <w:pPr>
        <w:jc w:val="both"/>
      </w:pPr>
      <w:r>
        <w:rPr>
          <w:rFonts w:ascii="Verdana" w:hAnsi="Verdana" w:cs="Verdana" w:eastAsia="Verdana"/>
          <w:sz w:val="24"/>
        </w:rPr>
        <w:t>4.2.15. El mecanismo de resolución de las controversias derivadas de la ejecución del convenio.</w:t>
      </w:r>
    </w:p>
    <w:p>
      <w:pPr>
        <w:jc w:val="both"/>
      </w:pPr>
      <w:r>
        <w:rPr>
          <w:rFonts w:ascii="Verdana" w:hAnsi="Verdana" w:cs="Verdana" w:eastAsia="Verdana"/>
          <w:sz w:val="24"/>
        </w:rPr>
        <w:t>4.2.16. Una cláusula general de responsabilidad, en la que se establezca que cada depósito de valores responde por sus actuaciones ante las autoridades competentes, así como por los hechos de sus funcionarios.</w:t>
      </w:r>
    </w:p>
    <w:p>
      <w:pPr>
        <w:jc w:val="both"/>
      </w:pPr>
      <w:r>
        <w:rPr>
          <w:rFonts w:ascii="Verdana" w:hAnsi="Verdana" w:cs="Verdana" w:eastAsia="Verdana"/>
          <w:sz w:val="24"/>
        </w:rPr>
        <w:t>4.2.17. Las instrucciones sobre la confidencialidad, custodia y propiedad de la información.</w:t>
        <w:cr/>
      </w:r>
    </w:p>
    <w:p>
      <w:pPr>
        <w:jc w:val="both"/>
      </w:pPr>
      <w:r>
        <w:rPr>
          <w:rFonts w:ascii="Verdana" w:hAnsi="Verdana" w:cs="Verdana" w:eastAsia="Verdana"/>
          <w:sz w:val="24"/>
        </w:rPr>
        <w:t>4.2.18. La vigencia del convenio.</w:t>
      </w:r>
    </w:p>
    <w:p>
      <w:pPr>
        <w:jc w:val="both"/>
      </w:pPr>
      <w:r>
        <w:rPr>
          <w:rFonts w:ascii="Verdana" w:hAnsi="Verdana" w:cs="Verdana" w:eastAsia="Verdana"/>
          <w:sz w:val="24"/>
        </w:rPr>
        <w:t>4.2.19. Las condiciones y régimen de terminación del convenio, cuando ésta ocurra:</w:t>
      </w:r>
    </w:p>
    <w:p>
      <w:pPr>
        <w:jc w:val="both"/>
      </w:pPr>
      <w:r>
        <w:rPr>
          <w:rFonts w:ascii="Verdana" w:hAnsi="Verdana" w:cs="Verdana" w:eastAsia="Verdana"/>
          <w:sz w:val="24"/>
        </w:rPr>
        <w:t>4.2.19.1. Por acuerdo de las partes.</w:t>
        <w:cr/>
      </w:r>
    </w:p>
    <w:p>
      <w:pPr>
        <w:jc w:val="both"/>
      </w:pPr>
      <w:r>
        <w:rPr>
          <w:rFonts w:ascii="Verdana" w:hAnsi="Verdana" w:cs="Verdana" w:eastAsia="Verdana"/>
          <w:sz w:val="24"/>
        </w:rPr>
        <w:t>4.2.19.2. Por circunstancias ajenas a la voluntad de las partes.</w:t>
      </w:r>
    </w:p>
    <w:p>
      <w:pPr>
        <w:jc w:val="both"/>
      </w:pPr>
      <w:r>
        <w:rPr>
          <w:rFonts w:ascii="Verdana" w:hAnsi="Verdana" w:cs="Verdana" w:eastAsia="Verdana"/>
          <w:sz w:val="24"/>
        </w:rPr>
        <w:t>4.2.19.3. De manera unilateral por una o varias de las partes.</w:t>
        <w:cr/>
      </w:r>
    </w:p>
    <w:p>
      <w:pPr>
        <w:jc w:val="both"/>
      </w:pPr>
      <w:r>
        <w:rPr>
          <w:rFonts w:ascii="Verdana" w:hAnsi="Verdana" w:cs="Verdana" w:eastAsia="Verdana"/>
          <w:sz w:val="24"/>
        </w:rPr>
        <w:t>4.2.20. La legislación que regirá el convenio o acuerdo.</w:t>
      </w:r>
    </w:p>
    <w:p>
      <w:pPr>
        <w:jc w:val="left"/>
      </w:pPr>
      <w:r>
        <w:rPr>
          <w:rFonts w:ascii="Verdana" w:hAnsi="Verdana" w:cs="Verdana" w:eastAsia="Verdana"/>
          <w:sz w:val="24"/>
          <w:b w:val="on"/>
        </w:rPr>
        <w:t>4.3. Contenidos mínimos de los acuerdos de enrutamiento intermediado que celebren las sociedades comisionistas de bolsas de valores locales y los agentes equivalentes en el exterior</w:t>
      </w:r>
    </w:p>
    <w:p>
      <w:pPr>
        <w:jc w:val="both"/>
      </w:pPr>
      <w:r>
        <w:rPr>
          <w:rFonts w:ascii="Verdana" w:hAnsi="Verdana" w:cs="Verdana" w:eastAsia="Verdana"/>
          <w:sz w:val="24"/>
        </w:rPr>
        <w:t>4.3.1. El objeto del convenio.</w:t>
      </w:r>
    </w:p>
    <w:p>
      <w:pPr>
        <w:jc w:val="both"/>
      </w:pPr>
      <w:r>
        <w:rPr>
          <w:rFonts w:ascii="Verdana" w:hAnsi="Verdana" w:cs="Verdana" w:eastAsia="Verdana"/>
          <w:sz w:val="24"/>
        </w:rPr>
        <w:t>4.3.2. Los términos y definiciones propias a cada intermediario y las comunes a éstos.</w:t>
        <w:cr/>
      </w:r>
    </w:p>
    <w:p>
      <w:pPr>
        <w:jc w:val="both"/>
      </w:pPr>
      <w:r>
        <w:rPr>
          <w:rFonts w:ascii="Verdana" w:hAnsi="Verdana" w:cs="Verdana" w:eastAsia="Verdana"/>
          <w:sz w:val="24"/>
        </w:rPr>
        <w:t>4.3.3. Las condiciones económicas del convenio.</w:t>
      </w:r>
    </w:p>
    <w:p>
      <w:pPr>
        <w:jc w:val="both"/>
      </w:pPr>
      <w:r>
        <w:rPr>
          <w:rFonts w:ascii="Verdana" w:hAnsi="Verdana" w:cs="Verdana" w:eastAsia="Verdana"/>
          <w:sz w:val="24"/>
        </w:rPr>
        <w:t>4.3.4. Los tipos de operaciones que se podrán realizar de acuerdo con los reglamentos de las bolsas de valores aplicables al mercado integrado.</w:t>
      </w:r>
    </w:p>
    <w:p>
      <w:pPr>
        <w:jc w:val="both"/>
      </w:pPr>
      <w:r>
        <w:rPr>
          <w:rFonts w:ascii="Verdana" w:hAnsi="Verdana" w:cs="Verdana" w:eastAsia="Verdana"/>
          <w:sz w:val="24"/>
        </w:rPr>
        <w:t>4.3.5. La obligación para cada una de las partes de cumplir con la legislación local e implementar los controles suficientes para evitar la realización de operaciones no autorizadas en el mercado integrado.</w:t>
      </w:r>
    </w:p>
    <w:p>
      <w:pPr>
        <w:jc w:val="both"/>
      </w:pPr>
      <w:r>
        <w:rPr>
          <w:rFonts w:ascii="Verdana" w:hAnsi="Verdana" w:cs="Verdana" w:eastAsia="Verdana"/>
          <w:sz w:val="24"/>
        </w:rPr>
        <w:t>4.3.6. Los derechos, obligaciones y facultades de las sociedades comisionistas de bolsa cuando participan en el mercado resultante de los acuerdos de integración.</w:t>
        <w:cr/>
      </w:r>
    </w:p>
    <w:p>
      <w:pPr>
        <w:jc w:val="both"/>
      </w:pPr>
      <w:r>
        <w:rPr>
          <w:rFonts w:ascii="Verdana" w:hAnsi="Verdana" w:cs="Verdana" w:eastAsia="Verdana"/>
          <w:sz w:val="24"/>
        </w:rPr>
        <w:t>4.3.7. La constancia de haber realizado estudios de riesgo de contraparte y de capacidad operativa de la sociedad homóloga extranjera, como elemento de análisis para decidir la viabilidad de la celebración del acuerdo con las sociedades comisionistas de bolsa.</w:t>
      </w:r>
    </w:p>
    <w:p>
      <w:pPr>
        <w:jc w:val="both"/>
      </w:pPr>
      <w:r>
        <w:rPr>
          <w:rFonts w:ascii="Verdana" w:hAnsi="Verdana" w:cs="Verdana" w:eastAsia="Verdana"/>
          <w:sz w:val="24"/>
        </w:rPr>
        <w:t>4.3.8. La obligación de los intermediarios de garantizar que sus funcionarios conozcan la operatividad del mercado resultante de los acuerdos de integración, y las normas de negociación, compensación y liquidación aplicables a las operaciones realizadas en éste.</w:t>
      </w:r>
    </w:p>
    <w:p>
      <w:pPr>
        <w:jc w:val="both"/>
      </w:pPr>
      <w:r>
        <w:rPr>
          <w:rFonts w:ascii="Verdana" w:hAnsi="Verdana" w:cs="Verdana" w:eastAsia="Verdana"/>
          <w:sz w:val="24"/>
        </w:rPr>
        <w:t>4.3.9. La obligación de cumplir las instrucciones impartidas por las bolsas de valores y por los depósitos de valores.</w:t>
      </w:r>
    </w:p>
    <w:p>
      <w:pPr>
        <w:jc w:val="both"/>
      </w:pPr>
      <w:r>
        <w:rPr>
          <w:rFonts w:ascii="Verdana" w:hAnsi="Verdana" w:cs="Verdana" w:eastAsia="Verdana"/>
          <w:sz w:val="24"/>
        </w:rPr>
        <w:t>4.3.10. La obligación de contar con los procedimientos, acuerdos de servicio, canales o sistemas de suministro de información necesarios para el cumplimiento de los deberes de las sociedades comisionistas de bolsa de valores locales y/o de las sociedades homólogas extranjeras para con sus respectivos clientes y autoridades competentes.</w:t>
      </w:r>
    </w:p>
    <w:p>
      <w:pPr>
        <w:jc w:val="both"/>
      </w:pPr>
      <w:r>
        <w:rPr>
          <w:rFonts w:ascii="Verdana" w:hAnsi="Verdana" w:cs="Verdana" w:eastAsia="Verdana"/>
          <w:sz w:val="24"/>
        </w:rPr>
        <w:t>4.3.11. Las condiciones y criterios bajo los cuales la sociedad comisionista de bolsa de valores local tendrá facultades para suspender el acceso de la sociedad homóloga para ingresar órdenes, en virtud de posibles circunstancias de riesgo o ante la alerta de potenciales conductas en el mercado de valores local.</w:t>
      </w:r>
    </w:p>
    <w:p>
      <w:pPr>
        <w:jc w:val="both"/>
      </w:pPr>
      <w:r>
        <w:rPr>
          <w:rFonts w:ascii="Verdana" w:hAnsi="Verdana" w:cs="Verdana" w:eastAsia="Verdana"/>
          <w:sz w:val="24"/>
        </w:rPr>
        <w:t>4.3.12. La obligación para cada una de las partes de contar con mecanismos técnicos, operativos y administrativos para enrutar órdenes de conformidad con los protocolos de comunicaciones y las políticas establecidas por los proveedores de infraestructura y las autoridades competentes.</w:t>
        <w:cr/>
      </w:r>
    </w:p>
    <w:p>
      <w:pPr>
        <w:jc w:val="both"/>
      </w:pPr>
      <w:r>
        <w:rPr>
          <w:rFonts w:ascii="Verdana" w:hAnsi="Verdana" w:cs="Verdana" w:eastAsia="Verdana"/>
          <w:sz w:val="24"/>
        </w:rPr>
        <w:t>4.3.13. La obligación de cumplir las disposiciones sobre prevención y control de lavado de activos y financiación del terrorismo, según el régimen legal de cada país.</w:t>
      </w:r>
    </w:p>
    <w:p>
      <w:pPr>
        <w:jc w:val="both"/>
      </w:pPr>
      <w:r>
        <w:rPr>
          <w:rFonts w:ascii="Verdana" w:hAnsi="Verdana" w:cs="Verdana" w:eastAsia="Verdana"/>
          <w:sz w:val="24"/>
        </w:rPr>
        <w:t>4.3.14. La forma como se adoptarán y establecerán los límites operativos, de control y gestión de riesgos respecto de las órdenes, operaciones y actuaciones de las sociedades homólogas extranjeras, y la obligación de revisarlos periódicamente.</w:t>
      </w:r>
    </w:p>
    <w:p>
      <w:pPr>
        <w:jc w:val="both"/>
      </w:pPr>
      <w:r>
        <w:rPr>
          <w:rFonts w:ascii="Verdana" w:hAnsi="Verdana" w:cs="Verdana" w:eastAsia="Verdana"/>
          <w:sz w:val="24"/>
        </w:rPr>
        <w:t xml:space="preserve">4.3.15. La obligación a cargo de la sociedad comisionista de bolsa extranjera de incluir en los contratos que suscriban con sus clientes la declaración de sometimiento a las normas que regulan la negociación de valores en Colombia, siempre que se negocien valores inscritos en Colombia. </w:t>
        <w:cr/>
      </w:r>
    </w:p>
    <w:p>
      <w:pPr>
        <w:jc w:val="both"/>
      </w:pPr>
      <w:r>
        <w:rPr>
          <w:rFonts w:ascii="Verdana" w:hAnsi="Verdana" w:cs="Verdana" w:eastAsia="Verdana"/>
          <w:sz w:val="24"/>
        </w:rPr>
        <w:t>4.3.16. Prever en el plan de contingencia y continuidad del negocio de cada sociedad, lo correspondiente para atender el negocio objeto del convenio, inclusive en el evento de medidas administrativas de intervención.</w:t>
      </w:r>
    </w:p>
    <w:p>
      <w:pPr>
        <w:jc w:val="both"/>
      </w:pPr>
      <w:r>
        <w:rPr>
          <w:rFonts w:ascii="Verdana" w:hAnsi="Verdana" w:cs="Verdana" w:eastAsia="Verdana"/>
          <w:sz w:val="24"/>
        </w:rPr>
        <w:t>4.3.17. Una cláusula de responsabilidad, en la que se precise que la sociedad comisionista de bolsa local es responsable del cumplimiento de las operaciones ordenadas por la sociedad comisionista extranjera, y en ningún caso podrá alegar falta de provisión de fondos por parte de esta o de sus clientes. Lo anterior, sin perjuicio de la responsabilidad propia de la sociedad comisionista extranjera frente a la sociedad comisionista local.</w:t>
        <w:cr/>
      </w:r>
    </w:p>
    <w:p>
      <w:pPr>
        <w:jc w:val="both"/>
      </w:pPr>
      <w:r>
        <w:rPr>
          <w:rFonts w:ascii="Verdana" w:hAnsi="Verdana" w:cs="Verdana" w:eastAsia="Verdana"/>
          <w:sz w:val="24"/>
        </w:rPr>
        <w:t>4.3.18. Los mecanismos para asegurar la provisión de fondos y disponibilidad de valores para el cumplimiento de la liquidación de las operaciones, así como la descripción de las garantías que fueran aplicables, de ser el caso.</w:t>
        <w:cr/>
      </w:r>
    </w:p>
    <w:p>
      <w:pPr>
        <w:jc w:val="both"/>
      </w:pPr>
      <w:r>
        <w:rPr>
          <w:rFonts w:ascii="Verdana" w:hAnsi="Verdana" w:cs="Verdana" w:eastAsia="Verdana"/>
          <w:sz w:val="24"/>
        </w:rPr>
        <w:t>4.3.19. Procedimientos y mecanismos para proceder a la modificación de los acuerdos, así como el proceso de divulgación a otros interesados.</w:t>
      </w:r>
    </w:p>
    <w:p>
      <w:pPr>
        <w:jc w:val="both"/>
      </w:pPr>
      <w:r>
        <w:rPr>
          <w:rFonts w:ascii="Verdana" w:hAnsi="Verdana" w:cs="Verdana" w:eastAsia="Verdana"/>
          <w:sz w:val="24"/>
        </w:rPr>
        <w:t>4.3.20. Mecanismos y canales oficiales de comunicación entre las partes.</w:t>
      </w:r>
    </w:p>
    <w:p>
      <w:pPr>
        <w:jc w:val="both"/>
      </w:pPr>
      <w:r>
        <w:rPr>
          <w:rFonts w:ascii="Verdana" w:hAnsi="Verdana" w:cs="Verdana" w:eastAsia="Verdana"/>
          <w:sz w:val="24"/>
        </w:rPr>
        <w:t>4.3.21. El suministro de información y atención de requerimientos por parte de organismos de supervisión y demás autoridades administrativas y judiciales competentes y reconocidas en cada país.</w:t>
      </w:r>
    </w:p>
    <w:p>
      <w:pPr>
        <w:jc w:val="both"/>
      </w:pPr>
      <w:r>
        <w:rPr>
          <w:rFonts w:ascii="Verdana" w:hAnsi="Verdana" w:cs="Verdana" w:eastAsia="Verdana"/>
          <w:sz w:val="24"/>
        </w:rPr>
        <w:t>4.3.22. Las instrucciones sobre la confidencialidad, custodia y propiedad de la información.</w:t>
      </w:r>
    </w:p>
    <w:p>
      <w:pPr>
        <w:jc w:val="both"/>
      </w:pPr>
      <w:r>
        <w:rPr>
          <w:rFonts w:ascii="Verdana" w:hAnsi="Verdana" w:cs="Verdana" w:eastAsia="Verdana"/>
          <w:sz w:val="24"/>
        </w:rPr>
        <w:t>4.3.23. La vigencia del convenio.</w:t>
      </w:r>
    </w:p>
    <w:p>
      <w:pPr>
        <w:jc w:val="both"/>
      </w:pPr>
      <w:r>
        <w:rPr>
          <w:rFonts w:ascii="Verdana" w:hAnsi="Verdana" w:cs="Verdana" w:eastAsia="Verdana"/>
          <w:sz w:val="24"/>
        </w:rPr>
        <w:t>4.3.24. El mecanismo de resolución de las controversias derivadas de la ejecución del convenio.</w:t>
      </w:r>
    </w:p>
    <w:p>
      <w:pPr>
        <w:jc w:val="both"/>
      </w:pPr>
      <w:r>
        <w:rPr>
          <w:rFonts w:ascii="Verdana" w:hAnsi="Verdana" w:cs="Verdana" w:eastAsia="Verdana"/>
          <w:sz w:val="24"/>
        </w:rPr>
        <w:t>4.3.25. Las condiciones y régimen de terminación del convenio, cuando ésta ocurra:</w:t>
      </w:r>
    </w:p>
    <w:p>
      <w:pPr>
        <w:jc w:val="both"/>
      </w:pPr>
      <w:r>
        <w:rPr>
          <w:rFonts w:ascii="Verdana" w:hAnsi="Verdana" w:cs="Verdana" w:eastAsia="Verdana"/>
          <w:sz w:val="24"/>
        </w:rPr>
        <w:t>4.3.25.1. Por acuerdo de las partes.</w:t>
      </w:r>
    </w:p>
    <w:p>
      <w:pPr>
        <w:jc w:val="both"/>
      </w:pPr>
      <w:r>
        <w:rPr>
          <w:rFonts w:ascii="Verdana" w:hAnsi="Verdana" w:cs="Verdana" w:eastAsia="Verdana"/>
          <w:sz w:val="24"/>
        </w:rPr>
        <w:t>4.3.25.2. Por circunstancias ajenas a la voluntad de las partes.</w:t>
      </w:r>
    </w:p>
    <w:p>
      <w:pPr>
        <w:jc w:val="both"/>
      </w:pPr>
      <w:r>
        <w:rPr>
          <w:rFonts w:ascii="Verdana" w:hAnsi="Verdana" w:cs="Verdana" w:eastAsia="Verdana"/>
          <w:sz w:val="24"/>
        </w:rPr>
        <w:t>4.3.25.3. De manera unilateral por una o varias de las partes.</w:t>
      </w:r>
    </w:p>
    <w:p>
      <w:pPr>
        <w:jc w:val="both"/>
      </w:pPr>
      <w:r>
        <w:rPr>
          <w:rFonts w:ascii="Verdana" w:hAnsi="Verdana" w:cs="Verdana" w:eastAsia="Verdana"/>
          <w:sz w:val="24"/>
        </w:rPr>
        <w:t>4.3.26. La legislación que regirá el convenio o acuerdo.</w:t>
        <w:cr/>
      </w:r>
    </w:p>
    <w:p>
      <w:pPr>
        <w:jc w:val="left"/>
      </w:pPr>
      <w:r>
        <w:rPr>
          <w:rFonts w:ascii="Verdana" w:hAnsi="Verdana" w:cs="Verdana" w:eastAsia="Verdana"/>
          <w:sz w:val="24"/>
          <w:b w:val="on"/>
        </w:rPr>
        <w:t>5. Negociación de valores extranjeros listados en sistemas de cotización de valores del extranjero</w:t>
      </w:r>
    </w:p>
    <w:p>
      <w:pPr>
        <w:jc w:val="both"/>
      </w:pPr>
    </w:p>
    <w:p>
      <w:pPr>
        <w:jc w:val="left"/>
      </w:pPr>
      <w:r>
        <w:rPr>
          <w:rFonts w:ascii="Verdana" w:hAnsi="Verdana" w:cs="Verdana" w:eastAsia="Verdana"/>
          <w:sz w:val="24"/>
          <w:b w:val="on"/>
        </w:rPr>
        <w:t>5.1. Reconocimiento de valores extranjeros</w:t>
      </w:r>
    </w:p>
    <w:p>
      <w:pPr>
        <w:jc w:val="both"/>
      </w:pPr>
      <w:r>
        <w:rPr>
          <w:rFonts w:ascii="Verdana" w:hAnsi="Verdana" w:cs="Verdana" w:eastAsia="Verdana"/>
          <w:sz w:val="24"/>
        </w:rPr>
        <w:t xml:space="preserve">Para efectos de lo dispuesto en el literal c) del artículo 2.15.6.1.5. del Decreto 2555 de 2010 y el numeral 5 del artículo 6.11.1.1.1 del citado Decreto, se consideran bolsas de valores o sistemas de negociación de valores internacionalmente reconocidos a juicio de la SFC, los miembros de la Federación Mundial de Bolsas de Valores (WFE por sus siglas en idioma inglés) y las bolsas y entidades señaladas en la página web de la SFC. </w:t>
      </w:r>
    </w:p>
    <w:p>
      <w:pPr>
        <w:jc w:val="left"/>
      </w:pPr>
      <w:r>
        <w:rPr>
          <w:rFonts w:ascii="Verdana" w:hAnsi="Verdana" w:cs="Verdana" w:eastAsia="Verdana"/>
          <w:sz w:val="24"/>
          <w:b w:val="on"/>
        </w:rPr>
        <w:t>5.2. Registro de valores extranjeros listados en los sistemas de cotización de valores del extranjero</w:t>
      </w:r>
    </w:p>
    <w:p>
      <w:pPr>
        <w:jc w:val="both"/>
      </w:pPr>
      <w:r>
        <w:rPr>
          <w:rFonts w:ascii="Verdana" w:hAnsi="Verdana" w:cs="Verdana" w:eastAsia="Verdana"/>
          <w:sz w:val="24"/>
        </w:rPr>
        <w:t>De conformidad con lo dispuesto en el artículo 2.15.6.1.11 del Decreto 2555 de 2010, las sociedades administradoras de sistemas de cotización de valores del extranjero deben llevar un registro consolidado de los valores extranjeros listados y de su negociación. Dicho registro debe contener, como mínimo, la siguiente información:</w:t>
      </w:r>
    </w:p>
    <w:p>
      <w:pPr>
        <w:jc w:val="both"/>
      </w:pPr>
      <w:r>
        <w:rPr>
          <w:rFonts w:ascii="Verdana" w:hAnsi="Verdana" w:cs="Verdana" w:eastAsia="Verdana"/>
          <w:sz w:val="24"/>
        </w:rPr>
        <w:t>5.2.1. Nombre, domicilio y datos de contacto del emisor.</w:t>
        <w:cr/>
      </w:r>
    </w:p>
    <w:p>
      <w:pPr>
        <w:jc w:val="both"/>
      </w:pPr>
      <w:r>
        <w:rPr>
          <w:rFonts w:ascii="Verdana" w:hAnsi="Verdana" w:cs="Verdana" w:eastAsia="Verdana"/>
          <w:sz w:val="24"/>
        </w:rPr>
        <w:t>5.2.2. Página web del emisor a través de la cual se divulgue la información financiera, económica, contable, jurídica y administrativa del respectivo emisor, incluyendo aquella que se considere relevante en el país o en el mercado de valores de origen, o en el mercado de cotización principal, según se trate, sin perjuicio de la obligación consagrada en el numeral 2 del artículo 2.15.6.1.7 del Decreto 2555 de 2010.</w:t>
      </w:r>
    </w:p>
    <w:p>
      <w:pPr>
        <w:jc w:val="both"/>
      </w:pPr>
      <w:r>
        <w:rPr>
          <w:rFonts w:ascii="Verdana" w:hAnsi="Verdana" w:cs="Verdana" w:eastAsia="Verdana"/>
          <w:sz w:val="24"/>
        </w:rPr>
        <w:t>5.2.3. Clase de valor y derechos que otorga.</w:t>
        <w:cr/>
      </w:r>
    </w:p>
    <w:p>
      <w:pPr>
        <w:jc w:val="both"/>
      </w:pPr>
      <w:r>
        <w:rPr>
          <w:rFonts w:ascii="Verdana" w:hAnsi="Verdana" w:cs="Verdana" w:eastAsia="Verdana"/>
          <w:sz w:val="24"/>
        </w:rPr>
        <w:t>5.2.4. Bolsas de valores o sistemas de negociación de valores internacionales en los que se negocie el valor.</w:t>
      </w:r>
    </w:p>
    <w:p>
      <w:pPr>
        <w:jc w:val="both"/>
      </w:pPr>
      <w:r>
        <w:rPr>
          <w:rFonts w:ascii="Verdana" w:hAnsi="Verdana" w:cs="Verdana" w:eastAsia="Verdana"/>
          <w:sz w:val="24"/>
        </w:rPr>
        <w:t>5.2.5. Patrocinador que solicitó el listado del valor en el sistema, en caso de que sea aplicable.</w:t>
        <w:cr/>
      </w:r>
    </w:p>
    <w:p>
      <w:pPr>
        <w:jc w:val="both"/>
      </w:pPr>
      <w:r>
        <w:rPr>
          <w:rFonts w:ascii="Verdana" w:hAnsi="Verdana" w:cs="Verdana" w:eastAsia="Verdana"/>
          <w:sz w:val="24"/>
        </w:rPr>
        <w:t>5.2.6. Fecha de vencimiento del valor, cuando esto resulte aplicable.</w:t>
        <w:cr/>
      </w:r>
    </w:p>
    <w:p>
      <w:pPr>
        <w:jc w:val="both"/>
      </w:pPr>
      <w:r>
        <w:rPr>
          <w:rFonts w:ascii="Verdana" w:hAnsi="Verdana" w:cs="Verdana" w:eastAsia="Verdana"/>
          <w:sz w:val="24"/>
        </w:rPr>
        <w:t>5.2.7. El depósito de valores, el custodio o el agente especializado internacional encargado de la custodia o administración de los valores en el exterior.</w:t>
      </w:r>
    </w:p>
    <w:p>
      <w:pPr>
        <w:jc w:val="both"/>
      </w:pPr>
      <w:r>
        <w:rPr>
          <w:rFonts w:ascii="Verdana" w:hAnsi="Verdana" w:cs="Verdana" w:eastAsia="Verdana"/>
          <w:sz w:val="24"/>
        </w:rPr>
        <w:t>5.2.8. Nemotécnico del valor.</w:t>
      </w:r>
    </w:p>
    <w:p>
      <w:pPr>
        <w:jc w:val="both"/>
      </w:pPr>
      <w:r>
        <w:rPr>
          <w:rFonts w:ascii="Verdana" w:hAnsi="Verdana" w:cs="Verdana" w:eastAsia="Verdana"/>
          <w:sz w:val="24"/>
        </w:rPr>
        <w:t>5.2.9. Código ANNA del valor.</w:t>
      </w:r>
      <w:r>
        <w:rPr>
          <w:rFonts w:ascii="Verdana" w:hAnsi="Verdana" w:cs="Verdana" w:eastAsia="Verdana"/>
          <w:sz w:val="24"/>
        </w:rPr>
        <w:t>Las sociedades administradoras de sistemas de cotización de valores del extranjero deben mantener y conservar toda la información relativa a las operaciones, órdenes, posturas y los mensajes o avisos que realicen, en los términos y con sujeción al contenido mínimo señalado en los artículos 2.10.5.2.12 y 2.15.1.5.3 del Decreto 2555 de 2010, según se trate de valores de renta variable o de renta fija, respectivamente.</w:t>
      </w:r>
    </w:p>
    <w:p>
      <w:pPr>
        <w:jc w:val="left"/>
      </w:pPr>
      <w:r>
        <w:rPr>
          <w:rFonts w:ascii="Verdana" w:hAnsi="Verdana" w:cs="Verdana" w:eastAsia="Verdana"/>
          <w:sz w:val="24"/>
          <w:b w:val="on"/>
        </w:rPr>
        <w:t>5.3. Notificación y divulgación de suspensiones y cancelaciones del listado de valores extranjeros en los sistemas de cotización de valores del extranjero</w:t>
      </w:r>
    </w:p>
    <w:p>
      <w:pPr>
        <w:jc w:val="both"/>
      </w:pPr>
      <w:r>
        <w:rPr>
          <w:rFonts w:ascii="Verdana" w:hAnsi="Verdana" w:cs="Verdana" w:eastAsia="Verdana"/>
          <w:sz w:val="24"/>
        </w:rPr>
        <w:t>Según lo establecido en el artículo 2.15.6.1.16 del Decreto 2555 de 2010, las sociedades administradoras de sistemas de cotización de valores del extranjero, así como el patrocinador que solicite el listado de dichos valores, deben notificar y divulgar a los inversionistas autorizados y al mercado en general, la decisión de suspensión de la negociación o de la cancelación del listado de valores extranjeros en los sistemas de cotización de valores del extranjero. Dicha notificación y divulgación debe realizarse de manera inmediata, en los siguientes términos:</w:t>
      </w:r>
    </w:p>
    <w:p>
      <w:pPr>
        <w:jc w:val="both"/>
      </w:pPr>
      <w:r>
        <w:rPr>
          <w:rFonts w:ascii="Verdana" w:hAnsi="Verdana" w:cs="Verdana" w:eastAsia="Verdana"/>
          <w:sz w:val="24"/>
        </w:rPr>
        <w:t>5.3.1. La notificación y divulgación debe realizarse en la página web del patrocinador, y a través de los medios de información al mercado establecidos por la sociedad administradora del sistema de cotización de valores del extranjero.</w:t>
      </w:r>
    </w:p>
    <w:p>
      <w:pPr>
        <w:jc w:val="both"/>
      </w:pPr>
      <w:r>
        <w:rPr>
          <w:rFonts w:ascii="Verdana" w:hAnsi="Verdana" w:cs="Verdana" w:eastAsia="Verdana"/>
          <w:sz w:val="24"/>
        </w:rPr>
        <w:t>5.3.2. En la notificación y divulgación debe indicarse de manera detallada la razón particular que motivó la suspensión o la cancelación, según sea el caso.</w:t>
      </w:r>
    </w:p>
    <w:p>
      <w:pPr>
        <w:jc w:val="both"/>
      </w:pPr>
      <w:r>
        <w:rPr>
          <w:rFonts w:ascii="Verdana" w:hAnsi="Verdana" w:cs="Verdana" w:eastAsia="Verdana"/>
          <w:sz w:val="24"/>
        </w:rPr>
        <w:t>5.3.3. Tratándose de suspensión se debe indicar el tiempo por el cual estará vigente la medida.</w:t>
        <w:cr/>
      </w:r>
    </w:p>
    <w:p>
      <w:pPr>
        <w:jc w:val="both"/>
      </w:pPr>
      <w:r>
        <w:rPr>
          <w:rFonts w:ascii="Verdana" w:hAnsi="Verdana" w:cs="Verdana" w:eastAsia="Verdana"/>
          <w:sz w:val="24"/>
        </w:rPr>
        <w:t>5.3.4. Para el caso de valores de renta variable cuyo listado o cancelación del registro en la bolsa de valores o sistema de negociación de valores del país de origen o de cotización principal se materialice a través de una Oferta Pública de Adquisición (OPA), en la notificación y divulgación se debe indicar los derechos de los inversionistas y las condiciones para que los inversionistas puedan participar en ésta.</w:t>
      </w:r>
    </w:p>
    <w:p>
      <w:pPr>
        <w:jc w:val="both"/>
      </w:pPr>
      <w:r>
        <w:rPr>
          <w:rFonts w:ascii="Verdana" w:hAnsi="Verdana" w:cs="Verdana" w:eastAsia="Verdana"/>
          <w:sz w:val="24"/>
        </w:rPr>
        <w:t>5.3.5. Tratándose de la cancelación del listado, la notificación y divulgación debe contener la advertencia de acuerdo con la cual, según el parágrafo 1 del artículo 2.15.6.1.9 del Decreto 2555 de 2010, los depósitos centralizados de valores locales pueden mantener la custodia del valor respectivo, siempre que los inversionistas estén legalmente autorizados para mantener la inversión directamente en los mercados internacionales.</w:t>
        <w:cr/>
      </w:r>
    </w:p>
    <w:p>
      <w:pPr>
        <w:jc w:val="left"/>
      </w:pPr>
      <w:r>
        <w:rPr>
          <w:rFonts w:ascii="Verdana" w:hAnsi="Verdana" w:cs="Verdana" w:eastAsia="Verdana"/>
          <w:sz w:val="24"/>
          <w:b w:val="on"/>
        </w:rPr>
        <w:t xml:space="preserve">6. Ejercicio de derechos sociales por parte de inversionistas extranjeros en valores locales, inscritos en RNVE, que estén anotados en cuenta sin desagregación a nivel de beneficiario final </w:t>
      </w:r>
    </w:p>
    <w:p>
      <w:pPr>
        <w:jc w:val="left"/>
      </w:pPr>
      <w:r>
        <w:rPr>
          <w:rFonts w:ascii="Verdana" w:hAnsi="Verdana" w:cs="Verdana" w:eastAsia="Verdana"/>
          <w:sz w:val="24"/>
          <w:b w:val="on"/>
        </w:rPr>
        <w:t>6.1. Definiciones</w:t>
      </w:r>
    </w:p>
    <w:p>
      <w:pPr>
        <w:jc w:val="both"/>
      </w:pPr>
      <w:r>
        <w:rPr>
          <w:rFonts w:ascii="Verdana" w:hAnsi="Verdana" w:cs="Verdana" w:eastAsia="Verdana"/>
          <w:sz w:val="24"/>
        </w:rPr>
        <w:t>Sin perjuicio de las definiciones previstas en la regulación cambiaria y tributaria, para los propósitos del presente Capítulo se entenderá por:</w:t>
      </w:r>
    </w:p>
    <w:p>
      <w:pPr>
        <w:jc w:val="both"/>
      </w:pPr>
      <w:r>
        <w:rPr>
          <w:rFonts w:ascii="Verdana" w:hAnsi="Verdana" w:cs="Verdana" w:eastAsia="Verdana"/>
          <w:sz w:val="24"/>
        </w:rPr>
        <w:t>6.1.1. Anotación en cuenta: es el registro electrónico de valores administrado por un depósito de valores local (colombiano), al cual hace referencia el artículo 12 de la Ley 964 del 2005 y los artículos 2.14.1.1.2 y siguientes y 2.15.6.2.5 del Decreto 2555 de 2010.</w:t>
        <w:cr/>
      </w:r>
    </w:p>
    <w:p>
      <w:pPr>
        <w:jc w:val="both"/>
      </w:pPr>
      <w:r>
        <w:rPr>
          <w:rFonts w:ascii="Verdana" w:hAnsi="Verdana" w:cs="Verdana" w:eastAsia="Verdana"/>
          <w:sz w:val="24"/>
        </w:rPr>
        <w:t>6.1.2. Cuenta sin desagregación a nivel de beneficiario final: es la cuenta en el depósito centralizado de valores local colombiano, cuyo titular es el depósito de valores extranjero o custodio global con el cual aquél haya suscrito un contrato de interconexión, en la que no se identifican los beneficiarios o inversionistas finales.</w:t>
      </w:r>
    </w:p>
    <w:p>
      <w:pPr>
        <w:jc w:val="both"/>
      </w:pPr>
      <w:r>
        <w:rPr>
          <w:rFonts w:ascii="Verdana" w:hAnsi="Verdana" w:cs="Verdana" w:eastAsia="Verdana"/>
          <w:sz w:val="24"/>
        </w:rPr>
        <w:t>6.1.3. Cuentas al detalle: corresponde a la administración desagregada de la posición de los valores locales por parte del depósito de valores extranjero o custodio global, en su sistema de registro, con información detallada a nivel de beneficiario o inversionista final. Esta cuenta reflejo es conciliable con las posiciones de valores registradas en la cuenta sin desagregación a nivel de beneficiario final que el depósito de valores extranjero, en calidad de depositante directo, tiene en el sistema de registro electrónico administrado por el depósito local.</w:t>
      </w:r>
    </w:p>
    <w:p>
      <w:pPr>
        <w:jc w:val="both"/>
      </w:pPr>
      <w:r>
        <w:rPr>
          <w:rFonts w:ascii="Verdana" w:hAnsi="Verdana" w:cs="Verdana" w:eastAsia="Verdana"/>
          <w:sz w:val="24"/>
        </w:rPr>
        <w:t>6.1.4. Custodio Global: es el custodio que proporciona a sus clientes servicios de custodia para valores que son negociados y liquidados no sólo en el país donde el custodio está ubicado, sino también en otros países.</w:t>
        <w:cr/>
      </w:r>
    </w:p>
    <w:p>
      <w:pPr>
        <w:jc w:val="both"/>
      </w:pPr>
      <w:r>
        <w:rPr>
          <w:rFonts w:ascii="Verdana" w:hAnsi="Verdana" w:cs="Verdana" w:eastAsia="Verdana"/>
          <w:sz w:val="24"/>
        </w:rPr>
        <w:t>6.1.5. Depositantes: son las personas naturales o jurídicas a nombre de las cuales se reciben, anotan o registran, de manera directa o indirecta, valores en el depósito de valores local o extranjero.</w:t>
        <w:cr/>
      </w:r>
    </w:p>
    <w:p>
      <w:pPr>
        <w:jc w:val="both"/>
      </w:pPr>
      <w:r>
        <w:rPr>
          <w:rFonts w:ascii="Verdana" w:hAnsi="Verdana" w:cs="Verdana" w:eastAsia="Verdana"/>
          <w:sz w:val="24"/>
        </w:rPr>
        <w:t xml:space="preserve">6.1.6. Depositantes directos: son las entidades que de acuerdo con el reglamento de operaciones y normatividad del país del depósito de valores local pueden acceder directamente a los servicios del depósito de valores, y que han suscrito un contrato de depósito de valores o de emisión, bien sea a nombre y por cuenta propia y/o en nombre y por cuenta de terceros. </w:t>
      </w:r>
    </w:p>
    <w:p>
      <w:pPr>
        <w:jc w:val="both"/>
      </w:pPr>
      <w:r>
        <w:rPr>
          <w:rFonts w:ascii="Verdana" w:hAnsi="Verdana" w:cs="Verdana" w:eastAsia="Verdana"/>
          <w:sz w:val="24"/>
        </w:rPr>
        <w:t>6.1.7. Depositantes indirectos o beneficiarios finales: son todas las personas jurídicas y naturales que no pueden acceder directamente a los servicios de los depósitos de valores locales, pero que en virtud de una relación contractual encomiendan a un depositante directo en los términos de las normas vigentes, la administración de recursos, valores y fondos, ante el depósito de valores local colombiano.</w:t>
      </w:r>
    </w:p>
    <w:p>
      <w:pPr>
        <w:jc w:val="both"/>
      </w:pPr>
      <w:r>
        <w:rPr>
          <w:rFonts w:ascii="Verdana" w:hAnsi="Verdana" w:cs="Verdana" w:eastAsia="Verdana"/>
          <w:sz w:val="24"/>
        </w:rPr>
        <w:t>6.1.8. Depósito centralizado de valores local: es la sociedad constituida en Colombia cuya actividad está regida por las leyes nacionales colombianas, y que se encuentra autorizada para la administración de la anotación en cuenta de valores locales, entre otros.</w:t>
      </w:r>
    </w:p>
    <w:p>
      <w:pPr>
        <w:jc w:val="both"/>
      </w:pPr>
      <w:r>
        <w:rPr>
          <w:rFonts w:ascii="Verdana" w:hAnsi="Verdana" w:cs="Verdana" w:eastAsia="Verdana"/>
          <w:sz w:val="24"/>
        </w:rPr>
        <w:t>6.1.9. Depósito de valores extranjero: es la entidad cuya constitución y actividad está regida por las leyes de un país extranjero y que tiene cuenta de depósito y administración en calidad de depositante directo en el depósito centralizado de valores local colombiano, sin desagregación a nivel de beneficiario final.</w:t>
      </w:r>
    </w:p>
    <w:p>
      <w:pPr>
        <w:jc w:val="both"/>
      </w:pPr>
      <w:r>
        <w:rPr>
          <w:rFonts w:ascii="Verdana" w:hAnsi="Verdana" w:cs="Verdana" w:eastAsia="Verdana"/>
          <w:sz w:val="24"/>
        </w:rPr>
        <w:t>6.1.10. Emisor local: cualquier persona jurídica, privada o pública, que sea residente en Colombia y cuya constitución, actividad y emisión de valores se encuentre inscrita en el Registro Nacional de Valores y Emisores (RNVE) y, por lo tanto, es regulada por las leyes colombianas.</w:t>
      </w:r>
    </w:p>
    <w:p>
      <w:pPr>
        <w:jc w:val="both"/>
      </w:pPr>
      <w:r>
        <w:rPr>
          <w:rFonts w:ascii="Verdana" w:hAnsi="Verdana" w:cs="Verdana" w:eastAsia="Verdana"/>
          <w:sz w:val="24"/>
        </w:rPr>
        <w:t xml:space="preserve">6.1.11. Inversionista extranjero: es toda persona natural o jurídica no residente en Colombia que adquiera valores locales, anotados en la cuenta sin desagregación a nivel de beneficiario final que el depósito de valores extranjero en calidad de depositante directo tiene abierto en el depósito de valores local. </w:t>
      </w:r>
    </w:p>
    <w:p>
      <w:pPr>
        <w:jc w:val="both"/>
      </w:pPr>
      <w:r>
        <w:rPr>
          <w:rFonts w:ascii="Verdana" w:hAnsi="Verdana" w:cs="Verdana" w:eastAsia="Verdana"/>
          <w:sz w:val="24"/>
        </w:rPr>
        <w:t>6.1.12. Representante: es la persona natural o jurídica que actúa como apoderada del inversionista extranjero, a través de la designación que para el efecto realiza el depósito centralizado de valores local para ejercer algunos o todos los derechos del inversionista extranjero en su nombre, en asamblea de accionistas de los emisores locales.</w:t>
      </w:r>
    </w:p>
    <w:p>
      <w:pPr>
        <w:jc w:val="both"/>
      </w:pPr>
      <w:r>
        <w:rPr>
          <w:rFonts w:ascii="Verdana" w:hAnsi="Verdana" w:cs="Verdana" w:eastAsia="Verdana"/>
          <w:sz w:val="24"/>
        </w:rPr>
        <w:t>6.1.13. Valores locales: las acciones o bonos convertibles en acciones emitidos por un emisor local (colombiano), bajo la regulación colombiana.</w:t>
      </w:r>
    </w:p>
    <w:p>
      <w:pPr>
        <w:jc w:val="left"/>
      </w:pPr>
      <w:r>
        <w:rPr>
          <w:rFonts w:ascii="Verdana" w:hAnsi="Verdana" w:cs="Verdana" w:eastAsia="Verdana"/>
          <w:sz w:val="24"/>
          <w:b w:val="on"/>
        </w:rPr>
        <w:t>6.2. Ejercicio de derechos sociales incorporados en valores locales por parte de inversionistas extranjeros</w:t>
      </w:r>
    </w:p>
    <w:p>
      <w:pPr>
        <w:jc w:val="both"/>
      </w:pPr>
      <w:r>
        <w:rPr>
          <w:rFonts w:ascii="Verdana" w:hAnsi="Verdana" w:cs="Verdana" w:eastAsia="Verdana"/>
          <w:sz w:val="24"/>
        </w:rPr>
        <w:t>Los inversionistas extranjeros pueden participar en las asambleas de accionistas que se realicen en territorio colombiano, atendiendo los siguientes requisitos:</w:t>
      </w:r>
    </w:p>
    <w:p>
      <w:pPr>
        <w:jc w:val="left"/>
      </w:pPr>
      <w:r>
        <w:rPr>
          <w:rFonts w:ascii="Verdana" w:hAnsi="Verdana" w:cs="Verdana" w:eastAsia="Verdana"/>
          <w:sz w:val="24"/>
          <w:b w:val="on"/>
        </w:rPr>
        <w:t>6.2.1. Convocatorias de asamblea.</w:t>
      </w:r>
    </w:p>
    <w:p>
      <w:pPr>
        <w:jc w:val="both"/>
      </w:pPr>
      <w:r>
        <w:rPr>
          <w:rFonts w:ascii="Verdana" w:hAnsi="Verdana" w:cs="Verdana" w:eastAsia="Verdana"/>
          <w:sz w:val="24"/>
        </w:rPr>
        <w:t>Conforme al artículo 2.14.4.1.7 del Decreto 2555 del 2010, los depósitos centralizados de valores locales deben garantizar el ejercicio de los derechos sociales relativos a los valores locales de inversionistas extranjeros. En tal sentido, sin perjuicio de que el inversionista pueda consultar la información de manera directa en el Registro Nacional de Valores y Emisores (RNVE), el depósito centralizado de valores local debe informar a través de correo electrónico dirigido al representante legal del depósito de valores extranjero, por lo menos lo siguiente:</w:t>
      </w:r>
    </w:p>
    <w:p>
      <w:pPr>
        <w:jc w:val="both"/>
      </w:pPr>
      <w:r>
        <w:rPr>
          <w:rFonts w:ascii="Verdana" w:hAnsi="Verdana" w:cs="Verdana" w:eastAsia="Verdana"/>
          <w:sz w:val="24"/>
        </w:rPr>
        <w:t>6.2.1.1. Nombre de la sociedad.</w:t>
        <w:cr/>
      </w:r>
    </w:p>
    <w:p>
      <w:pPr>
        <w:jc w:val="both"/>
      </w:pPr>
      <w:r>
        <w:rPr>
          <w:rFonts w:ascii="Verdana" w:hAnsi="Verdana" w:cs="Verdana" w:eastAsia="Verdana"/>
          <w:sz w:val="24"/>
        </w:rPr>
        <w:t>6.2.1.2. Título que indique el tipo de asamblea que se llevará a cabo.</w:t>
        <w:cr/>
      </w:r>
    </w:p>
    <w:p>
      <w:pPr>
        <w:jc w:val="both"/>
      </w:pPr>
      <w:r>
        <w:rPr>
          <w:rFonts w:ascii="Verdana" w:hAnsi="Verdana" w:cs="Verdana" w:eastAsia="Verdana"/>
          <w:sz w:val="24"/>
        </w:rPr>
        <w:t>6.2.1.3. Fecha.</w:t>
        <w:cr/>
      </w:r>
    </w:p>
    <w:p>
      <w:pPr>
        <w:jc w:val="both"/>
      </w:pPr>
      <w:r>
        <w:rPr>
          <w:rFonts w:ascii="Verdana" w:hAnsi="Verdana" w:cs="Verdana" w:eastAsia="Verdana"/>
          <w:sz w:val="24"/>
        </w:rPr>
        <w:t>6.2.1.4. Hora.</w:t>
        <w:cr/>
      </w:r>
    </w:p>
    <w:p>
      <w:pPr>
        <w:jc w:val="both"/>
      </w:pPr>
      <w:r>
        <w:rPr>
          <w:rFonts w:ascii="Verdana" w:hAnsi="Verdana" w:cs="Verdana" w:eastAsia="Verdana"/>
          <w:sz w:val="24"/>
        </w:rPr>
        <w:t>6.2.1.5. Ciudad.</w:t>
        <w:cr/>
      </w:r>
    </w:p>
    <w:p>
      <w:pPr>
        <w:jc w:val="both"/>
      </w:pPr>
      <w:r>
        <w:rPr>
          <w:rFonts w:ascii="Verdana" w:hAnsi="Verdana" w:cs="Verdana" w:eastAsia="Verdana"/>
          <w:sz w:val="24"/>
        </w:rPr>
        <w:t>6.2.1.6. Dirección del sitio específico donde se celebrará la reunión, indicando si es del caso, el nombre del salón correspondiente.</w:t>
      </w:r>
    </w:p>
    <w:p>
      <w:pPr>
        <w:jc w:val="both"/>
      </w:pPr>
      <w:r>
        <w:rPr>
          <w:rFonts w:ascii="Verdana" w:hAnsi="Verdana" w:cs="Verdana" w:eastAsia="Verdana"/>
          <w:sz w:val="24"/>
        </w:rPr>
        <w:t>6.2.1.7. Orden del día.</w:t>
        <w:cr/>
      </w:r>
    </w:p>
    <w:p>
      <w:pPr>
        <w:jc w:val="both"/>
      </w:pPr>
      <w:r>
        <w:rPr>
          <w:rFonts w:ascii="Verdana" w:hAnsi="Verdana" w:cs="Verdana" w:eastAsia="Verdana"/>
          <w:sz w:val="24"/>
        </w:rPr>
        <w:t>6.2.1.8. Información necesaria para la toma de decisiones.</w:t>
      </w:r>
    </w:p>
    <w:p>
      <w:pPr>
        <w:jc w:val="both"/>
      </w:pPr>
      <w:r>
        <w:rPr>
          <w:rFonts w:ascii="Verdana" w:hAnsi="Verdana" w:cs="Verdana" w:eastAsia="Verdana"/>
          <w:sz w:val="24"/>
        </w:rPr>
        <w:t>6.2.1.9. Los formatos para expresar la intención de voto de los inversionistas extranjeros.</w:t>
        <w:cr/>
      </w:r>
    </w:p>
    <w:p>
      <w:pPr>
        <w:jc w:val="both"/>
      </w:pPr>
      <w:r>
        <w:rPr>
          <w:rFonts w:ascii="Verdana" w:hAnsi="Verdana" w:cs="Verdana" w:eastAsia="Verdana"/>
          <w:sz w:val="24"/>
        </w:rPr>
        <w:t xml:space="preserve">6.2.1.10. Los formatos para otorgar poder para representación en Colombia de los inversionistas extranjeros, de conformidad con los requisitos establecidos en los artículos 184 y 185 del Código de Comercio. </w:t>
        <w:cr/>
      </w:r>
    </w:p>
    <w:p>
      <w:pPr>
        <w:jc w:val="both"/>
      </w:pPr>
      <w:r>
        <w:rPr>
          <w:rFonts w:ascii="Verdana" w:hAnsi="Verdana" w:cs="Verdana" w:eastAsia="Verdana"/>
          <w:sz w:val="24"/>
        </w:rPr>
        <w:t>6.2.1.11. El procedimiento para la realización y participación en la asamblea no presencial siempre que este mecanismo se encuentre contemplado y permitido en los estatutos del emisor, y siempre que el medio técnico empleado para llevar a cabo la comunicación a distancia permita probar las deliberaciones realizadas y las decisiones tomadas mediante los mecanismos adoptados.</w:t>
      </w:r>
    </w:p>
    <w:p>
      <w:pPr>
        <w:jc w:val="left"/>
      </w:pPr>
      <w:r>
        <w:rPr>
          <w:rFonts w:ascii="Verdana" w:hAnsi="Verdana" w:cs="Verdana" w:eastAsia="Verdana"/>
          <w:sz w:val="24"/>
          <w:b w:val="on"/>
        </w:rPr>
        <w:t xml:space="preserve">6.2.2. Certificado de legitimación de propiedad de inversionistas extranjeros sobre valores locales. </w:t>
      </w:r>
    </w:p>
    <w:p>
      <w:pPr>
        <w:jc w:val="both"/>
      </w:pPr>
      <w:r>
        <w:rPr>
          <w:rFonts w:ascii="Verdana" w:hAnsi="Verdana" w:cs="Verdana" w:eastAsia="Verdana"/>
          <w:sz w:val="24"/>
        </w:rPr>
        <w:t>La propiedad de los inversionistas extranjeros sobre los valores locales anotados en cuentas sin desagregación a nivel de beneficiario final en el depósito de valores local se debe probar de modo necesario y suficiente mediante certificado expedido por el depósito de valores extranjero conforme a los asientos del registro electrónico que aparezca en las respectivas cuentas al detalle. En estos términos, los emisores</w:t>
      </w:r>
      <w:r>
        <w:rPr>
          <w:rFonts w:ascii="Verdana" w:hAnsi="Verdana" w:cs="Verdana" w:eastAsia="Verdana"/>
          <w:sz w:val="24"/>
        </w:rPr>
        <w:t xml:space="preserve"> </w:t>
      </w:r>
      <w:r>
        <w:rPr>
          <w:rFonts w:ascii="Verdana" w:hAnsi="Verdana" w:cs="Verdana" w:eastAsia="Verdana"/>
          <w:sz w:val="24"/>
        </w:rPr>
        <w:t>locales deben tener en cuenta los certificados de legitimación de propiedad de inversionistas extranjeros sobre valores locales para la actualización del libro de accionistas con base en el cual se lleve a cabo la correspondiente asamblea.</w:t>
      </w:r>
      <w:r>
        <w:rPr>
          <w:rFonts w:ascii="Verdana" w:hAnsi="Verdana" w:cs="Verdana" w:eastAsia="Verdana"/>
          <w:sz w:val="24"/>
        </w:rPr>
        <w:t xml:space="preserve">Este certificado es válido para ejercer los derechos sociales relativos al valor local del inversionista extranjero anotado en cuenta sin desagregación a nivel de beneficiario final en el depósito de valores local, en los términos de los artículos 2.14.4.1.1, 2.14.4.1.2, 2.14.4.1.3 y 2.14.4.1.6 del Decreto 2555 del 2010. </w:t>
      </w:r>
      <w:r>
        <w:rPr>
          <w:rFonts w:ascii="Verdana" w:hAnsi="Verdana" w:cs="Verdana" w:eastAsia="Verdana"/>
          <w:sz w:val="24"/>
        </w:rPr>
        <w:t>Estos certificados pueden ser expedidos por el depósito de valores extranjero en una de dos modalidades:</w:t>
      </w:r>
    </w:p>
    <w:p>
      <w:pPr>
        <w:jc w:val="both"/>
      </w:pPr>
      <w:r>
        <w:rPr>
          <w:rFonts w:ascii="Verdana" w:hAnsi="Verdana" w:cs="Verdana" w:eastAsia="Verdana"/>
          <w:sz w:val="24"/>
        </w:rPr>
        <w:t>6.2.2.1. Certificados colectivos: documento que contiene la lista de inversionistas extranjeros que están legitimados por el depósito extranjero como propietarios de valores locales y, por tanto, para ejercer los derechos correspondientes ante el emisor local.</w:t>
      </w:r>
    </w:p>
    <w:p>
      <w:pPr>
        <w:jc w:val="both"/>
      </w:pPr>
      <w:r>
        <w:rPr>
          <w:rFonts w:ascii="Verdana" w:hAnsi="Verdana" w:cs="Verdana" w:eastAsia="Verdana"/>
          <w:sz w:val="24"/>
        </w:rPr>
        <w:t>6.2.2.2. Certificados individuales: documento que identifica particularmente a un inversionista extranjero como propietario de valores locales y lo legitima ante el emisor local para ejercer los derechos correspondientes.</w:t>
      </w:r>
      <w:r>
        <w:rPr>
          <w:rFonts w:ascii="Verdana" w:hAnsi="Verdana" w:cs="Verdana" w:eastAsia="Verdana"/>
          <w:sz w:val="24"/>
        </w:rPr>
        <w:t>Los certificados (colectivos o individuales) expedidos por el depósito de valores extranjero deben contener, por lo menos, información de 3 días hábiles bursátiles anteriores a la fecha de celebración de la asamblea que tenga lugar en Colombia. Adicionalmente, las personas allí mencionadas son las habilitadas para participar en la asamblea.</w:t>
      </w:r>
      <w:r>
        <w:rPr>
          <w:rFonts w:ascii="Verdana" w:hAnsi="Verdana" w:cs="Verdana" w:eastAsia="Verdana"/>
          <w:sz w:val="24"/>
        </w:rPr>
        <w:t>En todo caso, el depósito centralizado de valores local debe remitir al emisor local, a más tardar el día hábil anterior a la fecha en la que se celebrará la asamblea, la información relacionada con los inversionistas extranjeros cuya certificación de legitimación de propiedad fue expedida por los depósitos de valores extranjeros.</w:t>
      </w:r>
    </w:p>
    <w:p>
      <w:pPr>
        <w:jc w:val="left"/>
      </w:pPr>
      <w:r>
        <w:rPr>
          <w:rFonts w:ascii="Verdana" w:hAnsi="Verdana" w:cs="Verdana" w:eastAsia="Verdana"/>
          <w:sz w:val="24"/>
          <w:b w:val="on"/>
        </w:rPr>
        <w:t>6.2.3. Participación y votación</w:t>
      </w:r>
    </w:p>
    <w:p>
      <w:pPr>
        <w:jc w:val="both"/>
      </w:pPr>
      <w:r>
        <w:rPr>
          <w:rFonts w:ascii="Verdana" w:hAnsi="Verdana" w:cs="Verdana" w:eastAsia="Verdana"/>
          <w:sz w:val="24"/>
        </w:rPr>
        <w:t>6.2.3.1. Modalidades de participación: la participación de los inversionistas extranjeros en las asambleas de los emisores locales puede llevarse a cabo por alguna de las siguientes modalidades, las cuales son excluyentes:</w:t>
        <w:cr/>
      </w:r>
    </w:p>
    <w:p>
      <w:pPr>
        <w:jc w:val="both"/>
      </w:pPr>
      <w:r>
        <w:rPr>
          <w:rFonts w:ascii="Verdana" w:hAnsi="Verdana" w:cs="Verdana" w:eastAsia="Verdana"/>
          <w:sz w:val="24"/>
        </w:rPr>
        <w:t>6.2.3.1.1. Participación directa</w:t>
      </w:r>
      <w:r>
        <w:rPr>
          <w:rFonts w:ascii="Verdana" w:hAnsi="Verdana" w:cs="Verdana" w:eastAsia="Verdana"/>
          <w:sz w:val="24"/>
        </w:rPr>
        <w:t>.</w:t>
      </w:r>
      <w:r>
        <w:rPr>
          <w:rFonts w:ascii="Verdana" w:hAnsi="Verdana" w:cs="Verdana" w:eastAsia="Verdana"/>
          <w:sz w:val="24"/>
        </w:rPr>
        <w:t xml:space="preserve"> El inversionista extranjero que quiera hacerse presente en la asamblea realizada en Colombia debe presentar antes de la celebración de la misma, el certificado de legitimación de propiedad sobre valores locales colombianos, expedido por el depósito de valores extranjero en el cual tenga abierta cuenta de depositante indirecto.</w:t>
      </w:r>
    </w:p>
    <w:p>
      <w:pPr>
        <w:jc w:val="both"/>
      </w:pPr>
      <w:r>
        <w:rPr>
          <w:rFonts w:ascii="Verdana" w:hAnsi="Verdana" w:cs="Verdana" w:eastAsia="Verdana"/>
          <w:sz w:val="24"/>
        </w:rPr>
        <w:t>6.2.3.1.2. Participación indirecta y representación.</w:t>
      </w:r>
      <w:r>
        <w:rPr>
          <w:rFonts w:ascii="Verdana" w:hAnsi="Verdana" w:cs="Verdana" w:eastAsia="Verdana"/>
          <w:sz w:val="24"/>
        </w:rPr>
        <w:t xml:space="preserve"> </w:t>
      </w:r>
      <w:r>
        <w:rPr>
          <w:rFonts w:ascii="Verdana" w:hAnsi="Verdana" w:cs="Verdana" w:eastAsia="Verdana"/>
          <w:sz w:val="24"/>
        </w:rPr>
        <w:t>El depósito extranjero, como depositante directo ante el depósito de valores local, recibe y canaliza a través de los mecanismos que determine, las intenciones de voto de los inversionistas extranjeros para que sean ejercidos en la asamblea de accionistas del emisor local en territorio colombiano, a través del representante o apoderado designado por el depósito de valores local. Para tal efecto, el depósito extranjero puede expedir un certificado colectivo.</w:t>
      </w:r>
      <w:r>
        <w:rPr>
          <w:rFonts w:ascii="Verdana" w:hAnsi="Verdana" w:cs="Verdana" w:eastAsia="Verdana"/>
          <w:sz w:val="24"/>
        </w:rPr>
        <w:t>El depósito de valores local debe procurar que el apoderado designado para representar a los inversionistas extranjeros cuente con la idoneidad necesaria y debe garantizar que el poder que a él se otorgue por parte del depósito de valores extranjero, sea válido conforme a la normatividad colombiana sobre representación de terceros.</w:t>
      </w:r>
    </w:p>
    <w:p>
      <w:pPr>
        <w:jc w:val="both"/>
      </w:pPr>
      <w:r>
        <w:rPr>
          <w:rFonts w:ascii="Verdana" w:hAnsi="Verdana" w:cs="Verdana" w:eastAsia="Verdana"/>
          <w:sz w:val="24"/>
        </w:rPr>
        <w:t>6.2.3.2. Obligaciones del emisor y del depósito de valores local para garantizar la participación indirecta de los inversionistas extranjeros por representación. El emisor local debe suministrar al depósito centralizado de valores local la información de que trata el subnumeral 6.2.1 del presente Capítulo y, de manera simultánea, la publicación que realice de la convocatoria a la asamblea de accionistas, a través del Sistema de Información del Mercado de Valores (SIMEV) administrado por la SFC, de conformidad con</w:t>
      </w:r>
      <w:r>
        <w:rPr>
          <w:rFonts w:ascii="Verdana" w:hAnsi="Verdana" w:cs="Verdana" w:eastAsia="Verdana"/>
          <w:sz w:val="24"/>
        </w:rPr>
        <w:t xml:space="preserve"> </w:t>
      </w:r>
      <w:r>
        <w:rPr>
          <w:rFonts w:ascii="Verdana" w:hAnsi="Verdana" w:cs="Verdana" w:eastAsia="Verdana"/>
          <w:sz w:val="24"/>
        </w:rPr>
        <w:t>el Título 4 del Libro 2 de la Parte 5 del Decreto 2555 de 2010.</w:t>
      </w:r>
      <w:r>
        <w:rPr>
          <w:rFonts w:ascii="Verdana" w:hAnsi="Verdana" w:cs="Verdana" w:eastAsia="Verdana"/>
          <w:sz w:val="24"/>
        </w:rPr>
        <w:t>El depósito de valores local, a partir de la información remitida por el emisor local y considerando la fecha en la cual se llevará a cabo la respectiva asamblea, debe diseñar un cronograma para la obtención y canalización de las intenciones de voto de los inversionistas extranjeros, a través del depósito extranjero. Dicho cronograma debe prever al menos las siguientes fechas:</w:t>
      </w:r>
    </w:p>
    <w:p>
      <w:pPr>
        <w:jc w:val="both"/>
      </w:pPr>
      <w:r>
        <w:rPr>
          <w:rFonts w:ascii="Verdana" w:hAnsi="Verdana" w:cs="Verdana" w:eastAsia="Verdana"/>
          <w:sz w:val="24"/>
        </w:rPr>
        <w:t>6.2.3.2.1. Fecha de remisión del formato y del instructivo que el depósito de valores local hará llegar al depósito de valores extranjero, en su calidad de depositante directo, para que recolecte las intenciones de voto de los inversionistas extranjeros.</w:t>
        <w:cr/>
      </w:r>
    </w:p>
    <w:p>
      <w:pPr>
        <w:jc w:val="both"/>
      </w:pPr>
      <w:r>
        <w:rPr>
          <w:rFonts w:ascii="Verdana" w:hAnsi="Verdana" w:cs="Verdana" w:eastAsia="Verdana"/>
          <w:sz w:val="24"/>
        </w:rPr>
        <w:t>6.2.3.2.2. Término y fecha límite para que el depósito de valores extranjero remita los formatos diligenciados por los inversionistas extranjeros y una tabulación consolidada de las intenciones de voto en el formato que el depósito de valores local disponga para el efecto.</w:t>
      </w:r>
    </w:p>
    <w:p>
      <w:pPr>
        <w:jc w:val="both"/>
      </w:pPr>
      <w:r>
        <w:rPr>
          <w:rFonts w:ascii="Verdana" w:hAnsi="Verdana" w:cs="Verdana" w:eastAsia="Verdana"/>
          <w:sz w:val="24"/>
        </w:rPr>
        <w:t>6.2.3.2.3. Fecha límite para que el depósito de valores local consolide la información de las intenciones de voto recibidas de los inversionistas extranjeros y se la transmita al emisor local y al representante de los inversionistas extranjeros.</w:t>
      </w:r>
    </w:p>
    <w:p>
      <w:pPr>
        <w:jc w:val="both"/>
      </w:pPr>
      <w:r>
        <w:rPr>
          <w:rFonts w:ascii="Verdana" w:hAnsi="Verdana" w:cs="Verdana" w:eastAsia="Verdana"/>
          <w:sz w:val="24"/>
        </w:rPr>
        <w:t>6.2.3.2.4. Votación en asamblea de inversionistas (accionistas) de valores locales. El depósito de valores local debe exigir que los depósitos de valores extranjeros con cuenta sin desagregación a nivel de beneficiario final de depositantes directos en depósito local envíen, con corte de las 24 horas del día anterior de la asamblea (ordinaria o extraordinaria), la información al detalle de inversionistas extranjeros (depositantes indirectos del depósito de valores extranjero) al depósito de valores local para que se haga la votación.</w:t>
      </w:r>
    </w:p>
    <w:p>
      <w:pPr>
        <w:jc w:val="left"/>
      </w:pPr>
      <w:r>
        <w:rPr>
          <w:rFonts w:ascii="Verdana" w:hAnsi="Verdana" w:cs="Verdana" w:eastAsia="Verdana"/>
          <w:sz w:val="24"/>
          <w:b w:val="on"/>
        </w:rPr>
        <w:t>6.2.4. Información a los inversionistas extranjeros</w:t>
      </w:r>
    </w:p>
    <w:p>
      <w:pPr>
        <w:jc w:val="both"/>
      </w:pPr>
      <w:r>
        <w:rPr>
          <w:rFonts w:ascii="Verdana" w:hAnsi="Verdana" w:cs="Verdana" w:eastAsia="Verdana"/>
          <w:sz w:val="24"/>
        </w:rPr>
        <w:t>El representante o apoderado designado por el depósito de valores local, una vez celebrada la asamblea de accionistas del emisor local, debe remitir al depósito de valores local por correo electrónico la siguiente información:</w:t>
      </w:r>
    </w:p>
    <w:p>
      <w:pPr>
        <w:jc w:val="both"/>
      </w:pPr>
      <w:r>
        <w:rPr>
          <w:rFonts w:ascii="Verdana" w:hAnsi="Verdana" w:cs="Verdana" w:eastAsia="Verdana"/>
          <w:sz w:val="24"/>
        </w:rPr>
        <w:t>6.2.4.1. Los votos emitidos en cada punto sometido a decisión, es decir, los votos a favor, en contra o en blanco respecto a cada una de las propuestas.</w:t>
      </w:r>
    </w:p>
    <w:p>
      <w:pPr>
        <w:jc w:val="both"/>
      </w:pPr>
      <w:r>
        <w:rPr>
          <w:rFonts w:ascii="Verdana" w:hAnsi="Verdana" w:cs="Verdana" w:eastAsia="Verdana"/>
          <w:sz w:val="24"/>
        </w:rPr>
        <w:t>6.2.4.2. Las decisiones aprobadas y rechazadas por la mayoría establecida legal o estatutariamente.</w:t>
      </w:r>
    </w:p>
    <w:p>
      <w:pPr>
        <w:jc w:val="both"/>
      </w:pPr>
      <w:r>
        <w:rPr>
          <w:rFonts w:ascii="Verdana" w:hAnsi="Verdana" w:cs="Verdana" w:eastAsia="Verdana"/>
          <w:sz w:val="24"/>
        </w:rPr>
        <w:t>6.2.4.3. Las designaciones de cargos efectuadas.</w:t>
        <w:cr/>
      </w:r>
    </w:p>
    <w:p>
      <w:pPr>
        <w:jc w:val="both"/>
      </w:pPr>
      <w:r>
        <w:rPr>
          <w:rFonts w:ascii="Verdana" w:hAnsi="Verdana" w:cs="Verdana" w:eastAsia="Verdana"/>
          <w:sz w:val="24"/>
        </w:rPr>
        <w:t>6.2.4.4. Si en la respectiva sesión se ha sometido a consideración de los accionistas un proyecto de fusión, escisión, transformación de la compañía o la cancelación de los títulos para su negociación en bolsa de valores, debe relacionarse el nombre de las personas que votaron en contra de la determinación, para efectos de permitir el ejercicio del derecho de retiro por parte de los inversionistas.</w:t>
      </w:r>
    </w:p>
    <w:p>
      <w:pPr>
        <w:jc w:val="both"/>
      </w:pPr>
      <w:r>
        <w:rPr>
          <w:rFonts w:ascii="Verdana" w:hAnsi="Verdana" w:cs="Verdana" w:eastAsia="Verdana"/>
          <w:sz w:val="24"/>
        </w:rPr>
        <w:t>6.2.4.5. La fecha hora y lugar de la clausura de la asamblea.</w:t>
      </w:r>
      <w:r>
        <w:rPr>
          <w:rFonts w:ascii="Verdana" w:hAnsi="Verdana" w:cs="Verdana" w:eastAsia="Verdana"/>
          <w:sz w:val="24"/>
        </w:rPr>
        <w:t>Al día hábil siguiente, el depósito de valores local debe remitir por correo electrónico esta información al depósito de valores extranjero con el objeto de que este a su vez la haga conocer a los inversionistas extranjeros que han sido representados en la asamblea.</w:t>
      </w:r>
    </w:p>
    <w:p>
      <w:pPr>
        <w:jc w:val="left"/>
      </w:pPr>
      <w:r>
        <w:rPr>
          <w:rFonts w:ascii="Verdana" w:hAnsi="Verdana" w:cs="Verdana" w:eastAsia="Verdana"/>
          <w:sz w:val="24"/>
          <w:b w:val="on"/>
        </w:rPr>
        <w:t>7. Reconocimiento de jurisdicciones, mercados y/o entidades aceptables a juicio de la Superintendencia Financiera de Colombia</w:t>
      </w:r>
    </w:p>
    <w:p>
      <w:pPr>
        <w:jc w:val="left"/>
      </w:pPr>
      <w:r>
        <w:rPr>
          <w:rFonts w:ascii="Verdana" w:hAnsi="Verdana" w:cs="Verdana" w:eastAsia="Verdana"/>
          <w:sz w:val="24"/>
          <w:b w:val="on"/>
        </w:rPr>
        <w:t>7.1. Oferta pública</w:t>
      </w:r>
    </w:p>
    <w:p>
      <w:pPr>
        <w:jc w:val="both"/>
      </w:pPr>
      <w:r>
        <w:rPr>
          <w:rFonts w:ascii="Verdana" w:hAnsi="Verdana" w:cs="Verdana" w:eastAsia="Verdana"/>
          <w:sz w:val="24"/>
        </w:rPr>
        <w:t>Para efectos de lo dispuesto en el numeral 5 del artículo 6.11.1.1.1 del Decreto 2555 de 2010, se entienden que son jurisdicciones aceptables las que cumplan alguna de las siguientes condiciones:</w:t>
      </w:r>
    </w:p>
    <w:p>
      <w:pPr>
        <w:jc w:val="both"/>
      </w:pPr>
      <w:r>
        <w:rPr>
          <w:rFonts w:ascii="Verdana" w:hAnsi="Verdana" w:cs="Verdana" w:eastAsia="Verdana"/>
          <w:sz w:val="24"/>
        </w:rPr>
        <w:t>7.1.1. Aquellos países en los cuales una entidad vigilada por esta Superintendencia tenga una inversión directa debidamente autorizada.</w:t>
      </w:r>
    </w:p>
    <w:p>
      <w:pPr>
        <w:jc w:val="both"/>
      </w:pPr>
      <w:r>
        <w:rPr>
          <w:rFonts w:ascii="Verdana" w:hAnsi="Verdana" w:cs="Verdana" w:eastAsia="Verdana"/>
          <w:sz w:val="24"/>
        </w:rPr>
        <w:t xml:space="preserve">7.1.2. Aquellos países cuyos organismos de supervisión hayan suscrito memorandos de entendimiento para intercambio de información con esta Superintendencia. </w:t>
        <w:cr/>
      </w:r>
    </w:p>
    <w:p>
      <w:pPr>
        <w:jc w:val="both"/>
      </w:pPr>
      <w:r>
        <w:rPr>
          <w:rFonts w:ascii="Verdana" w:hAnsi="Verdana" w:cs="Verdana" w:eastAsia="Verdana"/>
          <w:sz w:val="24"/>
        </w:rPr>
        <w:t>7.1.3. Aquellos países que la SFC reconozca como tal dentro del trámite de autorización de la oferta pública.</w:t>
        <w:cr/>
      </w:r>
    </w:p>
    <w:p>
      <w:pPr>
        <w:jc w:val="left"/>
      </w:pPr>
      <w:r>
        <w:rPr>
          <w:rFonts w:ascii="Verdana" w:hAnsi="Verdana" w:cs="Verdana" w:eastAsia="Verdana"/>
          <w:sz w:val="24"/>
          <w:b w:val="on"/>
        </w:rPr>
        <w:t>7.2. Reconocimiento de Entidades de Contrapartida Central (ECC) extranjeras</w:t>
      </w:r>
    </w:p>
    <w:p>
      <w:pPr>
        <w:jc w:val="both"/>
      </w:pPr>
      <w:r>
        <w:rPr>
          <w:rFonts w:ascii="Verdana" w:hAnsi="Verdana" w:cs="Verdana" w:eastAsia="Verdana"/>
          <w:sz w:val="24"/>
        </w:rPr>
        <w:t>La SFC reconocerá como equivalentes las ECC extranjeras que cumplan los siguientes requisitos:</w:t>
      </w:r>
    </w:p>
    <w:p>
      <w:pPr>
        <w:jc w:val="both"/>
      </w:pPr>
      <w:r>
        <w:rPr>
          <w:rFonts w:ascii="Verdana" w:hAnsi="Verdana" w:cs="Verdana" w:eastAsia="Verdana"/>
          <w:sz w:val="24"/>
        </w:rPr>
        <w:t xml:space="preserve">7.2.1. Que se encuentren constituidas como una ECC en el extranjero. </w:t>
        <w:cr/>
      </w:r>
    </w:p>
    <w:p>
      <w:pPr>
        <w:jc w:val="both"/>
      </w:pPr>
      <w:r>
        <w:rPr>
          <w:rFonts w:ascii="Verdana" w:hAnsi="Verdana" w:cs="Verdana" w:eastAsia="Verdana"/>
          <w:sz w:val="24"/>
        </w:rPr>
        <w:t>7.2.2. Que desarrollen su actividad atendiendo el marco jurídico de una jurisdicción en la cual la SFC considera que incorpora los Principios aplicables a las Infraestructuras de los Mercados Financieros (PFMI, por sus siglas en inglés) establecidos por el Comité de Pagos e Infraestructuras del Mercado (CPMI por sus siglas en inglés) del Banco de Pagos Internacionales (BIS por sus siglas en inglés) y la Organización Internacional de Comisiones de Valores (IOSCO por sus siglas en inglés), y que cumplen los PFMI que resultan aplicables a las ECC.</w:t>
      </w:r>
    </w:p>
    <w:p>
      <w:pPr>
        <w:jc w:val="both"/>
      </w:pPr>
      <w:r>
        <w:rPr>
          <w:rFonts w:ascii="Verdana" w:hAnsi="Verdana" w:cs="Verdana" w:eastAsia="Verdana"/>
          <w:sz w:val="24"/>
        </w:rPr>
        <w:t>7.2.3. Que se encuentren sujetas a una supervisión efectiva por parte de un supervisor extranjero que: i) haya suscrito un acuerdo de cooperación con la SFC, ii) se encuentre relacionado en el Anexo I:</w:t>
      </w:r>
      <w:r>
        <w:rPr>
          <w:rFonts w:ascii="Verdana" w:hAnsi="Verdana" w:cs="Verdana" w:eastAsia="Verdana"/>
          <w:sz w:val="24"/>
        </w:rPr>
        <w:t xml:space="preserve"> Members of the CPSS-IOSCO review of standards</w:t>
      </w:r>
      <w:r>
        <w:rPr>
          <w:rFonts w:ascii="Verdana" w:hAnsi="Verdana" w:cs="Verdana" w:eastAsia="Verdana"/>
          <w:sz w:val="24"/>
        </w:rPr>
        <w:t xml:space="preserve"> de los PFMI, o iii) haya suscrito el Acuerdo Multilateral de Entendimiento sobre Consulta, Cooperación e Intercambio de Información de IOSCO. </w:t>
      </w:r>
      <w:r>
        <w:rPr>
          <w:rFonts w:ascii="Verdana" w:hAnsi="Verdana" w:cs="Verdana" w:eastAsia="Verdana"/>
          <w:sz w:val="24"/>
        </w:rPr>
        <w:t>La SFC verificará el cumplimiento de los requisitos señalados anteriormente por parte de aquellas ECC reconocidas como equivalentes, y publicará el listado respectivo en su página web.</w:t>
      </w:r>
    </w:p>
    <w:p>
      <w:pPr>
        <w:jc w:val="left"/>
      </w:pPr>
      <w:r>
        <w:rPr>
          <w:rFonts w:ascii="Verdana" w:hAnsi="Verdana" w:cs="Verdana" w:eastAsia="Verdana"/>
          <w:sz w:val="24"/>
          <w:b w:val="on"/>
        </w:rPr>
        <w:t>7.3. Regímenes de inversión de las reservas técnicas de las entidades aseguradoras y sociedades de capitalización, de los recursos de los fondos de pensiones obligatorias, y de los recursos del Fondo Nacional de Pensiones de las Entidades Territoriales (FONPET) y otros patrimonios autónomos públicos destinados a la garantía y pago de pensiones.</w:t>
      </w:r>
    </w:p>
    <w:p>
      <w:pPr>
        <w:jc w:val="both"/>
      </w:pPr>
      <w:r>
        <w:rPr>
          <w:rFonts w:ascii="Verdana" w:hAnsi="Verdana" w:cs="Verdana" w:eastAsia="Verdana"/>
          <w:sz w:val="24"/>
        </w:rPr>
        <w:t>Para efectos de lo dispuesto en los subnumerales 3.4.1. y 3.4.2. del artículo 2.31.3.1.2. y en los subnumerales 3.5.1. y 3.5.2. del artículo 2.6.12.1.2.del Decreto 2555 de 2010, se consideran como cámaras de riesgo central de contraparte extranjeras reconocidas por la SFC para la negociación de instrumentos financieros derivados y productos estructurados, tanto con fines de cobertura como con fines de inversión, aquellas cámaras reconocidas como equivalentes en los términos del subnumeral 7.2. del presente Capítulo, y que sean publicadas en la página web de esta Superintendencia.</w:t>
      </w:r>
      <w:r>
        <w:rPr>
          <w:rFonts w:ascii="Verdana" w:hAnsi="Verdana" w:cs="Verdana" w:eastAsia="Verdana"/>
          <w:sz w:val="24"/>
        </w:rPr>
        <w:t>En esta misma página se encuentran los sistemas de información de precios de que trata el literal b del subnumeral 3.4.2. del artículo 2.31.3.1.2. y literal b del subnumeral 3.5.2. del artículo 2.6.12.1.2. del Decreto 2555 de 2010.</w:t>
      </w:r>
      <w:r>
        <w:rPr>
          <w:rFonts w:ascii="Verdana" w:hAnsi="Verdana" w:cs="Verdana" w:eastAsia="Verdana"/>
          <w:sz w:val="24"/>
        </w:rPr>
        <w:t>Las bolsas y entidades de que tratan los literales g del numeral 7 del parágrafo del artículo 2.31.3.1.2 y el literal g del numeral 7 del parágrafo del artículo 2.6.12.1.2  del Decreto 2555 de 2010, así como las bolsas de valores en las que se podrán transar las inversiones descritas en los subnumerales 2.6.2 del artículo 2.31.3.1.2 y 2.6.2 del artículo 2.6.12.1.2 para los fines previstos en los artículos 2.31.3.1.19 y 2.6.12.1.16 del Decreto 2555 de 2010 y el artículo 2.12.3.19.10 del Decreto 1068 de 2015, serán las publicadas por esta Superintendencia en la página web.</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II. Capítulo II: Prestación transfronteriza de servicios financieros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2025-07-03T14:26:18Z</dcterms:created>
  <dc:creator>Apache POI</dc:creator>
</cp:coreProperties>
</file>