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III. Mercado desintermediado</w:t>
      </w:r>
    </w:p>
    <w:p>
      <w:pPr>
        <w:jc w:val="center"/>
      </w:pPr>
      <w:r>
        <w:rPr>
          <w:rFonts w:ascii="Verdana" w:hAnsi="Verdana" w:cs="Verdana" w:eastAsia="Verdana"/>
          <w:sz w:val="24"/>
          <w:b w:val="on"/>
        </w:rPr>
        <w:t>Título I. Emisores de valores</w:t>
      </w:r>
    </w:p>
    <w:p>
      <w:pPr>
        <w:jc w:val="center"/>
      </w:pPr>
      <w:r>
        <w:rPr>
          <w:rFonts w:ascii="Verdana" w:hAnsi="Verdana" w:cs="Verdana" w:eastAsia="Verdana"/>
          <w:sz w:val="24"/>
          <w:b w:val="on"/>
        </w:rPr>
        <w:t>Capítulo I. Deberes y responsabilidades de los Emisores de Valores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Inscripción en el RNVE</w:t>
      </w:r>
    </w:p>
    <w:p>
      <w:pPr>
        <w:jc w:val="both"/>
      </w:pPr>
      <w:r>
        <w:rPr>
          <w:rFonts w:ascii="Verdana" w:hAnsi="Verdana" w:cs="Verdana" w:eastAsia="Verdana"/>
          <w:sz w:val="24"/>
        </w:rPr>
        <w:t xml:space="preserve">Los emisores que quieran ofrecer sus valores en el mercado público de valores deben atender lo dispuesto en el Capítulo I del Título V de la Parte III de la Circular Básica Jurídica (CBJ). </w:t>
      </w:r>
    </w:p>
    <w:p>
      <w:pPr>
        <w:jc w:val="left"/>
      </w:pPr>
      <w:r>
        <w:rPr>
          <w:rFonts w:ascii="Verdana" w:hAnsi="Verdana" w:cs="Verdana" w:eastAsia="Verdana"/>
          <w:sz w:val="24"/>
          <w:b w:val="on"/>
        </w:rPr>
        <w:t>2. Sistema de Control Interno de los Emisores de Valores</w:t>
      </w:r>
    </w:p>
    <w:p>
      <w:pPr>
        <w:jc w:val="left"/>
      </w:pPr>
      <w:r>
        <w:rPr>
          <w:rFonts w:ascii="Verdana" w:hAnsi="Verdana" w:cs="Verdana" w:eastAsia="Verdana"/>
          <w:sz w:val="24"/>
          <w:b w:val="on"/>
        </w:rPr>
        <w:t xml:space="preserve">2.1. Entidades sometidas a control exclusivo de la SFC </w:t>
      </w:r>
    </w:p>
    <w:p>
      <w:pPr>
        <w:jc w:val="both"/>
      </w:pPr>
      <w:r>
        <w:rPr>
          <w:rFonts w:ascii="Verdana" w:hAnsi="Verdana" w:cs="Verdana" w:eastAsia="Verdana"/>
          <w:sz w:val="24"/>
        </w:rPr>
        <w:t>Los emisores de valores, sometidos a control exclusivo de la Superintendencia Financiera de Colombia (SFC), deben tener el Sistema de Control Interno (SCI) ajustado o implementado por sus administradores, de acuerdo con el tamaño de la organización, la naturaleza de sus actividades y la complejidad de sus operaciones, de manera que el costo de las medidas adoptadas no exceda el beneficio derivadas de las mismas. Para ello, deben aplicar los principios de autocontrol, autogestión y autorregulación definidos en el Capítulo IV, Título I de la Parte I de esta Circular.</w:t>
      </w:r>
      <w:r>
        <w:rPr>
          <w:rFonts w:ascii="Verdana" w:hAnsi="Verdana" w:cs="Verdana" w:eastAsia="Verdana"/>
          <w:sz w:val="24"/>
        </w:rPr>
        <w:t>De otra parte, según lo establecido en el artículo 45 de la Ley 964 de 2005, el comité de auditoría debe supervisar el cumplimiento del SCI de la respectiva entidad. Asimismo, debe velar porque la preparación, presentación y revelación de la información financiera se ajuste a lo dispuesto en la ley.</w:t>
      </w:r>
      <w:r>
        <w:rPr>
          <w:rFonts w:ascii="Verdana" w:hAnsi="Verdana" w:cs="Verdana" w:eastAsia="Verdana"/>
          <w:sz w:val="24"/>
        </w:rPr>
        <w:t>Para el cumplimiento de sus funciones el comité de auditoría puede contratar especialistas independientes en los casos específicos en que lo juzgue conveniente.</w:t>
      </w:r>
      <w:r>
        <w:rPr>
          <w:rFonts w:ascii="Verdana" w:hAnsi="Verdana" w:cs="Verdana" w:eastAsia="Verdana"/>
          <w:sz w:val="24"/>
        </w:rPr>
        <w:t>Igualmente, según lo dispuesto en el artículo 47 de la mencionada Ley 964, los representantes legales de los emisores de valores son responsables del establecimiento y mantenimiento de adecuados sistemas de revelación y control de la información. Para el efecto, deben diseñar procedimientos de control y revelación, así como asegurar que la información financiera les es presentada en forma adecuada. En tal sentido, de conformidad con el artículo 46 de la mencionada Ley, los representantes legales de los emisores de valores deben certificar que los estados financieros y otros informes relevantes para el público no contienen vicios, imprecisiones o errores que impidan conocer la verdadera situación patrimonial o las operaciones del correspondiente emisor de valores.</w:t>
      </w:r>
    </w:p>
    <w:p>
      <w:pPr>
        <w:jc w:val="left"/>
      </w:pPr>
      <w:r>
        <w:rPr>
          <w:rFonts w:ascii="Verdana" w:hAnsi="Verdana" w:cs="Verdana" w:eastAsia="Verdana"/>
          <w:sz w:val="24"/>
          <w:b w:val="on"/>
        </w:rPr>
        <w:t>2.2. Entidades sometidas a control concurrente de la SFC</w:t>
      </w:r>
    </w:p>
    <w:p>
      <w:pPr>
        <w:jc w:val="both"/>
      </w:pPr>
      <w:r>
        <w:rPr>
          <w:rFonts w:ascii="Verdana" w:hAnsi="Verdana" w:cs="Verdana" w:eastAsia="Verdana"/>
          <w:sz w:val="24"/>
        </w:rPr>
        <w:t>Las entidades sometidas a control concurrente deben atender en materia de control interno las normas y las disposiciones que sobre el particular emita el Gobierno Nacional y las demás autoridades de supervisión o entidades competentes.</w:t>
      </w:r>
    </w:p>
    <w:p>
      <w:pPr>
        <w:jc w:val="left"/>
      </w:pPr>
      <w:r>
        <w:rPr>
          <w:rFonts w:ascii="Verdana" w:hAnsi="Verdana" w:cs="Verdana" w:eastAsia="Verdana"/>
          <w:sz w:val="24"/>
          <w:b w:val="on"/>
        </w:rPr>
        <w:t xml:space="preserve">3. Transferencia de acciones y bonos convertibles en acciones inscritos en bolsa </w:t>
      </w:r>
    </w:p>
    <w:p>
      <w:pPr>
        <w:jc w:val="both"/>
      </w:pPr>
      <w:r>
        <w:rPr>
          <w:rFonts w:ascii="Verdana" w:hAnsi="Verdana" w:cs="Verdana" w:eastAsia="Verdana"/>
          <w:sz w:val="24"/>
        </w:rPr>
        <w:t xml:space="preserve">Sin perjuicio de la aplicación de las disposiciones propias a la naturaleza de la especie y de la operación que se realice con las mismas, las transferencias de acciones y bonos convertibles en acciones inscritos en una bolsa de valores deben tener en cuenta las siguientes reglas: </w:t>
      </w:r>
    </w:p>
    <w:p>
      <w:pPr>
        <w:jc w:val="left"/>
      </w:pPr>
      <w:r>
        <w:rPr>
          <w:rFonts w:ascii="Verdana" w:hAnsi="Verdana" w:cs="Verdana" w:eastAsia="Verdana"/>
          <w:sz w:val="24"/>
          <w:b w:val="on"/>
        </w:rPr>
        <w:t>3.1. Traspasos de títulos que no requieren información previa a la inscripción en el libro de registro de accionistas</w:t>
      </w:r>
    </w:p>
    <w:p>
      <w:pPr>
        <w:jc w:val="both"/>
      </w:pPr>
      <w:r>
        <w:rPr>
          <w:rFonts w:ascii="Verdana" w:hAnsi="Verdana" w:cs="Verdana" w:eastAsia="Verdana"/>
          <w:sz w:val="24"/>
        </w:rPr>
        <w:t>Los traspasos de acciones y bonos convertibles en acciones en virtud de donaciones, sucesiones, órdenes judiciales, fusiones, escisiones y/o cesión de activos y pasivos, así como liquidación de sociedades conyugales y/o comerciales, sin tener en cuenta el porcentaje de acciones en circulación que represente la transacción, deben ser inscritos directamente por el emisor, sin informar previamente a la SFC, para lo cual debe cerciorarse que la transferencia se encuentre revestida de la juridicidad indispensable para que produzca plenos efectos.</w:t>
      </w:r>
      <w:r>
        <w:rPr>
          <w:rFonts w:ascii="Verdana" w:hAnsi="Verdana" w:cs="Verdana" w:eastAsia="Verdana"/>
          <w:sz w:val="24"/>
        </w:rPr>
        <w:t>Para los fines previstos en el presente subnumeral, se entiende que los precitados actos o hechos jurídicos son de carácter taxativo. Dentro de las 24 horas siguientes a la inscripción del traspaso en el libro de registro de accionistas, el emisor debe remitir a esta Superintendencia el Anexo 1 debidamente diligenciado a efectos de informar acerca de las condiciones del traspaso.</w:t>
      </w:r>
    </w:p>
    <w:p>
      <w:pPr>
        <w:jc w:val="left"/>
      </w:pPr>
      <w:r>
        <w:rPr>
          <w:rFonts w:ascii="Verdana" w:hAnsi="Verdana" w:cs="Verdana" w:eastAsia="Verdana"/>
          <w:sz w:val="24"/>
          <w:b w:val="on"/>
        </w:rPr>
        <w:t xml:space="preserve">3.1.1. Documentos con los cuales se puede acreditar los actos o hechos jurídicos del presente subnumeral </w:t>
      </w:r>
    </w:p>
    <w:p>
      <w:pPr>
        <w:jc w:val="both"/>
      </w:pPr>
      <w:r>
        <w:rPr>
          <w:rFonts w:ascii="Verdana" w:hAnsi="Verdana" w:cs="Verdana" w:eastAsia="Verdana"/>
          <w:sz w:val="24"/>
        </w:rPr>
        <w:t>Para efectos de verificar que la transferencia se encuentra revestida de la juridicidad indispensable, el interesado debe acreditar ante el emisor la existencia de los actos o hechos citados mediante prueba idónea, entre otras:</w:t>
      </w:r>
    </w:p>
    <w:p>
      <w:pPr>
        <w:jc w:val="both"/>
      </w:pPr>
      <w:r>
        <w:rPr>
          <w:rFonts w:ascii="Verdana" w:hAnsi="Verdana" w:cs="Verdana" w:eastAsia="Verdana"/>
          <w:sz w:val="24"/>
        </w:rPr>
        <w:t>3.1.1.1. Traspaso con ocasión de donación entre vivos: manifestación de la voluntad de donar realizada por el donante y la aceptación realizada por el donatario a la oferta de aquél. Para el efecto, se debe tener en cuenta lo señalado en el artículo 1458 del Código Civil.</w:t>
      </w:r>
      <w:r>
        <w:rPr>
          <w:rFonts w:ascii="Verdana" w:hAnsi="Verdana" w:cs="Verdana" w:eastAsia="Verdana"/>
          <w:sz w:val="24"/>
        </w:rPr>
        <w:t xml:space="preserve">Tratándose de donaciones cuyos efectos se produzcan después de la muerte del donante debe atenderse lo dispuesto por la liquidación de la masa sucesoral. </w:t>
      </w:r>
    </w:p>
    <w:p>
      <w:pPr>
        <w:jc w:val="both"/>
      </w:pPr>
      <w:r>
        <w:rPr>
          <w:rFonts w:ascii="Verdana" w:hAnsi="Verdana" w:cs="Verdana" w:eastAsia="Verdana"/>
          <w:sz w:val="24"/>
        </w:rPr>
        <w:t>3.1.1.2. Traspaso con ocasión de sucesión: sentencia proferida por autoridad judicial competente o escritura pública otorgada ante Notario, en los cuales conste en el trabajo de partición y adjudicación, la identificación de las acciones, esto es, el emisor, el número de acciones, el adjudicatario y el valor asignado a cada una de las acciones.</w:t>
        <w:cr/>
      </w:r>
    </w:p>
    <w:p>
      <w:pPr>
        <w:jc w:val="both"/>
      </w:pPr>
      <w:r>
        <w:rPr>
          <w:rFonts w:ascii="Verdana" w:hAnsi="Verdana" w:cs="Verdana" w:eastAsia="Verdana"/>
          <w:sz w:val="24"/>
        </w:rPr>
        <w:t>3.1.1.3. Traspaso en virtud de órdenes judiciales: providencias judiciales.</w:t>
        <w:cr/>
      </w:r>
    </w:p>
    <w:p>
      <w:pPr>
        <w:jc w:val="both"/>
      </w:pPr>
      <w:r>
        <w:rPr>
          <w:rFonts w:ascii="Verdana" w:hAnsi="Verdana" w:cs="Verdana" w:eastAsia="Verdana"/>
          <w:sz w:val="24"/>
        </w:rPr>
        <w:t>3.1.1.4. Traspaso en virtud de fusiones, escisiones y cesiones de activos y pasivos: copia de la escritura pública por medio de la cual se protocoliza la respectiva reforma estatutaria, con su correspondiente inscripción ante la Cámara de Comercio.</w:t>
        <w:cr/>
      </w:r>
    </w:p>
    <w:p>
      <w:pPr>
        <w:jc w:val="both"/>
      </w:pPr>
      <w:r>
        <w:rPr>
          <w:rFonts w:ascii="Verdana" w:hAnsi="Verdana" w:cs="Verdana" w:eastAsia="Verdana"/>
          <w:sz w:val="24"/>
        </w:rPr>
        <w:t xml:space="preserve">3.1.1.5. Liquidación de sociedades conyugales y/o comerciales: tratándose de sociedades conyugales sentencia proferida por autoridad judicial competente o escritura pública otorgada ante Notario en las cuales conste el trabajo de partición y adjudicación identificando las acciones, esto es, el emisor, el número de acciones, el adjudicatario y el valor asignado a cada una de las acciones. </w:t>
      </w:r>
      <w:r>
        <w:rPr>
          <w:rFonts w:ascii="Verdana" w:hAnsi="Verdana" w:cs="Verdana" w:eastAsia="Verdana"/>
          <w:sz w:val="24"/>
        </w:rPr>
        <w:t xml:space="preserve">De otra parte, tratándose de liquidación de sociedades comerciales copia del acta correspondiente a la reunión del máximo órgano social en la cual se haya aprobado la cuenta final de liquidación en los términos del artículo 247 del Código de Comercio. </w:t>
      </w:r>
    </w:p>
    <w:p>
      <w:pPr>
        <w:jc w:val="left"/>
      </w:pPr>
      <w:r>
        <w:rPr>
          <w:rFonts w:ascii="Verdana" w:hAnsi="Verdana" w:cs="Verdana" w:eastAsia="Verdana"/>
          <w:sz w:val="24"/>
          <w:b w:val="on"/>
        </w:rPr>
        <w:t>3.2. Traspasos que representen el 2% o menos de las acciones en circulación, en virtud de actos o hechos jurídicos diferentes a los mencionados en el subnumeral anterior</w:t>
      </w:r>
    </w:p>
    <w:p>
      <w:pPr>
        <w:jc w:val="both"/>
      </w:pPr>
      <w:r>
        <w:rPr>
          <w:rFonts w:ascii="Verdana" w:hAnsi="Verdana" w:cs="Verdana" w:eastAsia="Verdana"/>
          <w:sz w:val="24"/>
        </w:rPr>
        <w:t xml:space="preserve">Tratándose de traspasos que representen el 2% o menos de las acciones en circulación de un emisor en virtud de una dación en pago, aportes en especie y transferencia por negocios fiduciarios o transferencia en virtud de cualquier otro acto o hecho jurídico, diferente de los establecidos en el subnumeral 3.1. del presente Capítulo, debe surtirse el procedimiento previsto en el mencionado numeral. </w:t>
      </w:r>
      <w:r>
        <w:rPr>
          <w:rFonts w:ascii="Verdana" w:hAnsi="Verdana" w:cs="Verdana" w:eastAsia="Verdana"/>
          <w:sz w:val="24"/>
        </w:rPr>
        <w:t>Para efectos de acreditar ante el emisor los actos o hechos jurídicos a que se refiere el presente subnumeral, pueden emplearse, según la naturaleza del traspaso, cualquiera de los medios probatorios enunciados en el siguiente subnumeral.</w:t>
      </w:r>
    </w:p>
    <w:p>
      <w:pPr>
        <w:jc w:val="left"/>
      </w:pPr>
      <w:r>
        <w:rPr>
          <w:rFonts w:ascii="Verdana" w:hAnsi="Verdana" w:cs="Verdana" w:eastAsia="Verdana"/>
          <w:sz w:val="24"/>
          <w:b w:val="on"/>
        </w:rPr>
        <w:t>3.3. Traspasos que representen más del 2% de las acciones en circulación, con ocasión de actos o hechos jurídicos diferentes a los mencionados en el subnumeral 3.1. del presente Capítulo</w:t>
      </w:r>
    </w:p>
    <w:p>
      <w:pPr>
        <w:jc w:val="both"/>
      </w:pPr>
      <w:r>
        <w:rPr>
          <w:rFonts w:ascii="Verdana" w:hAnsi="Verdana" w:cs="Verdana" w:eastAsia="Verdana"/>
          <w:sz w:val="24"/>
        </w:rPr>
        <w:t xml:space="preserve">Cuando las daciones en pago, aportes en especie, traspasos por negocios fiduciarios o cualquier otro acto o hecho jurídico diferente de los establecidos en el subnumeral 3.1. del presente Capítulo superen el 2% de las acciones en circulación,  el tenedor, actual titular o enajenante debe, previa inscripción del traspaso en el libro de registro de accionistas, informar y acreditar mediante prueba idónea ante esta Superintendencia el traspaso que pretende efectuar a fin de verificar la naturaleza de la transacción. </w:t>
      </w:r>
      <w:r>
        <w:rPr>
          <w:rFonts w:ascii="Verdana" w:hAnsi="Verdana" w:cs="Verdana" w:eastAsia="Verdana"/>
          <w:sz w:val="24"/>
        </w:rPr>
        <w:t>En los eventos previstos en el presente subnumeral, el enajenante debe, al momento de informar, adjuntar los documentos que pretenda hacer valer como prueba de la transacción. La SFC tiene un plazo de 5 días hábiles contados a partir del día hábil siguiente a la fecha de radicación para hacer las observaciones que estime pertinentes. </w:t>
      </w:r>
      <w:r>
        <w:rPr>
          <w:rFonts w:ascii="Verdana" w:hAnsi="Verdana" w:cs="Verdana" w:eastAsia="Verdana"/>
          <w:sz w:val="24"/>
        </w:rPr>
        <w:t>El emisor debe realizar la inscripción en el libro de registro de accionistas dentro de los 5 días hábiles siguientes al vencimiento del plazo referido, siempre y cuando esta Superintendencia no hubiere efectuado observaciones.</w:t>
      </w:r>
      <w:r>
        <w:rPr>
          <w:rFonts w:ascii="Verdana" w:hAnsi="Verdana" w:cs="Verdana" w:eastAsia="Verdana"/>
          <w:sz w:val="24"/>
        </w:rPr>
        <w:t>En el evento en que se formulen observaciones, el término para la respectiva inscripción debe contarse a partir de la fecha en que la SFC manifieste su conformidad con la información, datos o aclaraciones que al respecto haya solicitado.</w:t>
      </w:r>
    </w:p>
    <w:p>
      <w:pPr>
        <w:jc w:val="left"/>
      </w:pPr>
      <w:r>
        <w:rPr>
          <w:rFonts w:ascii="Verdana" w:hAnsi="Verdana" w:cs="Verdana" w:eastAsia="Verdana"/>
          <w:sz w:val="24"/>
          <w:b w:val="on"/>
        </w:rPr>
        <w:t>3.3.1. Documentos con los cuales se pueden acreditar los actos o hechos jurídicos a que se refiere el presente subnumeral</w:t>
      </w:r>
    </w:p>
    <w:p>
      <w:pPr>
        <w:jc w:val="both"/>
      </w:pPr>
      <w:r>
        <w:rPr>
          <w:rFonts w:ascii="Verdana" w:hAnsi="Verdana" w:cs="Verdana" w:eastAsia="Verdana"/>
          <w:sz w:val="24"/>
        </w:rPr>
        <w:t>El enajenante debe acreditar ante la SFC la existencia de los actos o hechos citados, mediante prueba idónea, para lo cual puede utilizar, entre otras:</w:t>
      </w:r>
    </w:p>
    <w:p>
      <w:pPr>
        <w:jc w:val="both"/>
      </w:pPr>
      <w:r>
        <w:rPr>
          <w:rFonts w:ascii="Verdana" w:hAnsi="Verdana" w:cs="Verdana" w:eastAsia="Verdana"/>
          <w:sz w:val="24"/>
        </w:rPr>
        <w:t>3.3.1.1. Dación en pago: para efectos de dar cumplimiento a lo dispuesto en el parágrafo 2 del artículo 6.15.1.1.2. del Decreto 2555 de 2010, en forma previa a la inscripción del traspaso en el libro de registro de accionistas, se debe acreditar ante la SFC la preexistencia de la respectiva obligación.</w:t>
      </w:r>
      <w:r>
        <w:rPr>
          <w:rFonts w:ascii="Verdana" w:hAnsi="Verdana" w:cs="Verdana" w:eastAsia="Verdana"/>
          <w:sz w:val="24"/>
        </w:rPr>
        <w:t xml:space="preserve">Dicha preexistencia puede acreditarse mediante certificación del revisor fiscal o de un contador público, o a través de declaración otorgada bajo la gravedad de juramento ante la SFC con fines exclusivamente probatorios, el cual se entiende prestado con la suscripción de la respectiva solicitud. Adicionalmente, en dicha acreditación debe constar la fecha de vencimiento de la obligación y su cuantía, diferenciando claramente el monto que se adeuda por concepto de capital e intereses. Además, se debe adjuntar copia del contrato de dación en pago. </w:t>
      </w:r>
    </w:p>
    <w:p>
      <w:pPr>
        <w:jc w:val="both"/>
      </w:pPr>
      <w:r>
        <w:rPr>
          <w:rFonts w:ascii="Verdana" w:hAnsi="Verdana" w:cs="Verdana" w:eastAsia="Verdana"/>
          <w:sz w:val="24"/>
        </w:rPr>
        <w:t xml:space="preserve">3.3.1.2. Aportes en especie: copia de la escritura pública de constitución o reforma donde conste el aporte, o copia del acta del órgano social competente que incluya el avalúo respectivo, el número de acciones objeto de transferencia, el emisor de las mismas y la autorización de la Superintendencia respectiva. </w:t>
        <w:cr/>
      </w:r>
    </w:p>
    <w:p>
      <w:pPr>
        <w:jc w:val="both"/>
      </w:pPr>
      <w:r>
        <w:rPr>
          <w:rFonts w:ascii="Verdana" w:hAnsi="Verdana" w:cs="Verdana" w:eastAsia="Verdana"/>
          <w:sz w:val="24"/>
        </w:rPr>
        <w:t xml:space="preserve">3.3.1.3. Traspasos por negocios fiduciarios: copia del contrato de fiducia mercantil o encargo fiduciario en el cual se identifique claramente el titular de las acciones a transferir, el número y el emisor. </w:t>
      </w:r>
      <w:r>
        <w:rPr>
          <w:rFonts w:ascii="Verdana" w:hAnsi="Verdana" w:cs="Verdana" w:eastAsia="Verdana"/>
          <w:sz w:val="24"/>
        </w:rPr>
        <w:t>Tratándose de traspasos por restitución al fideicomitente, certificación expedida por el revisor fiscal de la sociedad fiduciaria en la cual conste el número y beneficiario de las acciones objeto de la transacción. Si en virtud del negocio fiduciario se entregan acciones a persona o personas diferentes del fideicomitente, tales traspasos deben ajustarse a las normas e instrucciones, que según la naturaleza del acto o hecho jurídico que se tipifique le sean aplicables.</w:t>
      </w:r>
    </w:p>
    <w:p>
      <w:pPr>
        <w:jc w:val="left"/>
      </w:pPr>
      <w:r>
        <w:rPr>
          <w:rFonts w:ascii="Verdana" w:hAnsi="Verdana" w:cs="Verdana" w:eastAsia="Verdana"/>
          <w:sz w:val="24"/>
          <w:b w:val="on"/>
        </w:rPr>
        <w:t xml:space="preserve">4. Celebración de asambleas de tenedores de bonos y cumplimiento de las obligaciones establecidas tanto para las sociedades emisoras como para los representantes legales de tenedores </w:t>
      </w:r>
    </w:p>
    <w:p>
      <w:pPr>
        <w:jc w:val="left"/>
      </w:pPr>
      <w:r>
        <w:rPr>
          <w:rFonts w:ascii="Verdana" w:hAnsi="Verdana" w:cs="Verdana" w:eastAsia="Verdana"/>
          <w:sz w:val="24"/>
          <w:b w:val="on"/>
        </w:rPr>
        <w:t xml:space="preserve">4.1. Reglas de conducta para los representantes legales de tenedores de bonos </w:t>
      </w:r>
    </w:p>
    <w:p>
      <w:pPr>
        <w:jc w:val="both"/>
      </w:pPr>
      <w:r>
        <w:rPr>
          <w:rFonts w:ascii="Verdana" w:hAnsi="Verdana" w:cs="Verdana" w:eastAsia="Verdana"/>
          <w:sz w:val="24"/>
        </w:rPr>
        <w:t>En ejercicio de sus funciones como representantes legales de tenedores de bonos, las entidades facultadas para el efecto deben adoptar, además de las que le imponga su propio régimen legal y demás disposiciones del mercado público de valores, las siguientes reglas de conducta:</w:t>
      </w:r>
    </w:p>
    <w:p>
      <w:pPr>
        <w:jc w:val="both"/>
      </w:pPr>
      <w:r>
        <w:rPr>
          <w:rFonts w:ascii="Verdana" w:hAnsi="Verdana" w:cs="Verdana" w:eastAsia="Verdana"/>
          <w:sz w:val="24"/>
        </w:rPr>
        <w:t xml:space="preserve">4.1.1. Ajustar sus actuaciones a las reglas establecidas en los artículos 6.4.1.1.5 y siguientes del Decreto 2555 de 2010, en este Capítulo y en las demás disposiciones vigentes. </w:t>
        <w:cr/>
      </w:r>
    </w:p>
    <w:p>
      <w:pPr>
        <w:jc w:val="both"/>
      </w:pPr>
      <w:r>
        <w:rPr>
          <w:rFonts w:ascii="Verdana" w:hAnsi="Verdana" w:cs="Verdana" w:eastAsia="Verdana"/>
          <w:sz w:val="24"/>
        </w:rPr>
        <w:t xml:space="preserve">4.1.2. Abstenerse de realizar operaciones en que exista un interés involucrado que real o potencialmente se contraponga al interés de los tenedores de los bonos o que den lugar al desconocimiento de los intereses comunes y colectivos de los mismos o a la ejecución de actos de administración y conservación en detrimento de los derechos y la defensa de los intereses que les asisten a todos y cada uno de ellos, privilegiando con su conducta intereses particulares. </w:t>
      </w:r>
    </w:p>
    <w:p>
      <w:pPr>
        <w:jc w:val="both"/>
      </w:pPr>
      <w:r>
        <w:rPr>
          <w:rFonts w:ascii="Verdana" w:hAnsi="Verdana" w:cs="Verdana" w:eastAsia="Verdana"/>
          <w:sz w:val="24"/>
        </w:rPr>
        <w:t xml:space="preserve">4.1.3. Informar inmediatamente a la SFC sobre cualquier situación o evento que pueda implicar conflicto de interés, en los términos del artículo 2.11.4.2.1 y el parágrafo 2 del artículo 6.4.1.1.5 del Decreto 2555 de 2010, en sus actuaciones frente a los tenedores de los bonos. Para el caso de quienes actúen como representantes legales de tenedores de bonos, se considera que, entre otras conductas, habría conflicto de interés cuando la situación implique la escogencia entre: </w:t>
      </w:r>
    </w:p>
    <w:p>
      <w:pPr>
        <w:jc w:val="both"/>
      </w:pPr>
      <w:r>
        <w:rPr>
          <w:rFonts w:ascii="Verdana" w:hAnsi="Verdana" w:cs="Verdana" w:eastAsia="Verdana"/>
          <w:sz w:val="24"/>
        </w:rPr>
        <w:t>4.1.3.1. El beneficio propio y el de los tenedores de bonos que se representa.</w:t>
      </w:r>
    </w:p>
    <w:p>
      <w:pPr>
        <w:jc w:val="both"/>
      </w:pPr>
      <w:r>
        <w:rPr>
          <w:rFonts w:ascii="Verdana" w:hAnsi="Verdana" w:cs="Verdana" w:eastAsia="Verdana"/>
          <w:sz w:val="24"/>
        </w:rPr>
        <w:t>4.1.3.2. El beneficio de la matriz o controlante propia y el beneficio de los tenedores de bonos.</w:t>
        <w:cr/>
      </w:r>
    </w:p>
    <w:p>
      <w:pPr>
        <w:jc w:val="both"/>
      </w:pPr>
      <w:r>
        <w:rPr>
          <w:rFonts w:ascii="Verdana" w:hAnsi="Verdana" w:cs="Verdana" w:eastAsia="Verdana"/>
          <w:sz w:val="24"/>
        </w:rPr>
        <w:t xml:space="preserve">4.1.3.3. El beneficio de otra entidad subordinada a la misma matriz o controlante y la utilidad o beneficio de los tenedores de bonos. </w:t>
      </w:r>
    </w:p>
    <w:p>
      <w:pPr>
        <w:jc w:val="both"/>
      </w:pPr>
      <w:r>
        <w:rPr>
          <w:rFonts w:ascii="Verdana" w:hAnsi="Verdana" w:cs="Verdana" w:eastAsia="Verdana"/>
          <w:sz w:val="24"/>
        </w:rPr>
        <w:t xml:space="preserve">4.1.3.4. El beneficio de terceros vinculados al representante legal de los tenedores de los bonos y la utilidad o beneficio de dichos tenedores. </w:t>
      </w:r>
    </w:p>
    <w:p>
      <w:pPr>
        <w:jc w:val="both"/>
      </w:pPr>
      <w:r>
        <w:rPr>
          <w:rFonts w:ascii="Verdana" w:hAnsi="Verdana" w:cs="Verdana" w:eastAsia="Verdana"/>
          <w:sz w:val="24"/>
        </w:rPr>
        <w:t xml:space="preserve">4.1.3.5. El beneficio de otro cliente o grupo de clientes de la entidad y la utilidad o beneficio de los tenedores de bonos. </w:t>
      </w:r>
    </w:p>
    <w:p>
      <w:pPr>
        <w:jc w:val="both"/>
      </w:pPr>
      <w:r>
        <w:rPr>
          <w:rFonts w:ascii="Verdana" w:hAnsi="Verdana" w:cs="Verdana" w:eastAsia="Verdana"/>
          <w:sz w:val="24"/>
        </w:rPr>
        <w:t xml:space="preserve">4.1.4. Inhibirse para el ejercicio de la representación legal de tenedores de bonos emitidos por su matriz o controlante, por una sociedad subordinada a dicha matriz o controlante, o por cualquier entidad respecto de la cual exista una de las inhabilidades señaladas en el artículo 6.4.1.1.5 del Decreto 2555 de 2010. </w:t>
      </w:r>
    </w:p>
    <w:p>
      <w:pPr>
        <w:jc w:val="both"/>
      </w:pPr>
      <w:r>
        <w:rPr>
          <w:rFonts w:ascii="Verdana" w:hAnsi="Verdana" w:cs="Verdana" w:eastAsia="Verdana"/>
          <w:sz w:val="24"/>
        </w:rPr>
        <w:t xml:space="preserve">4.1.5. Guardar reserva de la información a la que se refiere el parágrafo del artículo 6.4.1.1.9. del Decreto 2555 de 2010 de acuerdo con las normas contenidas en la presente Circular y las otras instrucciones impartidas para el efecto por esta Superintendencia. </w:t>
      </w:r>
    </w:p>
    <w:p>
      <w:pPr>
        <w:jc w:val="both"/>
      </w:pPr>
      <w:r>
        <w:rPr>
          <w:rFonts w:ascii="Verdana" w:hAnsi="Verdana" w:cs="Verdana" w:eastAsia="Verdana"/>
          <w:sz w:val="24"/>
        </w:rPr>
        <w:t xml:space="preserve">4.1.6. Abstenerse de dar cualquier tratamiento preferencial a un tenedor o grupo de tenedores. </w:t>
      </w:r>
    </w:p>
    <w:p>
      <w:pPr>
        <w:jc w:val="both"/>
      </w:pPr>
      <w:r>
        <w:rPr>
          <w:rFonts w:ascii="Verdana" w:hAnsi="Verdana" w:cs="Verdana" w:eastAsia="Verdana"/>
          <w:sz w:val="24"/>
        </w:rPr>
        <w:t xml:space="preserve">4.1.7. Convocar a la asamblea de tenedores de bonos, para que decida sobre su reemplazo, cuando en el curso de la emisión se encuentre en una situación que inhabilite a la entidad para continuar actuando como su representante. Dicha convocatoria debe efectuarse dentro de los 5 días hábiles siguientes a la ocurrencia o conocimiento de la referida situación. </w:t>
      </w:r>
    </w:p>
    <w:p>
      <w:pPr>
        <w:jc w:val="both"/>
      </w:pPr>
      <w:r>
        <w:rPr>
          <w:rFonts w:ascii="Verdana" w:hAnsi="Verdana" w:cs="Verdana" w:eastAsia="Verdana"/>
          <w:sz w:val="24"/>
        </w:rPr>
        <w:t xml:space="preserve">4.1.8. Substraerse de cualquier conducta o circunstancia que de conformidad con las normas legales y/o el concepto de la SFC atenten contra el adecuado ejercicio de sus funciones como representantes legales de tenedores de bonos. </w:t>
      </w:r>
    </w:p>
    <w:p>
      <w:pPr>
        <w:jc w:val="left"/>
      </w:pPr>
      <w:r>
        <w:rPr>
          <w:rFonts w:ascii="Verdana" w:hAnsi="Verdana" w:cs="Verdana" w:eastAsia="Verdana"/>
          <w:sz w:val="24"/>
          <w:b w:val="on"/>
        </w:rPr>
        <w:t xml:space="preserve">4.2. Alcance de las funciones del representante legal de tenedores de bonos </w:t>
      </w:r>
    </w:p>
    <w:p>
      <w:pPr>
        <w:jc w:val="both"/>
      </w:pPr>
      <w:r>
        <w:rPr>
          <w:rFonts w:ascii="Verdana" w:hAnsi="Verdana" w:cs="Verdana" w:eastAsia="Verdana"/>
          <w:sz w:val="24"/>
        </w:rPr>
        <w:t>El representante legal de tenedores de bonos tiene como objetivo principal brindar la máxima protección posible a sus representados, razón por la cual debe velar en todo momento por sus derechos y realizar todos los actos que sean necesarios para la defensa de sus intereses, ejerciendo, entre otras, las funciones expresamente señaladas en el artículo 6.4.1.1.9 del Decreto 2555 de 2010.</w:t>
      </w:r>
      <w:r>
        <w:rPr>
          <w:rFonts w:ascii="Verdana" w:hAnsi="Verdana" w:cs="Verdana" w:eastAsia="Verdana"/>
          <w:sz w:val="24"/>
        </w:rPr>
        <w:t>Dentro de tales funciones el representante legal de los tenedores debe informar, tanto a la SFC como a los tenedores de los bonos, a la mayor brevedad posible y por los medios idóneos, no sólo sobre el incumplimiento de las obligaciones en que ya haya incurrido la entidad emisora, sino también sobre la existencia de circunstancias que originen el temor razonable de que se llegue a tal incumplimiento, así como de cualquier hecho que afecte o pueda afectar en forma significativa la situación financiera, administrativa y/o legal del emisor, del avalista de la emisión y/o de las garantías que respaldan las obligaciones contraídas con los tenedores de bonos.</w:t>
      </w:r>
      <w:r>
        <w:rPr>
          <w:rFonts w:ascii="Verdana" w:hAnsi="Verdana" w:cs="Verdana" w:eastAsia="Verdana"/>
          <w:sz w:val="24"/>
        </w:rPr>
        <w:t>Lo anterior, sin perjuicio de los deberes de suministro de información relevante que respecto a la misma situación le corresponde al representante legal de la entidad emisora, de conformidad con lo establecido en el artículo 5.2.4.3.7 del Decreto 2555 de 2010.</w:t>
      </w:r>
      <w:r>
        <w:rPr>
          <w:rFonts w:ascii="Verdana" w:hAnsi="Verdana" w:cs="Verdana" w:eastAsia="Verdana"/>
          <w:sz w:val="24"/>
        </w:rPr>
        <w:t>En desarrollo de lo previsto en el numeral 3 del artículo 6.4.1.1.7 del Decreto 2555 de 2010, la facultad del representante legal de los tenedores de bonos de solicitar información a la entidad emisora se refiere a los estados financieros de la entidad emisora, tanto de cierre como intermedios, con sus notas y el dictamen del revisor fiscal, así como a cualquier otro dato, certificación o documento, tal como informes de tesorería y proyecciones financieras, en cuanto guarde relación con las funciones que implica la representación legal de los tenedores. La SFC debe resolver cualquier discrepancia que surja entre la entidad emisora y el representante legal de los tenedores de bonos con respecto a este tema.</w:t>
      </w:r>
      <w:r>
        <w:rPr>
          <w:rFonts w:ascii="Verdana" w:hAnsi="Verdana" w:cs="Verdana" w:eastAsia="Verdana"/>
          <w:sz w:val="24"/>
        </w:rPr>
        <w:t>Efectuada la inscripción de una entidad como representante legal de tenedores de una emisión de bonos, la persona nombrada conserva tal carácter hasta cuando se inscriba el nombramiento de un nuevo representante legal, sin que sea posible, bajo ninguna circunstancia., cesar en el ejercicio de las funciones que le corresponden, mientras no haya otra entidad debidamente facultada para el efecto que asuma dichas funciones. En tal sentido, mientras ostente la calidad de representante legal de tenedores de bonos, la entidad no puede dejar de cumplir con sus obligaciones legales y contractuales, so pretexto de que el emisor ha incumplido con alguno de los compromisos consignados en el contrato.</w:t>
      </w:r>
      <w:r>
        <w:rPr>
          <w:rFonts w:ascii="Verdana" w:hAnsi="Verdana" w:cs="Verdana" w:eastAsia="Verdana"/>
          <w:sz w:val="24"/>
        </w:rPr>
        <w:t xml:space="preserve">Tratándose de la renuncia del representante legal de tenedores de bonos, se debe atender lo dispuesto en el artículo 6.4.1.1.14 del Decreto 2555 de 2010. En tales eventos, la entidad debe solicitar autorización de esta Superintendencia, a la mayor brevedad posible para convocar a la asamblea de tenedores, con el fin de que decida sobre su reemplazo. </w:t>
      </w:r>
    </w:p>
    <w:p>
      <w:pPr>
        <w:jc w:val="left"/>
      </w:pPr>
      <w:r>
        <w:rPr>
          <w:rFonts w:ascii="Verdana" w:hAnsi="Verdana" w:cs="Verdana" w:eastAsia="Verdana"/>
          <w:sz w:val="24"/>
          <w:b w:val="on"/>
        </w:rPr>
        <w:t>4.3. Normas referentes a la celebración de asambleas de tenedores de bonos</w:t>
      </w:r>
    </w:p>
    <w:p>
      <w:pPr>
        <w:jc w:val="left"/>
      </w:pPr>
      <w:r>
        <w:rPr>
          <w:rFonts w:ascii="Verdana" w:hAnsi="Verdana" w:cs="Verdana" w:eastAsia="Verdana"/>
          <w:sz w:val="24"/>
          <w:b w:val="on"/>
        </w:rPr>
        <w:t>4.3.1. Convocatoria</w:t>
      </w:r>
    </w:p>
    <w:p>
      <w:pPr>
        <w:jc w:val="both"/>
      </w:pPr>
      <w:r>
        <w:rPr>
          <w:rFonts w:ascii="Verdana" w:hAnsi="Verdana" w:cs="Verdana" w:eastAsia="Verdana"/>
          <w:sz w:val="24"/>
        </w:rPr>
        <w:t>De conformidad con lo establecido en el artículo 6.4.1.1.18 del Decreto 2555 de 2010, la convocatoria para las asambleas de tenedores de bonos debe hacerse mediante avisos publicados en forma destacada en diarios de amplia circulación nacional, páginas de internet u otro medio de comunicación electrónica que garantice amplia difusión de la citación, con una antelación de por lo menos 8 días hábiles a la fecha prevista para la realización de la reunión, salvo que en el contrato de representación legal de tenedores o en el prospecto se establezca una antelación diferente, la cual en ningún caso puede ser inferior a 3 días hábiles. Para la contabilización de estos plazos no se tomará en consideración ni el día en que se publica o comunica la convocatoria ni el día de realización de la asamblea.</w:t>
      </w:r>
      <w:r>
        <w:rPr>
          <w:rFonts w:ascii="Verdana" w:hAnsi="Verdana" w:cs="Verdana" w:eastAsia="Verdana"/>
          <w:sz w:val="24"/>
        </w:rPr>
        <w:t>En el aviso de convocatoria se debe informar, por lo menos, lo siguiente:</w:t>
      </w:r>
    </w:p>
    <w:p>
      <w:pPr>
        <w:jc w:val="both"/>
      </w:pPr>
      <w:r>
        <w:rPr>
          <w:rFonts w:ascii="Verdana" w:hAnsi="Verdana" w:cs="Verdana" w:eastAsia="Verdana"/>
          <w:sz w:val="24"/>
        </w:rPr>
        <w:t xml:space="preserve">4.3.1.1. Nombre de la entidad o entidades que realizan la convocatoria. </w:t>
        <w:cr/>
      </w:r>
    </w:p>
    <w:p>
      <w:pPr>
        <w:jc w:val="both"/>
      </w:pPr>
      <w:r>
        <w:rPr>
          <w:rFonts w:ascii="Verdana" w:hAnsi="Verdana" w:cs="Verdana" w:eastAsia="Verdana"/>
          <w:sz w:val="24"/>
        </w:rPr>
        <w:t xml:space="preserve">4.3.1.2. Nombre de la entidad o entidades emisoras de los bonos. </w:t>
        <w:cr/>
      </w:r>
    </w:p>
    <w:p>
      <w:pPr>
        <w:jc w:val="both"/>
      </w:pPr>
      <w:r>
        <w:rPr>
          <w:rFonts w:ascii="Verdana" w:hAnsi="Verdana" w:cs="Verdana" w:eastAsia="Verdana"/>
          <w:sz w:val="24"/>
        </w:rPr>
        <w:t xml:space="preserve">4.3.1.3. Emisión o emisiones a cuyos tenedores se está convocando a asamblea y monto insoluto del empréstito que cada una de ellas representa. </w:t>
        <w:cr/>
      </w:r>
    </w:p>
    <w:p>
      <w:pPr>
        <w:jc w:val="both"/>
      </w:pPr>
      <w:r>
        <w:rPr>
          <w:rFonts w:ascii="Verdana" w:hAnsi="Verdana" w:cs="Verdana" w:eastAsia="Verdana"/>
          <w:sz w:val="24"/>
        </w:rPr>
        <w:t xml:space="preserve">4.3.1.4. Si se trata de una reunión de primera, segunda o tercera convocatoria. </w:t>
        <w:cr/>
      </w:r>
    </w:p>
    <w:p>
      <w:pPr>
        <w:jc w:val="both"/>
      </w:pPr>
      <w:r>
        <w:rPr>
          <w:rFonts w:ascii="Verdana" w:hAnsi="Verdana" w:cs="Verdana" w:eastAsia="Verdana"/>
          <w:sz w:val="24"/>
        </w:rPr>
        <w:t xml:space="preserve">4.3.1.5. El lugar, la fecha y la hora de la reunión. </w:t>
      </w:r>
    </w:p>
    <w:p>
      <w:pPr>
        <w:jc w:val="both"/>
      </w:pPr>
      <w:r>
        <w:rPr>
          <w:rFonts w:ascii="Verdana" w:hAnsi="Verdana" w:cs="Verdana" w:eastAsia="Verdana"/>
          <w:sz w:val="24"/>
        </w:rPr>
        <w:t xml:space="preserve">4.3.1.6. El orden del día de la asamblea, en el cual se debe indicar explícitamente si se trata de una reunión informativa o si en ella se pretende someter a consideración de los tenedores algún tipo de decisión, aclarando la naturaleza de ésta. </w:t>
        <w:cr/>
      </w:r>
    </w:p>
    <w:p>
      <w:pPr>
        <w:jc w:val="both"/>
      </w:pPr>
      <w:r>
        <w:rPr>
          <w:rFonts w:ascii="Verdana" w:hAnsi="Verdana" w:cs="Verdana" w:eastAsia="Verdana"/>
          <w:sz w:val="24"/>
        </w:rPr>
        <w:t>4.3.1.7. La documentación que deben presentar los tenedores de bonos o sus apoderados para acreditar tal calidad, de conformidad con lo indicado en el subnumeral 4.3.7. del presente Capítulo.</w:t>
      </w:r>
    </w:p>
    <w:p>
      <w:pPr>
        <w:jc w:val="both"/>
      </w:pPr>
      <w:r>
        <w:rPr>
          <w:rFonts w:ascii="Verdana" w:hAnsi="Verdana" w:cs="Verdana" w:eastAsia="Verdana"/>
          <w:sz w:val="24"/>
        </w:rPr>
        <w:t xml:space="preserve">4.3.1.8. Si la reunión se llevará a cabo de manera presencial, virtual o mixta. </w:t>
      </w:r>
    </w:p>
    <w:p>
      <w:pPr>
        <w:jc w:val="both"/>
      </w:pPr>
      <w:r>
        <w:rPr>
          <w:rFonts w:ascii="Verdana" w:hAnsi="Verdana" w:cs="Verdana" w:eastAsia="Verdana"/>
          <w:sz w:val="24"/>
        </w:rPr>
        <w:t>4.3.1.9. Cualquier otra información o advertencia a que haya lugar de acuerdo con lo previsto en el presente Capítulo.</w:t>
      </w:r>
      <w:r>
        <w:rPr>
          <w:rFonts w:ascii="Verdana" w:hAnsi="Verdana" w:cs="Verdana" w:eastAsia="Verdana"/>
          <w:sz w:val="24"/>
        </w:rPr>
        <w:t>En el evento en que la reunión de primera convocatoria no se lleve a cabo por falta de quórum, se debe citar a una nueva reunión, la cual no puede llevarse a cabo antes de 5 días hábiles contados a partir de la fecha prevista para la realización de la primera reunión. Igualmente, en caso de no haber quórum en la reunión de segunda convocatoria, se puede citar a una nueva reunión, la cual no puede llevarse a cabo antes de 3 días hábiles contados a partir de la fecha prevista para la realización de la segunda reunión.</w:t>
      </w:r>
      <w:r>
        <w:rPr>
          <w:rFonts w:ascii="Verdana" w:hAnsi="Verdana" w:cs="Verdana" w:eastAsia="Verdana"/>
          <w:sz w:val="24"/>
        </w:rPr>
        <w:t>Con una antelación de por lo menos 5 días hábiles respecto a la fecha prevista para la comunicación de la primera convocatoria, el representante legal de los tenedores o, en su defecto, el representante legal de la entidad emisora, debe enviar a la SFC, para sus comentarios y aprobación, el proyecto del aviso de convocatoria, indicando los medios que se utilizarán para su divulgación, adjuntando los informes de que trata el subnumeral 4.3.2. del presente Capítulo, cuando sea del caso, así como la información a que se refiere el tercer inciso del numeral 4.3.5. del presente Capítulo, a efectos de que esta entidad analice la procedencia de su autorización y adopte las medidas que considere del caso para la protección de los inversionistas.</w:t>
      </w:r>
      <w:r>
        <w:rPr>
          <w:rFonts w:ascii="Verdana" w:hAnsi="Verdana" w:cs="Verdana" w:eastAsia="Verdana"/>
          <w:sz w:val="24"/>
        </w:rPr>
        <w:t>En el caso de la segunda y tercera convocatoria, el proyecto de aviso y la indicación de los medios que se utilizarán para su divulgación deben ser sometidos a consideración de la SFC con una antelación de por lo menos 3 días hábiles respecto a la fecha prevista para la publicación o comunicación del aviso de convocatoria.</w:t>
      </w:r>
      <w:r>
        <w:rPr>
          <w:rFonts w:ascii="Verdana" w:hAnsi="Verdana" w:cs="Verdana" w:eastAsia="Verdana"/>
          <w:sz w:val="24"/>
        </w:rPr>
        <w:t>No obstante, para efectos de agilizar el trámite correspondiente, y previendo la necesidad de tener que hacer una segunda y/o tercera convocatoria, se pueden someter simultáneamente a autorización de la SFC los proyectos de aviso de las tres convocatorias.</w:t>
      </w:r>
      <w:r>
        <w:rPr>
          <w:rFonts w:ascii="Verdana" w:hAnsi="Verdana" w:cs="Verdana" w:eastAsia="Verdana"/>
          <w:sz w:val="24"/>
        </w:rPr>
        <w:t>Por otra parte, no sobra advertir que no puede procederse a la publicación de los avisos de convocatoria, hasta tanto no se obtenga autorización por parte de esta Superintendencia, tanto de los avisos en mención como de los informes especiales que de conformidad con lo señalado en el subnumeral 4.3.2. del presente Capítulo deben someterse a consideración de los tenedores.</w:t>
      </w:r>
      <w:r>
        <w:rPr>
          <w:rFonts w:ascii="Verdana" w:hAnsi="Verdana" w:cs="Verdana" w:eastAsia="Verdana"/>
          <w:sz w:val="24"/>
        </w:rPr>
        <w:t>En todo caso, una vez obtenida la mencionada autorización, el representante legal de los tenedores y el emisor deben velar porque se cumplan los plazos legales establecidos para la convocatoria y la celebración de la reunión, de conformidad con lo previsto en los artículos 6.4.1.1.18 y siguientes del Decreto 2555 de 2010 y el presente Capítulo. En el evento en que, conforme a las normas aplicables a la respectiva emisión, no sea necesaria la existencia de un representante de tenedores de bonos, la obligación de realizar la convocatoria a asamblea de tenedores corresponde al representante legal de la entidad emisora.</w:t>
      </w:r>
    </w:p>
    <w:p>
      <w:pPr>
        <w:jc w:val="left"/>
      </w:pPr>
      <w:r>
        <w:rPr>
          <w:rFonts w:ascii="Verdana" w:hAnsi="Verdana" w:cs="Verdana" w:eastAsia="Verdana"/>
          <w:sz w:val="24"/>
          <w:b w:val="on"/>
        </w:rPr>
        <w:t>4.3.2. Informes especiales que deben presentarse a la asamblea</w:t>
      </w:r>
    </w:p>
    <w:p>
      <w:pPr>
        <w:jc w:val="both"/>
      </w:pPr>
      <w:r>
        <w:rPr>
          <w:rFonts w:ascii="Verdana" w:hAnsi="Verdana" w:cs="Verdana" w:eastAsia="Verdana"/>
          <w:sz w:val="24"/>
        </w:rPr>
        <w:t>Siempre que se convoque a los tenedores a una reunión con el objeto de decidir acerca de fusiones, escisiones, integraciones, cesión de activos y pasivos, absorciones y demás temas que requieren una mayoría especial, de conformidad con lo dispuesto en el artículo 6.4.1.1.22 del Decreto 2555 de 2010 y en el subnumeral 4.4 del presente Capítulo, la entidad emisora deberá elaborar un informe en los términos del parágrafo 2 del artículo 6.4.1.1.18 del Decreto 2555 de 2010. Dicho informe debe complementarse con el concepto de quienes ejerzan las funciones de representantes legales de los tenedores de los bonos. Los informes deben enviarse a esta Superintendencia para sus comentarios y aprobación, con una antelación de por lo menos 5 días hábiles respecto a la fecha prevista para la comunicación de la primera convocatoria.</w:t>
      </w:r>
      <w:r>
        <w:rPr>
          <w:rFonts w:ascii="Verdana" w:hAnsi="Verdana" w:cs="Verdana" w:eastAsia="Verdana"/>
          <w:sz w:val="24"/>
        </w:rPr>
        <w:t>Una vez aprobados por la SFC, los informes deben ponerse a disposición en los términos referidos en el inciso segundo del parágrafo 2 del artículo 6.4.1.1.18 del Decreto 2555 de 2010. Cada uno de los informes citados debe ser presentado a la asamblea de tenedores, según corresponda, por un funcionario de nivel directivo de la entidad que lo elaboró, quien debe estar adecuadamente calificado con respecto al tema en cuestión.</w:t>
      </w:r>
    </w:p>
    <w:p>
      <w:pPr>
        <w:jc w:val="left"/>
      </w:pPr>
      <w:r>
        <w:rPr>
          <w:rFonts w:ascii="Verdana" w:hAnsi="Verdana" w:cs="Verdana" w:eastAsia="Verdana"/>
          <w:sz w:val="24"/>
          <w:b w:val="on"/>
        </w:rPr>
        <w:t>4.3.3. Asambleas de tenedores de bonos de entidades que tengan varias emisiones vigentes</w:t>
      </w:r>
    </w:p>
    <w:p>
      <w:pPr>
        <w:jc w:val="both"/>
      </w:pPr>
      <w:r>
        <w:rPr>
          <w:rFonts w:ascii="Verdana" w:hAnsi="Verdana" w:cs="Verdana" w:eastAsia="Verdana"/>
          <w:sz w:val="24"/>
        </w:rPr>
        <w:t>Puede convocarse a una asamblea conjunta de tenedores de bonos de varias emisiones vigentes de una misma entidad emisora, siempre y cuando vayan a ser tratados en dicha reunión temas que produzcan los mismos efectos a todos los bonohabientes que se pretenda convocar.</w:t>
      </w:r>
      <w:r>
        <w:rPr>
          <w:rFonts w:ascii="Verdana" w:hAnsi="Verdana" w:cs="Verdana" w:eastAsia="Verdana"/>
          <w:sz w:val="24"/>
        </w:rPr>
        <w:t>Sin embargo, si alguna de las emisiones cuyos tenedores han sido convocados presenta características sustancialmente diferentes a las que tienen las otras emisiones, y tal hecho incrementa potencialmente el riesgo involucrado en el respectivo proceso para sus tenedores, se requiere la aprobación, en forma independiente, de la mayoría de los tenedores de la o las emisiones que se encuentren en la referida situación. Lo anterior, deberá cumplirse atendiendo los porcentajes mínimos establecidos en los numerales 4.3.5. y 4.3.6. del presente Capítulo, según corresponda.</w:t>
      </w:r>
      <w:r>
        <w:rPr>
          <w:rFonts w:ascii="Verdana" w:hAnsi="Verdana" w:cs="Verdana" w:eastAsia="Verdana"/>
          <w:sz w:val="24"/>
        </w:rPr>
        <w:t>Cuando las diferentes emisiones convocadas a la asamblea tengan más de un representante de tenedores, los asistentes a la reunión deben elegir por mayoría simple entre los distintos representantes de tenedores a aquella entidad que debe presidir la reunión o, en su defecto, pueden delegar al grupo de representantes de tenedores para que, entre ellos, elijan al presidente de la asamblea.</w:t>
        <w:cr/>
      </w:r>
    </w:p>
    <w:p>
      <w:pPr>
        <w:jc w:val="left"/>
      </w:pPr>
      <w:r>
        <w:rPr>
          <w:rFonts w:ascii="Verdana" w:hAnsi="Verdana" w:cs="Verdana" w:eastAsia="Verdana"/>
          <w:sz w:val="24"/>
          <w:b w:val="on"/>
        </w:rPr>
        <w:t xml:space="preserve">4.3.4. Asambleas de tenedores de bonos emitidos por diferentes entidades </w:t>
      </w:r>
    </w:p>
    <w:p>
      <w:pPr>
        <w:jc w:val="both"/>
      </w:pPr>
      <w:r>
        <w:rPr>
          <w:rFonts w:ascii="Verdana" w:hAnsi="Verdana" w:cs="Verdana" w:eastAsia="Verdana"/>
          <w:sz w:val="24"/>
        </w:rPr>
        <w:t>Puede convocarse a una asamblea conjunta de tenedores de bonos emitidos por distintas entidades cuando vayan a tratarse temas como fusiones, integraciones, consolidaciones o procesos que tengan efectos similares, en los que intervengan la totalidad de las entidades emisoras de los bonos a cuyos tenedores se pretende convocar. No obstante, para efectos de verificar el quórum y las mayorías se deben tomar en forma independiente las emisiones realizadas por cada una de las entidades emisoras, siguiendo los procedimientos señalados en el presente Capítulo.</w:t>
      </w:r>
    </w:p>
    <w:p>
      <w:pPr>
        <w:jc w:val="left"/>
      </w:pPr>
      <w:r>
        <w:rPr>
          <w:rFonts w:ascii="Verdana" w:hAnsi="Verdana" w:cs="Verdana" w:eastAsia="Verdana"/>
          <w:sz w:val="24"/>
          <w:b w:val="on"/>
        </w:rPr>
        <w:t xml:space="preserve">4.3.5. Quórum y mayorías para decisiones ordinarias </w:t>
      </w:r>
    </w:p>
    <w:p>
      <w:pPr>
        <w:jc w:val="both"/>
      </w:pPr>
      <w:r>
        <w:rPr>
          <w:rFonts w:ascii="Verdana" w:hAnsi="Verdana" w:cs="Verdana" w:eastAsia="Verdana"/>
          <w:sz w:val="24"/>
        </w:rPr>
        <w:t>De conformidad con lo establecido en el artículo 6.4.1.1.19 del Decreto 2555 de 2010, la asamblea puede deliberar válidamente con la presencia de cualquier número plural de tenedores que represente no menos del 51% del monto insoluto del empréstito.</w:t>
      </w:r>
      <w:r>
        <w:rPr>
          <w:rFonts w:ascii="Verdana" w:hAnsi="Verdana" w:cs="Verdana" w:eastAsia="Verdana"/>
          <w:sz w:val="24"/>
        </w:rPr>
        <w:t>Si en la reunión de la asamblea de tenedores de bonos se encuentran presentes los bonohabientes de varias emisiones efectuadas por la misma entidad, para efectos de determinar el quórum señalado en el párrafo precedente, se debe tener en cuenta el monto insoluto de todas las emisiones de bonos en circulación, salvo lo previsto en el inciso segundo del subnumeral 4.3.3. de la presente Circular.</w:t>
      </w:r>
      <w:r>
        <w:rPr>
          <w:rFonts w:ascii="Verdana" w:hAnsi="Verdana" w:cs="Verdana" w:eastAsia="Verdana"/>
          <w:sz w:val="24"/>
        </w:rPr>
        <w:t xml:space="preserve">En todo caso, cuando a su criterio existan diferencias sustanciales entre las condiciones de las diferentes emisiones convocadas a una asamblea, la SFC puede objetar la unificación de la base para la determinación de quórum y mayorías. Con tal propósito, junto con el aviso de convocatoria a la reunión debe enviarse a la SFC, respecto a cada una de las emisiones, la información que se indica a continuación, para efectos de que esta entidad decida sobre la procedencia tal unificación: </w:t>
      </w:r>
    </w:p>
    <w:p>
      <w:pPr>
        <w:jc w:val="both"/>
      </w:pPr>
      <w:r>
        <w:rPr>
          <w:rFonts w:ascii="Verdana" w:hAnsi="Verdana" w:cs="Verdana" w:eastAsia="Verdana"/>
          <w:sz w:val="24"/>
        </w:rPr>
        <w:t xml:space="preserve">4.3.5.1. Valor de los bonos en circulación. </w:t>
        <w:cr/>
      </w:r>
    </w:p>
    <w:p>
      <w:pPr>
        <w:jc w:val="both"/>
      </w:pPr>
      <w:r>
        <w:rPr>
          <w:rFonts w:ascii="Verdana" w:hAnsi="Verdana" w:cs="Verdana" w:eastAsia="Verdana"/>
          <w:sz w:val="24"/>
        </w:rPr>
        <w:t xml:space="preserve">4.3.5.2. Plazo remanente hasta su redención. </w:t>
        <w:cr/>
      </w:r>
    </w:p>
    <w:p>
      <w:pPr>
        <w:jc w:val="both"/>
      </w:pPr>
      <w:r>
        <w:rPr>
          <w:rFonts w:ascii="Verdana" w:hAnsi="Verdana" w:cs="Verdana" w:eastAsia="Verdana"/>
          <w:sz w:val="24"/>
        </w:rPr>
        <w:t xml:space="preserve">4.3.5.3. Garantías con que cuenta, indicando su naturaleza, cobertura y vigencia. </w:t>
        <w:cr/>
      </w:r>
    </w:p>
    <w:p>
      <w:pPr>
        <w:jc w:val="both"/>
      </w:pPr>
      <w:r>
        <w:rPr>
          <w:rFonts w:ascii="Verdana" w:hAnsi="Verdana" w:cs="Verdana" w:eastAsia="Verdana"/>
          <w:sz w:val="24"/>
        </w:rPr>
        <w:t>4.3.5.4. Número de tenedores según la información más reciente de que se disponga, así como nombre y monto de la inversión de los 10 tenedores mayoritarios.</w:t>
      </w:r>
      <w:r>
        <w:rPr>
          <w:rFonts w:ascii="Verdana" w:hAnsi="Verdana" w:cs="Verdana" w:eastAsia="Verdana"/>
          <w:sz w:val="24"/>
        </w:rPr>
        <w:t>Las decisiones de la asamblea de tenedores deben adoptarse por la mayoría absoluta de los votos presentes, teniendo en cuenta lo dispuesto en el subnumeral 4.3.3. del presente Capítulo, sin perjuicio de aquellos casos en que de acuerdo con lo dispuesto en el artículo 6.4.1.1.22 del Decreto 2555 de 2010, se exija un quórum decisorio superior.</w:t>
      </w:r>
      <w:r>
        <w:rPr>
          <w:rFonts w:ascii="Verdana" w:hAnsi="Verdana" w:cs="Verdana" w:eastAsia="Verdana"/>
          <w:sz w:val="24"/>
        </w:rPr>
        <w:t xml:space="preserve">Si no hubiera quórum para deliberar y decidir en la reunión de la primera convocatoria, puede citarse a una nueva reunión, con arreglo a lo previsto en el artículo 6.4.1.1.19 del Decreto 2555 de 2010 y en el presente Capítulo. </w:t>
      </w:r>
    </w:p>
    <w:p>
      <w:pPr>
        <w:jc w:val="left"/>
      </w:pPr>
      <w:r>
        <w:rPr>
          <w:rFonts w:ascii="Verdana" w:hAnsi="Verdana" w:cs="Verdana" w:eastAsia="Verdana"/>
          <w:sz w:val="24"/>
          <w:b w:val="on"/>
        </w:rPr>
        <w:t xml:space="preserve">4.3.6. Quórum y mayorías especiales </w:t>
      </w:r>
    </w:p>
    <w:p>
      <w:pPr>
        <w:jc w:val="both"/>
      </w:pPr>
      <w:r>
        <w:rPr>
          <w:rFonts w:ascii="Verdana" w:hAnsi="Verdana" w:cs="Verdana" w:eastAsia="Verdana"/>
          <w:sz w:val="24"/>
        </w:rPr>
        <w:t xml:space="preserve">De conformidad con lo establecido en los artículos 6.4.1.1.22 y 6.4.1.1.42 del Decreto 2555 de 2010, la asamblea de tenedores puede aprobar con el voto favorable de un número plural que represente la mayoría numérica de los tenedores presentes y el 80% del empréstito insoluto, entre otros: (i) las modificaciones a las condiciones del empréstito; (ii) la cancelación de la inscripción de los bonos en una bolsa de valores; (iii) la realización de fusiones, escisiones y procesos que produzcan similares efectos; y (iv) la autorización al representante de los tenedores para celebrar en su nombre y representación un contrato de transacción o para votar favorablemente una fórmula concordataria. Para efectos de calcular las mayorías especiales a las que se refiere el presente subnumeral, se debe tomar el valor total de las emisiones realizadas por el mismo emisor presentes en la reunión, cuando sea del caso, de acuerdo con lo previsto en el subnumeral 4.3.3. del presente Capítulo. </w:t>
      </w:r>
      <w:r>
        <w:rPr>
          <w:rFonts w:ascii="Verdana" w:hAnsi="Verdana" w:cs="Verdana" w:eastAsia="Verdana"/>
          <w:sz w:val="24"/>
        </w:rPr>
        <w:t>Las modificaciones a las condiciones del empréstito también deben ser autorizadas por el órgano social competente, según los estatutos de la entidad, para aprobar la emisión de bonos y sus condiciones.</w:t>
      </w:r>
      <w:r>
        <w:rPr>
          <w:rFonts w:ascii="Verdana" w:hAnsi="Verdana" w:cs="Verdana" w:eastAsia="Verdana"/>
          <w:sz w:val="24"/>
        </w:rPr>
        <w:t xml:space="preserve">Si no hubiera quórum para deliberar y decidir en la reunión de la primera convocatoria respecto a los temas antes mencionados, puede citarse a una segunda reunión en los términos previstos en el artículo 6.4.1.1.22 del Decreto 2555 de 2010. </w:t>
      </w:r>
      <w:r>
        <w:rPr>
          <w:rFonts w:ascii="Verdana" w:hAnsi="Verdana" w:cs="Verdana" w:eastAsia="Verdana"/>
          <w:sz w:val="24"/>
        </w:rPr>
        <w:t>Si no hubiera quórum para deliberar y decidir en la reunión de la segunda convocatoria, puede citarse a una nueva reunión en los términos previstos en el artículo 6.4.1.1.22 del Decreto 2555 de 2010.</w:t>
      </w:r>
      <w:r>
        <w:rPr>
          <w:rFonts w:ascii="Verdana" w:hAnsi="Verdana" w:cs="Verdana" w:eastAsia="Verdana"/>
          <w:sz w:val="24"/>
        </w:rPr>
        <w:t>Las decisiones adoptadas por la asamblea de tenedores con sujeción a la ley son obligatorias aun para los ausentes o disidentes, hecho sobre el cual debe advertirse igualmente, en forma destacada, en el aviso de convocatoria.</w:t>
      </w:r>
    </w:p>
    <w:p>
      <w:pPr>
        <w:jc w:val="left"/>
      </w:pPr>
      <w:r>
        <w:rPr>
          <w:rFonts w:ascii="Verdana" w:hAnsi="Verdana" w:cs="Verdana" w:eastAsia="Verdana"/>
          <w:sz w:val="24"/>
          <w:b w:val="on"/>
        </w:rPr>
        <w:t xml:space="preserve">4.3.7. Prueba de la calidad de tenedor para poder participar en la asamblea </w:t>
      </w:r>
    </w:p>
    <w:p>
      <w:pPr>
        <w:jc w:val="both"/>
      </w:pPr>
      <w:r>
        <w:rPr>
          <w:rFonts w:ascii="Verdana" w:hAnsi="Verdana" w:cs="Verdana" w:eastAsia="Verdana"/>
          <w:sz w:val="24"/>
        </w:rPr>
        <w:t>Para tener derecho a participar en la asamblea de los tenedores de bonos se deberá cumplir lo previsto en el artículo 6.4.1.1.20 del Decreto 2555 de 2010 o las normas que lo modifiquen o adicionen.  </w:t>
      </w:r>
      <w:r>
        <w:rPr>
          <w:rFonts w:ascii="Verdana" w:hAnsi="Verdana" w:cs="Verdana" w:eastAsia="Verdana"/>
          <w:sz w:val="24"/>
        </w:rPr>
        <w:t>Es de anotar que en el evento en que los bonos se encuentren en un depósito centralizado de valores, los titulares deben exhibir el certificado expedido por dicha entidad en los términos establecidos en el Título 4 del Libro 14 de la Parte 2 del Decreto 2555 de 2010. Para el efecto, quien ejerza la representación legal de los tenedores o, en su defecto, la entidad emisora, deben informar al depósito de valores con la debida oportunidad sobre la convocatoria a la asamblea.</w:t>
      </w:r>
      <w:r>
        <w:rPr>
          <w:rFonts w:ascii="Verdana" w:hAnsi="Verdana" w:cs="Verdana" w:eastAsia="Verdana"/>
          <w:sz w:val="24"/>
        </w:rPr>
        <w:t xml:space="preserve">Si en la reunión se pretende representar a una persona jurídica, debe adjuntarse a la documentación anteriormente señalada un certificado de existencia y representación legal de la entidad con una antigüedad no superior a 1 mes. Por otra parte, si el tenedor pretende participar en la asamblea por intermedio de un apoderado, el apoderado debe exhibir el poder correspondiente otorgado con el pleno cumplimiento de los requisitos legales. </w:t>
      </w:r>
    </w:p>
    <w:p>
      <w:pPr>
        <w:jc w:val="left"/>
      </w:pPr>
      <w:r>
        <w:rPr>
          <w:rFonts w:ascii="Verdana" w:hAnsi="Verdana" w:cs="Verdana" w:eastAsia="Verdana"/>
          <w:sz w:val="24"/>
          <w:b w:val="on"/>
        </w:rPr>
        <w:t>4.4. Obligaciones especiales de las entidades emisoras de bonos</w:t>
      </w:r>
    </w:p>
    <w:p>
      <w:pPr>
        <w:jc w:val="both"/>
      </w:pPr>
      <w:r>
        <w:rPr>
          <w:rFonts w:ascii="Verdana" w:hAnsi="Verdana" w:cs="Verdana" w:eastAsia="Verdana"/>
          <w:sz w:val="24"/>
        </w:rPr>
        <w:t>4.4.1. De conformidad con lo previsto en el artículo 6.4.1.1.42 del Decreto 2555 de 2010, la entidad puede realizar la modificación de su objeto social, fusionarse, escindirse o transformarse sin que haya lugar a obtener la autorización de los tenedores de bonos, cuando previamente lleve a cabo uno de los siguientes procedimientos alternativos previa autorización de la SFC:</w:t>
        <w:cr/>
      </w:r>
    </w:p>
    <w:p>
      <w:pPr>
        <w:jc w:val="both"/>
      </w:pPr>
      <w:r>
        <w:rPr>
          <w:rFonts w:ascii="Verdana" w:hAnsi="Verdana" w:cs="Verdana" w:eastAsia="Verdana"/>
          <w:sz w:val="24"/>
        </w:rPr>
        <w:t>4.4.1.1. Ofrecer a los tenedores de los bonos el reembolso del empréstito</w:t>
        <w:cr/>
      </w:r>
    </w:p>
    <w:p>
      <w:pPr>
        <w:jc w:val="both"/>
      </w:pPr>
      <w:r>
        <w:rPr>
          <w:rFonts w:ascii="Verdana" w:hAnsi="Verdana" w:cs="Verdana" w:eastAsia="Verdana"/>
          <w:sz w:val="24"/>
        </w:rPr>
        <w:t xml:space="preserve">4.4.1.2. Reemplazar los bonos originales por otros con características idénticas emitidos por la sociedad resultante del proceso respectivo, siempre y cuando las condiciones financieras de ésta sean similares o superen las de la sociedad emisora original, aspecto que debe ser evaluado por la SFC </w:t>
      </w:r>
    </w:p>
    <w:p>
      <w:pPr>
        <w:jc w:val="both"/>
      </w:pPr>
      <w:r>
        <w:rPr>
          <w:rFonts w:ascii="Verdana" w:hAnsi="Verdana" w:cs="Verdana" w:eastAsia="Verdana"/>
          <w:sz w:val="24"/>
        </w:rPr>
        <w:t>4.4.1.3. Otorgar una garantía satisfactoria a juicio de esta Superintendencia, la cual debe cubrir el monto del capital e intereses proyectados para la vigencia del empréstito</w:t>
      </w:r>
      <w:r>
        <w:rPr>
          <w:rFonts w:ascii="Verdana" w:hAnsi="Verdana" w:cs="Verdana" w:eastAsia="Verdana"/>
          <w:sz w:val="24"/>
        </w:rPr>
        <w:t>Con el ánimo de hacer claridad en la interpretación que debe darse al artículo 6.4.1.1.42 del Decreto 2555 de 2010, respecto de las reorganizaciones empresariales que éste cobija, se hace necesario realizar algunas precisiones:</w:t>
      </w:r>
      <w:r>
        <w:rPr>
          <w:rFonts w:ascii="Verdana" w:hAnsi="Verdana" w:cs="Verdana" w:eastAsia="Verdana"/>
          <w:sz w:val="24"/>
        </w:rPr>
        <w:t>El fin de la norma en mención no es otro que el de proteger a los tenedores de bonos ofrecidos en el mercado público de valores de los perjuicios que puedan ocasionar a sus intereses los procesos de reorganización de las entidades emisoras, al variar en forma significativa importantes aspectos de la misma que fueron tenidos en cuenta inicialmente por el inversionista al realizar los análisis previos a la adopción de su decisión de adquirir los respectivos títulos, especialmente en lo referente a la valuación del riesgo asociado a la inversión. En tal sentido, debe entenderse que al preceptuar el señalado artículo 6.4.1.1.4 del Decreto 2555 de 2010 que durante la vigencia de la emisión “la entidad emisora no podrá cambiar su objeto social, escindirse, fusionarse o transformarse....”, dicha restricción comprende todos aquellos procesos que produzcan efectos similares a los de los expresamente enunciados en la norma, aún cuando a los mismos se les dé una denominación diferente como, por ejemplo, integración, absorción, consolidación, cesión de activos y pasivos, segregación, entre otros. En consecuencia, debe entenderse que la norma en comento debe aplicarse a todos aquellos procesos de reorganización empresarial que puedan afectar en forma sustancial la situación de la entidad emisora y/o el respaldo con que cuentan las obligaciones contraídas por ésta con los tenedores de bonos.</w:t>
      </w:r>
      <w:r>
        <w:rPr>
          <w:rFonts w:ascii="Verdana" w:hAnsi="Verdana" w:cs="Verdana" w:eastAsia="Verdana"/>
          <w:sz w:val="24"/>
        </w:rPr>
        <w:t>Por tanto, en tales casos debe darse cumplimiento a lo establecido en el mencionado artículo so pena de incurrir en las sanciones legales aplicables a la operación, a las entidades participantes en el proceso y a sus representantes legales.</w:t>
      </w:r>
    </w:p>
    <w:p>
      <w:pPr>
        <w:jc w:val="left"/>
      </w:pPr>
      <w:r>
        <w:rPr>
          <w:rFonts w:ascii="Verdana" w:hAnsi="Verdana" w:cs="Verdana" w:eastAsia="Verdana"/>
          <w:sz w:val="24"/>
          <w:b w:val="on"/>
        </w:rPr>
        <w:t>4.4.2. Oportunidad y forma de realizar la solicitud</w:t>
      </w:r>
    </w:p>
    <w:p>
      <w:pPr>
        <w:jc w:val="both"/>
      </w:pPr>
      <w:r>
        <w:rPr>
          <w:rFonts w:ascii="Verdana" w:hAnsi="Verdana" w:cs="Verdana" w:eastAsia="Verdana"/>
          <w:sz w:val="24"/>
        </w:rPr>
        <w:t>Una vez aprobada la determinación de realizar la respectiva reforma estatutaria o proceso de reorganización por parte del máximo órgano social de las entidades que participan en el mismo, y antes de proceder a su solemnización o perfeccionamiento del contrato, según corresponda a la naturaleza de la operación en cuestión, debe remitirse la solicitud respectiva a esta Superintendencia con la debida antelación y adjuntando la documentación requerida, según sea el caso de conformidad con lo establecido en el subnumeral 4.4.3. del presente Capítulo, para efectos de obtener la autorización correspondiente.</w:t>
      </w:r>
      <w:r>
        <w:rPr>
          <w:rFonts w:ascii="Verdana" w:hAnsi="Verdana" w:cs="Verdana" w:eastAsia="Verdana"/>
          <w:sz w:val="24"/>
        </w:rPr>
        <w:t>Con tal propósito, además de la documentación solicitada para cada opción en particular según lo dispuesto en el numeral 4.4.3. del presente Capítulo, se requiere el envío de una copia del acta de la reunión del órgano competente de la(s) entidad(es) emisora(s) de bonos donde se aprobó la reforma u operación y en donde se determinó la opción u opciones escogidas para efectos de dar cumplimiento a lo estipulado en el artículo 6.4.1.1.42 del Decreto 2555 de 2010. En caso de que el referido órgano social no se pronuncie respecto a este último punto, se entiende que se opta por obtener la autorización de la asamblea de tenedores de bonos.</w:t>
      </w:r>
    </w:p>
    <w:p>
      <w:pPr>
        <w:jc w:val="left"/>
      </w:pPr>
      <w:r>
        <w:rPr>
          <w:rFonts w:ascii="Verdana" w:hAnsi="Verdana" w:cs="Verdana" w:eastAsia="Verdana"/>
          <w:sz w:val="24"/>
          <w:b w:val="on"/>
        </w:rPr>
        <w:t>4.4.3. Documentación que debe presentarse para obtener la autorización por parte de la SFC</w:t>
      </w:r>
    </w:p>
    <w:p>
      <w:pPr>
        <w:jc w:val="both"/>
      </w:pPr>
      <w:r>
        <w:rPr>
          <w:rFonts w:ascii="Verdana" w:hAnsi="Verdana" w:cs="Verdana" w:eastAsia="Verdana"/>
          <w:sz w:val="24"/>
        </w:rPr>
        <w:t>Para efectos de obtener la autorización respectiva por parte de la SFC, deben presentarse a esta entidad, en forma previa a la solemnización de la reforma estatutaria o a la normalización de la operación mediante escritura pública, según corresponda, los documentos que se indican a continuación, de acuerdo con la opción elegida por la o las entidades emisoras para efectos de dar cumplimiento a lo dispuesto en el artículo 6.4.1.1.42 del Decreto 2555 de 2010, y teniendo en cuenta las normas establecidas en el presente Capítulo.</w:t>
      </w:r>
      <w:r>
        <w:rPr>
          <w:rFonts w:ascii="Verdana" w:hAnsi="Verdana" w:cs="Verdana" w:eastAsia="Verdana"/>
          <w:sz w:val="24"/>
        </w:rPr>
        <w:t>Es de anotar que este requisito aplica para todas las entidades emisoras de bonos que intervengan en los procesos en cuestión (absorbente y absorbidas, escindida y beneficiarias, cedente y cesionaria, entre otras.).</w:t>
      </w:r>
    </w:p>
    <w:p>
      <w:pPr>
        <w:jc w:val="both"/>
      </w:pPr>
      <w:r>
        <w:rPr>
          <w:rFonts w:ascii="Verdana" w:hAnsi="Verdana" w:cs="Verdana" w:eastAsia="Verdana"/>
          <w:sz w:val="24"/>
        </w:rPr>
        <w:t>4.4.3.1. Autorización de la asamblea de tenedores de bonos. Si se opta por someter a consideración de la asamblea de tenedores de bonos la respectiva reforma estatutaria (inciso primero del artículo 6.4.1.1.42 del Decreto 2555 de 2010), una vez esta Superintendencia apruebe la realización de la convocatoria, atendiendo a los requisitos definidos en el subnumeral 4.3.1 y 4.3.2 del presente Capítulo y se celebre la asamblea, el representante legal de tenedores de bonos o, en su defecto, la entidad emisora, según corresponda, deben presentar a esta entidad, dentro de los 8 días hábiles siguientes a su ocurrencia, una copia del acta de la reunión, adjuntando todos los documentos que se hayan presentado a consideración de los tenedores, los cuales para todos los efectos forman parte integral del acta.</w:t>
      </w:r>
      <w:r>
        <w:rPr>
          <w:rFonts w:ascii="Verdana" w:hAnsi="Verdana" w:cs="Verdana" w:eastAsia="Verdana"/>
          <w:sz w:val="24"/>
        </w:rPr>
        <w:t>No obstante, exclusivamente en casos en los cuales el extremo deterioro de la situación financiera del emisor así lo justifique, puede convocarse a la asamblea de tenedores de bonos para someter a su consideración la aprobación de la reforma estatutaria o proceso respectivo, aún sin disponer de la totalidad de la información requerida para proporcionarles una adecuada ilustración acerca del proceso, advirtiendo expresamente a los tenedores acerca de la referida carencia.</w:t>
      </w:r>
    </w:p>
    <w:p>
      <w:pPr>
        <w:jc w:val="both"/>
      </w:pPr>
      <w:r>
        <w:rPr>
          <w:rFonts w:ascii="Verdana" w:hAnsi="Verdana" w:cs="Verdana" w:eastAsia="Verdana"/>
          <w:sz w:val="24"/>
        </w:rPr>
        <w:t xml:space="preserve">4.4.3.2. Reembolso del empréstito. Si se opta por ofrecer a los tenedores de bonos el reembolso del empréstito (numeral 1 del inciso segundo del artículo 6.4.1.1.42 del Decreto 2555 de 2010), debe enviarse a la SFC con por lo menos 5 días hábiles de antelación a la fecha prevista para su publicación: (i) el proyecto del aviso donde se formule el respectivo ofrecimiento, en el cual debe indicarse el nombre de la entidad a través de la cual se efectuará el pago, la dirección de las oficinas asignadas para tal propósito; (ii) el plazo dentro del cual puede solicitarse el reembolso, el cual no puede ser inferior a 15 días hábiles; los documentos que se deben presentar para acreditar el correspondiente derecho; (iii) la forma en que se liquidarán los intereses causados y pendientes de pago hasta la fecha del reembolso; y (iv) cualquier otra condición que se establezca para la respectiva operación y toda aquella información que resulte necesaria a efectos de ilustrar adecuadamente a los tenedores sobre la misma. </w:t>
      </w:r>
    </w:p>
    <w:p>
      <w:pPr>
        <w:jc w:val="both"/>
      </w:pPr>
      <w:r>
        <w:rPr>
          <w:rFonts w:ascii="Verdana" w:hAnsi="Verdana" w:cs="Verdana" w:eastAsia="Verdana"/>
          <w:sz w:val="24"/>
        </w:rPr>
        <w:t xml:space="preserve">4.4.3.3. Reemplazo de los bonos. Si se opta por ofrecer el reemplazo de los bonos originales por otros emitidos por la entidad resultante del proceso respectivo (numeral 2 del inciso segundo del artículo 6.4.1.1.42 del Decreto 2555 de 2010), a la carta de solicitud debe anexarse lo siguiente: </w:t>
      </w:r>
    </w:p>
    <w:p>
      <w:pPr>
        <w:jc w:val="both"/>
      </w:pPr>
      <w:r>
        <w:rPr>
          <w:rFonts w:ascii="Verdana" w:hAnsi="Verdana" w:cs="Verdana" w:eastAsia="Verdana"/>
          <w:sz w:val="24"/>
        </w:rPr>
        <w:t xml:space="preserve">4.4.3.3.1. El documento que contenga la justificación del respectivo proceso, incluyendo los estados financieros presentados a consideración de los órganos sociales competentes para la aprobación de la reforma, de cada una de las entidades que participarán en el proceso, junto con sus correspondientes indicadores financieros. </w:t>
        <w:cr/>
      </w:r>
    </w:p>
    <w:p>
      <w:pPr>
        <w:jc w:val="both"/>
      </w:pPr>
      <w:r>
        <w:rPr>
          <w:rFonts w:ascii="Verdana" w:hAnsi="Verdana" w:cs="Verdana" w:eastAsia="Verdana"/>
          <w:sz w:val="24"/>
        </w:rPr>
        <w:t xml:space="preserve">4.4.3.3.2. Informe de la sociedad calificadora de valores que hubiere calificado inicialmente la o las emisiones de bonos respecto a las cuales se solicita la autorización, incluyendo la calificación actual, así como la que tendrían la o las emisiones en cuestión, en el evento en que quien asumiera la responsabilidad de las respectivas obligaciones fuera el ente resultante del proceso que se pretende adelantar. </w:t>
      </w:r>
    </w:p>
    <w:p>
      <w:pPr>
        <w:jc w:val="both"/>
      </w:pPr>
      <w:r>
        <w:rPr>
          <w:rFonts w:ascii="Verdana" w:hAnsi="Verdana" w:cs="Verdana" w:eastAsia="Verdana"/>
          <w:sz w:val="24"/>
        </w:rPr>
        <w:t xml:space="preserve">4.4.3.3.3. Autorización impartida por el organismo estatal que ejerza inspección, vigilancia o control sobre las entidades que intervendrán en el proceso. </w:t>
        <w:cr/>
      </w:r>
    </w:p>
    <w:p>
      <w:pPr>
        <w:jc w:val="both"/>
      </w:pPr>
      <w:r>
        <w:rPr>
          <w:rFonts w:ascii="Verdana" w:hAnsi="Verdana" w:cs="Verdana" w:eastAsia="Verdana"/>
          <w:sz w:val="24"/>
        </w:rPr>
        <w:t>4.4.3.3.4. Certificado actualizado de existencia y representación legal de la o las entidades emisoras de bonos con una antigüedad no superior a 1 mes, salvo que la entidad emisora sea una entidad vigilada por la SFC.</w:t>
        <w:cr/>
      </w:r>
      <w:r>
        <w:rPr>
          <w:rFonts w:ascii="Verdana" w:hAnsi="Verdana" w:cs="Verdana" w:eastAsia="Verdana"/>
          <w:sz w:val="24"/>
        </w:rPr>
        <w:t/>
        <w:cr/>
      </w:r>
      <w:r>
        <w:rPr>
          <w:rFonts w:ascii="Verdana" w:hAnsi="Verdana" w:cs="Verdana" w:eastAsia="Verdana"/>
          <w:sz w:val="24"/>
        </w:rPr>
        <w:t>La SFC imparte la autorización si se acredita que la calificación de las respectivas emisiones, tomando en consideración los cambios que se producirían como consecuencia de la operación proyectada, mejora o se mantiene en la categoría que tenía antes de la misma, para lo cual todas las entidades intervinientes en el proceso deben suministrarle a la sociedad calificadora de valores toda la información que esta requiera.</w:t>
        <w:cr/>
      </w:r>
      <w:r>
        <w:rPr>
          <w:rFonts w:ascii="Verdana" w:hAnsi="Verdana" w:cs="Verdana" w:eastAsia="Verdana"/>
          <w:sz w:val="24"/>
        </w:rPr>
        <w:t/>
        <w:cr/>
      </w:r>
      <w:r>
        <w:rPr>
          <w:rFonts w:ascii="Verdana" w:hAnsi="Verdana" w:cs="Verdana" w:eastAsia="Verdana"/>
          <w:sz w:val="24"/>
        </w:rPr>
        <w:t>En caso de que alguna de las emisiones no estuviere calificada con anterioridad, puede tomarse, exclusivamente para efectos del trámite a que se refiere el presente subnumeral, la calificación asignada a otra u otras emisiones de similares características realizadas por la misma entidad. En caso de que ninguna de las emisiones de bonos efectuadas por la entidad hubiere sido objeto de calificación con anterioridad, debe pedirse que la sociedad calificadora de valores emita simultáneamente una calificación anterior y posterior a la realización de la reforma estatutaria u operación proyectada.</w:t>
        <w:cr/>
      </w:r>
      <w:r>
        <w:rPr>
          <w:rFonts w:ascii="Verdana" w:hAnsi="Verdana" w:cs="Verdana" w:eastAsia="Verdana"/>
          <w:sz w:val="24"/>
        </w:rPr>
        <w:t/>
        <w:cr/>
      </w:r>
      <w:r>
        <w:rPr>
          <w:rFonts w:ascii="Verdana" w:hAnsi="Verdana" w:cs="Verdana" w:eastAsia="Verdana"/>
          <w:sz w:val="24"/>
        </w:rPr>
        <w:t>No obstante lo anterior, exclusivamente cuando se trate de establecimientos de crédito para efectos de la autorización a que hace referencia el presente subnumeral, no se debe exigir la calificación mencionada en el subnumeral 4.4.3.3.2 del presente Capítulo, en los casos en que se haga necesaria la inmediata realización de la operación proyectada. En este evento, a la solicitud debe anexarse adicionalmente los siguientes documentos:</w:t>
        <w:cr/>
      </w:r>
    </w:p>
    <w:p>
      <w:pPr>
        <w:jc w:val="both"/>
      </w:pPr>
      <w:r>
        <w:rPr>
          <w:rFonts w:ascii="Verdana" w:hAnsi="Verdana" w:cs="Verdana" w:eastAsia="Verdana"/>
          <w:sz w:val="24"/>
        </w:rPr>
        <w:t xml:space="preserve">4.4.3.3.4.1. Certificación emitida por el representante legal de la institución afectada, exponiendo detalladamente las circunstancias que justifican la solicitud de la excepción y que hacen imperativa la urgente realización de la operación, y </w:t>
        <w:cr/>
      </w:r>
    </w:p>
    <w:p>
      <w:pPr>
        <w:jc w:val="both"/>
      </w:pPr>
      <w:r>
        <w:rPr>
          <w:rFonts w:ascii="Verdana" w:hAnsi="Verdana" w:cs="Verdana" w:eastAsia="Verdana"/>
          <w:sz w:val="24"/>
        </w:rPr>
        <w:t>4.4.3.3.4.2. Certificación emitida por el representante legal de la entidad que vaya a asumir la responsabilidad por el pago de los bonos emitidos por la entidad absorbida o cedente, respecto a que la realización de la operación proyectada no implica un deterioro significativo en su situación general y que, en caso de ser a su vez emisor de bonos, con la misma no se lesionan los intereses de los tenedores de dichos títulos.</w:t>
      </w:r>
      <w:r>
        <w:rPr>
          <w:rFonts w:ascii="Verdana" w:hAnsi="Verdana" w:cs="Verdana" w:eastAsia="Verdana"/>
          <w:sz w:val="24"/>
        </w:rPr>
        <w:t xml:space="preserve">El contenido de los referidos documentos debe ser comunicado por la SFC por los medios previstos para la divulgación de información relevante. </w:t>
      </w:r>
    </w:p>
    <w:p>
      <w:pPr>
        <w:jc w:val="both"/>
      </w:pPr>
      <w:r>
        <w:rPr>
          <w:rFonts w:ascii="Verdana" w:hAnsi="Verdana" w:cs="Verdana" w:eastAsia="Verdana"/>
          <w:sz w:val="24"/>
        </w:rPr>
        <w:t xml:space="preserve">4.4.3.4. Otorgamiento de una garantía. Si la entidad emisora opta por ofrecer una garantía, la cual debe cubrir el monto del capital e intereses proyectados para el período que resta hasta el vencimiento del plazo del empréstito (numeral 3 del inciso segundo del artículo 6.4.1.1.42 del Decreto 2555 de 2010), para obtener la respectiva autorización debe remitir a esta Superintendencia copia auténtica del contrato de aval otorgado por un establecimiento de crédito sometido a inspección y vigilancia de la SFC, debidamente suscrito por el representante legal del mismo, junto con un certificado actualizado de existencia y representación legal de la sociedad. Si se ofrece otro tipo de garantía, debe someterse a consideración de esta Superintendencia el documento en que conste la misma, el cual debe incluir en forma muy clara la cobertura de la garantía, su vigencia, las condiciones para hacerla efectiva, el procedimiento a seguir para su reclamación y los eventos en que puede escindirse el compromiso adquirido. Es de advertir que la garantía que se ofrezca debe tener vigencia hasta que se haya producido la redención total del empréstito, para lo cual se exige que las primas, comisiones u otros emolumentos que pida el garante como contraprestación a esta operación sean totalmente cancelados al momento de suscribirse el respectivo contrato. </w:t>
        <w:cr/>
      </w:r>
    </w:p>
    <w:p>
      <w:pPr>
        <w:jc w:val="left"/>
      </w:pPr>
      <w:r>
        <w:rPr>
          <w:rFonts w:ascii="Verdana" w:hAnsi="Verdana" w:cs="Verdana" w:eastAsia="Verdana"/>
          <w:sz w:val="24"/>
          <w:b w:val="on"/>
        </w:rPr>
        <w:t xml:space="preserve">4.5. Deber de colaboración por parte del emisor al representante de los tenedores </w:t>
      </w:r>
    </w:p>
    <w:p>
      <w:pPr>
        <w:jc w:val="both"/>
      </w:pPr>
      <w:r>
        <w:rPr>
          <w:rFonts w:ascii="Verdana" w:hAnsi="Verdana" w:cs="Verdana" w:eastAsia="Verdana"/>
          <w:sz w:val="24"/>
        </w:rPr>
        <w:t xml:space="preserve">Los administradores y el revisor fiscal de las entidades emisoras de bonos deben prestarle su completa colaboración al representante legal de los tenedores de los bonos, atendiendo adecuadamente todos sus requerimientos, lo cual incluye el suministro oportuno de toda la documentación que éste requiera del que trata el numeral 3 del artículo 6.4.1.1.7 del Decreto 2555 de 2010. El incumplimiento a la obligación antes señalada debe ser comunicado a la SFC, adjuntando copia del oficio mediante el cual se elevó la solicitud. </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III. Título I. Capítulo I: Deberes y responsabilidades de los Emisores de Valores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2025-07-03T14:27:08Z</dcterms:created>
  <dc:creator>Apache POI</dc:creator>
</cp:coreProperties>
</file>