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 Emisores de valores</w:t>
      </w:r>
    </w:p>
    <w:p>
      <w:pPr>
        <w:jc w:val="center"/>
      </w:pPr>
      <w:r>
        <w:rPr>
          <w:rFonts w:ascii="Verdana" w:hAnsi="Verdana" w:cs="Verdana" w:eastAsia="Verdana"/>
          <w:sz w:val="24"/>
          <w:b w:val="on"/>
        </w:rPr>
        <w:t>Capítulo V. Código País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Ámbito de aplicación</w:t>
      </w:r>
    </w:p>
    <w:p>
      <w:pPr>
        <w:jc w:val="both"/>
      </w:pPr>
      <w:r>
        <w:rPr>
          <w:rFonts w:ascii="Verdana" w:hAnsi="Verdana" w:cs="Verdana" w:eastAsia="Verdana"/>
          <w:sz w:val="24"/>
        </w:rPr>
        <w:t xml:space="preserve">El presente capítulo es aplicable a todas las entidades que tengan valores inscritos en el Registro Nacional de Valores y Emisores (RNVE) excepto la Nación, los patrimonios autónomos administrados por las sociedades fiduciarias, los fondos de inversión colectiva, las universalidades de que trata la Ley 546 de 1999 y el artículo 72 de la Ley 1328 de 2009, las entidades territoriales a que se refiere el artículo 286 de la Constitución Política, los organismos multilaterales de crédito, los gobiernos extranjeros, las entidades públicas extranjeras, las sucursales de sociedades extranjeras, las entidades extranjeras, los emisores inscritos exclusivamente en el segundo mercado y los emisores de valores que cuenten con inscripción temporal ante el RNVE. </w:t>
        <w:cr/>
      </w:r>
      <w:r>
        <w:rPr>
          <w:rFonts w:ascii="Verdana" w:hAnsi="Verdana" w:cs="Verdana" w:eastAsia="Verdana"/>
          <w:sz w:val="24"/>
        </w:rPr>
        <w:t/>
        <w:cr/>
      </w:r>
      <w:r>
        <w:rPr>
          <w:rFonts w:ascii="Verdana" w:hAnsi="Verdana" w:cs="Verdana" w:eastAsia="Verdana"/>
          <w:sz w:val="24"/>
        </w:rPr>
        <w:t xml:space="preserve">El Código País se encuentra incorporado al presente capítulo mediante el Anexo 1. </w:t>
        <w:cr/>
      </w:r>
    </w:p>
    <w:p>
      <w:pPr>
        <w:jc w:val="left"/>
      </w:pPr>
      <w:r>
        <w:rPr>
          <w:rFonts w:ascii="Verdana" w:hAnsi="Verdana" w:cs="Verdana" w:eastAsia="Verdana"/>
          <w:sz w:val="24"/>
          <w:b w:val="on"/>
        </w:rPr>
        <w:t>2. Alcance del Código País y adopción del reporte de implementación</w:t>
      </w:r>
    </w:p>
    <w:p>
      <w:pPr>
        <w:jc w:val="both"/>
      </w:pPr>
      <w:r>
        <w:rPr>
          <w:rFonts w:ascii="Verdana" w:hAnsi="Verdana" w:cs="Verdana" w:eastAsia="Verdana"/>
          <w:sz w:val="24"/>
        </w:rPr>
        <w:t xml:space="preserve">El Código País se fundamenta en el principio de “cumpla o explique” y, por lo tanto, sus recomendaciones son de adopción voluntaria para los emisores de valores. Los destinatarios del presente capítulo deben dar a conocer al mercado el nivel de implementación de las recomendaciones contenidas en el Código País, mediante el diligenciamiento y remisión anual a la Superintendencia Financiera de Colombia (SFC) del Reporte de Implementación de Mejores Prácticas Corporativas. Dicho reporte se incorpora como Anexo 2. </w:t>
      </w:r>
      <w:r>
        <w:rPr>
          <w:rFonts w:ascii="Verdana" w:hAnsi="Verdana" w:cs="Verdana" w:eastAsia="Verdana"/>
          <w:sz w:val="24"/>
        </w:rPr>
        <w:t>El Reporte de Implementación debe reflejar la situación del emisor frente a las recomendaciones del Código País durante el período comprendido entre enero y diciembre del año inmediatamente anterior a su diligenciamiento, reporte y envío.</w:t>
      </w:r>
    </w:p>
    <w:p>
      <w:pPr>
        <w:jc w:val="left"/>
      </w:pPr>
      <w:r>
        <w:rPr>
          <w:rFonts w:ascii="Verdana" w:hAnsi="Verdana" w:cs="Verdana" w:eastAsia="Verdana"/>
          <w:sz w:val="24"/>
          <w:b w:val="on"/>
        </w:rPr>
        <w:t>3. Estructura del Código País</w:t>
      </w:r>
    </w:p>
    <w:p>
      <w:pPr>
        <w:jc w:val="both"/>
      </w:pPr>
      <w:r>
        <w:rPr>
          <w:rFonts w:ascii="Verdana" w:hAnsi="Verdana" w:cs="Verdana" w:eastAsia="Verdana"/>
          <w:sz w:val="24"/>
        </w:rPr>
        <w:t>El Código está integrado por 33 Medidas, las cuales agrupan hasta 148 recomendaciones que pueden ser adoptadas por los emisores de valores en materia de: (i) Derechos y trato equitativo de los accionistas, (ii) Asamblea General de Accionistas, (iii) Junta Directiva, (iv) Arquitectura de Control y (v) Transparencia e Información Financiera y no Financiera.</w:t>
      </w:r>
    </w:p>
    <w:p>
      <w:pPr>
        <w:jc w:val="left"/>
      </w:pPr>
      <w:r>
        <w:rPr>
          <w:rFonts w:ascii="Verdana" w:hAnsi="Verdana" w:cs="Verdana" w:eastAsia="Verdana"/>
          <w:sz w:val="24"/>
          <w:b w:val="on"/>
        </w:rPr>
        <w:t>4. Diligenciamiento y reporte</w:t>
      </w:r>
    </w:p>
    <w:p>
      <w:pPr>
        <w:jc w:val="both"/>
      </w:pPr>
      <w:r>
        <w:rPr>
          <w:rFonts w:ascii="Verdana" w:hAnsi="Verdana" w:cs="Verdana" w:eastAsia="Verdana"/>
          <w:sz w:val="24"/>
        </w:rPr>
        <w:t xml:space="preserve">Para el diligenciamiento y remisión del Reporte de Implementación de Mejores Prácticas Corporativas, se debe ingresar a la página web de la SFC: </w:t>
      </w:r>
      <w:r>
        <w:rPr>
          <w:rFonts w:ascii="Verdana" w:hAnsi="Verdana" w:cs="Verdana" w:eastAsia="Verdana"/>
          <w:sz w:val="24"/>
        </w:rPr>
        <w:t>www.superfinanciera.gov.co</w:t>
      </w:r>
      <w:r>
        <w:rPr>
          <w:rFonts w:ascii="Verdana" w:hAnsi="Verdana" w:cs="Verdana" w:eastAsia="Verdana"/>
          <w:sz w:val="24"/>
        </w:rPr>
        <w:t>.</w:t>
        <w:cr/>
      </w:r>
      <w:r>
        <w:rPr>
          <w:rFonts w:ascii="Verdana" w:hAnsi="Verdana" w:cs="Verdana" w:eastAsia="Verdana"/>
          <w:sz w:val="24"/>
        </w:rPr>
        <w:t/>
        <w:cr/>
      </w:r>
      <w:r>
        <w:rPr>
          <w:rFonts w:ascii="Verdana" w:hAnsi="Verdana" w:cs="Verdana" w:eastAsia="Verdana"/>
          <w:sz w:val="24"/>
        </w:rPr>
        <w:t xml:space="preserve">Se debe mantener la estructura y orden del Reporte, sin suprimir o adicionar recomendaciones. Cada recomendación se debe responder con SI, NO o NO APLICA (N.A.), señalando la casilla que corresponda según se adopte o no la recomendación referida, o si la misma no resulta aplicable. </w:t>
        <w:cr/>
      </w:r>
      <w:r>
        <w:rPr>
          <w:rFonts w:ascii="Verdana" w:hAnsi="Verdana" w:cs="Verdana" w:eastAsia="Verdana"/>
          <w:sz w:val="24"/>
        </w:rPr>
        <w:t xml:space="preserve">En virtud del modelo adoptado, cada recomendación cuenta con un espacio para que los emisores que han acogido las recomendaciones describan brevemente la manera cómo han realizado dicha implementación. En caso contrario, el emisor deberá explicar las razones por las cuales no ha acogido la misma. </w:t>
        <w:cr/>
      </w:r>
      <w:r>
        <w:rPr>
          <w:rFonts w:ascii="Verdana" w:hAnsi="Verdana" w:cs="Verdana" w:eastAsia="Verdana"/>
          <w:sz w:val="24"/>
        </w:rPr>
        <w:t/>
        <w:cr/>
      </w:r>
      <w:r>
        <w:rPr>
          <w:rFonts w:ascii="Verdana" w:hAnsi="Verdana" w:cs="Verdana" w:eastAsia="Verdana"/>
          <w:sz w:val="24"/>
        </w:rPr>
        <w:t>La respuesta N.A. sólo puede ser suministrada por el emisor en aquellos casos en que por razones legales no le sea posible adoptar la recomendación. En este evento deberá indicar en forma precisa la norma o disposiciones que se lo impiden.</w:t>
        <w:cr/>
      </w:r>
      <w:r>
        <w:rPr>
          <w:rFonts w:ascii="Verdana" w:hAnsi="Verdana" w:cs="Verdana" w:eastAsia="Verdana"/>
          <w:sz w:val="24"/>
        </w:rPr>
        <w:t/>
        <w:cr/>
      </w:r>
      <w:r>
        <w:rPr>
          <w:rFonts w:ascii="Verdana" w:hAnsi="Verdana" w:cs="Verdana" w:eastAsia="Verdana"/>
          <w:sz w:val="24"/>
        </w:rPr>
        <w:t>Cada recomendación cuenta con una casilla para indicar la fecha en que el emisor la implementó por primera vez. Adicionalmente, se contará con una casilla donde se registrarán las fechas en las cuales se han realizado modificaciones.</w:t>
        <w:cr/>
      </w:r>
      <w:r>
        <w:rPr>
          <w:rFonts w:ascii="Verdana" w:hAnsi="Verdana" w:cs="Verdana" w:eastAsia="Verdana"/>
          <w:sz w:val="24"/>
        </w:rPr>
        <w:t/>
        <w:cr/>
      </w:r>
      <w:r>
        <w:rPr>
          <w:rFonts w:ascii="Verdana" w:hAnsi="Verdana" w:cs="Verdana" w:eastAsia="Verdana"/>
          <w:sz w:val="24"/>
        </w:rPr>
        <w:t>Toda la información debe ajustarse a los principios de transparencia, integralidad y veracidad, por tal razón no podrá incluir información sesgada, insuficiente, no verificable, o cualquier otra que pueda inducir a error o confusión, o no permita al mercado en general y a los inversionistas hacerse un juicio fundado y objetivo sobre la entidad.</w:t>
        <w:cr/>
      </w:r>
      <w:r>
        <w:rPr>
          <w:rFonts w:ascii="Verdana" w:hAnsi="Verdana" w:cs="Verdana" w:eastAsia="Verdana"/>
          <w:sz w:val="24"/>
        </w:rPr>
        <w:t/>
        <w:cr/>
      </w:r>
      <w:r>
        <w:rPr>
          <w:rFonts w:ascii="Verdana" w:hAnsi="Verdana" w:cs="Verdana" w:eastAsia="Verdana"/>
          <w:sz w:val="24"/>
        </w:rPr>
        <w:t xml:space="preserve">Así mismo, las explicaciones deben estar redactadas en un lenguaje claro y preciso, de forma tal que no den lugar a la formación de un juicio erróneo entre sus destinatarios. </w:t>
        <w:cr/>
      </w:r>
      <w:r>
        <w:rPr>
          <w:rFonts w:ascii="Verdana" w:hAnsi="Verdana" w:cs="Verdana" w:eastAsia="Verdana"/>
          <w:sz w:val="24"/>
        </w:rPr>
        <w:t/>
        <w:cr/>
      </w:r>
      <w:r>
        <w:rPr>
          <w:rFonts w:ascii="Verdana" w:hAnsi="Verdana" w:cs="Verdana" w:eastAsia="Verdana"/>
          <w:sz w:val="24"/>
        </w:rPr>
        <w:t>El Reporte debe ser enviado y actualizado por el emisor en el RNVE, de acuerdo con lo previsto en el Capítulo I del Título V de la presente Parte, publicado por el emisor en su página web y puesto en conocimiento de la asamblea general de accionistas, u órgano que haga sus veces, por parte de la administración del emisor, y hará parte del informe de gestión que dicha administración aprueba y presenta cada año durante la sesión ordinaria de la asamblea. Aquellas entidades que opten por adoptar un informe anual de gobierno corporativo, de conformidad con la recomendación 33.1 del Código País, deberán informarles a los accionistas que el Reporte de Implementación se encuentra publicado en la página web de la entidad.</w:t>
      </w:r>
    </w:p>
    <w:p>
      <w:pPr>
        <w:jc w:val="left"/>
      </w:pPr>
      <w:r>
        <w:rPr>
          <w:rFonts w:ascii="Verdana" w:hAnsi="Verdana" w:cs="Verdana" w:eastAsia="Verdana"/>
          <w:sz w:val="24"/>
          <w:b w:val="on"/>
        </w:rPr>
        <w:t>5. Implementación de las recomendaciones</w:t>
      </w:r>
    </w:p>
    <w:p>
      <w:pPr>
        <w:jc w:val="both"/>
      </w:pPr>
      <w:r>
        <w:rPr>
          <w:rFonts w:ascii="Verdana" w:hAnsi="Verdana" w:cs="Verdana" w:eastAsia="Verdana"/>
          <w:sz w:val="24"/>
        </w:rPr>
        <w:t>Los destinatarios del Código País deben incluir en sus estatutos una cláusula según la cual la entidad, sus administradores y empleados o funcionarios se encuentran obligados a cumplir las recomendaciones que voluntariamente ha adoptado la sociedad.</w:t>
        <w:cr/>
      </w:r>
    </w:p>
    <w:p>
      <w:pPr>
        <w:jc w:val="left"/>
      </w:pPr>
      <w:r>
        <w:rPr>
          <w:rFonts w:ascii="Verdana" w:hAnsi="Verdana" w:cs="Verdana" w:eastAsia="Verdana"/>
          <w:sz w:val="24"/>
          <w:b w:val="on"/>
        </w:rPr>
        <w:t>6. Contextualización de las recomendaciones</w:t>
      </w:r>
    </w:p>
    <w:p>
      <w:pPr>
        <w:jc w:val="both"/>
      </w:pPr>
      <w:r>
        <w:rPr>
          <w:rFonts w:ascii="Verdana" w:hAnsi="Verdana" w:cs="Verdana" w:eastAsia="Verdana"/>
          <w:sz w:val="24"/>
        </w:rPr>
        <w:t>Cuando por su naturaleza el emisor no cuente con el órgano específico al que se refiere la recomendación, se entenderá que la misma hace referencia al órgano que al interior de la entidad sea equivalente o haga sus veces.</w:t>
        <w:cr/>
      </w:r>
    </w:p>
    <w:p>
      <w:pPr>
        <w:jc w:val="left"/>
      </w:pPr>
      <w:r>
        <w:rPr>
          <w:rFonts w:ascii="Verdana" w:hAnsi="Verdana" w:cs="Verdana" w:eastAsia="Verdana"/>
          <w:sz w:val="24"/>
          <w:b w:val="on"/>
        </w:rPr>
        <w:t xml:space="preserve">7. Periodicidad </w:t>
      </w:r>
    </w:p>
    <w:p>
      <w:pPr>
        <w:jc w:val="both"/>
      </w:pPr>
      <w:r>
        <w:rPr>
          <w:rFonts w:ascii="Verdana" w:hAnsi="Verdana" w:cs="Verdana" w:eastAsia="Verdana"/>
          <w:sz w:val="24"/>
        </w:rPr>
        <w:t>Los emisores de valores obligados a diligenciar y remitir el Reporte de Implementación deberán hacerlo cada año, en el periodo comprendido entre el 8 y el 31 de enero, antes de que se lleve a cabo la sesión ordinaria de la asamblea general ordinaria de accionistas del emisor, u órgano que haga sus veces. El reporte enviado por los emisores hará referencia al período enero-diciembre del año inmediatamente anterior.</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 Capítulo V: Código País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2025-07-03T14:27:10Z</dcterms:created>
  <dc:creator>Apache POI</dc:creator>
</cp:coreProperties>
</file>