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III. Instrucciones generales relativas a las operaciones de las entidades administradoras de pensiones y cesantías</w:t>
      </w:r>
    </w:p>
    <w:p>
      <w:pPr>
        <w:jc w:val="center"/>
      </w:pPr>
      <w:r>
        <w:rPr>
          <w:rFonts w:ascii="Verdana" w:hAnsi="Verdana" w:cs="Verdana" w:eastAsia="Verdana"/>
          <w:sz w:val="24"/>
          <w:b w:val="on"/>
        </w:rPr>
        <w:t>Capítulo III. Disposiciones especiales aplicables a la administración de fondos de cesantías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Disposiciones relacionadas con los fondos administrados</w:t>
      </w:r>
    </w:p>
    <w:p>
      <w:pPr>
        <w:jc w:val="left"/>
      </w:pPr>
      <w:r>
        <w:rPr>
          <w:rFonts w:ascii="Verdana" w:hAnsi="Verdana" w:cs="Verdana" w:eastAsia="Verdana"/>
          <w:sz w:val="24"/>
          <w:b w:val="on"/>
        </w:rPr>
        <w:t>1.1. Reglamento de funcionamiento de los fondos de cesantías</w:t>
      </w:r>
    </w:p>
    <w:p>
      <w:pPr>
        <w:jc w:val="both"/>
      </w:pPr>
      <w:r>
        <w:rPr>
          <w:rFonts w:ascii="Verdana" w:hAnsi="Verdana" w:cs="Verdana" w:eastAsia="Verdana"/>
          <w:sz w:val="24"/>
        </w:rPr>
        <w:t>El artículo 160 del Estatuto Orgánico del Sistema Financiero (EOSF) dispone que todo fondo de cesantía debe tener un reglamento de funcionamiento, aprobado de manera general o individual por la Superintendencia Financiera de Colombia (SFC).</w:t>
        <w:cr/>
      </w:r>
      <w:r>
        <w:rPr>
          <w:rFonts w:ascii="Verdana" w:hAnsi="Verdana" w:cs="Verdana" w:eastAsia="Verdana"/>
          <w:sz w:val="24"/>
        </w:rPr>
        <w:t/>
        <w:cr/>
      </w:r>
      <w:r>
        <w:rPr>
          <w:rFonts w:ascii="Verdana" w:hAnsi="Verdana" w:cs="Verdana" w:eastAsia="Verdana"/>
          <w:sz w:val="24"/>
        </w:rPr>
        <w:t>En virtud de lo anterior, se ha considerado procedente impartir las siguientes instrucciones, en orden a facilitar el ejercicio de la actividad de estos fondos dentro de las normas legales vigentes:</w:t>
        <w:cr/>
      </w:r>
    </w:p>
    <w:p>
      <w:pPr>
        <w:jc w:val="left"/>
      </w:pPr>
      <w:r>
        <w:rPr>
          <w:rFonts w:ascii="Verdana" w:hAnsi="Verdana" w:cs="Verdana" w:eastAsia="Verdana"/>
          <w:sz w:val="24"/>
          <w:b w:val="on"/>
        </w:rPr>
        <w:t xml:space="preserve">1.1.1. Régimen de aprobación general </w:t>
      </w:r>
    </w:p>
    <w:p>
      <w:pPr>
        <w:jc w:val="both"/>
      </w:pPr>
      <w:r>
        <w:rPr>
          <w:rFonts w:ascii="Verdana" w:hAnsi="Verdana" w:cs="Verdana" w:eastAsia="Verdana"/>
          <w:sz w:val="24"/>
        </w:rPr>
        <w:t>Se entienden aprobados por la SFC todos los reglamentos de funcionamiento de los fondos de cesantía, debidamente adoptados por la junta directiva o el órgano competente de la respectiva sociedad administradora, siempre y cuando el contenido de sus previsiones se ajuste cabalmente a las exigencias mínimas que se señalan a continuación:</w:t>
        <w:cr/>
      </w:r>
    </w:p>
    <w:p>
      <w:pPr>
        <w:jc w:val="left"/>
      </w:pPr>
      <w:r>
        <w:rPr>
          <w:rFonts w:ascii="Verdana" w:hAnsi="Verdana" w:cs="Verdana" w:eastAsia="Verdana"/>
          <w:sz w:val="24"/>
          <w:b w:val="on"/>
        </w:rPr>
        <w:t>1.1.1.1. Denominación del fondo</w:t>
      </w:r>
    </w:p>
    <w:p>
      <w:pPr>
        <w:jc w:val="both"/>
      </w:pPr>
      <w:r>
        <w:rPr>
          <w:rFonts w:ascii="Verdana" w:hAnsi="Verdana" w:cs="Verdana" w:eastAsia="Verdana"/>
          <w:sz w:val="24"/>
        </w:rPr>
        <w:t>El fondo de cesantía se denominará “Fondo de Cesantías XXX” o “XXX Fondo de Cesantías”; en consecuencia, cuando se utilice esta expresión en los diversos contratos o documentos que se suscriban y en las disposiciones internas de la sociedad administradora, debe entenderse que se hace referencia al fondo de cesantía.</w:t>
        <w:cr/>
      </w:r>
    </w:p>
    <w:p>
      <w:pPr>
        <w:jc w:val="left"/>
      </w:pPr>
      <w:r>
        <w:rPr>
          <w:rFonts w:ascii="Verdana" w:hAnsi="Verdana" w:cs="Verdana" w:eastAsia="Verdana"/>
          <w:sz w:val="24"/>
          <w:b w:val="on"/>
        </w:rPr>
        <w:t>1.1.1.2. Naturaleza jurídica del fondo</w:t>
      </w:r>
    </w:p>
    <w:p>
      <w:pPr>
        <w:jc w:val="both"/>
      </w:pPr>
      <w:r>
        <w:rPr>
          <w:rFonts w:ascii="Verdana" w:hAnsi="Verdana" w:cs="Verdana" w:eastAsia="Verdana"/>
          <w:sz w:val="24"/>
        </w:rPr>
        <w:t>El fondo de cesantía es un patrimonio autónomo independiente del patrimonio de la sociedad administradora, conformado por cuentas de capitalización individual representadas en unidades. Cada cuenta individual debe tener 2 subcuentas, una de corto plazo que corresponde al portafolio de corto plazo y una de largo plazo que corresponde al portafolio de largo plazo.</w:t>
        <w:cr/>
      </w:r>
    </w:p>
    <w:p>
      <w:pPr>
        <w:jc w:val="left"/>
      </w:pPr>
      <w:r>
        <w:rPr>
          <w:rFonts w:ascii="Verdana" w:hAnsi="Verdana" w:cs="Verdana" w:eastAsia="Verdana"/>
          <w:sz w:val="24"/>
          <w:b w:val="on"/>
        </w:rPr>
        <w:t>1.1.1.3. Partícipes del fondo</w:t>
      </w:r>
    </w:p>
    <w:p>
      <w:pPr>
        <w:jc w:val="both"/>
      </w:pPr>
      <w:r>
        <w:rPr>
          <w:rFonts w:ascii="Verdana" w:hAnsi="Verdana" w:cs="Verdana" w:eastAsia="Verdana"/>
          <w:sz w:val="24"/>
        </w:rPr>
        <w:t>Son partícipes del fondo de cesantía las personas que se relacionan a continuación:</w:t>
        <w:cr/>
      </w:r>
    </w:p>
    <w:p>
      <w:pPr>
        <w:jc w:val="both"/>
      </w:pPr>
      <w:r>
        <w:rPr>
          <w:rFonts w:ascii="Verdana" w:hAnsi="Verdana" w:cs="Verdana" w:eastAsia="Verdana"/>
          <w:sz w:val="24"/>
        </w:rPr>
        <w:t>1.1.1.3.1. Los trabajadores particulares vinculados mediante contratos de trabajo que se afilien al fondo.</w:t>
        <w:cr/>
      </w:r>
    </w:p>
    <w:p>
      <w:pPr>
        <w:jc w:val="both"/>
      </w:pPr>
      <w:r>
        <w:rPr>
          <w:rFonts w:ascii="Verdana" w:hAnsi="Verdana" w:cs="Verdana" w:eastAsia="Verdana"/>
          <w:sz w:val="24"/>
        </w:rPr>
        <w:t>1.1.1.3.2. Los trabajadores particulares que, no obstante hallarse vinculados mediante contratos de trabajo celebrados con anterioridad a la Ley 50 de 1990, se hayan acogido voluntariamente al régimen especial de auxilio de cesantía previsto en los artículos 99 y siguientes de dicha ley y se hayan afiliado al fondo.</w:t>
        <w:cr/>
      </w:r>
    </w:p>
    <w:p>
      <w:pPr>
        <w:jc w:val="both"/>
      </w:pPr>
      <w:r>
        <w:rPr>
          <w:rFonts w:ascii="Verdana" w:hAnsi="Verdana" w:cs="Verdana" w:eastAsia="Verdana"/>
          <w:sz w:val="24"/>
        </w:rPr>
        <w:t>1.1.1.3.3. Las personas naturales que, sin estar subordinadas a un empleador, realicen personal y directamente una actividad económica o, quienes siendo empleadores laboren en su propia empresa y decidan voluntariamente afiliarse al fondo.</w:t>
        <w:cr/>
      </w:r>
    </w:p>
    <w:p>
      <w:pPr>
        <w:jc w:val="left"/>
      </w:pPr>
      <w:r>
        <w:rPr>
          <w:rFonts w:ascii="Verdana" w:hAnsi="Verdana" w:cs="Verdana" w:eastAsia="Verdana"/>
          <w:sz w:val="24"/>
          <w:b w:val="on"/>
        </w:rPr>
        <w:t>1.1.1.4. Recursos de los portafolios del fondo de cesantía</w:t>
      </w:r>
    </w:p>
    <w:p>
      <w:pPr>
        <w:jc w:val="both"/>
      </w:pPr>
      <w:r>
        <w:rPr>
          <w:rFonts w:ascii="Verdana" w:hAnsi="Verdana" w:cs="Verdana" w:eastAsia="Verdana"/>
          <w:sz w:val="24"/>
        </w:rPr>
        <w:t>Los portafolios del fondo de cesantía tienen las siguientes fuentes de recursos:</w:t>
        <w:cr/>
      </w:r>
    </w:p>
    <w:p>
      <w:pPr>
        <w:jc w:val="both"/>
      </w:pPr>
      <w:r>
        <w:rPr>
          <w:rFonts w:ascii="Verdana" w:hAnsi="Verdana" w:cs="Verdana" w:eastAsia="Verdana"/>
          <w:sz w:val="24"/>
        </w:rPr>
        <w:t>1.1.1.4.1. Las sumas que por concepto de auxilio de cesantía sean aportadas de conformidad con lo previsto en los artículos 249 a 258 del Código Sustantivo del Trabajo y artículos 98 a 106 de la Ley 50 de 1990.</w:t>
        <w:cr/>
      </w:r>
    </w:p>
    <w:p>
      <w:pPr>
        <w:jc w:val="both"/>
      </w:pPr>
      <w:r>
        <w:rPr>
          <w:rFonts w:ascii="Verdana" w:hAnsi="Verdana" w:cs="Verdana" w:eastAsia="Verdana"/>
          <w:sz w:val="24"/>
        </w:rPr>
        <w:t>1.1.1.4.2. Las sumas entregadas como aportes voluntarios por los afiliados independientes a que se refiere el subnumeral 1.1.1.3.3. anterior.</w:t>
        <w:cr/>
      </w:r>
    </w:p>
    <w:p>
      <w:pPr>
        <w:jc w:val="both"/>
      </w:pPr>
      <w:r>
        <w:rPr>
          <w:rFonts w:ascii="Verdana" w:hAnsi="Verdana" w:cs="Verdana" w:eastAsia="Verdana"/>
          <w:sz w:val="24"/>
        </w:rPr>
        <w:t>1.1.1.4.3. Los rendimientos generados por los activos que integran los portafolios del fondo, cualquiera que sea su naturaleza.</w:t>
        <w:cr/>
      </w:r>
    </w:p>
    <w:p>
      <w:pPr>
        <w:jc w:val="both"/>
      </w:pPr>
      <w:r>
        <w:rPr>
          <w:rFonts w:ascii="Verdana" w:hAnsi="Verdana" w:cs="Verdana" w:eastAsia="Verdana"/>
          <w:sz w:val="24"/>
        </w:rPr>
        <w:t>1.1.1.4.4. El producto de las operaciones de venta de activos, así como los créditos que puedan obtenerse, y</w:t>
        <w:cr/>
      </w:r>
    </w:p>
    <w:p>
      <w:pPr>
        <w:jc w:val="both"/>
      </w:pPr>
      <w:r>
        <w:rPr>
          <w:rFonts w:ascii="Verdana" w:hAnsi="Verdana" w:cs="Verdana" w:eastAsia="Verdana"/>
          <w:sz w:val="24"/>
        </w:rPr>
        <w:t>1.1.1.4.5. Cualquier otro ingreso que resulte a favor de los portafolios del fondo.</w:t>
        <w:cr/>
      </w:r>
    </w:p>
    <w:p>
      <w:pPr>
        <w:jc w:val="left"/>
      </w:pPr>
      <w:r>
        <w:rPr>
          <w:rFonts w:ascii="Verdana" w:hAnsi="Verdana" w:cs="Verdana" w:eastAsia="Verdana"/>
          <w:sz w:val="24"/>
          <w:b w:val="on"/>
        </w:rPr>
        <w:t>1.1.1.5. Destinación de los recursos de los portafolios del fondo</w:t>
      </w:r>
    </w:p>
    <w:p>
      <w:pPr>
        <w:jc w:val="both"/>
      </w:pPr>
      <w:r>
        <w:rPr>
          <w:rFonts w:ascii="Verdana" w:hAnsi="Verdana" w:cs="Verdana" w:eastAsia="Verdana"/>
          <w:sz w:val="24"/>
        </w:rPr>
        <w:t>Los recursos de los portafolios de corto y largo plazo del fondo deben destinarse única y exclusivamente a su inversión en valores de adecuada rentabilidad, seguridad y liquidez, en las condiciones y con sujeción a las limitaciones que para el efecto establezca el Gobierno Nacional.</w:t>
        <w:cr/>
      </w:r>
    </w:p>
    <w:p>
      <w:pPr>
        <w:jc w:val="left"/>
      </w:pPr>
      <w:r>
        <w:rPr>
          <w:rFonts w:ascii="Verdana" w:hAnsi="Verdana" w:cs="Verdana" w:eastAsia="Verdana"/>
          <w:sz w:val="24"/>
          <w:b w:val="on"/>
        </w:rPr>
        <w:t>1.1.1.6. Operaciones no autorizadas</w:t>
      </w:r>
    </w:p>
    <w:p>
      <w:pPr>
        <w:jc w:val="both"/>
      </w:pPr>
      <w:r>
        <w:rPr>
          <w:rFonts w:ascii="Verdana" w:hAnsi="Verdana" w:cs="Verdana" w:eastAsia="Verdana"/>
          <w:sz w:val="24"/>
        </w:rPr>
        <w:t>En la realización de las operaciones con recursos de los portafolios del fondo de cesantía las administradoras deben abstenerse de:</w:t>
        <w:cr/>
      </w:r>
    </w:p>
    <w:p>
      <w:pPr>
        <w:jc w:val="both"/>
      </w:pPr>
      <w:r>
        <w:rPr>
          <w:rFonts w:ascii="Verdana" w:hAnsi="Verdana" w:cs="Verdana" w:eastAsia="Verdana"/>
          <w:sz w:val="24"/>
        </w:rPr>
        <w:t>1.1.1.6.1. Conceder créditos a cualquier título con los dineros de los portafolios del fondo.</w:t>
        <w:cr/>
      </w:r>
    </w:p>
    <w:p>
      <w:pPr>
        <w:jc w:val="both"/>
      </w:pPr>
      <w:r>
        <w:rPr>
          <w:rFonts w:ascii="Verdana" w:hAnsi="Verdana" w:cs="Verdana" w:eastAsia="Verdana"/>
          <w:sz w:val="24"/>
        </w:rPr>
        <w:t>1.1.1.6.2. Dar en prenda los activos de los portafolios del fondo, otorgar avales o establecer cualquier otro gravamen que comprometa dichos activos, salvo cuando se trate de actos destinados a garantizar créditos obtenidos para la adquisición de los mismos o exista autorización expresa por parte del Gobierno Nacional.</w:t>
        <w:cr/>
      </w:r>
    </w:p>
    <w:p>
      <w:pPr>
        <w:jc w:val="both"/>
      </w:pPr>
      <w:r>
        <w:rPr>
          <w:rFonts w:ascii="Verdana" w:hAnsi="Verdana" w:cs="Verdana" w:eastAsia="Verdana"/>
          <w:sz w:val="24"/>
        </w:rPr>
        <w:t>1.1.1.6.3. Celebrar con los activos de los portafolios del fondo operaciones que no estén permitidas en su régimen de inversiones o en porcentajes superiores a los permitidos en el mismo.</w:t>
        <w:cr/>
      </w:r>
    </w:p>
    <w:p>
      <w:pPr>
        <w:jc w:val="both"/>
      </w:pPr>
      <w:r>
        <w:rPr>
          <w:rFonts w:ascii="Verdana" w:hAnsi="Verdana" w:cs="Verdana" w:eastAsia="Verdana"/>
          <w:sz w:val="24"/>
        </w:rPr>
        <w:t>1.1.1.6.4. Actuar como contraparte de los portafolios del fondo en desarrollo de los negocios que constituyen el giro ordinario de éste.</w:t>
        <w:cr/>
      </w:r>
    </w:p>
    <w:p>
      <w:pPr>
        <w:jc w:val="both"/>
      </w:pPr>
      <w:r>
        <w:rPr>
          <w:rFonts w:ascii="Verdana" w:hAnsi="Verdana" w:cs="Verdana" w:eastAsia="Verdana"/>
          <w:sz w:val="24"/>
        </w:rPr>
        <w:t>1.1.1.6.5. Con excepción de los comisionistas de bolsa y corredores de valores, utilizar agentes, mandatarios u otro tipo de intermediarios en la realización de las operaciones propias de la administración de los portafolios del fondo, a menos que ello resulte indispensable para la realización de la operación propuesta.</w:t>
        <w:cr/>
      </w:r>
    </w:p>
    <w:p>
      <w:pPr>
        <w:jc w:val="both"/>
      </w:pPr>
      <w:r>
        <w:rPr>
          <w:rFonts w:ascii="Verdana" w:hAnsi="Verdana" w:cs="Verdana" w:eastAsia="Verdana"/>
          <w:sz w:val="24"/>
        </w:rPr>
        <w:t>1.1.1.6.6. Delegar, de cualquier manera, las funciones y responsabilidades que como administrador de los portafolios del fondo le corresponden.</w:t>
        <w:cr/>
      </w:r>
    </w:p>
    <w:p>
      <w:pPr>
        <w:jc w:val="both"/>
      </w:pPr>
      <w:r>
        <w:rPr>
          <w:rFonts w:ascii="Verdana" w:hAnsi="Verdana" w:cs="Verdana" w:eastAsia="Verdana"/>
          <w:sz w:val="24"/>
        </w:rPr>
        <w:t>1.1.1.6.7. Llevar a cabo prácticas inequitativas o discriminatorias en detrimento de los intereses de los afiliados.</w:t>
        <w:cr/>
      </w:r>
    </w:p>
    <w:p>
      <w:pPr>
        <w:jc w:val="both"/>
      </w:pPr>
      <w:r>
        <w:rPr>
          <w:rFonts w:ascii="Verdana" w:hAnsi="Verdana" w:cs="Verdana" w:eastAsia="Verdana"/>
          <w:sz w:val="24"/>
        </w:rPr>
        <w:t>1.1.1.6.8. Rechazar los dineros correspondientes al auxilio de cesantía que consignen los empleadores y aportantes independientes.</w:t>
        <w:cr/>
      </w:r>
    </w:p>
    <w:p>
      <w:pPr>
        <w:jc w:val="left"/>
      </w:pPr>
      <w:r>
        <w:rPr>
          <w:rFonts w:ascii="Verdana" w:hAnsi="Verdana" w:cs="Verdana" w:eastAsia="Verdana"/>
          <w:sz w:val="24"/>
          <w:b w:val="on"/>
        </w:rPr>
        <w:t>1.1.1.7. Derechos de los afiliados</w:t>
      </w:r>
    </w:p>
    <w:p>
      <w:pPr>
        <w:jc w:val="both"/>
      </w:pPr>
      <w:r>
        <w:rPr>
          <w:rFonts w:ascii="Verdana" w:hAnsi="Verdana" w:cs="Verdana" w:eastAsia="Verdana"/>
          <w:sz w:val="24"/>
        </w:rPr>
        <w:t>Además de los derechos que por ley les corresponden y de los establecidos en el artículo 2.6.7.1.3 del Decreto 2555 de 2010, los afiliados al fondo tienen los siguientes:</w:t>
        <w:cr/>
      </w:r>
    </w:p>
    <w:p>
      <w:pPr>
        <w:jc w:val="both"/>
      </w:pPr>
      <w:r>
        <w:rPr>
          <w:rFonts w:ascii="Verdana" w:hAnsi="Verdana" w:cs="Verdana" w:eastAsia="Verdana"/>
          <w:sz w:val="24"/>
        </w:rPr>
        <w:t>1.1.1.7.1. Poseer una cuenta de capitalización individual representada en unidades, en la que se refleje diariamente el valor de los portafolios del fondo.</w:t>
        <w:cr/>
      </w:r>
    </w:p>
    <w:p>
      <w:pPr>
        <w:jc w:val="both"/>
      </w:pPr>
      <w:r>
        <w:rPr>
          <w:rFonts w:ascii="Verdana" w:hAnsi="Verdana" w:cs="Verdana" w:eastAsia="Verdana"/>
          <w:sz w:val="24"/>
        </w:rPr>
        <w:t>1.1.1.7.2. Participar de los rendimientos financieros generados por los portafolios del fondo, sea que ellos se deriven de intereses causados, dividendos, valorizaciones de los activos que los integran o cualquier otro ingreso que corresponda al giro ordinario de sus operaciones, determinados a través de métodos de reconocido valor técnico.</w:t>
        <w:cr/>
      </w:r>
    </w:p>
    <w:p>
      <w:pPr>
        <w:jc w:val="both"/>
      </w:pPr>
      <w:r>
        <w:rPr>
          <w:rFonts w:ascii="Verdana" w:hAnsi="Verdana" w:cs="Verdana" w:eastAsia="Verdana"/>
          <w:sz w:val="24"/>
        </w:rPr>
        <w:t>1.1.1.7.3. Retirarse del fondo en los casos previstos por las normas legales vigentes.</w:t>
        <w:cr/>
      </w:r>
    </w:p>
    <w:p>
      <w:pPr>
        <w:jc w:val="both"/>
      </w:pPr>
      <w:r>
        <w:rPr>
          <w:rFonts w:ascii="Verdana" w:hAnsi="Verdana" w:cs="Verdana" w:eastAsia="Verdana"/>
          <w:sz w:val="24"/>
        </w:rPr>
        <w:t>1.1.1.7.4. Obtener la información financiera relativa al fondo que señale la SFC.</w:t>
        <w:cr/>
      </w:r>
    </w:p>
    <w:p>
      <w:pPr>
        <w:jc w:val="both"/>
      </w:pPr>
      <w:r>
        <w:rPr>
          <w:rFonts w:ascii="Verdana" w:hAnsi="Verdana" w:cs="Verdana" w:eastAsia="Verdana"/>
          <w:sz w:val="24"/>
        </w:rPr>
        <w:t>1.1.1.7.5. Tener acceso permanente a la información sobre el saldo en unidades y en pesos de su cuenta de capitalización individual y sobre las comisiones cobradas por la sociedad administradora, por los medios aprobados por la SFC.</w:t>
        <w:cr/>
      </w:r>
    </w:p>
    <w:p>
      <w:pPr>
        <w:jc w:val="both"/>
      </w:pPr>
      <w:r>
        <w:rPr>
          <w:rFonts w:ascii="Verdana" w:hAnsi="Verdana" w:cs="Verdana" w:eastAsia="Verdana"/>
          <w:sz w:val="24"/>
        </w:rPr>
        <w:t>1.1.1.7.6. Recibir, por lo menos semestralmente, un extracto de su cuenta de capitalización individual de acuerdo con lo que para el efecto señale la SFC.</w:t>
        <w:cr/>
      </w:r>
    </w:p>
    <w:p>
      <w:pPr>
        <w:jc w:val="both"/>
      </w:pPr>
      <w:r>
        <w:rPr>
          <w:rFonts w:ascii="Verdana" w:hAnsi="Verdana" w:cs="Verdana" w:eastAsia="Verdana"/>
          <w:sz w:val="24"/>
        </w:rPr>
        <w:t>1.1.1.7.7. Ser informado del valor de la comisión de manejo y de retiro de los portafolios del fondo y de los cambios que, previa aprobación de la junta directiva de la sociedad administradora, se efectúen a las mismas.</w:t>
        <w:cr/>
      </w:r>
    </w:p>
    <w:p>
      <w:pPr>
        <w:jc w:val="both"/>
      </w:pPr>
      <w:r>
        <w:rPr>
          <w:rFonts w:ascii="Verdana" w:hAnsi="Verdana" w:cs="Verdana" w:eastAsia="Verdana"/>
          <w:sz w:val="24"/>
        </w:rPr>
        <w:t>1.1.1.7.8. Transferir el valor de sus unidades a otra sociedad administradora, o entre los portafolios del mismo fondo previo aviso por cualquier medio verificable en los términos y condiciones determinadas al efecto por la ley.</w:t>
        <w:cr/>
      </w:r>
    </w:p>
    <w:p>
      <w:pPr>
        <w:jc w:val="both"/>
      </w:pPr>
      <w:r>
        <w:rPr>
          <w:rFonts w:ascii="Verdana" w:hAnsi="Verdana" w:cs="Verdana" w:eastAsia="Verdana"/>
          <w:sz w:val="24"/>
        </w:rPr>
        <w:t>1.1.1.7.9. Participar con voz y voto en la asamblea de afiliados. El afiliado tendrá tantos votos como unidades posea en el fondo.</w:t>
        <w:cr/>
      </w:r>
    </w:p>
    <w:p>
      <w:pPr>
        <w:jc w:val="both"/>
      </w:pPr>
      <w:r>
        <w:rPr>
          <w:rFonts w:ascii="Verdana" w:hAnsi="Verdana" w:cs="Verdana" w:eastAsia="Verdana"/>
          <w:sz w:val="24"/>
        </w:rPr>
        <w:t>1.1.1.7.10. Destinar parcial o totalmente las cesantías causadas o por causarse, en forma libre y voluntaria, en el marco del mecanismo de protección al cesante definido en la Ley 1636 de 2013 y el Decreto 135 de 2014 y demás normas que los modifiquen o deroguen.</w:t>
        <w:cr/>
      </w:r>
    </w:p>
    <w:p>
      <w:pPr>
        <w:jc w:val="left"/>
      </w:pPr>
      <w:r>
        <w:rPr>
          <w:rFonts w:ascii="Verdana" w:hAnsi="Verdana" w:cs="Verdana" w:eastAsia="Verdana"/>
          <w:sz w:val="24"/>
          <w:b w:val="on"/>
        </w:rPr>
        <w:t>1.1.1.8. Obligaciones y prohibiciones de los afiliados</w:t>
      </w:r>
    </w:p>
    <w:p>
      <w:pPr>
        <w:jc w:val="both"/>
      </w:pPr>
      <w:r>
        <w:rPr>
          <w:rFonts w:ascii="Verdana" w:hAnsi="Verdana" w:cs="Verdana" w:eastAsia="Verdana"/>
          <w:sz w:val="24"/>
        </w:rPr>
        <w:t>Los afiliados no pueden afiliarse a más de un fondo de cesantía por cada contrato de trabajo celebrado con un mismo empleador y están sujetos a las siguientes obligaciones, sin perjuicio de las adicionales que les señale la ley:</w:t>
        <w:cr/>
      </w:r>
    </w:p>
    <w:p>
      <w:pPr>
        <w:jc w:val="both"/>
      </w:pPr>
      <w:r>
        <w:rPr>
          <w:rFonts w:ascii="Verdana" w:hAnsi="Verdana" w:cs="Verdana" w:eastAsia="Verdana"/>
          <w:sz w:val="24"/>
        </w:rPr>
        <w:t xml:space="preserve">1.1.1.8.1. Pagar la comisión de manejo pactada, siempre que el portafolio del fondo obtenga una rentabilidad superior a la mínima establecida por el Gobierno Nacional. </w:t>
        <w:cr/>
      </w:r>
    </w:p>
    <w:p>
      <w:pPr>
        <w:jc w:val="both"/>
      </w:pPr>
      <w:r>
        <w:rPr>
          <w:rFonts w:ascii="Verdana" w:hAnsi="Verdana" w:cs="Verdana" w:eastAsia="Verdana"/>
          <w:sz w:val="24"/>
        </w:rPr>
        <w:t>1.1.1.8.2. Dar aviso, a través de cualquier medio verificable tanto a la sociedad administradora como a su empleador, de su deseo de transferir el valor de sus unidades a otra sociedad administradora, en los términos y condiciones señalados por la ley; y</w:t>
        <w:cr/>
      </w:r>
    </w:p>
    <w:p>
      <w:pPr>
        <w:jc w:val="both"/>
      </w:pPr>
      <w:r>
        <w:rPr>
          <w:rFonts w:ascii="Verdana" w:hAnsi="Verdana" w:cs="Verdana" w:eastAsia="Verdana"/>
          <w:sz w:val="24"/>
        </w:rPr>
        <w:t>1.1.1.8.3. Cumplir con el procedimiento señalado en la ley para efectos del retiro definitivo o anticipado de cada uno de los portafolios del fondo.</w:t>
        <w:cr/>
      </w:r>
    </w:p>
    <w:p>
      <w:pPr>
        <w:jc w:val="left"/>
      </w:pPr>
      <w:r>
        <w:rPr>
          <w:rFonts w:ascii="Verdana" w:hAnsi="Verdana" w:cs="Verdana" w:eastAsia="Verdana"/>
          <w:sz w:val="24"/>
          <w:b w:val="on"/>
        </w:rPr>
        <w:t>1.1.1.9. Derechos de la sociedad administradora</w:t>
      </w:r>
    </w:p>
    <w:p>
      <w:pPr>
        <w:jc w:val="both"/>
      </w:pPr>
      <w:r>
        <w:rPr>
          <w:rFonts w:ascii="Verdana" w:hAnsi="Verdana" w:cs="Verdana" w:eastAsia="Verdana"/>
          <w:sz w:val="24"/>
        </w:rPr>
        <w:t>Además de los derechos que por ley le corresponden, la sociedad administradora tiene los siguientes:</w:t>
        <w:cr/>
      </w:r>
    </w:p>
    <w:p>
      <w:pPr>
        <w:jc w:val="both"/>
      </w:pPr>
      <w:r>
        <w:rPr>
          <w:rFonts w:ascii="Verdana" w:hAnsi="Verdana" w:cs="Verdana" w:eastAsia="Verdana"/>
          <w:sz w:val="24"/>
        </w:rPr>
        <w:t>1.1.1.9.1. Definir, dentro del marco señalado por la ley, la composición de los portafolios de inversiones.</w:t>
        <w:cr/>
      </w:r>
    </w:p>
    <w:p>
      <w:pPr>
        <w:jc w:val="both"/>
      </w:pPr>
      <w:r>
        <w:rPr>
          <w:rFonts w:ascii="Verdana" w:hAnsi="Verdana" w:cs="Verdana" w:eastAsia="Verdana"/>
          <w:sz w:val="24"/>
        </w:rPr>
        <w:t>1.1.1.9.2. Celebrar con los activos de los portafolios del fondo operaciones de reporto hasta el límite señalado en su régimen de inversiones y en los porcentajes permitidos en el mismo.</w:t>
        <w:cr/>
      </w:r>
    </w:p>
    <w:p>
      <w:pPr>
        <w:jc w:val="both"/>
      </w:pPr>
      <w:r>
        <w:rPr>
          <w:rFonts w:ascii="Verdana" w:hAnsi="Verdana" w:cs="Verdana" w:eastAsia="Verdana"/>
          <w:sz w:val="24"/>
        </w:rPr>
        <w:t>1.1.1.9.3. Recibir la comisión prevista por ley para cada uno de los portafolios.</w:t>
        <w:cr/>
      </w:r>
    </w:p>
    <w:p>
      <w:pPr>
        <w:jc w:val="both"/>
      </w:pPr>
      <w:r>
        <w:rPr>
          <w:rFonts w:ascii="Verdana" w:hAnsi="Verdana" w:cs="Verdana" w:eastAsia="Verdana"/>
          <w:sz w:val="24"/>
        </w:rPr>
        <w:t>1.1.1.9.4. Exigir, si así lo estima conveniente, la autenticación y el reconocimiento de firmas en los documentos de vinculación y retiro del fondo; y</w:t>
        <w:cr/>
      </w:r>
    </w:p>
    <w:p>
      <w:pPr>
        <w:jc w:val="both"/>
      </w:pPr>
      <w:r>
        <w:rPr>
          <w:rFonts w:ascii="Verdana" w:hAnsi="Verdana" w:cs="Verdana" w:eastAsia="Verdana"/>
          <w:sz w:val="24"/>
        </w:rPr>
        <w:t>1.1.1.9.5. Previa solicitud del trabajador y a costa de éste, adelantar ante las autoridades competentes las respectivas acciones de cobro derivadas del incumplimiento de la obligación, a cargo del empleador, de entregar a satisfacción el auxilio de cesantía liquidado anualmente.</w:t>
        <w:cr/>
      </w:r>
    </w:p>
    <w:p>
      <w:pPr>
        <w:jc w:val="left"/>
      </w:pPr>
      <w:r>
        <w:rPr>
          <w:rFonts w:ascii="Verdana" w:hAnsi="Verdana" w:cs="Verdana" w:eastAsia="Verdana"/>
          <w:sz w:val="24"/>
          <w:b w:val="on"/>
        </w:rPr>
        <w:t>1.1.1.10. Obligaciones de la sociedad administradora</w:t>
      </w:r>
    </w:p>
    <w:p>
      <w:pPr>
        <w:jc w:val="both"/>
      </w:pPr>
      <w:r>
        <w:rPr>
          <w:rFonts w:ascii="Verdana" w:hAnsi="Verdana" w:cs="Verdana" w:eastAsia="Verdana"/>
          <w:sz w:val="24"/>
        </w:rPr>
        <w:t>Además de las contempladas en el artículo 31 del EOSF y de las que se deriven de la adecuada administración de los portafolios administrados, la sociedad administradora tiene las siguientes obligaciones:</w:t>
        <w:cr/>
      </w:r>
    </w:p>
    <w:p>
      <w:pPr>
        <w:jc w:val="both"/>
      </w:pPr>
      <w:r>
        <w:rPr>
          <w:rFonts w:ascii="Verdana" w:hAnsi="Verdana" w:cs="Verdana" w:eastAsia="Verdana"/>
          <w:sz w:val="24"/>
        </w:rPr>
        <w:t>1.1.1.10.1. Desplegar todo su esfuerzo, conocimiento y diligencia en la administración de los recursos que conforman el fondo.</w:t>
        <w:cr/>
      </w:r>
    </w:p>
    <w:p>
      <w:pPr>
        <w:jc w:val="both"/>
      </w:pPr>
      <w:r>
        <w:rPr>
          <w:rFonts w:ascii="Verdana" w:hAnsi="Verdana" w:cs="Verdana" w:eastAsia="Verdana"/>
          <w:sz w:val="24"/>
        </w:rPr>
        <w:t>1.1.1.10.2. Mantener los activos y pasivos del portafolio de corto plazo separados de los del portafolio de largo plazo, de los demás fondos administrados y de los activos de su propiedad, de suerte que en todo momento pueda conocerse si un bien determinado es de propiedad del portafolio de corto o largo plazo, de otro fondo administrado por la misma entidad o de la sociedad.</w:t>
        <w:cr/>
      </w:r>
    </w:p>
    <w:p>
      <w:pPr>
        <w:jc w:val="both"/>
      </w:pPr>
      <w:r>
        <w:rPr>
          <w:rFonts w:ascii="Verdana" w:hAnsi="Verdana" w:cs="Verdana" w:eastAsia="Verdana"/>
          <w:sz w:val="24"/>
        </w:rPr>
        <w:t>1.1.1.10.3. Conservar actualizada y en orden cronológico la información y documentación relativa a las operaciones de cada uno de los portafolios.</w:t>
        <w:cr/>
      </w:r>
    </w:p>
    <w:p>
      <w:pPr>
        <w:jc w:val="both"/>
      </w:pPr>
      <w:r>
        <w:rPr>
          <w:rFonts w:ascii="Verdana" w:hAnsi="Verdana" w:cs="Verdana" w:eastAsia="Verdana"/>
          <w:sz w:val="24"/>
        </w:rPr>
        <w:t>1.1.1.10.4. Enviar, por lo menos semestralmente, extractos de cuenta de los movimientos de cada una de las subcuentas del afiliado, con sujeción a las instrucciones contenidas en este capítulo.</w:t>
        <w:cr/>
      </w:r>
    </w:p>
    <w:p>
      <w:pPr>
        <w:jc w:val="both"/>
      </w:pPr>
      <w:r>
        <w:rPr>
          <w:rFonts w:ascii="Verdana" w:hAnsi="Verdana" w:cs="Verdana" w:eastAsia="Verdana"/>
          <w:sz w:val="24"/>
        </w:rPr>
        <w:t>1.1.1.10.5. Mantener cuentas corrientes o de ahorro destinadas a manejar exclusivamente los recursos administrados. En este caso, debe identificarse claramente el portafolio al cual pertenece la cuenta.</w:t>
        <w:cr/>
      </w:r>
    </w:p>
    <w:p>
      <w:pPr>
        <w:jc w:val="both"/>
      </w:pPr>
      <w:r>
        <w:rPr>
          <w:rFonts w:ascii="Verdana" w:hAnsi="Verdana" w:cs="Verdana" w:eastAsia="Verdana"/>
          <w:sz w:val="24"/>
        </w:rPr>
        <w:t>1.1.1.10.6. Cobrar oportunamente los rendimientos financieros generados por los activos que integran los portafolios.</w:t>
        <w:cr/>
      </w:r>
    </w:p>
    <w:p>
      <w:pPr>
        <w:jc w:val="both"/>
      </w:pPr>
      <w:r>
        <w:rPr>
          <w:rFonts w:ascii="Verdana" w:hAnsi="Verdana" w:cs="Verdana" w:eastAsia="Verdana"/>
          <w:sz w:val="24"/>
        </w:rPr>
        <w:t>1.1.1.10.7. Abonar diariamente a cada trabajador afiliado y a prorrata de sus aportes individuales, la parte que le corresponda en los rendimientos obtenidos por el respectivo portafolio.</w:t>
        <w:cr/>
      </w:r>
    </w:p>
    <w:p>
      <w:pPr>
        <w:jc w:val="both"/>
      </w:pPr>
      <w:r>
        <w:rPr>
          <w:rFonts w:ascii="Verdana" w:hAnsi="Verdana" w:cs="Verdana" w:eastAsia="Verdana"/>
          <w:sz w:val="24"/>
        </w:rPr>
        <w:t>1.1.1.10.8. Hacer efectivas en los términos de ley las sumas de las subcuentas de capitalización que un trabajador desee transferir a otro fondo de la misma naturaleza. En este caso, los documentos que le sirvan de soporte al traslado deben ir firmados por el trabajador, acompañados de una copia de su documento de identidad.</w:t>
        <w:cr/>
      </w:r>
    </w:p>
    <w:p>
      <w:pPr>
        <w:jc w:val="both"/>
      </w:pPr>
      <w:r>
        <w:rPr>
          <w:rFonts w:ascii="Verdana" w:hAnsi="Verdana" w:cs="Verdana" w:eastAsia="Verdana"/>
          <w:sz w:val="24"/>
        </w:rPr>
        <w:t>1.1.1.10.9. Suministrar al afiliado las informaciones de que trata el subnumeral 1.1.1.7 del presente Capítulo.</w:t>
        <w:cr/>
      </w:r>
    </w:p>
    <w:p>
      <w:pPr>
        <w:jc w:val="both"/>
      </w:pPr>
      <w:r>
        <w:rPr>
          <w:rFonts w:ascii="Verdana" w:hAnsi="Verdana" w:cs="Verdana" w:eastAsia="Verdana"/>
          <w:sz w:val="24"/>
        </w:rPr>
        <w:t>1.1.1.10.10. Valorar los portafolios de corto y largo plazo del fondo.</w:t>
        <w:cr/>
      </w:r>
    </w:p>
    <w:p>
      <w:pPr>
        <w:jc w:val="both"/>
      </w:pPr>
      <w:r>
        <w:rPr>
          <w:rFonts w:ascii="Verdana" w:hAnsi="Verdana" w:cs="Verdana" w:eastAsia="Verdana"/>
          <w:sz w:val="24"/>
        </w:rPr>
        <w:t>1.1.1.10.11. Garantizar la rentabilidad mínima obligatoria.</w:t>
        <w:cr/>
      </w:r>
      <w:r>
        <w:rPr>
          <w:rFonts w:ascii="Verdana" w:hAnsi="Verdana" w:cs="Verdana" w:eastAsia="Verdana"/>
          <w:sz w:val="24"/>
        </w:rPr>
        <w:t/>
        <w:cr/>
      </w:r>
      <w:r>
        <w:rPr>
          <w:rFonts w:ascii="Verdana" w:hAnsi="Verdana" w:cs="Verdana" w:eastAsia="Verdana"/>
          <w:sz w:val="24"/>
        </w:rPr>
        <w:t>Las obligaciones que asume la sociedad administradora tienen el carácter de obligaciones de resultado, solo en cuanto se garantiza a los afiliados que la rentabilidad de cada uno de los portafolios del fondo en ningún caso sea inferior a la rentabilidad mínima obligatoria calculada y divulgada por la SFC, de conformidad con lo dispuesto por las normas legales vigentes.</w:t>
        <w:cr/>
      </w:r>
      <w:r>
        <w:rPr>
          <w:rFonts w:ascii="Verdana" w:hAnsi="Verdana" w:cs="Verdana" w:eastAsia="Verdana"/>
          <w:sz w:val="24"/>
        </w:rPr>
        <w:t/>
        <w:cr/>
      </w:r>
      <w:r>
        <w:rPr>
          <w:rFonts w:ascii="Verdana" w:hAnsi="Verdana" w:cs="Verdana" w:eastAsia="Verdana"/>
          <w:sz w:val="24"/>
        </w:rPr>
        <w:t>Para tales efectos, la sociedad administradora debe responder con su propio patrimonio, bien sea directamente o a través de la reserva de estabilización de rendimientos que se constituye como parte del mismo en los términos y condiciones al efecto señalados en los artículos 2.6.4.1.1. y siguientes del Decreto 2555 de 2010.</w:t>
        <w:cr/>
      </w:r>
    </w:p>
    <w:p>
      <w:pPr>
        <w:jc w:val="left"/>
      </w:pPr>
      <w:r>
        <w:rPr>
          <w:rFonts w:ascii="Verdana" w:hAnsi="Verdana" w:cs="Verdana" w:eastAsia="Verdana"/>
          <w:sz w:val="24"/>
          <w:b w:val="on"/>
        </w:rPr>
        <w:t>1.1.1.11. Rentabilidad de los portafolios del fondo</w:t>
      </w:r>
    </w:p>
    <w:p>
      <w:pPr>
        <w:jc w:val="both"/>
      </w:pPr>
      <w:r>
        <w:rPr>
          <w:rFonts w:ascii="Verdana" w:hAnsi="Verdana" w:cs="Verdana" w:eastAsia="Verdana"/>
          <w:sz w:val="24"/>
        </w:rPr>
        <w:t>Adicional a lo dispuesto en el subnumeral 1.1.1.10.11. de este Capítulo, al cierre de cada mes, se establecerá la rentabilidad alcanzada por los portafolios con base en las instrucciones establecidas en la Circular Básica Contable y Financiera (CBCF), así como en las disposiciones legales respectivas.</w:t>
        <w:cr/>
      </w:r>
    </w:p>
    <w:p>
      <w:pPr>
        <w:jc w:val="left"/>
      </w:pPr>
      <w:r>
        <w:rPr>
          <w:rFonts w:ascii="Verdana" w:hAnsi="Verdana" w:cs="Verdana" w:eastAsia="Verdana"/>
          <w:sz w:val="24"/>
          <w:b w:val="on"/>
        </w:rPr>
        <w:t>1.1.1.12. Gastos de los portafolios del fondo</w:t>
      </w:r>
    </w:p>
    <w:p>
      <w:pPr>
        <w:jc w:val="both"/>
      </w:pPr>
      <w:r>
        <w:rPr>
          <w:rFonts w:ascii="Verdana" w:hAnsi="Verdana" w:cs="Verdana" w:eastAsia="Verdana"/>
          <w:sz w:val="24"/>
        </w:rPr>
        <w:t>Son de cargo de cada portafolio, los gastos a que se refiere el subnumeral 1.2 siguiente del presente capítulo y que se imputen al mismo por la sociedad administradora.</w:t>
        <w:cr/>
      </w:r>
    </w:p>
    <w:p>
      <w:pPr>
        <w:jc w:val="left"/>
      </w:pPr>
      <w:r>
        <w:rPr>
          <w:rFonts w:ascii="Verdana" w:hAnsi="Verdana" w:cs="Verdana" w:eastAsia="Verdana"/>
          <w:sz w:val="24"/>
          <w:b w:val="on"/>
        </w:rPr>
        <w:t>1.1.1.13. Procedimiento de ingreso al fondo</w:t>
      </w:r>
    </w:p>
    <w:p>
      <w:pPr>
        <w:jc w:val="both"/>
      </w:pPr>
      <w:r>
        <w:rPr>
          <w:rFonts w:ascii="Verdana" w:hAnsi="Verdana" w:cs="Verdana" w:eastAsia="Verdana"/>
          <w:sz w:val="24"/>
        </w:rPr>
        <w:t>Para efectos del procedimiento de ingreso, se deben seguir las instrucciones señaladas en el subnumeral 1.4 del presente Capítulo en materia del contenido mínimo de los documentos que deben utilizarse para tal efecto.</w:t>
        <w:cr/>
      </w:r>
      <w:r>
        <w:rPr>
          <w:rFonts w:ascii="Verdana" w:hAnsi="Verdana" w:cs="Verdana" w:eastAsia="Verdana"/>
          <w:sz w:val="24"/>
        </w:rPr>
        <w:t/>
        <w:cr/>
      </w:r>
      <w:r>
        <w:rPr>
          <w:rFonts w:ascii="Verdana" w:hAnsi="Verdana" w:cs="Verdana" w:eastAsia="Verdana"/>
          <w:sz w:val="24"/>
        </w:rPr>
        <w:t>En cualquier evento, tratándose de trabajadores particulares, la afiliación se produce desde el momento en que el empleador consigne el valor liquidado por concepto de auxilio de cesantía en la cuenta de capitalización individual a nombre de cada trabajador en el fondo. En este evento, al comprobante de consignación debe acompañarse la respectiva liquidación detallada por cada trabajador, firmada tanto por el empleador como por cada uno de éstos, al igual que fotocopia de los correspondientes documentos de identificación de los afiliados, de acuerdo con lo establecido en el subnumeral 1.4 del presente Capítulo. En todo caso, la afiliación se produce desde la fecha de la consignación.</w:t>
        <w:cr/>
      </w:r>
      <w:r>
        <w:rPr>
          <w:rFonts w:ascii="Verdana" w:hAnsi="Verdana" w:cs="Verdana" w:eastAsia="Verdana"/>
          <w:sz w:val="24"/>
        </w:rPr>
        <w:t/>
        <w:cr/>
      </w:r>
      <w:r>
        <w:rPr>
          <w:rFonts w:ascii="Verdana" w:hAnsi="Verdana" w:cs="Verdana" w:eastAsia="Verdana"/>
          <w:sz w:val="24"/>
        </w:rPr>
        <w:t>Las personas naturales no subordinadas o las que sean empleadores y laboren en su propia empresa quedan afiliadas al fondo desde el momento en que efectúan la primera consignación. La sociedad administradora puede verificar la autenticidad de los documentos presentados.</w:t>
        <w:cr/>
      </w:r>
      <w:r>
        <w:rPr>
          <w:rFonts w:ascii="Verdana" w:hAnsi="Verdana" w:cs="Verdana" w:eastAsia="Verdana"/>
          <w:sz w:val="24"/>
        </w:rPr>
        <w:t/>
        <w:cr/>
      </w:r>
      <w:r>
        <w:rPr>
          <w:rFonts w:ascii="Verdana" w:hAnsi="Verdana" w:cs="Verdana" w:eastAsia="Verdana"/>
          <w:sz w:val="24"/>
        </w:rPr>
        <w:t>La sociedad administradora debe mantener la información de los afiliados, relacionada con las unidades que posee cada afiliado, las pignoraciones sobre la cesantía, la fecha de ingreso al fondo y los retiros y pagos hechos en cada una de las subcuentas.</w:t>
        <w:cr/>
      </w:r>
    </w:p>
    <w:p>
      <w:pPr>
        <w:jc w:val="left"/>
      </w:pPr>
      <w:r>
        <w:rPr>
          <w:rFonts w:ascii="Verdana" w:hAnsi="Verdana" w:cs="Verdana" w:eastAsia="Verdana"/>
          <w:sz w:val="24"/>
          <w:b w:val="on"/>
        </w:rPr>
        <w:t>1.1.1.14. Retiro del fondo</w:t>
      </w:r>
    </w:p>
    <w:p>
      <w:pPr>
        <w:jc w:val="both"/>
      </w:pPr>
      <w:r>
        <w:rPr>
          <w:rFonts w:ascii="Verdana" w:hAnsi="Verdana" w:cs="Verdana" w:eastAsia="Verdana"/>
          <w:sz w:val="24"/>
        </w:rPr>
        <w:t>El retiro del afiliado del fondo puede producirse por:</w:t>
        <w:cr/>
      </w:r>
    </w:p>
    <w:p>
      <w:pPr>
        <w:jc w:val="both"/>
      </w:pPr>
      <w:r>
        <w:rPr>
          <w:rFonts w:ascii="Verdana" w:hAnsi="Verdana" w:cs="Verdana" w:eastAsia="Verdana"/>
          <w:sz w:val="24"/>
        </w:rPr>
        <w:t>1.1.1.14.1. Por muerte del afiliado</w:t>
        <w:cr/>
      </w:r>
    </w:p>
    <w:p>
      <w:pPr>
        <w:jc w:val="both"/>
      </w:pPr>
      <w:r>
        <w:rPr>
          <w:rFonts w:ascii="Verdana" w:hAnsi="Verdana" w:cs="Verdana" w:eastAsia="Verdana"/>
          <w:sz w:val="24"/>
        </w:rPr>
        <w:t>1.1.1.14.2. Por terminación del contrato de trabajo por cualquier causa, cuando se hace la solicitud de retiro de los recursos</w:t>
        <w:cr/>
      </w:r>
    </w:p>
    <w:p>
      <w:pPr>
        <w:jc w:val="both"/>
      </w:pPr>
      <w:r>
        <w:rPr>
          <w:rFonts w:ascii="Verdana" w:hAnsi="Verdana" w:cs="Verdana" w:eastAsia="Verdana"/>
          <w:sz w:val="24"/>
        </w:rPr>
        <w:t>1.1.1.14.3. Por voluntad propia, tratándose de afiliados independientes</w:t>
        <w:cr/>
      </w:r>
    </w:p>
    <w:p>
      <w:pPr>
        <w:jc w:val="both"/>
      </w:pPr>
      <w:r>
        <w:rPr>
          <w:rFonts w:ascii="Verdana" w:hAnsi="Verdana" w:cs="Verdana" w:eastAsia="Verdana"/>
          <w:sz w:val="24"/>
        </w:rPr>
        <w:t>1.1.1.14.4. Por traslado a otra sociedad administradora</w:t>
        <w:cr/>
      </w:r>
    </w:p>
    <w:p>
      <w:pPr>
        <w:jc w:val="both"/>
      </w:pPr>
      <w:r>
        <w:rPr>
          <w:rFonts w:ascii="Verdana" w:hAnsi="Verdana" w:cs="Verdana" w:eastAsia="Verdana"/>
          <w:sz w:val="24"/>
        </w:rPr>
        <w:t>1.1.1.14.5. Por sustitución patronal, cuando se den las circunstancias previstas en el numeral 4 del artículo 69 del Código Sustantivo de Trabajo</w:t>
        <w:cr/>
      </w:r>
    </w:p>
    <w:p>
      <w:pPr>
        <w:jc w:val="left"/>
      </w:pPr>
      <w:r>
        <w:rPr>
          <w:rFonts w:ascii="Verdana" w:hAnsi="Verdana" w:cs="Verdana" w:eastAsia="Verdana"/>
          <w:sz w:val="24"/>
          <w:b w:val="on"/>
        </w:rPr>
        <w:t>1.1.1.15. Procedimiento en caso de retiro</w:t>
      </w:r>
    </w:p>
    <w:p>
      <w:pPr>
        <w:jc w:val="both"/>
      </w:pPr>
      <w:r>
        <w:rPr>
          <w:rFonts w:ascii="Verdana" w:hAnsi="Verdana" w:cs="Verdana" w:eastAsia="Verdana"/>
          <w:sz w:val="24"/>
        </w:rPr>
        <w:t>Terminado el contrato de trabajo por muerte del afiliado, la entrega de las sumas correspondientes debe hacerse con sujeción al procedimiento establecido en el artículo 258 del Código Sustantivo de Trabajo y demás disposiciones aplicables sobre la materia.</w:t>
        <w:cr/>
      </w:r>
      <w:r>
        <w:rPr>
          <w:rFonts w:ascii="Verdana" w:hAnsi="Verdana" w:cs="Verdana" w:eastAsia="Verdana"/>
          <w:sz w:val="24"/>
        </w:rPr>
        <w:t/>
        <w:cr/>
      </w:r>
      <w:r>
        <w:rPr>
          <w:rFonts w:ascii="Verdana" w:hAnsi="Verdana" w:cs="Verdana" w:eastAsia="Verdana"/>
          <w:sz w:val="24"/>
        </w:rPr>
        <w:t>Cuando la terminación del contrato de trabajo ocurra por cualquiera de las causales previstas en la ley laboral, distintas a la de la muerte del trabajador, basta la solicitud del afiliado para el retiro total de las sumas de dinero abonadas en su cuenta, presentada en los términos y condiciones que señale el Decreto 1072 de 2015. En este caso, la sociedad administradora debe entregar al trabajador las sumas a su favor dentro de los 5 días hábiles siguientes a la presentación de la solicitud.</w:t>
        <w:cr/>
      </w:r>
      <w:r>
        <w:rPr>
          <w:rFonts w:ascii="Verdana" w:hAnsi="Verdana" w:cs="Verdana" w:eastAsia="Verdana"/>
          <w:sz w:val="24"/>
        </w:rPr>
        <w:t/>
        <w:cr/>
      </w:r>
      <w:r>
        <w:rPr>
          <w:rFonts w:ascii="Verdana" w:hAnsi="Verdana" w:cs="Verdana" w:eastAsia="Verdana"/>
          <w:sz w:val="24"/>
        </w:rPr>
        <w:t>Tratándose de retiros anticipados de las sumas abonadas en las subcuentas del afiliado como consecuencia de la liquidación y pago parcial de las cesantías con destino a la adquisición, construcción, mejora o liberación de bienes raíces destinados a la vivienda del afiliado, la sociedad administradora debe efectuar el giro correspondiente y descontar el anticipo del saldo que aquel posea, desde la fecha de la entrega efectiva, previa solicitud formulada por el afiliado y observancia de los requisitos y formalidades al efecto consagrados por la ley.</w:t>
        <w:cr/>
      </w:r>
      <w:r>
        <w:rPr>
          <w:rFonts w:ascii="Verdana" w:hAnsi="Verdana" w:cs="Verdana" w:eastAsia="Verdana"/>
          <w:sz w:val="24"/>
        </w:rPr>
        <w:t/>
        <w:cr/>
      </w:r>
      <w:r>
        <w:rPr>
          <w:rFonts w:ascii="Verdana" w:hAnsi="Verdana" w:cs="Verdana" w:eastAsia="Verdana"/>
          <w:sz w:val="24"/>
        </w:rPr>
        <w:t>Tratándose de retiros de cesantías para estudio, se debe dar aplicación a lo dispuesto en el numeral 2.2.1.3.19. del Decreto 1072 de 2015, y a lo establecido en la Ley 1064 de 2006.</w:t>
        <w:cr/>
      </w:r>
      <w:r>
        <w:rPr>
          <w:rFonts w:ascii="Verdana" w:hAnsi="Verdana" w:cs="Verdana" w:eastAsia="Verdana"/>
          <w:sz w:val="24"/>
        </w:rPr>
        <w:t/>
        <w:cr/>
      </w:r>
      <w:r>
        <w:rPr>
          <w:rFonts w:ascii="Verdana" w:hAnsi="Verdana" w:cs="Verdana" w:eastAsia="Verdana"/>
          <w:sz w:val="24"/>
        </w:rPr>
        <w:t xml:space="preserve">Tratándose de los retiros contemplados en el artículo 3 de la Ley 1071 de 2006, se debe atender el procedimiento contemplado en esta ley. </w:t>
        <w:cr/>
      </w:r>
      <w:r>
        <w:rPr>
          <w:rFonts w:ascii="Verdana" w:hAnsi="Verdana" w:cs="Verdana" w:eastAsia="Verdana"/>
          <w:sz w:val="24"/>
        </w:rPr>
        <w:t/>
        <w:cr/>
      </w:r>
      <w:r>
        <w:rPr>
          <w:rFonts w:ascii="Verdana" w:hAnsi="Verdana" w:cs="Verdana" w:eastAsia="Verdana"/>
          <w:sz w:val="24"/>
        </w:rPr>
        <w:t>Las administradoras deben habilitar canales no presenciales tales como internet, call center, aplicaciones móviles (Apps), audio respuesta, entre otros, para orientar o permitir el retiro de las cesantías, en los eventos autorizados por la ley. En todo caso, deben garantizar el uso de canales presenciales para aquellos afiliados que prefieran hacer uso de estos.</w:t>
        <w:cr/>
      </w:r>
    </w:p>
    <w:p>
      <w:pPr>
        <w:jc w:val="left"/>
      </w:pPr>
      <w:r>
        <w:rPr>
          <w:rFonts w:ascii="Verdana" w:hAnsi="Verdana" w:cs="Verdana" w:eastAsia="Verdana"/>
          <w:sz w:val="24"/>
          <w:b w:val="on"/>
        </w:rPr>
        <w:t>1.1.1.16. Retención de cesantías</w:t>
      </w:r>
    </w:p>
    <w:p>
      <w:pPr>
        <w:jc w:val="both"/>
      </w:pPr>
      <w:r>
        <w:rPr>
          <w:rFonts w:ascii="Verdana" w:hAnsi="Verdana" w:cs="Verdana" w:eastAsia="Verdana"/>
          <w:sz w:val="24"/>
        </w:rPr>
        <w:t>En aquellos eventos en los que el empleador esté autorizado para retener las cesantías se aplicará lo dispuesto en el artículo 104 de la Ley 50 de 1990.</w:t>
        <w:cr/>
      </w:r>
    </w:p>
    <w:p>
      <w:pPr>
        <w:jc w:val="left"/>
      </w:pPr>
      <w:r>
        <w:rPr>
          <w:rFonts w:ascii="Verdana" w:hAnsi="Verdana" w:cs="Verdana" w:eastAsia="Verdana"/>
          <w:sz w:val="24"/>
          <w:b w:val="on"/>
        </w:rPr>
        <w:t>1.1.1.17. Comisión de manejo</w:t>
      </w:r>
    </w:p>
    <w:p>
      <w:pPr>
        <w:jc w:val="both"/>
      </w:pPr>
      <w:r>
        <w:rPr>
          <w:rFonts w:ascii="Verdana" w:hAnsi="Verdana" w:cs="Verdana" w:eastAsia="Verdana"/>
          <w:sz w:val="24"/>
        </w:rPr>
        <w:t>Siempre que se supere la rentabilidad mínima a que se refiere el 1.1.1.10.11 del presente Capítulo, la sociedad administradora tiene derecho a cobrar por la administración de los portafolios, la comisión que determine la misma sociedad, con sujeción a lo señalado por la SFC.</w:t>
        <w:cr/>
      </w:r>
    </w:p>
    <w:p>
      <w:pPr>
        <w:jc w:val="left"/>
      </w:pPr>
      <w:r>
        <w:rPr>
          <w:rFonts w:ascii="Verdana" w:hAnsi="Verdana" w:cs="Verdana" w:eastAsia="Verdana"/>
          <w:sz w:val="24"/>
          <w:b w:val="on"/>
        </w:rPr>
        <w:t>1.1.1.18. Contratos con entidades financieras</w:t>
      </w:r>
    </w:p>
    <w:p>
      <w:pPr>
        <w:jc w:val="both"/>
      </w:pPr>
      <w:r>
        <w:rPr>
          <w:rFonts w:ascii="Verdana" w:hAnsi="Verdana" w:cs="Verdana" w:eastAsia="Verdana"/>
          <w:sz w:val="24"/>
        </w:rPr>
        <w:t>La sociedad administradora puede celebrar contratos para la utilización de la red de oficinas de los bancos, corporaciones financieras, compañías de financiamiento y organismos cooperativos de grado superior de carácter financiero, como apoyo para la ejecución de sus negocios, en los casos y con sujeción a las condiciones señaladas en el numeral 2 del artículo 158 del EOSF.</w:t>
        <w:cr/>
      </w:r>
    </w:p>
    <w:p>
      <w:pPr>
        <w:jc w:val="left"/>
      </w:pPr>
      <w:r>
        <w:rPr>
          <w:rFonts w:ascii="Verdana" w:hAnsi="Verdana" w:cs="Verdana" w:eastAsia="Verdana"/>
          <w:sz w:val="24"/>
          <w:b w:val="on"/>
        </w:rPr>
        <w:t>1.1.1.19. Duración del fondo</w:t>
      </w:r>
    </w:p>
    <w:p>
      <w:pPr>
        <w:jc w:val="both"/>
      </w:pPr>
      <w:r>
        <w:rPr>
          <w:rFonts w:ascii="Verdana" w:hAnsi="Verdana" w:cs="Verdana" w:eastAsia="Verdana"/>
          <w:sz w:val="24"/>
        </w:rPr>
        <w:t>El fondo debe tener una duración igual a la de la sociedad administradora, sin perjuicio de que, previa autorización de la SFC se produzca su disolución anticipada.</w:t>
        <w:cr/>
      </w:r>
    </w:p>
    <w:p>
      <w:pPr>
        <w:jc w:val="left"/>
      </w:pPr>
      <w:r>
        <w:rPr>
          <w:rFonts w:ascii="Verdana" w:hAnsi="Verdana" w:cs="Verdana" w:eastAsia="Verdana"/>
          <w:sz w:val="24"/>
          <w:b w:val="on"/>
        </w:rPr>
        <w:t>1.1.1.20. Disolución del fondo</w:t>
      </w:r>
    </w:p>
    <w:p>
      <w:pPr>
        <w:jc w:val="both"/>
      </w:pPr>
      <w:r>
        <w:rPr>
          <w:rFonts w:ascii="Verdana" w:hAnsi="Verdana" w:cs="Verdana" w:eastAsia="Verdana"/>
          <w:sz w:val="24"/>
        </w:rPr>
        <w:t xml:space="preserve">Son causales de disolución del fondo: </w:t>
        <w:cr/>
      </w:r>
    </w:p>
    <w:p>
      <w:pPr>
        <w:jc w:val="both"/>
      </w:pPr>
      <w:r>
        <w:rPr>
          <w:rFonts w:ascii="Verdana" w:hAnsi="Verdana" w:cs="Verdana" w:eastAsia="Verdana"/>
          <w:sz w:val="24"/>
        </w:rPr>
        <w:t>1.1.1.20.1. La expiración del plazo establecido para su duración, y</w:t>
        <w:cr/>
      </w:r>
    </w:p>
    <w:p>
      <w:pPr>
        <w:jc w:val="both"/>
      </w:pPr>
      <w:r>
        <w:rPr>
          <w:rFonts w:ascii="Verdana" w:hAnsi="Verdana" w:cs="Verdana" w:eastAsia="Verdana"/>
          <w:sz w:val="24"/>
        </w:rPr>
        <w:t>1.1.1.20.2. La orden de autoridad competente debidamente ejecutoriada.</w:t>
        <w:cr/>
      </w:r>
    </w:p>
    <w:p>
      <w:pPr>
        <w:jc w:val="left"/>
      </w:pPr>
      <w:r>
        <w:rPr>
          <w:rFonts w:ascii="Verdana" w:hAnsi="Verdana" w:cs="Verdana" w:eastAsia="Verdana"/>
          <w:sz w:val="24"/>
          <w:b w:val="on"/>
        </w:rPr>
        <w:t>1.1.2. Régimen de aprobación individual, modificaciones y adiciones</w:t>
      </w:r>
    </w:p>
    <w:p>
      <w:pPr>
        <w:jc w:val="both"/>
      </w:pPr>
      <w:r>
        <w:rPr>
          <w:rFonts w:ascii="Verdana" w:hAnsi="Verdana" w:cs="Verdana" w:eastAsia="Verdana"/>
          <w:sz w:val="24"/>
        </w:rPr>
        <w:t>Los reglamentos que no reúnan los requisitos mínimos establecidos en el artículo 160 del EOSF y en el numeral 1.1.1. del presente Capítulo, deben obtener, de manera individual, la previa aprobación de la SFC, así como cualquier adición o modificación que se pretenda introducir al reglamento.</w:t>
        <w:cr/>
      </w:r>
      <w:r>
        <w:rPr>
          <w:rFonts w:ascii="Verdana" w:hAnsi="Verdana" w:cs="Verdana" w:eastAsia="Verdana"/>
          <w:sz w:val="24"/>
        </w:rPr>
        <w:t/>
        <w:cr/>
      </w:r>
      <w:r>
        <w:rPr>
          <w:rFonts w:ascii="Verdana" w:hAnsi="Verdana" w:cs="Verdana" w:eastAsia="Verdana"/>
          <w:sz w:val="24"/>
        </w:rPr>
        <w:t>Así mismo, cuando el reglamento contenga previsiones adicionales o que no se ajusten en su contenido, total o parcialmente, a las señaladas en este Capítulo, deben someterse a aprobación de la SFC pero únicamente con respecto a tales previsiones.</w:t>
        <w:cr/>
      </w:r>
      <w:r>
        <w:rPr>
          <w:rFonts w:ascii="Verdana" w:hAnsi="Verdana" w:cs="Verdana" w:eastAsia="Verdana"/>
          <w:sz w:val="24"/>
        </w:rPr>
        <w:t/>
        <w:cr/>
      </w:r>
      <w:r>
        <w:rPr>
          <w:rFonts w:ascii="Verdana" w:hAnsi="Verdana" w:cs="Verdana" w:eastAsia="Verdana"/>
          <w:sz w:val="24"/>
        </w:rPr>
        <w:t>Para estos efectos, las sociedades administradoras deben indicar en la solicitud respectiva las previsiones del reglamento materia de la aprobación correspondiente, acompañando copia íntegra del reglamento y copia del acta de la junta directiva o del órgano social competente en la cual conste su adopción.</w:t>
        <w:cr/>
      </w:r>
    </w:p>
    <w:p>
      <w:pPr>
        <w:jc w:val="left"/>
      </w:pPr>
      <w:r>
        <w:rPr>
          <w:rFonts w:ascii="Verdana" w:hAnsi="Verdana" w:cs="Verdana" w:eastAsia="Verdana"/>
          <w:sz w:val="24"/>
          <w:b w:val="on"/>
        </w:rPr>
        <w:t>1.1.3. Información a la Superintendencia Financiera de Colombia</w:t>
      </w:r>
    </w:p>
    <w:p>
      <w:pPr>
        <w:jc w:val="both"/>
      </w:pPr>
      <w:r>
        <w:rPr>
          <w:rFonts w:ascii="Verdana" w:hAnsi="Verdana" w:cs="Verdana" w:eastAsia="Verdana"/>
          <w:sz w:val="24"/>
        </w:rPr>
        <w:t>Dentro de los 15 días hábiles siguientes a la fecha en que el fondo de cesantía vaya a entrar en operación, la sociedad administradora debe informar a SFC acerca de la adopción del respectivo reglamento de administración, acompañando copia de este y del acta de la junta directiva, o del órgano social competente, en la cual conste su correspondiente aprobación.</w:t>
        <w:cr/>
      </w:r>
    </w:p>
    <w:p>
      <w:pPr>
        <w:jc w:val="left"/>
      </w:pPr>
      <w:r>
        <w:rPr>
          <w:rFonts w:ascii="Verdana" w:hAnsi="Verdana" w:cs="Verdana" w:eastAsia="Verdana"/>
          <w:sz w:val="24"/>
          <w:b w:val="on"/>
        </w:rPr>
        <w:t>1.2. Régimen de gastos admisibles para los portafolios de corto y largo plazo del fondo de cesantías</w:t>
      </w:r>
    </w:p>
    <w:p>
      <w:pPr>
        <w:jc w:val="both"/>
      </w:pPr>
      <w:r>
        <w:rPr>
          <w:rFonts w:ascii="Verdana" w:hAnsi="Verdana" w:cs="Verdana" w:eastAsia="Verdana"/>
          <w:sz w:val="24"/>
        </w:rPr>
        <w:t>Con cargo a cada uno de los portafolios del fondo de cesantía se pueden sufragar exclusivamente los siguientes gastos, de lo cual debe quedar expresa constancia en su reglamento de administración:</w:t>
        <w:cr/>
      </w:r>
    </w:p>
    <w:p>
      <w:pPr>
        <w:jc w:val="both"/>
      </w:pPr>
      <w:r>
        <w:rPr>
          <w:rFonts w:ascii="Verdana" w:hAnsi="Verdana" w:cs="Verdana" w:eastAsia="Verdana"/>
          <w:sz w:val="24"/>
        </w:rPr>
        <w:t>1.2.1. Los honorarios y gastos en que haya de incurrirse para la defensa de los intereses de los portafolios, cuando las circunstancias así lo exijan.</w:t>
        <w:cr/>
      </w:r>
    </w:p>
    <w:p>
      <w:pPr>
        <w:jc w:val="both"/>
      </w:pPr>
      <w:r>
        <w:rPr>
          <w:rFonts w:ascii="Verdana" w:hAnsi="Verdana" w:cs="Verdana" w:eastAsia="Verdana"/>
          <w:sz w:val="24"/>
        </w:rPr>
        <w:t>1.2.2. Los correspondientes al pago de comisiones por la utilización de comisionistas de bolsa y corredores de valores especializados en TES (CVTES), así como los gastos en que incurran en la negociación de las inversiones a través de sistemas de negociación de valores aprobados por la SFC o en el mercado mostrador registradas en un sistema de registro de operaciones sobre valores autorizado por esta Superintendencia, incluidos los correspondientes al acceso a tales sistemas.</w:t>
        <w:cr/>
      </w:r>
    </w:p>
    <w:p>
      <w:pPr>
        <w:jc w:val="both"/>
      </w:pPr>
      <w:r>
        <w:rPr>
          <w:rFonts w:ascii="Verdana" w:hAnsi="Verdana" w:cs="Verdana" w:eastAsia="Verdana"/>
          <w:sz w:val="24"/>
        </w:rPr>
        <w:t>1.2.3. Los intereses y demás rendimientos financieros que deban cancelarse por razón de operaciones de reporto o repo activas/pasivas y operaciones simultáneas activas/pasivas, siempre que estén autorizadas.</w:t>
        <w:cr/>
      </w:r>
    </w:p>
    <w:p>
      <w:pPr>
        <w:jc w:val="both"/>
      </w:pPr>
      <w:r>
        <w:rPr>
          <w:rFonts w:ascii="Verdana" w:hAnsi="Verdana" w:cs="Verdana" w:eastAsia="Verdana"/>
          <w:sz w:val="24"/>
        </w:rPr>
        <w:t>1.2.4. La pérdida en venta de inversiones, la pérdida en venta de bienes recibidos en pago y los demás gastos de índole similar que autorice con carácter general esta Superintendencia.</w:t>
        <w:cr/>
      </w:r>
    </w:p>
    <w:p>
      <w:pPr>
        <w:jc w:val="both"/>
      </w:pPr>
      <w:r>
        <w:rPr>
          <w:rFonts w:ascii="Verdana" w:hAnsi="Verdana" w:cs="Verdana" w:eastAsia="Verdana"/>
          <w:sz w:val="24"/>
        </w:rPr>
        <w:t>1.2.5. La comisión de administración o manejo, en favor de la sociedad administradora, en la forma establecida por esta Superintendencia, que se cause, siempre y cuando se supere la rentabilidad mínima a que se refieren las disposiciones legales.</w:t>
        <w:cr/>
      </w:r>
    </w:p>
    <w:p>
      <w:pPr>
        <w:jc w:val="both"/>
      </w:pPr>
      <w:r>
        <w:rPr>
          <w:rFonts w:ascii="Verdana" w:hAnsi="Verdana" w:cs="Verdana" w:eastAsia="Verdana"/>
          <w:sz w:val="24"/>
        </w:rPr>
        <w:t>1.2.6. Los gastos en que haya de incurrirse para la constitución de las garantías que deban otorgarse para hacer posible la participación de la administradora con recursos de los portafolios del fondo en los procesos de privatización a que se refiere la Ley 226 de 1995.</w:t>
        <w:cr/>
      </w:r>
    </w:p>
    <w:p>
      <w:pPr>
        <w:jc w:val="both"/>
      </w:pPr>
      <w:r>
        <w:rPr>
          <w:rFonts w:ascii="Verdana" w:hAnsi="Verdana" w:cs="Verdana" w:eastAsia="Verdana"/>
          <w:sz w:val="24"/>
        </w:rPr>
        <w:t>1.2.7. Los gastos en que haya de incurrirse en la realización de operaciones a través de las cámaras de riesgo central de contraparte.</w:t>
        <w:cr/>
      </w:r>
    </w:p>
    <w:p>
      <w:pPr>
        <w:jc w:val="both"/>
      </w:pPr>
      <w:r>
        <w:rPr>
          <w:rFonts w:ascii="Verdana" w:hAnsi="Verdana" w:cs="Verdana" w:eastAsia="Verdana"/>
          <w:sz w:val="24"/>
        </w:rPr>
        <w:t>1.2.8. Los gastos de compensación y liquidación provenientes de la negociación de inversiones.</w:t>
        <w:cr/>
      </w:r>
    </w:p>
    <w:p>
      <w:pPr>
        <w:jc w:val="both"/>
      </w:pPr>
      <w:r>
        <w:rPr>
          <w:rFonts w:ascii="Verdana" w:hAnsi="Verdana" w:cs="Verdana" w:eastAsia="Verdana"/>
          <w:sz w:val="24"/>
        </w:rPr>
        <w:t>1.2.9. Los gastos derivados del registro de valores y los del depósito centralizado de valores que se generen en la realización de operaciones repo, transferencia temporal de valores (TTVs) y simultáneas.</w:t>
        <w:cr/>
      </w:r>
    </w:p>
    <w:p>
      <w:pPr>
        <w:jc w:val="both"/>
      </w:pPr>
      <w:r>
        <w:rPr>
          <w:rFonts w:ascii="Verdana" w:hAnsi="Verdana" w:cs="Verdana" w:eastAsia="Verdana"/>
          <w:sz w:val="24"/>
        </w:rPr>
        <w:t>1.2.10. Los gastos derivados del registro de operaciones con instrumentos financieros derivados y con productos estructurados que no se compensen y liquiden en sistemas de compensación y liquidación, incluido el registro de operaciones en los sistemas de registro de operaciones sobre divisas y los gastos correspondientes a la utilización y acceso a tales sistemas.</w:t>
        <w:cr/>
      </w:r>
    </w:p>
    <w:p>
      <w:pPr>
        <w:jc w:val="both"/>
      </w:pPr>
      <w:r>
        <w:rPr>
          <w:rFonts w:ascii="Verdana" w:hAnsi="Verdana" w:cs="Verdana" w:eastAsia="Verdana"/>
          <w:sz w:val="24"/>
        </w:rPr>
        <w:t>1.2.11. Los gastos derivados del registro de operaciones con instrumentos financieros derivados y con productos estructurados realizadas en el mercado mostrador, en un sistema de registro de operaciones sobre valores autorizado por esta Superintendencia, tengan o no la calidad de valores, incluidos los gastos correspondientes a la utilización y acceso a tales sistemas.</w:t>
        <w:cr/>
      </w:r>
    </w:p>
    <w:p>
      <w:pPr>
        <w:jc w:val="both"/>
      </w:pPr>
      <w:r>
        <w:rPr>
          <w:rFonts w:ascii="Verdana" w:hAnsi="Verdana" w:cs="Verdana" w:eastAsia="Verdana"/>
          <w:sz w:val="24"/>
        </w:rPr>
        <w:t>1.2.12. Los gastos correspondientes a la remuneración del revisor fiscal de los portafolios del fondo de cesantías.</w:t>
        <w:cr/>
      </w:r>
    </w:p>
    <w:p>
      <w:pPr>
        <w:jc w:val="left"/>
      </w:pPr>
      <w:r>
        <w:rPr>
          <w:rFonts w:ascii="Verdana" w:hAnsi="Verdana" w:cs="Verdana" w:eastAsia="Verdana"/>
          <w:sz w:val="24"/>
          <w:b w:val="on"/>
        </w:rPr>
        <w:t>1.3. Comisiones</w:t>
      </w:r>
    </w:p>
    <w:p>
      <w:pPr>
        <w:jc w:val="both"/>
      </w:pPr>
      <w:r>
        <w:rPr>
          <w:rFonts w:ascii="Verdana" w:hAnsi="Verdana" w:cs="Verdana" w:eastAsia="Verdana"/>
          <w:sz w:val="24"/>
        </w:rPr>
        <w:t>Las Administradoras de Fondos de Pensiones y Cesantías pueden cobrar por la administración de los portafolios de inversión de los fondos de cesantía a que se refiere el artículo 2.6.7.1.1. del Decreto 2555 de 2010, las siguientes comisiones:</w:t>
        <w:cr/>
      </w:r>
    </w:p>
    <w:p>
      <w:pPr>
        <w:jc w:val="both"/>
      </w:pPr>
      <w:r>
        <w:rPr>
          <w:rFonts w:ascii="Verdana" w:hAnsi="Verdana" w:cs="Verdana" w:eastAsia="Verdana"/>
          <w:sz w:val="24"/>
        </w:rPr>
        <w:t>1.3.1. Sobre el valor del portafolio de inversión de corto plazo, una comisión de hasta el 1% anual, liquidada en forma diaria.</w:t>
        <w:cr/>
      </w:r>
    </w:p>
    <w:p>
      <w:pPr>
        <w:jc w:val="both"/>
      </w:pPr>
      <w:r>
        <w:rPr>
          <w:rFonts w:ascii="Verdana" w:hAnsi="Verdana" w:cs="Verdana" w:eastAsia="Verdana"/>
          <w:sz w:val="24"/>
        </w:rPr>
        <w:t>1.3.2. Sobre el valor del portafolio de inversión de largo plazo, una comisión de hasta el 3% anual, liquidada en forma diaria.</w:t>
        <w:cr/>
      </w:r>
    </w:p>
    <w:p>
      <w:pPr>
        <w:jc w:val="both"/>
      </w:pPr>
      <w:r>
        <w:rPr>
          <w:rFonts w:ascii="Verdana" w:hAnsi="Verdana" w:cs="Verdana" w:eastAsia="Verdana"/>
          <w:sz w:val="24"/>
        </w:rPr>
        <w:t>1.3.3. Sobre el valor de cada retiro anticipado, una comisión de hasta el 0.8%.</w:t>
        <w:cr/>
      </w:r>
      <w:r>
        <w:rPr>
          <w:rFonts w:ascii="Verdana" w:hAnsi="Verdana" w:cs="Verdana" w:eastAsia="Verdana"/>
          <w:sz w:val="24"/>
        </w:rPr>
        <w:t/>
        <w:cr/>
      </w:r>
      <w:r>
        <w:rPr>
          <w:rFonts w:ascii="Verdana" w:hAnsi="Verdana" w:cs="Verdana" w:eastAsia="Verdana"/>
          <w:sz w:val="24"/>
        </w:rPr>
        <w:t>Las comisiones deben cobrarse con arreglo a lo que se establezca en el reglamento que para el funcionamiento del fondo de cesantías adopte la administradora.</w:t>
        <w:cr/>
      </w:r>
      <w:r>
        <w:rPr>
          <w:rFonts w:ascii="Verdana" w:hAnsi="Verdana" w:cs="Verdana" w:eastAsia="Verdana"/>
          <w:sz w:val="24"/>
        </w:rPr>
        <w:t/>
        <w:cr/>
      </w:r>
      <w:r>
        <w:rPr>
          <w:rFonts w:ascii="Verdana" w:hAnsi="Verdana" w:cs="Verdana" w:eastAsia="Verdana"/>
          <w:sz w:val="24"/>
        </w:rPr>
        <w:t>En concordancia con lo dispuesto en el artículo 101 de la Ley 50 de 1990, los valores anteriores se causan a favor de la administradora solamente cuando se acredite que ésta ha cumplido con la obligación de obtener la rentabilidad mínima de que trata el artículo 101 de la Ley 100 de 1993, modificado por el artículo 52 de la Ley 1328 de 2009.</w:t>
        <w:cr/>
      </w:r>
      <w:r>
        <w:rPr>
          <w:rFonts w:ascii="Verdana" w:hAnsi="Verdana" w:cs="Verdana" w:eastAsia="Verdana"/>
          <w:sz w:val="24"/>
        </w:rPr>
        <w:t/>
        <w:cr/>
      </w:r>
      <w:r>
        <w:rPr>
          <w:rFonts w:ascii="Verdana" w:hAnsi="Verdana" w:cs="Verdana" w:eastAsia="Verdana"/>
          <w:sz w:val="24"/>
        </w:rPr>
        <w:t>Para todos los efectos a que haya lugar, se entiende por retiro anticipado el que efectúa el afiliado para cualquiera de los fines contemplados en los numerales 2 y 3 del artículo 102 de la Ley 50 de 1990.</w:t>
        <w:cr/>
      </w:r>
    </w:p>
    <w:p>
      <w:pPr>
        <w:jc w:val="left"/>
      </w:pPr>
      <w:r>
        <w:rPr>
          <w:rFonts w:ascii="Verdana" w:hAnsi="Verdana" w:cs="Verdana" w:eastAsia="Verdana"/>
          <w:sz w:val="24"/>
          <w:b w:val="on"/>
        </w:rPr>
        <w:t>1.4. Auxilio de cesantía</w:t>
      </w:r>
    </w:p>
    <w:p>
      <w:pPr>
        <w:jc w:val="left"/>
      </w:pPr>
      <w:r>
        <w:rPr>
          <w:rFonts w:ascii="Verdana" w:hAnsi="Verdana" w:cs="Verdana" w:eastAsia="Verdana"/>
          <w:sz w:val="24"/>
          <w:b w:val="on"/>
        </w:rPr>
        <w:t>1.4.1. Consignación del auxilio de cesantía</w:t>
      </w:r>
    </w:p>
    <w:p>
      <w:pPr>
        <w:jc w:val="both"/>
      </w:pPr>
      <w:r>
        <w:rPr>
          <w:rFonts w:ascii="Verdana" w:hAnsi="Verdana" w:cs="Verdana" w:eastAsia="Verdana"/>
          <w:sz w:val="24"/>
        </w:rPr>
        <w:t>Con el objeto de recibir de los empleadores los recursos correspondientes a la liquidación del auxilio de cesantía de sus trabajadores, las administradoras habilitarán los canales que estimen necesarios para que se adelanten las consignaciones.  En los eventos en los cuales se deba diligenciar un formato, este debe contener, al menos, la siguiente información:</w:t>
        <w:cr/>
      </w:r>
    </w:p>
    <w:p>
      <w:pPr>
        <w:jc w:val="both"/>
      </w:pPr>
      <w:r>
        <w:rPr>
          <w:rFonts w:ascii="Verdana" w:hAnsi="Verdana" w:cs="Verdana" w:eastAsia="Verdana"/>
          <w:sz w:val="24"/>
        </w:rPr>
        <w:t>1.4.1.1. Ciudad, fecha y oficina en la cual se realiza el pago.</w:t>
        <w:cr/>
      </w:r>
    </w:p>
    <w:p>
      <w:pPr>
        <w:jc w:val="both"/>
      </w:pPr>
      <w:r>
        <w:rPr>
          <w:rFonts w:ascii="Verdana" w:hAnsi="Verdana" w:cs="Verdana" w:eastAsia="Verdana"/>
          <w:sz w:val="24"/>
        </w:rPr>
        <w:t>1.4.1.2. Nombre o razón social de la empresa que efectúa el pago y su NIT o el nombre del empleador y su documento de identificación, si es persona natural.</w:t>
        <w:cr/>
      </w:r>
    </w:p>
    <w:p>
      <w:pPr>
        <w:jc w:val="both"/>
      </w:pPr>
      <w:r>
        <w:rPr>
          <w:rFonts w:ascii="Verdana" w:hAnsi="Verdana" w:cs="Verdana" w:eastAsia="Verdana"/>
          <w:sz w:val="24"/>
        </w:rPr>
        <w:t>1.4.1.3. La dirección y el teléfono del empleador.</w:t>
        <w:cr/>
      </w:r>
    </w:p>
    <w:p>
      <w:pPr>
        <w:jc w:val="both"/>
      </w:pPr>
      <w:r>
        <w:rPr>
          <w:rFonts w:ascii="Verdana" w:hAnsi="Verdana" w:cs="Verdana" w:eastAsia="Verdana"/>
          <w:sz w:val="24"/>
        </w:rPr>
        <w:t>1.4.1.4. El número de trabajadores respecto de los cuales se realiza el pago de cesantías.</w:t>
        <w:cr/>
      </w:r>
    </w:p>
    <w:p>
      <w:pPr>
        <w:jc w:val="both"/>
      </w:pPr>
      <w:r>
        <w:rPr>
          <w:rFonts w:ascii="Verdana" w:hAnsi="Verdana" w:cs="Verdana" w:eastAsia="Verdana"/>
          <w:sz w:val="24"/>
        </w:rPr>
        <w:t xml:space="preserve">1.4.1.5. El valor total del pago. </w:t>
        <w:cr/>
      </w:r>
    </w:p>
    <w:p>
      <w:pPr>
        <w:jc w:val="both"/>
      </w:pPr>
      <w:r>
        <w:rPr>
          <w:rFonts w:ascii="Verdana" w:hAnsi="Verdana" w:cs="Verdana" w:eastAsia="Verdana"/>
          <w:sz w:val="24"/>
        </w:rPr>
        <w:t>1.4.1.6. Los formatos de pago deben ir acompañados de una relación de los trabajadores cuyo auxilio de cesantía se consigna, en la que se indique respecto de cada trabajador, como mínimo, los siguientes datos:</w:t>
        <w:cr/>
      </w:r>
    </w:p>
    <w:p>
      <w:pPr>
        <w:jc w:val="both"/>
      </w:pPr>
      <w:r>
        <w:rPr>
          <w:rFonts w:ascii="Verdana" w:hAnsi="Verdana" w:cs="Verdana" w:eastAsia="Verdana"/>
          <w:sz w:val="24"/>
        </w:rPr>
        <w:t>1.4.1.6.1. El nombre y documento de identidad del trabajador</w:t>
        <w:cr/>
      </w:r>
    </w:p>
    <w:p>
      <w:pPr>
        <w:jc w:val="both"/>
      </w:pPr>
      <w:r>
        <w:rPr>
          <w:rFonts w:ascii="Verdana" w:hAnsi="Verdana" w:cs="Verdana" w:eastAsia="Verdana"/>
          <w:sz w:val="24"/>
        </w:rPr>
        <w:t>1.4.1.6.2. La dirección, el número del teléfono y el correo electrónico del trabajador.</w:t>
        <w:cr/>
      </w:r>
    </w:p>
    <w:p>
      <w:pPr>
        <w:jc w:val="both"/>
      </w:pPr>
      <w:r>
        <w:rPr>
          <w:rFonts w:ascii="Verdana" w:hAnsi="Verdana" w:cs="Verdana" w:eastAsia="Verdana"/>
          <w:sz w:val="24"/>
        </w:rPr>
        <w:t>1.4.1.6.3. El nombre del empleador, la dirección y el teléfono</w:t>
        <w:cr/>
      </w:r>
    </w:p>
    <w:p>
      <w:pPr>
        <w:jc w:val="both"/>
      </w:pPr>
      <w:r>
        <w:rPr>
          <w:rFonts w:ascii="Verdana" w:hAnsi="Verdana" w:cs="Verdana" w:eastAsia="Verdana"/>
          <w:sz w:val="24"/>
        </w:rPr>
        <w:t>1.4.1.7. El valor del auxilio de cesantía que se paga, con su liquidación detallada, es decir fecha de ingreso del trabajador (en formato aaaa/mm/dd), período de liquidación (en formato aaaa), número de días base de liquidación y salario base de liquidación.</w:t>
        <w:cr/>
      </w:r>
    </w:p>
    <w:p>
      <w:pPr>
        <w:jc w:val="both"/>
      </w:pPr>
      <w:r>
        <w:rPr>
          <w:rFonts w:ascii="Verdana" w:hAnsi="Verdana" w:cs="Verdana" w:eastAsia="Verdana"/>
          <w:sz w:val="24"/>
        </w:rPr>
        <w:t>1.4.1.8. El valor de la sanción por mora en la consignación de las cesantías.</w:t>
        <w:cr/>
      </w:r>
      <w:r>
        <w:rPr>
          <w:rFonts w:ascii="Verdana" w:hAnsi="Verdana" w:cs="Verdana" w:eastAsia="Verdana"/>
          <w:sz w:val="24"/>
        </w:rPr>
        <w:t/>
        <w:cr/>
      </w:r>
      <w:r>
        <w:rPr>
          <w:rFonts w:ascii="Verdana" w:hAnsi="Verdana" w:cs="Verdana" w:eastAsia="Verdana"/>
          <w:sz w:val="24"/>
        </w:rPr>
        <w:t>Adicionalmente, en las proformas de pago debe indicarse si el trabajador cuyo auxilio de cesantía se consigna se encuentra cobijado por el régimen especial a que hace referencia el numeral 2 del artículo 98 de la Ley 50 de 1990.</w:t>
        <w:cr/>
      </w:r>
      <w:r>
        <w:rPr>
          <w:rFonts w:ascii="Verdana" w:hAnsi="Verdana" w:cs="Verdana" w:eastAsia="Verdana"/>
          <w:sz w:val="24"/>
        </w:rPr>
        <w:t/>
        <w:cr/>
      </w:r>
      <w:r>
        <w:rPr>
          <w:rFonts w:ascii="Verdana" w:hAnsi="Verdana" w:cs="Verdana" w:eastAsia="Verdana"/>
          <w:sz w:val="24"/>
        </w:rPr>
        <w:t>Las Administradoras de Fondos de Pensiones y Cesantías quedan autorizadas para recibir la anterior información por cualquier medio, sin perjuicio de cumplir con la obligación que les asiste de exigir de los respectivos empleadores la remisión inmediata de la relación de trabajadores cuyo auxilio de cesantía se paga.</w:t>
        <w:cr/>
      </w:r>
      <w:r>
        <w:rPr>
          <w:rFonts w:ascii="Verdana" w:hAnsi="Verdana" w:cs="Verdana" w:eastAsia="Verdana"/>
          <w:sz w:val="24"/>
        </w:rPr>
        <w:t/>
        <w:cr/>
      </w:r>
      <w:r>
        <w:rPr>
          <w:rFonts w:ascii="Verdana" w:hAnsi="Verdana" w:cs="Verdana" w:eastAsia="Verdana"/>
          <w:sz w:val="24"/>
        </w:rPr>
        <w:t>El valor total del pago que aparezca en el formato de pago debe coincidir con el resultado de la sumatoria de todos los valores expresados en la relación de los trabajadores, a que se refiere el anterior subnumeral 1.4.1.6.</w:t>
        <w:cr/>
      </w:r>
      <w:r>
        <w:rPr>
          <w:rFonts w:ascii="Verdana" w:hAnsi="Verdana" w:cs="Verdana" w:eastAsia="Verdana"/>
          <w:sz w:val="24"/>
        </w:rPr>
        <w:t/>
        <w:cr/>
      </w:r>
      <w:r>
        <w:rPr>
          <w:rFonts w:ascii="Verdana" w:hAnsi="Verdana" w:cs="Verdana" w:eastAsia="Verdana"/>
          <w:sz w:val="24"/>
        </w:rPr>
        <w:t>Las administradoras deben habilitar canales no presenciales tales como internet, call center, aplicaciones móviles (Apps), audio respuesta, entre otros, para el diligenciamiento del formato, la remisión de la documentación señalada en el subnumeral 1.1.1.13 del presente capítulo y el pago de los dineros correspondientes a la liquidación del auxilio de cesantía. En todo caso, deben garantizar el uso de canales presenciales a aquellos afiliados que prefieran hacer uso de estos.</w:t>
        <w:cr/>
      </w:r>
    </w:p>
    <w:p>
      <w:pPr>
        <w:jc w:val="left"/>
      </w:pPr>
      <w:r>
        <w:rPr>
          <w:rFonts w:ascii="Verdana" w:hAnsi="Verdana" w:cs="Verdana" w:eastAsia="Verdana"/>
          <w:sz w:val="24"/>
          <w:b w:val="on"/>
        </w:rPr>
        <w:t>1.4.2. Plazo para consignación</w:t>
      </w:r>
    </w:p>
    <w:p>
      <w:pPr>
        <w:jc w:val="both"/>
      </w:pPr>
      <w:r>
        <w:rPr>
          <w:rFonts w:ascii="Verdana" w:hAnsi="Verdana" w:cs="Verdana" w:eastAsia="Verdana"/>
          <w:sz w:val="24"/>
        </w:rPr>
        <w:t>El numeral 3 del artículo 99 de la Ley 50 de 1990, en concordancia con el numeral 4 del artículo 164 del EOSF, establece como plazo para realizar, por parte del empleador, el pago del valor liquidado anualmente por concepto de auxilio de cesantía hasta “antes del 15 de febrero del año siguiente”. Por lo tanto, las consignaciones que se realicen hasta la medianoche del día 14 de febrero deben entenderse efectuadas dentro de dicho plazo legal. En el evento en que el día 14 de febrero corresponda a un día no hábil, el plazo se extiende hasta la medianoche del día hábil siguiente.</w:t>
        <w:cr/>
      </w:r>
    </w:p>
    <w:p>
      <w:pPr>
        <w:jc w:val="left"/>
      </w:pPr>
      <w:r>
        <w:rPr>
          <w:rFonts w:ascii="Verdana" w:hAnsi="Verdana" w:cs="Verdana" w:eastAsia="Verdana"/>
          <w:sz w:val="24"/>
          <w:b w:val="on"/>
        </w:rPr>
        <w:t xml:space="preserve">1.4.3. Afiliación de personas independientes </w:t>
      </w:r>
    </w:p>
    <w:p>
      <w:pPr>
        <w:jc w:val="both"/>
      </w:pPr>
      <w:r>
        <w:rPr>
          <w:rFonts w:ascii="Verdana" w:hAnsi="Verdana" w:cs="Verdana" w:eastAsia="Verdana"/>
          <w:sz w:val="24"/>
        </w:rPr>
        <w:t>Para la afiliación al fondo de cesantías de personas independientes, las administradoras deben hacer diligenciar, previamente al recibo de sus cotizaciones, un formato de afiliación en el cual se exprese:</w:t>
        <w:cr/>
      </w:r>
    </w:p>
    <w:p>
      <w:pPr>
        <w:jc w:val="both"/>
      </w:pPr>
      <w:r>
        <w:rPr>
          <w:rFonts w:ascii="Verdana" w:hAnsi="Verdana" w:cs="Verdana" w:eastAsia="Verdana"/>
          <w:sz w:val="24"/>
        </w:rPr>
        <w:t>1.4.3.1. Datos personales: Nombre completo, documento de identidad, dirección residencia, número de teléfono, y</w:t>
        <w:cr/>
      </w:r>
    </w:p>
    <w:p>
      <w:pPr>
        <w:jc w:val="both"/>
      </w:pPr>
      <w:r>
        <w:rPr>
          <w:rFonts w:ascii="Verdana" w:hAnsi="Verdana" w:cs="Verdana" w:eastAsia="Verdana"/>
          <w:sz w:val="24"/>
        </w:rPr>
        <w:t>1.4.3.2. Datos sobre su actividad económica u ocupación: descripción de la actividad o del oficio u ocupación que realiza personal y directamente. Si es empleador y labora en su propia empresa, se debe indicar el nombre o razón social, el NIT, la dirección y el teléfono.</w:t>
        <w:cr/>
      </w:r>
      <w:r>
        <w:rPr>
          <w:rFonts w:ascii="Verdana" w:hAnsi="Verdana" w:cs="Verdana" w:eastAsia="Verdana"/>
          <w:sz w:val="24"/>
        </w:rPr>
        <w:t/>
        <w:cr/>
      </w:r>
      <w:r>
        <w:rPr>
          <w:rFonts w:ascii="Verdana" w:hAnsi="Verdana" w:cs="Verdana" w:eastAsia="Verdana"/>
          <w:sz w:val="24"/>
        </w:rPr>
        <w:t>Este formato debe estar firmado por la persona que se afilia, quien lo debe presentar acompañado de una copia de su declaración de renta del año inmediatamente anterior, debidamente presentada ante la Dirección Administrativa de Impuestos y Aduanas Nacionales -DIAN-, así como de copia de su documento de identidad. En el evento en que el solicitante no adjunte la declaración de renta, por no estar obligado a ella de acuerdo con la ley tributaria, el monto total de sus cotizaciones voluntarias no puede ser superior, en ningún tiempo, a la cuantía que corresponda a la máxima de ingresos admisible para no estar obligado a presentar declaración de renta.</w:t>
        <w:cr/>
      </w:r>
      <w:r>
        <w:rPr>
          <w:rFonts w:ascii="Verdana" w:hAnsi="Verdana" w:cs="Verdana" w:eastAsia="Verdana"/>
          <w:sz w:val="24"/>
        </w:rPr>
        <w:t/>
        <w:cr/>
      </w:r>
      <w:r>
        <w:rPr>
          <w:rFonts w:ascii="Verdana" w:hAnsi="Verdana" w:cs="Verdana" w:eastAsia="Verdana"/>
          <w:sz w:val="24"/>
        </w:rPr>
        <w:t>Las administradoras deben habilitar canales no presenciales tales como internet, call center, aplicaciones móviles (Apps), audio respuesta, entre otros, para el procedimiento de afiliación referido en este subnumeral. En todo caso, deben garantizar el uso de canales presenciales a aquellos afiliados que prefieran hacer uso de estos.</w:t>
        <w:cr/>
      </w:r>
    </w:p>
    <w:p>
      <w:pPr>
        <w:jc w:val="left"/>
      </w:pPr>
      <w:r>
        <w:rPr>
          <w:rFonts w:ascii="Verdana" w:hAnsi="Verdana" w:cs="Verdana" w:eastAsia="Verdana"/>
          <w:sz w:val="24"/>
          <w:b w:val="on"/>
        </w:rPr>
        <w:t xml:space="preserve">1.4.4. Traslado a otra administradora </w:t>
      </w:r>
    </w:p>
    <w:p>
      <w:pPr>
        <w:jc w:val="both"/>
      </w:pPr>
      <w:r>
        <w:rPr>
          <w:rFonts w:ascii="Verdana" w:hAnsi="Verdana" w:cs="Verdana" w:eastAsia="Verdana"/>
          <w:sz w:val="24"/>
        </w:rPr>
        <w:t>La administradora que solicite el traslado de un afiliado debe diligenciar un formulario de traslado, suscrito por el afiliado, copia del cual debe remitir a la anterior administradora, junto con una copia del documento de identidad de éste.</w:t>
        <w:cr/>
      </w:r>
      <w:r>
        <w:rPr>
          <w:rFonts w:ascii="Verdana" w:hAnsi="Verdana" w:cs="Verdana" w:eastAsia="Verdana"/>
          <w:sz w:val="24"/>
        </w:rPr>
        <w:t/>
        <w:cr/>
      </w:r>
      <w:r>
        <w:rPr>
          <w:rFonts w:ascii="Verdana" w:hAnsi="Verdana" w:cs="Verdana" w:eastAsia="Verdana"/>
          <w:sz w:val="24"/>
        </w:rPr>
        <w:t>La anterior administradora debe trasladar el valor de las unidades del afiliado a la nueva administradora, anexando la información correspondiente al respectivo traslado, para lo cual puede utilizar un formato en el medio acordado.</w:t>
        <w:cr/>
      </w:r>
    </w:p>
    <w:p>
      <w:pPr>
        <w:jc w:val="both"/>
      </w:pPr>
      <w:r>
        <w:rPr>
          <w:rFonts w:ascii="Verdana" w:hAnsi="Verdana" w:cs="Verdana" w:eastAsia="Verdana"/>
          <w:sz w:val="24"/>
        </w:rPr>
        <w:t>1.4.4.1. Si se trata del traslado de un afiliado, dicho formato contendrá, por lo menos lo siguiente:</w:t>
        <w:cr/>
      </w:r>
    </w:p>
    <w:p>
      <w:pPr>
        <w:jc w:val="both"/>
      </w:pPr>
      <w:r>
        <w:rPr>
          <w:rFonts w:ascii="Verdana" w:hAnsi="Verdana" w:cs="Verdana" w:eastAsia="Verdana"/>
          <w:sz w:val="24"/>
        </w:rPr>
        <w:t>1.4.4.1.1. El nombre de la administradora que realiza el traslado.</w:t>
        <w:cr/>
      </w:r>
    </w:p>
    <w:p>
      <w:pPr>
        <w:jc w:val="both"/>
      </w:pPr>
      <w:r>
        <w:rPr>
          <w:rFonts w:ascii="Verdana" w:hAnsi="Verdana" w:cs="Verdana" w:eastAsia="Verdana"/>
          <w:sz w:val="24"/>
        </w:rPr>
        <w:t>1.4.4.1.2. El nombre de la administradora que recibe los valores objeto del traslado.</w:t>
        <w:cr/>
      </w:r>
    </w:p>
    <w:p>
      <w:pPr>
        <w:jc w:val="both"/>
      </w:pPr>
      <w:r>
        <w:rPr>
          <w:rFonts w:ascii="Verdana" w:hAnsi="Verdana" w:cs="Verdana" w:eastAsia="Verdana"/>
          <w:sz w:val="24"/>
        </w:rPr>
        <w:t>1.4.4.1.3. El valor trasladado en moneda legal colombiana, especificando la fecha de la liquidación del traslado, el número de unidades trasladadas por cada una de las subcuentas y el valor de las unidades a dicha fecha, así como la última fecha de selección o modificación de perfil de administración realizado por el afiliado.</w:t>
        <w:cr/>
      </w:r>
    </w:p>
    <w:p>
      <w:pPr>
        <w:jc w:val="both"/>
      </w:pPr>
      <w:r>
        <w:rPr>
          <w:rFonts w:ascii="Verdana" w:hAnsi="Verdana" w:cs="Verdana" w:eastAsia="Verdana"/>
          <w:sz w:val="24"/>
        </w:rPr>
        <w:t>1.4.4.1.4. La información personal del afiliado: nombre, documento de identidad, dirección y teléfono.</w:t>
        <w:cr/>
      </w:r>
    </w:p>
    <w:p>
      <w:pPr>
        <w:jc w:val="both"/>
      </w:pPr>
      <w:r>
        <w:rPr>
          <w:rFonts w:ascii="Verdana" w:hAnsi="Verdana" w:cs="Verdana" w:eastAsia="Verdana"/>
          <w:sz w:val="24"/>
        </w:rPr>
        <w:t>1.4.4.1.5. La información laboral del afiliado: nombre o razón social del empleador, NIT o documento de identificación, dirección y teléfono.</w:t>
        <w:cr/>
      </w:r>
    </w:p>
    <w:p>
      <w:pPr>
        <w:jc w:val="both"/>
      </w:pPr>
      <w:r>
        <w:rPr>
          <w:rFonts w:ascii="Verdana" w:hAnsi="Verdana" w:cs="Verdana" w:eastAsia="Verdana"/>
          <w:sz w:val="24"/>
        </w:rPr>
        <w:t>1.4.4.2. Si el traslado es de un afiliado independiente se puede utilizar otro formato que contenga, además de la información señalada en los subnumerales 1.4.4.1.1. a. 1.4.4.1.4., la siguiente:</w:t>
        <w:cr/>
      </w:r>
      <w:r>
        <w:rPr>
          <w:rFonts w:ascii="Verdana" w:hAnsi="Verdana" w:cs="Verdana" w:eastAsia="Verdana"/>
          <w:sz w:val="24"/>
        </w:rPr>
        <w:t/>
        <w:cr/>
      </w:r>
      <w:r>
        <w:rPr>
          <w:rFonts w:ascii="Verdana" w:hAnsi="Verdana" w:cs="Verdana" w:eastAsia="Verdana"/>
          <w:sz w:val="24"/>
        </w:rPr>
        <w:t>Los datos sobre su actividad económica u ocupación: descripción de su actividad o del oficio u ocupación que realiza personal y directamente, adjuntando la documentación requerida para la afiliación. Si es empleador y labora en su propia empresa, se debe indicar el nombre o razón social de ésta, el NIT, la dirección y el teléfono.</w:t>
        <w:cr/>
      </w:r>
      <w:r>
        <w:rPr>
          <w:rFonts w:ascii="Verdana" w:hAnsi="Verdana" w:cs="Verdana" w:eastAsia="Verdana"/>
          <w:sz w:val="24"/>
        </w:rPr>
        <w:t/>
        <w:cr/>
      </w:r>
      <w:r>
        <w:rPr>
          <w:rFonts w:ascii="Verdana" w:hAnsi="Verdana" w:cs="Verdana" w:eastAsia="Verdana"/>
          <w:sz w:val="24"/>
        </w:rPr>
        <w:t>La administradora que realice el traslado está en la obligación de comunicarle simultáneamente por escrito al afiliado la información relacionada con el traslado.</w:t>
        <w:cr/>
      </w:r>
      <w:r>
        <w:rPr>
          <w:rFonts w:ascii="Verdana" w:hAnsi="Verdana" w:cs="Verdana" w:eastAsia="Verdana"/>
          <w:sz w:val="24"/>
        </w:rPr>
        <w:t/>
        <w:cr/>
      </w:r>
      <w:r>
        <w:rPr>
          <w:rFonts w:ascii="Verdana" w:hAnsi="Verdana" w:cs="Verdana" w:eastAsia="Verdana"/>
          <w:sz w:val="24"/>
        </w:rPr>
        <w:t>Las administradoras deben habilitar canales no presenciales tales como internet, call center, aplicaciones móviles (Apps), audio respuesta, entre otros, para el diligenciamiento del formulario y la remisión de la información señalada en este subnumeral. En todo caso, deben garantizar el uso de canales presenciales a aquellos afiliados que prefieran hacer uso de estos.</w:t>
        <w:cr/>
      </w:r>
    </w:p>
    <w:p>
      <w:pPr>
        <w:jc w:val="left"/>
      </w:pPr>
      <w:r>
        <w:rPr>
          <w:rFonts w:ascii="Verdana" w:hAnsi="Verdana" w:cs="Verdana" w:eastAsia="Verdana"/>
          <w:sz w:val="24"/>
          <w:b w:val="on"/>
        </w:rPr>
        <w:t xml:space="preserve">1.4.5. Remisión de extractos a los afiliados a los fondos de cesantías </w:t>
      </w:r>
    </w:p>
    <w:p>
      <w:pPr>
        <w:jc w:val="both"/>
      </w:pPr>
      <w:r>
        <w:rPr>
          <w:rFonts w:ascii="Verdana" w:hAnsi="Verdana" w:cs="Verdana" w:eastAsia="Verdana"/>
          <w:sz w:val="24"/>
        </w:rPr>
        <w:t>Las sociedades administradoras de fondos cesantías están en la obligación de remitir periódicamente a sus afiliados extractos de sus cuentas individuales, de acuerdo con las siguientes instrucciones:</w:t>
        <w:cr/>
      </w:r>
    </w:p>
    <w:p>
      <w:pPr>
        <w:jc w:val="left"/>
      </w:pPr>
      <w:r>
        <w:rPr>
          <w:rFonts w:ascii="Verdana" w:hAnsi="Verdana" w:cs="Verdana" w:eastAsia="Verdana"/>
          <w:sz w:val="24"/>
          <w:b w:val="on"/>
        </w:rPr>
        <w:t>1.4.5.1. Periodicidad y plazo para el envío de extractos a los afiliados</w:t>
      </w:r>
    </w:p>
    <w:p>
      <w:pPr>
        <w:jc w:val="both"/>
      </w:pPr>
      <w:r>
        <w:rPr>
          <w:rFonts w:ascii="Verdana" w:hAnsi="Verdana" w:cs="Verdana" w:eastAsia="Verdana"/>
          <w:sz w:val="24"/>
        </w:rPr>
        <w:t>Las sociedades administradoras deben remitir a sus afiliados, por lo menos semestralmente, los extractos de sus cuentas individuales.</w:t>
        <w:cr/>
      </w:r>
      <w:r>
        <w:rPr>
          <w:rFonts w:ascii="Verdana" w:hAnsi="Verdana" w:cs="Verdana" w:eastAsia="Verdana"/>
          <w:sz w:val="24"/>
        </w:rPr>
        <w:t/>
        <w:cr/>
      </w:r>
      <w:r>
        <w:rPr>
          <w:rFonts w:ascii="Verdana" w:hAnsi="Verdana" w:cs="Verdana" w:eastAsia="Verdana"/>
          <w:sz w:val="24"/>
        </w:rPr>
        <w:t>Como quiera que esta obligación involucra a todos los afiliados al fondo de cesantías, es deber de las sociedades administradoras enviar los extractos a que se refiere este subnumeral, a quienes, en cualquier momento durante el periodo del extracto, hayan tenido el carácter de afiliados.</w:t>
        <w:cr/>
      </w:r>
      <w:r>
        <w:rPr>
          <w:rFonts w:ascii="Verdana" w:hAnsi="Verdana" w:cs="Verdana" w:eastAsia="Verdana"/>
          <w:sz w:val="24"/>
        </w:rPr>
        <w:t/>
        <w:cr/>
      </w:r>
      <w:r>
        <w:rPr>
          <w:rFonts w:ascii="Verdana" w:hAnsi="Verdana" w:cs="Verdana" w:eastAsia="Verdana"/>
          <w:sz w:val="24"/>
        </w:rPr>
        <w:t>Los extractos deben remitirse dentro de los 15 días hábiles siguientes a la publicación por parte de la SFC de la rentabilidad mínima con corte a marzo 31 y septiembre 30. En aquellos eventos en que una sociedad administradora ofrezca a sus afiliados la remisión de extractos que correspondan a periodos inferiores a un semestre, deben dejar expresa constancia en el reglamento del fondo de la periodicidad y del plazo dentro del cual serán enviados.</w:t>
        <w:cr/>
      </w:r>
      <w:r>
        <w:rPr>
          <w:rFonts w:ascii="Verdana" w:hAnsi="Verdana" w:cs="Verdana" w:eastAsia="Verdana"/>
          <w:sz w:val="24"/>
        </w:rPr>
        <w:t/>
        <w:cr/>
      </w:r>
      <w:r>
        <w:rPr>
          <w:rFonts w:ascii="Verdana" w:hAnsi="Verdana" w:cs="Verdana" w:eastAsia="Verdana"/>
          <w:sz w:val="24"/>
        </w:rPr>
        <w:t>Con los extractos con corte al 30 de septiembre, se debe remitir la información completa sobre los derechos y obligaciones de los afiliados al fondo y los efectos que se derivan de la selección entre los portafolios de inversión de corto plazo y largo plazo de los aportes y/o recursos de los fondos de cesantías.</w:t>
        <w:cr/>
      </w:r>
    </w:p>
    <w:p>
      <w:pPr>
        <w:jc w:val="left"/>
      </w:pPr>
      <w:r>
        <w:rPr>
          <w:rFonts w:ascii="Verdana" w:hAnsi="Verdana" w:cs="Verdana" w:eastAsia="Verdana"/>
          <w:sz w:val="24"/>
          <w:b w:val="on"/>
        </w:rPr>
        <w:t>1.4.5.2. Contenido mínimo de los extractos y uso obligatorio del formato único</w:t>
      </w:r>
    </w:p>
    <w:p>
      <w:pPr>
        <w:jc w:val="both"/>
      </w:pPr>
      <w:r>
        <w:rPr>
          <w:rFonts w:ascii="Verdana" w:hAnsi="Verdana" w:cs="Verdana" w:eastAsia="Verdana"/>
          <w:sz w:val="24"/>
        </w:rPr>
        <w:t>Los extractos deben informar como mínimo lo siguiente, de conformidad con el formato único establecido por la SFC, disponible en el Anexo 1 del presente Capítulo:</w:t>
        <w:cr/>
      </w:r>
    </w:p>
    <w:p>
      <w:pPr>
        <w:jc w:val="both"/>
      </w:pPr>
      <w:r>
        <w:rPr>
          <w:rFonts w:ascii="Verdana" w:hAnsi="Verdana" w:cs="Verdana" w:eastAsia="Verdana"/>
          <w:sz w:val="24"/>
        </w:rPr>
        <w:t>1.4.5.2.1. Saldo inicial y final del periodo</w:t>
        <w:cr/>
      </w:r>
    </w:p>
    <w:p>
      <w:pPr>
        <w:jc w:val="both"/>
      </w:pPr>
      <w:r>
        <w:rPr>
          <w:rFonts w:ascii="Verdana" w:hAnsi="Verdana" w:cs="Verdana" w:eastAsia="Verdana"/>
          <w:sz w:val="24"/>
        </w:rPr>
        <w:t>1.4.5.2.2. Valor y fecha de consignación del auxilio de cesantía</w:t>
        <w:cr/>
      </w:r>
    </w:p>
    <w:p>
      <w:pPr>
        <w:jc w:val="both"/>
      </w:pPr>
      <w:r>
        <w:rPr>
          <w:rFonts w:ascii="Verdana" w:hAnsi="Verdana" w:cs="Verdana" w:eastAsia="Verdana"/>
          <w:sz w:val="24"/>
        </w:rPr>
        <w:t>1.4.5.2.3. Traslados desde y hacia el fondo de cesantía</w:t>
        <w:cr/>
      </w:r>
    </w:p>
    <w:p>
      <w:pPr>
        <w:jc w:val="both"/>
      </w:pPr>
      <w:r>
        <w:rPr>
          <w:rFonts w:ascii="Verdana" w:hAnsi="Verdana" w:cs="Verdana" w:eastAsia="Verdana"/>
          <w:sz w:val="24"/>
        </w:rPr>
        <w:t>1.4.5.2.4. Retiros parciales de cesantía</w:t>
        <w:cr/>
      </w:r>
    </w:p>
    <w:p>
      <w:pPr>
        <w:jc w:val="both"/>
      </w:pPr>
      <w:r>
        <w:rPr>
          <w:rFonts w:ascii="Verdana" w:hAnsi="Verdana" w:cs="Verdana" w:eastAsia="Verdana"/>
          <w:sz w:val="24"/>
        </w:rPr>
        <w:t>1.4.5.2.5. Retiros definitivos de cesantía</w:t>
        <w:cr/>
      </w:r>
    </w:p>
    <w:p>
      <w:pPr>
        <w:jc w:val="both"/>
      </w:pPr>
      <w:r>
        <w:rPr>
          <w:rFonts w:ascii="Verdana" w:hAnsi="Verdana" w:cs="Verdana" w:eastAsia="Verdana"/>
          <w:sz w:val="24"/>
        </w:rPr>
        <w:t>1.4.5.2.6. Comisión cobrada por retiros parciales</w:t>
        <w:cr/>
      </w:r>
    </w:p>
    <w:p>
      <w:pPr>
        <w:jc w:val="both"/>
      </w:pPr>
      <w:r>
        <w:rPr>
          <w:rFonts w:ascii="Verdana" w:hAnsi="Verdana" w:cs="Verdana" w:eastAsia="Verdana"/>
          <w:sz w:val="24"/>
        </w:rPr>
        <w:t>1.4.5.2.7. Porcentaje de comisión por administración</w:t>
        <w:cr/>
      </w:r>
    </w:p>
    <w:p>
      <w:pPr>
        <w:jc w:val="both"/>
      </w:pPr>
      <w:r>
        <w:rPr>
          <w:rFonts w:ascii="Verdana" w:hAnsi="Verdana" w:cs="Verdana" w:eastAsia="Verdana"/>
          <w:sz w:val="24"/>
        </w:rPr>
        <w:t>1.4.5.2.8. Rendimientos abonados durante el período, y</w:t>
        <w:cr/>
      </w:r>
    </w:p>
    <w:p>
      <w:pPr>
        <w:jc w:val="both"/>
      </w:pPr>
      <w:r>
        <w:rPr>
          <w:rFonts w:ascii="Verdana" w:hAnsi="Verdana" w:cs="Verdana" w:eastAsia="Verdana"/>
          <w:sz w:val="24"/>
        </w:rPr>
        <w:t>1.4.5.2.9. Rentabilidad efectiva anual de los portafolios del fondo y de las subcuentas individuales</w:t>
        <w:cr/>
      </w:r>
    </w:p>
    <w:p>
      <w:pPr>
        <w:jc w:val="left"/>
      </w:pPr>
      <w:r>
        <w:rPr>
          <w:rFonts w:ascii="Verdana" w:hAnsi="Verdana" w:cs="Verdana" w:eastAsia="Verdana"/>
          <w:sz w:val="24"/>
          <w:b w:val="on"/>
        </w:rPr>
        <w:t>1.4.5.3. Medio y dirección a la cual deben remitirse los extractos periódicos</w:t>
      </w:r>
    </w:p>
    <w:p>
      <w:pPr>
        <w:jc w:val="both"/>
      </w:pPr>
      <w:r>
        <w:rPr>
          <w:rFonts w:ascii="Verdana" w:hAnsi="Verdana" w:cs="Verdana" w:eastAsia="Verdana"/>
          <w:sz w:val="24"/>
        </w:rPr>
        <w:t>Los extractos deben remitirse por el medio que el afiliado haya indicado expresamente para su recibo.</w:t>
        <w:cr/>
      </w:r>
      <w:r>
        <w:rPr>
          <w:rFonts w:ascii="Verdana" w:hAnsi="Verdana" w:cs="Verdana" w:eastAsia="Verdana"/>
          <w:sz w:val="24"/>
        </w:rPr>
        <w:t/>
        <w:cr/>
      </w:r>
      <w:r>
        <w:rPr>
          <w:rFonts w:ascii="Verdana" w:hAnsi="Verdana" w:cs="Verdana" w:eastAsia="Verdana"/>
          <w:sz w:val="24"/>
        </w:rPr>
        <w:t>La SFC debe evaluar la idoneidad y seguridad del medio para el envío de los extractos al momento de autorizar su inclusión en el reglamento del fondo de cesantías.</w:t>
        <w:cr/>
      </w:r>
    </w:p>
    <w:p>
      <w:pPr>
        <w:jc w:val="left"/>
      </w:pPr>
      <w:r>
        <w:rPr>
          <w:rFonts w:ascii="Verdana" w:hAnsi="Verdana" w:cs="Verdana" w:eastAsia="Verdana"/>
          <w:sz w:val="24"/>
          <w:b w:val="on"/>
        </w:rPr>
        <w:t xml:space="preserve">1.4.6. Valoración subcuentas individuales </w:t>
      </w:r>
    </w:p>
    <w:p>
      <w:pPr>
        <w:jc w:val="both"/>
      </w:pPr>
      <w:r>
        <w:rPr>
          <w:rFonts w:ascii="Verdana" w:hAnsi="Verdana" w:cs="Verdana" w:eastAsia="Verdana"/>
          <w:sz w:val="24"/>
        </w:rPr>
        <w:t>El valor de cada uno de los portafolios de corto y largo plazo del fondo de cesantías debe determinarse en forma diaria de conformidad con el procedimiento establecido por esta Superintendencia y expresarse en unidades de igual monto y características, donde las unidades miden el valor de los aportes de los afiliados y su mayor valor representa los rendimientos que se han obtenido en el período respectivo, como consecuencia de la gestión adelantada por la administradora, sin la injerencia de factores extraños que afecten la transparencia de su manejo y que atenten contra los principios inspiradores de una sana competencia entre las administradoras.</w:t>
        <w:cr/>
      </w:r>
      <w:r>
        <w:rPr>
          <w:rFonts w:ascii="Verdana" w:hAnsi="Verdana" w:cs="Verdana" w:eastAsia="Verdana"/>
          <w:sz w:val="24"/>
        </w:rPr>
        <w:t/>
        <w:cr/>
      </w:r>
      <w:r>
        <w:rPr>
          <w:rFonts w:ascii="Verdana" w:hAnsi="Verdana" w:cs="Verdana" w:eastAsia="Verdana"/>
          <w:sz w:val="24"/>
        </w:rPr>
        <w:t>Cuando una administradora estime procedente efectuar aportes con sus propios recursos a los portafolios administrados debe efectuarlos de forma tal que los mismos no alteren la rentabilidad de los portafolios, ni por consiguiente, el valor de la unidad, pues las Administradoras de Fondos de Pensiones y Cesantías no pueden sustraerse a su obligación legal de administrar e invertir los recursos de los portafolios de corto y largo plazo del fondo en activos de acuerdo con el régimen de inversión definido por el Gobierno Nacional, con el propósito de obtener la rentabilidad mínima exigida, utilizando el traslado del dinero al portafolio que administran.</w:t>
        <w:cr/>
      </w:r>
      <w:r>
        <w:rPr>
          <w:rFonts w:ascii="Verdana" w:hAnsi="Verdana" w:cs="Verdana" w:eastAsia="Verdana"/>
          <w:sz w:val="24"/>
        </w:rPr>
        <w:t/>
        <w:cr/>
      </w:r>
      <w:r>
        <w:rPr>
          <w:rFonts w:ascii="Verdana" w:hAnsi="Verdana" w:cs="Verdana" w:eastAsia="Verdana"/>
          <w:sz w:val="24"/>
        </w:rPr>
        <w:t>En conclusión, las donaciones de dinero tanto de la misma sociedad administradora como de cualquier persona natural o jurídica deben abonarse a los portafolios administrados, previo el cumplimiento de las disposiciones legales pertinentes, tratarse como una consignación y abonarse como unidades en las cuentas individuales a nombre de los afiliados.</w:t>
        <w:cr/>
      </w:r>
    </w:p>
    <w:p>
      <w:pPr>
        <w:jc w:val="left"/>
      </w:pPr>
      <w:r>
        <w:rPr>
          <w:rFonts w:ascii="Verdana" w:hAnsi="Verdana" w:cs="Verdana" w:eastAsia="Verdana"/>
          <w:sz w:val="24"/>
          <w:b w:val="on"/>
        </w:rPr>
        <w:t>1.5. Mecanismo de protección al cesante</w:t>
      </w:r>
    </w:p>
    <w:p>
      <w:pPr>
        <w:jc w:val="both"/>
      </w:pPr>
      <w:r>
        <w:rPr>
          <w:rFonts w:ascii="Verdana" w:hAnsi="Verdana" w:cs="Verdana" w:eastAsia="Verdana"/>
          <w:sz w:val="24"/>
        </w:rPr>
        <w:t>Sin perjuicio de las disposiciones aplicables al auxilio de la cesantía por parte de las sociedades administradoras de los fondos de cesantías, con el fin de que se logren los objetivos y se dé una adecuada aplicación de la normatividad en materia de acceso y ejecución del mecanismo de protección al cesante de que trata la Ley 1636 de 2013, el Decreto 135 de 2014 y demás normas que lo modifiquen, adicionen o sustituyan, constituyen obligaciones especiales de las Administradoras de Fondos de Pensiones y Cesantías:</w:t>
        <w:cr/>
      </w:r>
    </w:p>
    <w:p>
      <w:pPr>
        <w:jc w:val="both"/>
      </w:pPr>
      <w:r>
        <w:rPr>
          <w:rFonts w:ascii="Verdana" w:hAnsi="Verdana" w:cs="Verdana" w:eastAsia="Verdana"/>
          <w:sz w:val="24"/>
        </w:rPr>
        <w:t>1.5.1. Tener a disposición de los afiliados al fondo de cesantías el formato que determine el Ministerio del Trabajo a través del cual el trabajador autoriza la destinación de todo o parte de sus cesantías para ahorro en el mecanismo de protección al cesante.</w:t>
        <w:cr/>
      </w:r>
    </w:p>
    <w:p>
      <w:pPr>
        <w:jc w:val="both"/>
      </w:pPr>
      <w:r>
        <w:rPr>
          <w:rFonts w:ascii="Verdana" w:hAnsi="Verdana" w:cs="Verdana" w:eastAsia="Verdana"/>
          <w:sz w:val="24"/>
        </w:rPr>
        <w:t>1.5.2. Divulgar y promover en sus canales de servicio la destinación que pueden dar los afiliados de manera libre y voluntaria a parte o la totalidad de las cesantías para la financiación del mecanismo de protección al cesante. Especialmente, durante el primer trimestre de cada anualidad, deben disponer campañas y acciones orientadas a explicar a sus afiliados la operatividad de dicho mecanismo.</w:t>
        <w:cr/>
      </w:r>
    </w:p>
    <w:p>
      <w:pPr>
        <w:jc w:val="both"/>
      </w:pPr>
      <w:r>
        <w:rPr>
          <w:rFonts w:ascii="Verdana" w:hAnsi="Verdana" w:cs="Verdana" w:eastAsia="Verdana"/>
          <w:sz w:val="24"/>
        </w:rPr>
        <w:t>1.5.3. Adoptar los mecanismos que correspondan a fin de que la decisión de los trabajadores sobre destinación de cesantías para ahorro en el mecanismo de protección al cesante pueda realizarse por medios electrónicos, con las debidas seguridades informáticas y de protección de datos.</w:t>
        <w:cr/>
      </w:r>
    </w:p>
    <w:p>
      <w:pPr>
        <w:jc w:val="both"/>
      </w:pPr>
      <w:r>
        <w:rPr>
          <w:rFonts w:ascii="Verdana" w:hAnsi="Verdana" w:cs="Verdana" w:eastAsia="Verdana"/>
          <w:sz w:val="24"/>
        </w:rPr>
        <w:t>1.5.4. Trasladar a la caja de compensación familiar requiriente, el ahorro y los rendimientos destinados por el beneficiario para el mecanismo de protección al cesante, dentro del plazo previsto por el artículo 7 de la Ley 1636 de 2013 y utilizando el mismo procedimiento definido para el pago de cesantías a los afiliados, propendiendo porque los traslados sean efectuados en línea.</w:t>
        <w:cr/>
      </w:r>
    </w:p>
    <w:p>
      <w:pPr>
        <w:jc w:val="both"/>
      </w:pPr>
      <w:r>
        <w:rPr>
          <w:rFonts w:ascii="Verdana" w:hAnsi="Verdana" w:cs="Verdana" w:eastAsia="Verdana"/>
          <w:sz w:val="24"/>
        </w:rPr>
        <w:t>1.5.5. Desarrollar herramientas de información y consulta sobre las condiciones de los beneficiarios del mecanismo de protección al cesante, en particular sobre el registro de éstos para el acceso a los beneficios, consultando los criterios de seguridad y protección de datos que sean aplicables.</w:t>
        <w:cr/>
      </w:r>
    </w:p>
    <w:p>
      <w:pPr>
        <w:jc w:val="both"/>
      </w:pPr>
      <w:r>
        <w:rPr>
          <w:rFonts w:ascii="Verdana" w:hAnsi="Verdana" w:cs="Verdana" w:eastAsia="Verdana"/>
          <w:sz w:val="24"/>
        </w:rPr>
        <w:t>1.5.6. Conservar la destinación de ahorro decidida por el afiliado a los recursos orientados al citado mecanismo, en caso de traslado entre entidades administradoras de cesantías.</w:t>
        <w:cr/>
      </w:r>
    </w:p>
    <w:p>
      <w:pPr>
        <w:jc w:val="both"/>
      </w:pPr>
      <w:r>
        <w:rPr>
          <w:rFonts w:ascii="Verdana" w:hAnsi="Verdana" w:cs="Verdana" w:eastAsia="Verdana"/>
          <w:sz w:val="24"/>
        </w:rPr>
        <w:t>1.5.7. Contabilizar, en forma separada, los recursos de ahorro voluntario destinados por los trabajadores para el mecanismo de protección al cesante.</w:t>
        <w:cr/>
      </w:r>
    </w:p>
    <w:p>
      <w:pPr>
        <w:jc w:val="left"/>
      </w:pPr>
      <w:r>
        <w:rPr>
          <w:rFonts w:ascii="Verdana" w:hAnsi="Verdana" w:cs="Verdana" w:eastAsia="Verdana"/>
          <w:sz w:val="24"/>
          <w:b w:val="on"/>
        </w:rPr>
        <w:t>1.6. Cesión de fondos de cesantías</w:t>
      </w:r>
    </w:p>
    <w:p>
      <w:pPr>
        <w:jc w:val="both"/>
      </w:pPr>
      <w:r>
        <w:rPr>
          <w:rFonts w:ascii="Verdana" w:hAnsi="Verdana" w:cs="Verdana" w:eastAsia="Verdana"/>
          <w:sz w:val="24"/>
        </w:rPr>
        <w:t>Con el fin de garantizar que la cesión de los fondos de cesantías se efectúe con sujeción a la ley, en defensa de los intereses de los afiliados al mismo, se considera indispensable impartir las siguientes instrucciones:</w:t>
        <w:cr/>
      </w:r>
    </w:p>
    <w:p>
      <w:pPr>
        <w:jc w:val="left"/>
      </w:pPr>
      <w:r>
        <w:rPr>
          <w:rFonts w:ascii="Verdana" w:hAnsi="Verdana" w:cs="Verdana" w:eastAsia="Verdana"/>
          <w:sz w:val="24"/>
          <w:b w:val="on"/>
        </w:rPr>
        <w:t>1.6.1. Cierre</w:t>
      </w:r>
    </w:p>
    <w:p>
      <w:pPr>
        <w:jc w:val="both"/>
      </w:pPr>
      <w:r>
        <w:rPr>
          <w:rFonts w:ascii="Verdana" w:hAnsi="Verdana" w:cs="Verdana" w:eastAsia="Verdana"/>
          <w:sz w:val="24"/>
        </w:rPr>
        <w:t>Las Administradoras de Fondos de Pensiones y Cesantías que de conformidad con lo previsto en el artículo 167 del EOSF cedan el fondo de cesantías por ellas administrado deben efectuar un corte de ejercicio en la fecha inmediatamente anterior a aquella en que se produzca la cesión, siguiendo para el efecto el procedimiento de cierre mensual establecido por la SFC.</w:t>
        <w:cr/>
      </w:r>
    </w:p>
    <w:p>
      <w:pPr>
        <w:jc w:val="left"/>
      </w:pPr>
      <w:r>
        <w:rPr>
          <w:rFonts w:ascii="Verdana" w:hAnsi="Verdana" w:cs="Verdana" w:eastAsia="Verdana"/>
          <w:sz w:val="24"/>
          <w:b w:val="on"/>
        </w:rPr>
        <w:t>1.6.2. Identificación</w:t>
      </w:r>
    </w:p>
    <w:p>
      <w:pPr>
        <w:jc w:val="both"/>
      </w:pPr>
      <w:r>
        <w:rPr>
          <w:rFonts w:ascii="Verdana" w:hAnsi="Verdana" w:cs="Verdana" w:eastAsia="Verdana"/>
          <w:sz w:val="24"/>
        </w:rPr>
        <w:t>Al momento de la cesión de un fondo de cesantías, la sociedad cedente debe entregar a la sociedad cesionaria la relación de los afiliados al fondo, con indicación de su participación en los portafolios de corto y largo plazo, expresada en pesos y unidades.</w:t>
        <w:cr/>
      </w:r>
    </w:p>
    <w:p>
      <w:pPr>
        <w:jc w:val="left"/>
      </w:pPr>
      <w:r>
        <w:rPr>
          <w:rFonts w:ascii="Verdana" w:hAnsi="Verdana" w:cs="Verdana" w:eastAsia="Verdana"/>
          <w:sz w:val="24"/>
          <w:b w:val="on"/>
        </w:rPr>
        <w:t>1.6.3. Garantía de rentabilidad mínima</w:t>
      </w:r>
    </w:p>
    <w:p>
      <w:pPr>
        <w:jc w:val="both"/>
      </w:pPr>
      <w:r>
        <w:rPr>
          <w:rFonts w:ascii="Verdana" w:hAnsi="Verdana" w:cs="Verdana" w:eastAsia="Verdana"/>
          <w:sz w:val="24"/>
        </w:rPr>
        <w:t>La sociedad cedente de un fondo de cesantía debe garantizar la rentabilidad mínima acumulada exigida por la ley para cada uno de los portafolios administrados, con corte a la fecha en que se efectúe la cesión del fondo. Para el efecto, la SFC debe informar la rentabilidad mínima a las sociedades cedente y cesionaria, dentro de los 5 días hábiles siguientes a la cesión del fondo.</w:t>
        <w:cr/>
      </w:r>
      <w:r>
        <w:rPr>
          <w:rFonts w:ascii="Verdana" w:hAnsi="Verdana" w:cs="Verdana" w:eastAsia="Verdana"/>
          <w:sz w:val="24"/>
        </w:rPr>
        <w:t/>
        <w:cr/>
      </w:r>
      <w:r>
        <w:rPr>
          <w:rFonts w:ascii="Verdana" w:hAnsi="Verdana" w:cs="Verdana" w:eastAsia="Verdana"/>
          <w:sz w:val="24"/>
        </w:rPr>
        <w:t xml:space="preserve">Suministrada dicha información, la entidad cedente dispone de un plazo de 5 días comunes para cancelar la suma necesaria para alcanzar la rentabilidad mínima exigida. </w:t>
        <w:cr/>
      </w:r>
      <w:r>
        <w:rPr>
          <w:rFonts w:ascii="Verdana" w:hAnsi="Verdana" w:cs="Verdana" w:eastAsia="Verdana"/>
          <w:sz w:val="24"/>
        </w:rPr>
        <w:t/>
        <w:cr/>
      </w:r>
      <w:r>
        <w:rPr>
          <w:rFonts w:ascii="Verdana" w:hAnsi="Verdana" w:cs="Verdana" w:eastAsia="Verdana"/>
          <w:sz w:val="24"/>
        </w:rPr>
        <w:t>Esta suma se cancelará, en primer lugar, con cargo a la comisión de administración causada hasta el día del cierre a favor de la entidad cedente.</w:t>
        <w:cr/>
      </w:r>
      <w:r>
        <w:rPr>
          <w:rFonts w:ascii="Verdana" w:hAnsi="Verdana" w:cs="Verdana" w:eastAsia="Verdana"/>
          <w:sz w:val="24"/>
        </w:rPr>
        <w:t/>
        <w:cr/>
      </w:r>
      <w:r>
        <w:rPr>
          <w:rFonts w:ascii="Verdana" w:hAnsi="Verdana" w:cs="Verdana" w:eastAsia="Verdana"/>
          <w:sz w:val="24"/>
        </w:rPr>
        <w:t>Cuando la comisión de administración causada sea insuficiente para alcanzar la rentabilidad mínima exigida, la diferencia debe ser entregada en efectivo a los portafolios del fondo cesionario para su abono en las cuentas de capitalización individual de quienes al momento de la cesión se encontraban afiliados a los portafolios del fondo cedido. Dicho abono  debe efectuarse en unidades.</w:t>
        <w:cr/>
      </w:r>
      <w:r>
        <w:rPr>
          <w:rFonts w:ascii="Verdana" w:hAnsi="Verdana" w:cs="Verdana" w:eastAsia="Verdana"/>
          <w:sz w:val="24"/>
        </w:rPr>
        <w:t/>
        <w:cr/>
      </w:r>
      <w:r>
        <w:rPr>
          <w:rFonts w:ascii="Verdana" w:hAnsi="Verdana" w:cs="Verdana" w:eastAsia="Verdana"/>
          <w:sz w:val="24"/>
        </w:rPr>
        <w:t>En caso de fusión de la entidad cedente, o cuando la totalidad de sus acciones en circulación hayan sido adquiridas por otra entidad o sus pasivos hayan sido cedidos, la obligación de garantizar la rentabilidad mínima debe extenderse a la entidad absorbente o a la nueva sociedad resultante de la fusión, así como a la adquirente de las acciones o de los pasivos, según sea el caso.</w:t>
        <w:cr/>
      </w:r>
    </w:p>
    <w:p>
      <w:pPr>
        <w:jc w:val="left"/>
      </w:pPr>
      <w:r>
        <w:rPr>
          <w:rFonts w:ascii="Verdana" w:hAnsi="Verdana" w:cs="Verdana" w:eastAsia="Verdana"/>
          <w:sz w:val="24"/>
          <w:b w:val="on"/>
        </w:rPr>
        <w:t>1.6.4. Procedimiento a realizar en el fondo cesionario</w:t>
      </w:r>
    </w:p>
    <w:p>
      <w:pPr>
        <w:jc w:val="both"/>
      </w:pPr>
      <w:r>
        <w:rPr>
          <w:rFonts w:ascii="Verdana" w:hAnsi="Verdana" w:cs="Verdana" w:eastAsia="Verdana"/>
          <w:sz w:val="24"/>
        </w:rPr>
        <w:t>El día de la cesión, el fondo de cesantía cedido debe incorporarse al administrado por la sociedad cesionaria, la cual debe efectuar la reliquidación de todas las cuentas del fondo cedido, con base en el valor de las unidades de los portafolios del fondo de cesantías por ella administrado vigente para el día de la cesión.</w:t>
        <w:cr/>
      </w:r>
    </w:p>
    <w:p>
      <w:pPr>
        <w:jc w:val="left"/>
      </w:pPr>
      <w:r>
        <w:rPr>
          <w:rFonts w:ascii="Verdana" w:hAnsi="Verdana" w:cs="Verdana" w:eastAsia="Verdana"/>
          <w:sz w:val="24"/>
          <w:b w:val="on"/>
        </w:rPr>
        <w:t>1.6.5. Información a la Superintendencia Financiera de Colombia</w:t>
      </w:r>
    </w:p>
    <w:p>
      <w:pPr>
        <w:jc w:val="both"/>
      </w:pPr>
      <w:r>
        <w:rPr>
          <w:rFonts w:ascii="Verdana" w:hAnsi="Verdana" w:cs="Verdana" w:eastAsia="Verdana"/>
          <w:sz w:val="24"/>
        </w:rPr>
        <w:t>Copia de todos los documentos en que conste la cesión y los términos en que ésta se ha pactado deben remitirse a la SFC, dentro de los 2 días hábiles siguientes a la fecha en que ella se produzca.</w:t>
        <w:cr/>
      </w:r>
    </w:p>
    <w:p>
      <w:pPr>
        <w:jc w:val="left"/>
      </w:pPr>
      <w:r>
        <w:rPr>
          <w:rFonts w:ascii="Verdana" w:hAnsi="Verdana" w:cs="Verdana" w:eastAsia="Verdana"/>
          <w:sz w:val="24"/>
          <w:b w:val="on"/>
        </w:rPr>
        <w:t>1.7. Información sobre los derechos y obligaciones de los afiliados y efectos de la selección o modificación de perfil de administración</w:t>
      </w:r>
    </w:p>
    <w:p>
      <w:pPr>
        <w:jc w:val="both"/>
      </w:pPr>
      <w:r>
        <w:rPr>
          <w:rFonts w:ascii="Verdana" w:hAnsi="Verdana" w:cs="Verdana" w:eastAsia="Verdana"/>
          <w:sz w:val="24"/>
        </w:rPr>
        <w:t>El reglamento del fondo de cesantías administrado, en el cual se incluye la información completa de los derechos y obligaciones de los afiliados, debe estar a disposición de estos para consulta permanente a través de la página web de la respectiva sociedad administradora. En todo caso, las sociedades administradoras deben suministrar de manera física o electrónica el referido reglamento a los afiliados que expresamente lo soliciten, dentro de los 3 días hábiles siguientes a tal requerimiento.</w:t>
        <w:cr/>
      </w:r>
      <w:r>
        <w:rPr>
          <w:rFonts w:ascii="Verdana" w:hAnsi="Verdana" w:cs="Verdana" w:eastAsia="Verdana"/>
          <w:sz w:val="24"/>
        </w:rPr>
        <w:t/>
        <w:cr/>
      </w:r>
      <w:r>
        <w:rPr>
          <w:rFonts w:ascii="Verdana" w:hAnsi="Verdana" w:cs="Verdana" w:eastAsia="Verdana"/>
          <w:sz w:val="24"/>
        </w:rPr>
        <w:t xml:space="preserve">Así mismo, por lo menos una vez al año y a través de un medio virtual o digital de divulgación, las entidades administradoras o la entidad que las agremie deben presentar información general sobre los derechos y obligaciones de los afiliados al fondo y los efectos que se derivan de la selección entre los diferentes portafolios de inversión de los aportes y/o recursos de los fondos de cesantía. Especialmente se debe informar a los afiliados que tanto en el portafolio de corto plazo como en el de largo plazo es posible que se produzcan pérdidas en el capital o en los rendimientos. Debe señalarse que el portafolio de corto plazo está orientado a los afiliados que tienen proyectado retirar sus cesantías en el corto plazo y por tanto, el objetivo en su administración es mitigar el riesgo de pérdida en los retiros a efectuar en el corto plazo mediante inversiones en las que se tiene un perfil de menor riesgo con una expectativa de menor rentabilidad que la de un portafolio de largo plazo; en tanto que el portafolio de largo plazo está orientado a los afiliados que no tienen proyectado retirar sus cesantías en el corto plazo y por tal razón, está constituido por inversiones de mayor plazo, con un perfil de mayor riesgo y expectativa de mayor rentabilidad. </w:t>
        <w:cr/>
      </w:r>
    </w:p>
    <w:p>
      <w:pPr>
        <w:jc w:val="left"/>
      </w:pPr>
      <w:r>
        <w:rPr>
          <w:rFonts w:ascii="Verdana" w:hAnsi="Verdana" w:cs="Verdana" w:eastAsia="Verdana"/>
          <w:sz w:val="24"/>
          <w:b w:val="on"/>
        </w:rPr>
        <w:t>1.8. Definición o modificación del perfil de administración de aportes y/o recursos a los fondos de cesantías</w:t>
      </w:r>
    </w:p>
    <w:p>
      <w:pPr>
        <w:jc w:val="both"/>
      </w:pPr>
      <w:r>
        <w:rPr>
          <w:rFonts w:ascii="Verdana" w:hAnsi="Verdana" w:cs="Verdana" w:eastAsia="Verdana"/>
          <w:sz w:val="24"/>
        </w:rPr>
        <w:t xml:space="preserve">Las administradoras de los fondos de cesantías deben poner a disposición de sus afiliados medios verificables a través de los cuales definan y modifiquen el perfil de administración de los aportes y/o recursos en los fondos de cesantías entre los portafolios de corto plazo y largo plazo, ya sea por medio de formatos impresos en los que conste la firma y aceptación del afiliado o a través del canal virtual establecido. En cualquier caso, las administradoras deben atender lo dispuesto en el Anexo 2 del presente Capítulo. </w:t>
        <w:cr/>
      </w:r>
      <w:r>
        <w:rPr>
          <w:rFonts w:ascii="Verdana" w:hAnsi="Verdana" w:cs="Verdana" w:eastAsia="Verdana"/>
          <w:sz w:val="24"/>
        </w:rPr>
        <w:t/>
        <w:cr/>
      </w:r>
      <w:r>
        <w:rPr>
          <w:rFonts w:ascii="Verdana" w:hAnsi="Verdana" w:cs="Verdana" w:eastAsia="Verdana"/>
          <w:sz w:val="24"/>
        </w:rPr>
        <w:t>Para efectos de la utilización del canal virtual, es necesario que la respectiva administradora obtenga la no objeción previa de la SFC, para lo cual debe:</w:t>
        <w:cr/>
      </w:r>
    </w:p>
    <w:p>
      <w:pPr>
        <w:jc w:val="both"/>
      </w:pPr>
      <w:r>
        <w:rPr>
          <w:rFonts w:ascii="Verdana" w:hAnsi="Verdana" w:cs="Verdana" w:eastAsia="Verdana"/>
          <w:sz w:val="24"/>
        </w:rPr>
        <w:t>1.8.1. Contar, a través del canal virtual, con un sistema de información que explique de manera amplia y suficiente a los afiliados las características de los portafolios de corto y largo plazo elegibles, los efectos de la selección o modificación del perfil de administración y los tiempos para el traslado de recursos entre uno y otro portafolio. Así mismo, debe advertir a los afiliados acerca de la importancia de haber entendido la información suministrada y que en caso de dudas deben acceder a los medios que disponga la administradora para su aclaración.</w:t>
        <w:cr/>
      </w:r>
      <w:r>
        <w:rPr>
          <w:rFonts w:ascii="Verdana" w:hAnsi="Verdana" w:cs="Verdana" w:eastAsia="Verdana"/>
          <w:sz w:val="24"/>
        </w:rPr>
        <w:t/>
        <w:cr/>
      </w:r>
      <w:r>
        <w:rPr>
          <w:rFonts w:ascii="Verdana" w:hAnsi="Verdana" w:cs="Verdana" w:eastAsia="Verdana"/>
          <w:sz w:val="24"/>
        </w:rPr>
        <w:t xml:space="preserve">Dicho sistema debe asegurar que la información se suministre de manera previa y obligatoria a la selección o modificación del perfil y dejar evidencia de su aceptación por parte del afiliado. </w:t>
        <w:cr/>
      </w:r>
      <w:r>
        <w:rPr>
          <w:rFonts w:ascii="Verdana" w:hAnsi="Verdana" w:cs="Verdana" w:eastAsia="Verdana"/>
          <w:sz w:val="24"/>
        </w:rPr>
        <w:t/>
        <w:cr/>
      </w:r>
      <w:r>
        <w:rPr>
          <w:rFonts w:ascii="Verdana" w:hAnsi="Verdana" w:cs="Verdana" w:eastAsia="Verdana"/>
          <w:sz w:val="24"/>
        </w:rPr>
        <w:t xml:space="preserve">Acreditar que el canal virtual cuenta con los mecanismos y las medidas de seguridad necesarios para establecer en todo momento que es el afiliado quien manifiesta de manera expresa y libre su selección de perfil de administración. </w:t>
        <w:cr/>
      </w:r>
      <w:r>
        <w:rPr>
          <w:rFonts w:ascii="Verdana" w:hAnsi="Verdana" w:cs="Verdana" w:eastAsia="Verdana"/>
          <w:sz w:val="24"/>
        </w:rPr>
        <w:t/>
        <w:cr/>
      </w:r>
      <w:r>
        <w:rPr>
          <w:rFonts w:ascii="Verdana" w:hAnsi="Verdana" w:cs="Verdana" w:eastAsia="Verdana"/>
          <w:sz w:val="24"/>
        </w:rPr>
        <w:t>Establecer mecanismos que le permitan informar a los afiliados la selección efectuada, dentro de los 5 días hábiles siguientes a la decisión.</w:t>
        <w:cr/>
      </w:r>
    </w:p>
    <w:p>
      <w:pPr>
        <w:jc w:val="left"/>
      </w:pPr>
      <w:r>
        <w:rPr>
          <w:rFonts w:ascii="Verdana" w:hAnsi="Verdana" w:cs="Verdana" w:eastAsia="Verdana"/>
          <w:sz w:val="24"/>
          <w:b w:val="on"/>
        </w:rPr>
        <w:t>1.9. Rentabilidad mínima obligatoria para el portafolio de corto plazo de los fondos de cesantías</w:t>
      </w:r>
    </w:p>
    <w:p>
      <w:pPr>
        <w:jc w:val="both"/>
      </w:pPr>
      <w:r>
        <w:rPr>
          <w:rFonts w:ascii="Verdana" w:hAnsi="Verdana" w:cs="Verdana" w:eastAsia="Verdana"/>
          <w:sz w:val="24"/>
        </w:rPr>
        <w:t>La rentabilidad mínima obligatoria para el portafolio de corto plazo de los fondos de cesantía se calcula de conformidad con el artículo 2.6.9.1.1 del Decreto 2555 de 2010.</w:t>
        <w:cr/>
      </w:r>
      <w:r>
        <w:rPr>
          <w:rFonts w:ascii="Verdana" w:hAnsi="Verdana" w:cs="Verdana" w:eastAsia="Verdana"/>
          <w:sz w:val="24"/>
        </w:rPr>
        <w:t/>
        <w:cr/>
      </w:r>
      <w:r>
        <w:rPr>
          <w:rFonts w:ascii="Verdana" w:hAnsi="Verdana" w:cs="Verdana" w:eastAsia="Verdana"/>
          <w:sz w:val="24"/>
        </w:rPr>
        <w:t>Para tal efecto, la SFC calcula la rentabilidad de un indicador de referencia construido con la rentabilidad diaria de la tasa IBR overnight, los aportes netos al final del día, y la comisión de administración autorizada.</w:t>
        <w:cr/>
      </w:r>
    </w:p>
    <w:p>
      <w:pPr>
        <w:jc w:val="left"/>
      </w:pPr>
      <w:r>
        <w:rPr>
          <w:rFonts w:ascii="Verdana" w:hAnsi="Verdana" w:cs="Verdana" w:eastAsia="Verdana"/>
          <w:sz w:val="24"/>
          <w:b w:val="on"/>
        </w:rPr>
        <w:t>1.10. Rentabilidad mínima obligatoria para el portafolio de largo plazo de los fondos de cesantías.</w:t>
      </w:r>
    </w:p>
    <w:p>
      <w:pPr>
        <w:jc w:val="both"/>
      </w:pPr>
      <w:r>
        <w:rPr>
          <w:rFonts w:ascii="Verdana" w:hAnsi="Verdana" w:cs="Verdana" w:eastAsia="Verdana"/>
          <w:sz w:val="24"/>
        </w:rPr>
        <w:t xml:space="preserve">1.10.1. La rentabilidad acumulada por el portafolio de largo plazo del fondo de cesantía se calcula de acuerdo con el artículo 2.6.9.1.3 del Decreto 2555 de 2010. </w:t>
        <w:cr/>
      </w:r>
    </w:p>
    <w:p>
      <w:pPr>
        <w:jc w:val="both"/>
      </w:pPr>
      <w:r>
        <w:rPr>
          <w:rFonts w:ascii="Verdana" w:hAnsi="Verdana" w:cs="Verdana" w:eastAsia="Verdana"/>
          <w:sz w:val="24"/>
        </w:rPr>
        <w:t>1.10.2. En atención a lo dispuesto en artículo 2.6.9.1.2 del Decreto 2555 de 2010, la SFC debe indicar los índices representativos del mercado de renta variable local, el mercado accionario del exterior y el mercado de renta fija. Para el efecto, se tendrán en cuenta la variación porcentual efectiva anual durante el periodo de cálculo, una vez descontada la comisión de administración autorizada, que presenten los índices enunciados en los siguientes subnumerales.</w:t>
        <w:cr/>
      </w:r>
      <w:r>
        <w:rPr>
          <w:rFonts w:ascii="Verdana" w:hAnsi="Verdana" w:cs="Verdana" w:eastAsia="Verdana"/>
          <w:sz w:val="24"/>
        </w:rPr>
        <w:t/>
        <w:cr/>
      </w:r>
      <w:r>
        <w:rPr>
          <w:rFonts w:ascii="Verdana" w:hAnsi="Verdana" w:cs="Verdana" w:eastAsia="Verdana"/>
          <w:sz w:val="24"/>
        </w:rPr>
        <w:t>El valor por descontar corresponde al porcentaje de comisión de administración autorizada de acuerdo con el subnumeral 1.3 del presente Capitulo que se haya causado durante el periodo de cálculo correspondiente.</w:t>
        <w:cr/>
      </w:r>
    </w:p>
    <w:p>
      <w:pPr>
        <w:jc w:val="both"/>
      </w:pPr>
      <w:r>
        <w:rPr>
          <w:rFonts w:ascii="Verdana" w:hAnsi="Verdana" w:cs="Verdana" w:eastAsia="Verdana"/>
          <w:sz w:val="24"/>
        </w:rPr>
        <w:t>1.10.2.1. Índice representativo del mercado accionario del exterior: Morgan Stanley Capital International MSCI All Country World Index (MSCI ACWI).</w:t>
        <w:cr/>
      </w:r>
      <w:r>
        <w:rPr>
          <w:rFonts w:ascii="Verdana" w:hAnsi="Verdana" w:cs="Verdana" w:eastAsia="Verdana"/>
          <w:sz w:val="24"/>
        </w:rPr>
        <w:t/>
        <w:cr/>
      </w:r>
      <w:r>
        <w:rPr>
          <w:rFonts w:ascii="Verdana" w:hAnsi="Verdana" w:cs="Verdana" w:eastAsia="Verdana"/>
          <w:sz w:val="24"/>
        </w:rPr>
        <w:t>Para efectos de la ponderación definida en el ordinal ii. del literal b) del numeral 1 del artículo 2.6.9.1.2. del Decreto 2555 de 2010, la rentabilidad del índice MSCI ACWI debe discriminarse en su rendimiento en pesos colombianos (COP) y en dólares estadounidenses (USD), de acuerdo con lo previsto en el subnumeral 2.5.2. del Capítulo II del Título III de la Parte II de la presente Circular.</w:t>
        <w:cr/>
      </w:r>
    </w:p>
    <w:p>
      <w:pPr>
        <w:jc w:val="both"/>
      </w:pPr>
      <w:r>
        <w:rPr>
          <w:rFonts w:ascii="Verdana" w:hAnsi="Verdana" w:cs="Verdana" w:eastAsia="Verdana"/>
          <w:sz w:val="24"/>
        </w:rPr>
        <w:t>1.10.2.2. Metodología de agregación de índices de renta fija para el portafolio de largo plazo del fondo de cesantía.</w:t>
        <w:cr/>
      </w:r>
      <w:r>
        <w:rPr>
          <w:rFonts w:ascii="Verdana" w:hAnsi="Verdana" w:cs="Verdana" w:eastAsia="Verdana"/>
          <w:sz w:val="24"/>
        </w:rPr>
        <w:t/>
        <w:cr/>
      </w:r>
      <w:r>
        <w:rPr>
          <w:rFonts w:ascii="Verdana" w:hAnsi="Verdana" w:cs="Verdana" w:eastAsia="Verdana"/>
          <w:sz w:val="24"/>
        </w:rPr>
        <w:t>La metodología de agregación de índices de renta fija busca establecer la forma de cálculo de un referente que se denominará índice agregado de renta fija local (IARFL).</w:t>
        <w:cr/>
      </w:r>
    </w:p>
    <w:p>
      <w:pPr>
        <w:jc w:val="both"/>
      </w:pPr>
      <w:r>
        <w:rPr>
          <w:rFonts w:ascii="Verdana" w:hAnsi="Verdana" w:cs="Verdana" w:eastAsia="Verdana"/>
          <w:sz w:val="24"/>
        </w:rPr>
        <w:t>1.10.2.2.1. Consideraciones generales del índice agregado de renta fija local (IARFL)</w:t>
        <w:cr/>
      </w:r>
      <w:r>
        <w:rPr>
          <w:rFonts w:ascii="Verdana" w:hAnsi="Verdana" w:cs="Verdana" w:eastAsia="Verdana"/>
          <w:sz w:val="24"/>
        </w:rPr>
        <w:t/>
        <w:cr/>
      </w:r>
      <w:r>
        <w:rPr>
          <w:rFonts w:ascii="Verdana" w:hAnsi="Verdana" w:cs="Verdana" w:eastAsia="Verdana"/>
          <w:sz w:val="24"/>
        </w:rPr>
        <w:t>El IARFL es aplicable únicamente para efectos del cálculo de determinar la rentabilidad mínima el portafolio de largo plazo de los fondos de cesantía.</w:t>
        <w:cr/>
      </w:r>
    </w:p>
    <w:p>
      <w:pPr>
        <w:jc w:val="both"/>
      </w:pPr>
      <w:r>
        <w:rPr>
          <w:rFonts w:ascii="Verdana" w:hAnsi="Verdana" w:cs="Verdana" w:eastAsia="Verdana"/>
          <w:sz w:val="24"/>
        </w:rPr>
        <w:t>1.10.2.2.1.1. Nivel inicial</w:t>
        <w:cr/>
      </w:r>
      <w:r>
        <w:rPr>
          <w:rFonts w:ascii="Verdana" w:hAnsi="Verdana" w:cs="Verdana" w:eastAsia="Verdana"/>
          <w:sz w:val="24"/>
        </w:rPr>
        <w:t/>
        <w:cr/>
      </w:r>
      <w:r>
        <w:rPr>
          <w:rFonts w:ascii="Verdana" w:hAnsi="Verdana" w:cs="Verdana" w:eastAsia="Verdana"/>
          <w:sz w:val="24"/>
        </w:rPr>
        <w:t>El nivel inicial del IARFL al 1 de abril de 2019 es de 100.</w:t>
        <w:cr/>
      </w:r>
    </w:p>
    <w:p>
      <w:pPr>
        <w:jc w:val="both"/>
      </w:pPr>
      <w:r>
        <w:rPr>
          <w:rFonts w:ascii="Verdana" w:hAnsi="Verdana" w:cs="Verdana" w:eastAsia="Verdana"/>
          <w:sz w:val="24"/>
        </w:rPr>
        <w:t>1.10.2.2.1.2. Componentes</w:t>
        <w:cr/>
      </w:r>
      <w:r>
        <w:rPr>
          <w:rFonts w:ascii="Verdana" w:hAnsi="Verdana" w:cs="Verdana" w:eastAsia="Verdana"/>
          <w:sz w:val="24"/>
        </w:rPr>
        <w:t/>
        <w:cr/>
      </w:r>
      <w:r>
        <w:rPr>
          <w:rFonts w:ascii="Verdana" w:hAnsi="Verdana" w:cs="Verdana" w:eastAsia="Verdana"/>
          <w:sz w:val="24"/>
        </w:rPr>
        <w:t>Hasta tanto no exista otro índice de renta fija, que de acuerdo con los criterios establecidos en el subnumeral 1.10.2.2.1.3., pueda considerarse en el IARFL, el mismo está compuesto por el Índice de Deuda Pública COLTES publicado por la Bolsa de Valores de Colombia - BVC.</w:t>
        <w:cr/>
      </w:r>
    </w:p>
    <w:p>
      <w:pPr>
        <w:jc w:val="both"/>
      </w:pPr>
      <w:r>
        <w:rPr>
          <w:rFonts w:ascii="Verdana" w:hAnsi="Verdana" w:cs="Verdana" w:eastAsia="Verdana"/>
          <w:sz w:val="24"/>
        </w:rPr>
        <w:t>1.10.2.2.1.3. Criterios de elegibilidad de índices de renta fija local para hacer parte del cálculo del IARFL.</w:t>
        <w:cr/>
      </w:r>
      <w:r>
        <w:rPr>
          <w:rFonts w:ascii="Verdana" w:hAnsi="Verdana" w:cs="Verdana" w:eastAsia="Verdana"/>
          <w:sz w:val="24"/>
        </w:rPr>
        <w:t/>
        <w:cr/>
      </w:r>
      <w:r>
        <w:rPr>
          <w:rFonts w:ascii="Verdana" w:hAnsi="Verdana" w:cs="Verdana" w:eastAsia="Verdana"/>
          <w:sz w:val="24"/>
        </w:rPr>
        <w:t>Con base en lo establecido en el parágrafo 3 del artículo 2.6.9.1.2 del Decreto 2555 de 2010, los criterios que debe cumplir un índice para hacer parte del IARFL son los siguientes:</w:t>
        <w:cr/>
      </w:r>
    </w:p>
    <w:p>
      <w:pPr>
        <w:jc w:val="both"/>
      </w:pPr>
      <w:r>
        <w:rPr>
          <w:rFonts w:ascii="Verdana" w:hAnsi="Verdana" w:cs="Verdana" w:eastAsia="Verdana"/>
          <w:sz w:val="24"/>
        </w:rPr>
        <w:t>1.10.2.2.1.3.1. Experiencia del proveedor: el proveedor del índice debe hacer parte del listado de bolsas y entidades reconocidas por la SFC para elaboración de índices, relacionado con el régimen de inversión de los recursos del portafolio de cesantía de que trata el subnumeral 7.2 del Capítulo II, Título II, Parte I de la presente Circular.</w:t>
        <w:cr/>
      </w:r>
    </w:p>
    <w:p>
      <w:pPr>
        <w:jc w:val="both"/>
      </w:pPr>
      <w:r>
        <w:rPr>
          <w:rFonts w:ascii="Verdana" w:hAnsi="Verdana" w:cs="Verdana" w:eastAsia="Verdana"/>
          <w:sz w:val="24"/>
        </w:rPr>
        <w:t>1.10.2.2.1.3.2. Representatividad: el índice debe reflejar razonablemente el comportamiento del mercado de renta fija local de acuerdo con la duración del portafolio de largo plazo de los fondos de cesantías.</w:t>
        <w:cr/>
      </w:r>
    </w:p>
    <w:p>
      <w:pPr>
        <w:jc w:val="both"/>
      </w:pPr>
      <w:r>
        <w:rPr>
          <w:rFonts w:ascii="Verdana" w:hAnsi="Verdana" w:cs="Verdana" w:eastAsia="Verdana"/>
          <w:sz w:val="24"/>
        </w:rPr>
        <w:t>1.10.2.2.1.3.3. Replicabilidad: para índices de deuda pública los mismos deben estar compuestos por títulos admisibles para el régimen de inversión. Para índices de deuda privada, los mismos deben ser replicables mediante un Exchange Traded Fund – ETF listado en el mercado doméstico y negociable en moneda local.</w:t>
        <w:cr/>
      </w:r>
    </w:p>
    <w:p>
      <w:pPr>
        <w:jc w:val="both"/>
      </w:pPr>
      <w:r>
        <w:rPr>
          <w:rFonts w:ascii="Verdana" w:hAnsi="Verdana" w:cs="Verdana" w:eastAsia="Verdana"/>
          <w:sz w:val="24"/>
        </w:rPr>
        <w:t>1.10.2.2.1.3.4. Condiciones mínimas de divulgación: la metodología de construcción del índice debe ser de público conocimiento y disponible para consulta en línea, así como sus políticas de rebalanceo y recomposición.</w:t>
        <w:cr/>
      </w:r>
    </w:p>
    <w:p>
      <w:pPr>
        <w:jc w:val="both"/>
      </w:pPr>
      <w:r>
        <w:rPr>
          <w:rFonts w:ascii="Verdana" w:hAnsi="Verdana" w:cs="Verdana" w:eastAsia="Verdana"/>
          <w:sz w:val="24"/>
        </w:rPr>
        <w:t>1.10.2.2.1.3.5. Administración: deben estar establecidas las políticas de gobierno corporativo en relación con los procedimientos para administrar los conflictos de interés de los agentes involucrados en la construcción y divulgación del índice hacia el mercado. Esta información debe ser pública y estar disponible para su consulta en línea.</w:t>
        <w:cr/>
      </w:r>
    </w:p>
    <w:p>
      <w:pPr>
        <w:jc w:val="both"/>
      </w:pPr>
      <w:r>
        <w:rPr>
          <w:rFonts w:ascii="Verdana" w:hAnsi="Verdana" w:cs="Verdana" w:eastAsia="Verdana"/>
          <w:sz w:val="24"/>
        </w:rPr>
        <w:t>1.10.2.2.1.3.6. Disponibilidad de información histórica: el índice debe contar por lo menos con 12 meses de información histórica real. Adicionalmente debe estar disponible información histórica simulada (backtesting) de 5 años antes del inicio oficial del índice y de la canasta que lo compone. Esta información debe ser pública y estar disponible para su consulta en línea.</w:t>
        <w:cr/>
      </w:r>
      <w:r>
        <w:rPr>
          <w:rFonts w:ascii="Verdana" w:hAnsi="Verdana" w:cs="Verdana" w:eastAsia="Verdana"/>
          <w:sz w:val="24"/>
        </w:rPr>
        <w:t/>
        <w:cr/>
      </w:r>
      <w:r>
        <w:rPr>
          <w:rFonts w:ascii="Verdana" w:hAnsi="Verdana" w:cs="Verdana" w:eastAsia="Verdana"/>
          <w:sz w:val="24"/>
        </w:rPr>
        <w:t>En los casos en que se modifique el proveedor o la metodología del cálculo de un índice que haga parte del IARFL, la información histórica real debe corresponder a la calculada con la metodología inicial. Asimismo, la nueva metodología debe prever la continuidad en la serie histórica del índice, por lo cual no se requiere la publicación de la información histórica simulada (backtesting).</w:t>
        <w:cr/>
      </w:r>
      <w:r>
        <w:rPr>
          <w:rFonts w:ascii="Verdana" w:hAnsi="Verdana" w:cs="Verdana" w:eastAsia="Verdana"/>
          <w:sz w:val="24"/>
        </w:rPr>
        <w:t/>
        <w:cr/>
      </w:r>
      <w:r>
        <w:rPr>
          <w:rFonts w:ascii="Verdana" w:hAnsi="Verdana" w:cs="Verdana" w:eastAsia="Verdana"/>
          <w:sz w:val="24"/>
        </w:rPr>
        <w:t xml:space="preserve">El incumplimiento de alguno de los anteriores criterios por parte de un índice es causal de su retiro en el cálculo del IARFL. </w:t>
        <w:cr/>
      </w:r>
    </w:p>
    <w:p>
      <w:pPr>
        <w:jc w:val="both"/>
      </w:pPr>
      <w:r>
        <w:rPr>
          <w:rFonts w:ascii="Verdana" w:hAnsi="Verdana" w:cs="Verdana" w:eastAsia="Verdana"/>
          <w:sz w:val="24"/>
        </w:rPr>
        <w:t>1.10.2.2.1.4. Divulgación de cambios en los componentes del IARFL</w:t>
        <w:cr/>
      </w:r>
      <w:r>
        <w:rPr>
          <w:rFonts w:ascii="Verdana" w:hAnsi="Verdana" w:cs="Verdana" w:eastAsia="Verdana"/>
          <w:sz w:val="24"/>
        </w:rPr>
        <w:t/>
        <w:cr/>
      </w:r>
      <w:r>
        <w:rPr>
          <w:rFonts w:ascii="Verdana" w:hAnsi="Verdana" w:cs="Verdana" w:eastAsia="Verdana"/>
          <w:sz w:val="24"/>
        </w:rPr>
        <w:t>La SFC debe informar acerca de la inclusión o exclusión de un índice, así como el momento a partir del cual tiene efecto en el cálculo del IARFL. La inclusión o exclusión de un índice debe proceder mínimo transcurridos 3 meses después de haber sido informado este hecho. No obstante, en el caso de una exclusión, excepcionalmente puede proceder un tiempo menor.</w:t>
        <w:cr/>
      </w:r>
    </w:p>
    <w:p>
      <w:pPr>
        <w:jc w:val="both"/>
      </w:pPr>
      <w:r>
        <w:rPr>
          <w:rFonts w:ascii="Verdana" w:hAnsi="Verdana" w:cs="Verdana" w:eastAsia="Verdana"/>
          <w:sz w:val="24"/>
        </w:rPr>
        <w:t>1.10.2.2.2. Metodología de cálculo del IARFL</w:t>
        <w:cr/>
      </w:r>
    </w:p>
    <w:p>
      <w:pPr>
        <w:jc w:val="both"/>
      </w:pPr>
      <w:r>
        <w:rPr>
          <w:rFonts w:ascii="Verdana" w:hAnsi="Verdana" w:cs="Verdana" w:eastAsia="Verdana"/>
          <w:sz w:val="24"/>
        </w:rPr>
        <w:t>1.10.2.2.2.1. Determinación del IARFL</w:t>
        <w:cr/>
      </w:r>
      <w:r>
        <w:rPr>
          <w:rFonts w:ascii="Verdana" w:hAnsi="Verdana" w:cs="Verdana" w:eastAsia="Verdana"/>
          <w:sz w:val="24"/>
        </w:rPr>
        <w:t/>
        <w:cr/>
      </w:r>
      <w:r>
        <w:rPr>
          <w:rFonts w:ascii="Verdana" w:hAnsi="Verdana" w:cs="Verdana" w:eastAsia="Verdana"/>
          <w:sz w:val="24"/>
        </w:rPr>
        <w:t>El IARFL se calcula mensualmente en función del valor de sus componentes al último día hábil de cada mes. El valor del IARFL se obtiene a partir de su nivel en el mes anterior afectado por la variación porcentual mensual de cada índice que lo conforma, ponderada por su porcentaje de participación, como se muestra a continuación:</w:t>
        <w:cr/>
      </w:r>
      <w:r>
        <w:cr/>
        <w:drawing>
          <wp:inline distT="0" distR="0" distB="0" distL="0">
            <wp:extent cx="3228975" cy="771525"/>
            <wp:docPr id="1" name="Drawing 1" descr="Image"/>
            <a:graphic xmlns:a="http://schemas.openxmlformats.org/drawingml/2006/main">
              <a:graphicData uri="http://schemas.openxmlformats.org/drawingml/2006/picture">
                <pic:pic xmlns:pic="http://schemas.openxmlformats.org/drawingml/2006/picture">
                  <pic:nvPicPr>
                    <pic:cNvPr id="0" name="Picture 1" descr="Image"/>
                    <pic:cNvPicPr>
                      <a:picLocks noChangeAspect="true"/>
                    </pic:cNvPicPr>
                  </pic:nvPicPr>
                  <pic:blipFill>
                    <a:blip r:embed="rId3"/>
                    <a:stretch>
                      <a:fillRect/>
                    </a:stretch>
                  </pic:blipFill>
                  <pic:spPr>
                    <a:xfrm>
                      <a:off x="0" y="0"/>
                      <a:ext cx="3228975" cy="77152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Donde:</w:t>
        <w:cr/>
      </w:r>
      <w:r>
        <w:cr/>
        <w:drawing>
          <wp:inline distT="0" distR="0" distB="0" distL="0">
            <wp:extent cx="266700" cy="352425"/>
            <wp:docPr id="2" name="Drawing 2" descr="Image"/>
            <a:graphic xmlns:a="http://schemas.openxmlformats.org/drawingml/2006/main">
              <a:graphicData uri="http://schemas.openxmlformats.org/drawingml/2006/picture">
                <pic:pic xmlns:pic="http://schemas.openxmlformats.org/drawingml/2006/picture">
                  <pic:nvPicPr>
                    <pic:cNvPr id="0" name="Picture 2" descr="Image"/>
                    <pic:cNvPicPr>
                      <a:picLocks noChangeAspect="true"/>
                    </pic:cNvPicPr>
                  </pic:nvPicPr>
                  <pic:blipFill>
                    <a:blip r:embed="rId4"/>
                    <a:stretch>
                      <a:fillRect/>
                    </a:stretch>
                  </pic:blipFill>
                  <pic:spPr>
                    <a:xfrm>
                      <a:off x="0" y="0"/>
                      <a:ext cx="266700" cy="352425"/>
                    </a:xfrm>
                    <a:prstGeom prst="rect">
                      <a:avLst/>
                    </a:prstGeom>
                  </pic:spPr>
                </pic:pic>
              </a:graphicData>
            </a:graphic>
          </wp:inline>
        </w:drawing>
      </w:r>
      <w:r>
        <w:rPr>
          <w:rFonts w:ascii="Verdana" w:hAnsi="Verdana" w:cs="Verdana" w:eastAsia="Verdana"/>
          <w:sz w:val="24"/>
        </w:rPr>
        <w:t xml:space="preserve"> Variación porcentual mensual del índice </w:t>
      </w:r>
      <w:r>
        <w:cr/>
        <w:drawing>
          <wp:inline distT="0" distR="0" distB="0" distL="0">
            <wp:extent cx="104775" cy="180975"/>
            <wp:docPr id="3" name="Drawing 3" descr="Image"/>
            <a:graphic xmlns:a="http://schemas.openxmlformats.org/drawingml/2006/main">
              <a:graphicData uri="http://schemas.openxmlformats.org/drawingml/2006/picture">
                <pic:pic xmlns:pic="http://schemas.openxmlformats.org/drawingml/2006/picture">
                  <pic:nvPicPr>
                    <pic:cNvPr id="0" name="Picture 3" descr="Image"/>
                    <pic:cNvPicPr>
                      <a:picLocks noChangeAspect="true"/>
                    </pic:cNvPicPr>
                  </pic:nvPicPr>
                  <pic:blipFill>
                    <a:blip r:embed="rId5"/>
                    <a:stretch>
                      <a:fillRect/>
                    </a:stretch>
                  </pic:blipFill>
                  <pic:spPr>
                    <a:xfrm>
                      <a:off x="0" y="0"/>
                      <a:ext cx="104775" cy="180975"/>
                    </a:xfrm>
                    <a:prstGeom prst="rect">
                      <a:avLst/>
                    </a:prstGeom>
                  </pic:spPr>
                </pic:pic>
              </a:graphicData>
            </a:graphic>
          </wp:inline>
        </w:drawing>
      </w:r>
      <w:r>
        <w:rPr>
          <w:rFonts w:ascii="Verdana" w:hAnsi="Verdana" w:cs="Verdana" w:eastAsia="Verdana"/>
          <w:sz w:val="24"/>
        </w:rPr>
        <w:t>en el mes</w:t>
      </w:r>
      <w:r>
        <w:cr/>
        <w:drawing>
          <wp:inline distT="0" distR="0" distB="0" distL="0">
            <wp:extent cx="161925" cy="209550"/>
            <wp:docPr id="4" name="Drawing 4" descr="Image"/>
            <a:graphic xmlns:a="http://schemas.openxmlformats.org/drawingml/2006/main">
              <a:graphicData uri="http://schemas.openxmlformats.org/drawingml/2006/picture">
                <pic:pic xmlns:pic="http://schemas.openxmlformats.org/drawingml/2006/picture">
                  <pic:nvPicPr>
                    <pic:cNvPr id="0" name="Picture 4" descr="Image"/>
                    <pic:cNvPicPr>
                      <a:picLocks noChangeAspect="true"/>
                    </pic:cNvPicPr>
                  </pic:nvPicPr>
                  <pic:blipFill>
                    <a:blip r:embed="rId6"/>
                    <a:stretch>
                      <a:fillRect/>
                    </a:stretch>
                  </pic:blipFill>
                  <pic:spPr>
                    <a:xfrm>
                      <a:off x="0" y="0"/>
                      <a:ext cx="161925" cy="209550"/>
                    </a:xfrm>
                    <a:prstGeom prst="rect">
                      <a:avLst/>
                    </a:prstGeom>
                  </pic:spPr>
                </pic:pic>
              </a:graphicData>
            </a:graphic>
          </wp:inline>
        </w:drawing>
      </w:r>
      <w:r>
        <w:rPr>
          <w:rFonts w:ascii="Verdana" w:hAnsi="Verdana" w:cs="Verdana" w:eastAsia="Verdana"/>
          <w:sz w:val="24"/>
        </w:rPr>
        <w:t>, calculado como: </w:t>
      </w:r>
      <w:r>
        <w:cr/>
        <w:drawing>
          <wp:inline distT="0" distR="0" distB="0" distL="0">
            <wp:extent cx="2228850" cy="752475"/>
            <wp:docPr id="5" name="Drawing 5" descr="Image"/>
            <a:graphic xmlns:a="http://schemas.openxmlformats.org/drawingml/2006/main">
              <a:graphicData uri="http://schemas.openxmlformats.org/drawingml/2006/picture">
                <pic:pic xmlns:pic="http://schemas.openxmlformats.org/drawingml/2006/picture">
                  <pic:nvPicPr>
                    <pic:cNvPr id="0" name="Picture 5" descr="Image"/>
                    <pic:cNvPicPr>
                      <a:picLocks noChangeAspect="true"/>
                    </pic:cNvPicPr>
                  </pic:nvPicPr>
                  <pic:blipFill>
                    <a:blip r:embed="rId7"/>
                    <a:stretch>
                      <a:fillRect/>
                    </a:stretch>
                  </pic:blipFill>
                  <pic:spPr>
                    <a:xfrm>
                      <a:off x="0" y="0"/>
                      <a:ext cx="2228850" cy="752475"/>
                    </a:xfrm>
                    <a:prstGeom prst="rect">
                      <a:avLst/>
                    </a:prstGeom>
                  </pic:spPr>
                </pic:pic>
              </a:graphicData>
            </a:graphic>
          </wp:inline>
        </w:drawing>
      </w:r>
      <w:r>
        <w:cr/>
        <w:drawing>
          <wp:inline distT="0" distR="0" distB="0" distL="0">
            <wp:extent cx="209550" cy="295275"/>
            <wp:docPr id="6" name="Drawing 6" descr="Image"/>
            <a:graphic xmlns:a="http://schemas.openxmlformats.org/drawingml/2006/main">
              <a:graphicData uri="http://schemas.openxmlformats.org/drawingml/2006/picture">
                <pic:pic xmlns:pic="http://schemas.openxmlformats.org/drawingml/2006/picture">
                  <pic:nvPicPr>
                    <pic:cNvPr id="0" name="Picture 6" descr="Image"/>
                    <pic:cNvPicPr>
                      <a:picLocks noChangeAspect="true"/>
                    </pic:cNvPicPr>
                  </pic:nvPicPr>
                  <pic:blipFill>
                    <a:blip r:embed="rId8"/>
                    <a:stretch>
                      <a:fillRect/>
                    </a:stretch>
                  </pic:blipFill>
                  <pic:spPr>
                    <a:xfrm>
                      <a:off x="0" y="0"/>
                      <a:ext cx="209550" cy="295275"/>
                    </a:xfrm>
                    <a:prstGeom prst="rect">
                      <a:avLst/>
                    </a:prstGeom>
                  </pic:spPr>
                </pic:pic>
              </a:graphicData>
            </a:graphic>
          </wp:inline>
        </w:drawing>
      </w:r>
      <w:r>
        <w:rPr>
          <w:rFonts w:ascii="Verdana" w:hAnsi="Verdana" w:cs="Verdana" w:eastAsia="Verdana"/>
          <w:sz w:val="24"/>
        </w:rPr>
        <w:t xml:space="preserve">: Ponderación porcentual del índice </w:t>
      </w:r>
      <w:r>
        <w:cr/>
        <w:drawing>
          <wp:inline distT="0" distR="0" distB="0" distL="0">
            <wp:extent cx="104775" cy="180975"/>
            <wp:docPr id="7" name="Drawing 7" descr="Image"/>
            <a:graphic xmlns:a="http://schemas.openxmlformats.org/drawingml/2006/main">
              <a:graphicData uri="http://schemas.openxmlformats.org/drawingml/2006/picture">
                <pic:pic xmlns:pic="http://schemas.openxmlformats.org/drawingml/2006/picture">
                  <pic:nvPicPr>
                    <pic:cNvPr id="0" name="Picture 7" descr="Image"/>
                    <pic:cNvPicPr>
                      <a:picLocks noChangeAspect="true"/>
                    </pic:cNvPicPr>
                  </pic:nvPicPr>
                  <pic:blipFill>
                    <a:blip r:embed="rId5"/>
                    <a:stretch>
                      <a:fillRect/>
                    </a:stretch>
                  </pic:blipFill>
                  <pic:spPr>
                    <a:xfrm>
                      <a:off x="0" y="0"/>
                      <a:ext cx="104775" cy="180975"/>
                    </a:xfrm>
                    <a:prstGeom prst="rect">
                      <a:avLst/>
                    </a:prstGeom>
                  </pic:spPr>
                </pic:pic>
              </a:graphicData>
            </a:graphic>
          </wp:inline>
        </w:drawing>
      </w:r>
      <w:r>
        <w:rPr>
          <w:rFonts w:ascii="Verdana" w:hAnsi="Verdana" w:cs="Verdana" w:eastAsia="Verdana"/>
          <w:sz w:val="24"/>
        </w:rPr>
        <w:t xml:space="preserve"> en el mes</w:t>
      </w:r>
      <w:r>
        <w:cr/>
        <w:drawing>
          <wp:inline distT="0" distR="0" distB="0" distL="0">
            <wp:extent cx="161925" cy="209550"/>
            <wp:docPr id="8" name="Drawing 8" descr="Image"/>
            <a:graphic xmlns:a="http://schemas.openxmlformats.org/drawingml/2006/main">
              <a:graphicData uri="http://schemas.openxmlformats.org/drawingml/2006/picture">
                <pic:pic xmlns:pic="http://schemas.openxmlformats.org/drawingml/2006/picture">
                  <pic:nvPicPr>
                    <pic:cNvPr id="0" name="Picture 8" descr="Image"/>
                    <pic:cNvPicPr>
                      <a:picLocks noChangeAspect="true"/>
                    </pic:cNvPicPr>
                  </pic:nvPicPr>
                  <pic:blipFill>
                    <a:blip r:embed="rId6"/>
                    <a:stretch>
                      <a:fillRect/>
                    </a:stretch>
                  </pic:blipFill>
                  <pic:spPr>
                    <a:xfrm>
                      <a:off x="0" y="0"/>
                      <a:ext cx="161925" cy="209550"/>
                    </a:xfrm>
                    <a:prstGeom prst="rect">
                      <a:avLst/>
                    </a:prstGeom>
                  </pic:spPr>
                </pic:pic>
              </a:graphicData>
            </a:graphic>
          </wp:inline>
        </w:drawing>
      </w:r>
      <w:r>
        <w:cr/>
        <w:drawing>
          <wp:inline distT="0" distR="0" distB="0" distL="0">
            <wp:extent cx="161925" cy="180975"/>
            <wp:docPr id="9" name="Drawing 9" descr="Image"/>
            <a:graphic xmlns:a="http://schemas.openxmlformats.org/drawingml/2006/main">
              <a:graphicData uri="http://schemas.openxmlformats.org/drawingml/2006/picture">
                <pic:pic xmlns:pic="http://schemas.openxmlformats.org/drawingml/2006/picture">
                  <pic:nvPicPr>
                    <pic:cNvPr id="0" name="Picture 9" descr="Image"/>
                    <pic:cNvPicPr>
                      <a:picLocks noChangeAspect="true"/>
                    </pic:cNvPicPr>
                  </pic:nvPicPr>
                  <pic:blipFill>
                    <a:blip r:embed="rId9"/>
                    <a:stretch>
                      <a:fillRect/>
                    </a:stretch>
                  </pic:blipFill>
                  <pic:spPr>
                    <a:xfrm>
                      <a:off x="0" y="0"/>
                      <a:ext cx="161925" cy="180975"/>
                    </a:xfrm>
                    <a:prstGeom prst="rect">
                      <a:avLst/>
                    </a:prstGeom>
                  </pic:spPr>
                </pic:pic>
              </a:graphicData>
            </a:graphic>
          </wp:inline>
        </w:drawing>
      </w:r>
      <w:r>
        <w:rPr>
          <w:rFonts w:ascii="Verdana" w:hAnsi="Verdana" w:cs="Verdana" w:eastAsia="Verdana"/>
          <w:sz w:val="24"/>
        </w:rPr>
        <w:t xml:space="preserve">    :    Número de índices a ponderar en el mes </w:t>
      </w:r>
      <w:r>
        <w:cr/>
        <w:drawing>
          <wp:inline distT="0" distR="0" distB="0" distL="0">
            <wp:extent cx="161925" cy="209550"/>
            <wp:docPr id="10" name="Drawing 10" descr="Image"/>
            <a:graphic xmlns:a="http://schemas.openxmlformats.org/drawingml/2006/main">
              <a:graphicData uri="http://schemas.openxmlformats.org/drawingml/2006/picture">
                <pic:pic xmlns:pic="http://schemas.openxmlformats.org/drawingml/2006/picture">
                  <pic:nvPicPr>
                    <pic:cNvPr id="0" name="Picture 10" descr="Image"/>
                    <pic:cNvPicPr>
                      <a:picLocks noChangeAspect="true"/>
                    </pic:cNvPicPr>
                  </pic:nvPicPr>
                  <pic:blipFill>
                    <a:blip r:embed="rId6"/>
                    <a:stretch>
                      <a:fillRect/>
                    </a:stretch>
                  </pic:blipFill>
                  <pic:spPr>
                    <a:xfrm>
                      <a:off x="0" y="0"/>
                      <a:ext cx="161925" cy="209550"/>
                    </a:xfrm>
                    <a:prstGeom prst="rect">
                      <a:avLst/>
                    </a:prstGeom>
                  </pic:spPr>
                </pic:pic>
              </a:graphicData>
            </a:graphic>
          </wp:inline>
        </w:drawing>
      </w:r>
      <w:r>
        <w:cr/>
        <w:drawing>
          <wp:inline distT="0" distR="0" distB="0" distL="0">
            <wp:extent cx="1428750" cy="733425"/>
            <wp:docPr id="11" name="Drawing 11" descr="Image"/>
            <a:graphic xmlns:a="http://schemas.openxmlformats.org/drawingml/2006/main">
              <a:graphicData uri="http://schemas.openxmlformats.org/drawingml/2006/picture">
                <pic:pic xmlns:pic="http://schemas.openxmlformats.org/drawingml/2006/picture">
                  <pic:nvPicPr>
                    <pic:cNvPr id="0" name="Picture 11" descr="Image"/>
                    <pic:cNvPicPr>
                      <a:picLocks noChangeAspect="true"/>
                    </pic:cNvPicPr>
                  </pic:nvPicPr>
                  <pic:blipFill>
                    <a:blip r:embed="rId10"/>
                    <a:stretch>
                      <a:fillRect/>
                    </a:stretch>
                  </pic:blipFill>
                  <pic:spPr>
                    <a:xfrm>
                      <a:off x="0" y="0"/>
                      <a:ext cx="1428750" cy="733425"/>
                    </a:xfrm>
                    <a:prstGeom prst="rect">
                      <a:avLst/>
                    </a:prstGeom>
                  </pic:spPr>
                </pic:pic>
              </a:graphicData>
            </a:graphic>
          </wp:inline>
        </w:drawing>
      </w:r>
    </w:p>
    <w:p>
      <w:pPr>
        <w:jc w:val="both"/>
      </w:pPr>
      <w:r>
        <w:rPr>
          <w:rFonts w:ascii="Verdana" w:hAnsi="Verdana" w:cs="Verdana" w:eastAsia="Verdana"/>
          <w:sz w:val="24"/>
        </w:rPr>
        <w:t>1.10.2.2.2.2. Cálculo de la ponderación de los índices que hacen parte del IARFL</w:t>
        <w:cr/>
      </w:r>
      <w:r>
        <w:rPr>
          <w:rFonts w:ascii="Verdana" w:hAnsi="Verdana" w:cs="Verdana" w:eastAsia="Verdana"/>
          <w:sz w:val="24"/>
        </w:rPr>
        <w:t/>
        <w:cr/>
      </w:r>
      <w:r>
        <w:rPr>
          <w:rFonts w:ascii="Verdana" w:hAnsi="Verdana" w:cs="Verdana" w:eastAsia="Verdana"/>
          <w:sz w:val="24"/>
        </w:rPr>
        <w:t xml:space="preserve">La ponderación </w:t>
      </w:r>
      <w:r>
        <w:cr/>
        <w:drawing>
          <wp:inline distT="0" distR="0" distB="0" distL="0">
            <wp:extent cx="219075" cy="323850"/>
            <wp:docPr id="12" name="Drawing 12" descr="Image"/>
            <a:graphic xmlns:a="http://schemas.openxmlformats.org/drawingml/2006/main">
              <a:graphicData uri="http://schemas.openxmlformats.org/drawingml/2006/picture">
                <pic:pic xmlns:pic="http://schemas.openxmlformats.org/drawingml/2006/picture">
                  <pic:nvPicPr>
                    <pic:cNvPr id="0" name="Picture 12" descr="Image"/>
                    <pic:cNvPicPr>
                      <a:picLocks noChangeAspect="true"/>
                    </pic:cNvPicPr>
                  </pic:nvPicPr>
                  <pic:blipFill>
                    <a:blip r:embed="rId11"/>
                    <a:stretch>
                      <a:fillRect/>
                    </a:stretch>
                  </pic:blipFill>
                  <pic:spPr>
                    <a:xfrm>
                      <a:off x="0" y="0"/>
                      <a:ext cx="219075" cy="323850"/>
                    </a:xfrm>
                    <a:prstGeom prst="rect">
                      <a:avLst/>
                    </a:prstGeom>
                  </pic:spPr>
                </pic:pic>
              </a:graphicData>
            </a:graphic>
          </wp:inline>
        </w:drawing>
      </w:r>
      <w:r>
        <w:rPr>
          <w:rFonts w:ascii="Verdana" w:hAnsi="Verdana" w:cs="Verdana" w:eastAsia="Verdana"/>
          <w:sz w:val="24"/>
        </w:rPr>
        <w:t>de cada índice mensualmente hasta completar el tiempo del período de cálculo se determina así:</w:t>
        <w:cr/>
      </w:r>
      <w:r>
        <w:cr/>
        <w:drawing>
          <wp:inline distT="0" distR="0" distB="0" distL="0">
            <wp:extent cx="1933575" cy="1247775"/>
            <wp:docPr id="13" name="Drawing 13" descr="Image"/>
            <a:graphic xmlns:a="http://schemas.openxmlformats.org/drawingml/2006/main">
              <a:graphicData uri="http://schemas.openxmlformats.org/drawingml/2006/picture">
                <pic:pic xmlns:pic="http://schemas.openxmlformats.org/drawingml/2006/picture">
                  <pic:nvPicPr>
                    <pic:cNvPr id="0" name="Picture 13" descr="Image"/>
                    <pic:cNvPicPr>
                      <a:picLocks noChangeAspect="true"/>
                    </pic:cNvPicPr>
                  </pic:nvPicPr>
                  <pic:blipFill>
                    <a:blip r:embed="rId12"/>
                    <a:stretch>
                      <a:fillRect/>
                    </a:stretch>
                  </pic:blipFill>
                  <pic:spPr>
                    <a:xfrm>
                      <a:off x="0" y="0"/>
                      <a:ext cx="1933575" cy="124777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Donde:</w:t>
        <w:cr/>
      </w:r>
      <w:r>
        <w:cr/>
        <w:drawing>
          <wp:inline distT="0" distR="0" distB="0" distL="0">
            <wp:extent cx="161925" cy="371475"/>
            <wp:docPr id="14" name="Drawing 14" descr="Image"/>
            <a:graphic xmlns:a="http://schemas.openxmlformats.org/drawingml/2006/main">
              <a:graphicData uri="http://schemas.openxmlformats.org/drawingml/2006/picture">
                <pic:pic xmlns:pic="http://schemas.openxmlformats.org/drawingml/2006/picture">
                  <pic:nvPicPr>
                    <pic:cNvPr id="0" name="Picture 14" descr="Image"/>
                    <pic:cNvPicPr>
                      <a:picLocks noChangeAspect="true"/>
                    </pic:cNvPicPr>
                  </pic:nvPicPr>
                  <pic:blipFill>
                    <a:blip r:embed="rId13"/>
                    <a:stretch>
                      <a:fillRect/>
                    </a:stretch>
                  </pic:blipFill>
                  <pic:spPr>
                    <a:xfrm>
                      <a:off x="0" y="0"/>
                      <a:ext cx="161925" cy="371475"/>
                    </a:xfrm>
                    <a:prstGeom prst="rect">
                      <a:avLst/>
                    </a:prstGeom>
                  </pic:spPr>
                </pic:pic>
              </a:graphicData>
            </a:graphic>
          </wp:inline>
        </w:drawing>
      </w:r>
      <w:r>
        <w:rPr>
          <w:rFonts w:ascii="Verdana" w:hAnsi="Verdana" w:cs="Verdana" w:eastAsia="Verdana"/>
          <w:sz w:val="24"/>
        </w:rPr>
        <w:t xml:space="preserve"> :Variación porcentual a ponderar mensualmente el índice</w:t>
      </w:r>
      <w:r>
        <w:cr/>
        <w:drawing>
          <wp:inline distT="0" distR="0" distB="0" distL="0">
            <wp:extent cx="161925" cy="276225"/>
            <wp:docPr id="15" name="Drawing 15" descr="Image"/>
            <a:graphic xmlns:a="http://schemas.openxmlformats.org/drawingml/2006/main">
              <a:graphicData uri="http://schemas.openxmlformats.org/drawingml/2006/picture">
                <pic:pic xmlns:pic="http://schemas.openxmlformats.org/drawingml/2006/picture">
                  <pic:nvPicPr>
                    <pic:cNvPr id="0" name="Picture 15" descr="Image"/>
                    <pic:cNvPicPr>
                      <a:picLocks noChangeAspect="true"/>
                    </pic:cNvPicPr>
                  </pic:nvPicPr>
                  <pic:blipFill>
                    <a:blip r:embed="rId14"/>
                    <a:stretch>
                      <a:fillRect/>
                    </a:stretch>
                  </pic:blipFill>
                  <pic:spPr>
                    <a:xfrm>
                      <a:off x="0" y="0"/>
                      <a:ext cx="161925" cy="276225"/>
                    </a:xfrm>
                    <a:prstGeom prst="rect">
                      <a:avLst/>
                    </a:prstGeom>
                  </pic:spPr>
                </pic:pic>
              </a:graphicData>
            </a:graphic>
          </wp:inline>
        </w:drawing>
      </w:r>
      <w:r>
        <w:rPr>
          <w:rFonts w:ascii="Verdana" w:hAnsi="Verdana" w:cs="Verdana" w:eastAsia="Verdana"/>
          <w:sz w:val="24"/>
        </w:rPr>
        <w:t>hasta completar el período de cálculo. Una vez todos los índices que conforman el IARFL completen el tiempo del periodo de cálculo, k=0.</w:t>
        <w:cr/>
      </w:r>
      <w:r>
        <w:cr/>
        <w:drawing>
          <wp:inline distT="0" distR="0" distB="0" distL="0">
            <wp:extent cx="219075" cy="314325"/>
            <wp:docPr id="16" name="Drawing 16" descr="Image"/>
            <a:graphic xmlns:a="http://schemas.openxmlformats.org/drawingml/2006/main">
              <a:graphicData uri="http://schemas.openxmlformats.org/drawingml/2006/picture">
                <pic:pic xmlns:pic="http://schemas.openxmlformats.org/drawingml/2006/picture">
                  <pic:nvPicPr>
                    <pic:cNvPr id="0" name="Picture 16" descr="Image"/>
                    <pic:cNvPicPr>
                      <a:picLocks noChangeAspect="true"/>
                    </pic:cNvPicPr>
                  </pic:nvPicPr>
                  <pic:blipFill>
                    <a:blip r:embed="rId15"/>
                    <a:stretch>
                      <a:fillRect/>
                    </a:stretch>
                  </pic:blipFill>
                  <pic:spPr>
                    <a:xfrm>
                      <a:off x="0" y="0"/>
                      <a:ext cx="219075" cy="314325"/>
                    </a:xfrm>
                    <a:prstGeom prst="rect">
                      <a:avLst/>
                    </a:prstGeom>
                  </pic:spPr>
                </pic:pic>
              </a:graphicData>
            </a:graphic>
          </wp:inline>
        </w:drawing>
      </w:r>
      <w:r>
        <w:rPr>
          <w:rFonts w:ascii="Verdana" w:hAnsi="Verdana" w:cs="Verdana" w:eastAsia="Verdana"/>
          <w:sz w:val="24"/>
        </w:rPr>
        <w:t xml:space="preserve"> : Número de meses del período de cálculo de rentabilidad mínima, establecido en el artículo 2.6.9.1.4 del Decreto 2555 de 2010.</w:t>
        <w:cr/>
      </w:r>
      <w:r>
        <w:cr/>
        <w:drawing>
          <wp:inline distT="0" distR="0" distB="0" distL="0">
            <wp:extent cx="447675" cy="390525"/>
            <wp:docPr id="17" name="Drawing 17" descr="Image"/>
            <a:graphic xmlns:a="http://schemas.openxmlformats.org/drawingml/2006/main">
              <a:graphicData uri="http://schemas.openxmlformats.org/drawingml/2006/picture">
                <pic:pic xmlns:pic="http://schemas.openxmlformats.org/drawingml/2006/picture">
                  <pic:nvPicPr>
                    <pic:cNvPr id="0" name="Picture 17" descr="Image"/>
                    <pic:cNvPicPr>
                      <a:picLocks noChangeAspect="true"/>
                    </pic:cNvPicPr>
                  </pic:nvPicPr>
                  <pic:blipFill>
                    <a:blip r:embed="rId16"/>
                    <a:stretch>
                      <a:fillRect/>
                    </a:stretch>
                  </pic:blipFill>
                  <pic:spPr>
                    <a:xfrm>
                      <a:off x="0" y="0"/>
                      <a:ext cx="447675" cy="390525"/>
                    </a:xfrm>
                    <a:prstGeom prst="rect">
                      <a:avLst/>
                    </a:prstGeom>
                  </pic:spPr>
                </pic:pic>
              </a:graphicData>
            </a:graphic>
          </wp:inline>
        </w:drawing>
      </w:r>
      <w:r>
        <w:rPr>
          <w:rFonts w:ascii="Verdana" w:hAnsi="Verdana" w:cs="Verdana" w:eastAsia="Verdana"/>
          <w:sz w:val="24"/>
        </w:rPr>
        <w:t>:Ponderación porcentual del índice</w:t>
      </w:r>
      <w:r>
        <w:cr/>
        <w:drawing>
          <wp:inline distT="0" distR="0" distB="0" distL="0">
            <wp:extent cx="161925" cy="276225"/>
            <wp:docPr id="18" name="Drawing 18" descr="Image"/>
            <a:graphic xmlns:a="http://schemas.openxmlformats.org/drawingml/2006/main">
              <a:graphicData uri="http://schemas.openxmlformats.org/drawingml/2006/picture">
                <pic:pic xmlns:pic="http://schemas.openxmlformats.org/drawingml/2006/picture">
                  <pic:nvPicPr>
                    <pic:cNvPr id="0" name="Picture 18" descr="Image"/>
                    <pic:cNvPicPr>
                      <a:picLocks noChangeAspect="true"/>
                    </pic:cNvPicPr>
                  </pic:nvPicPr>
                  <pic:blipFill>
                    <a:blip r:embed="rId14"/>
                    <a:stretch>
                      <a:fillRect/>
                    </a:stretch>
                  </pic:blipFill>
                  <pic:spPr>
                    <a:xfrm>
                      <a:off x="0" y="0"/>
                      <a:ext cx="161925" cy="276225"/>
                    </a:xfrm>
                    <a:prstGeom prst="rect">
                      <a:avLst/>
                    </a:prstGeom>
                  </pic:spPr>
                </pic:pic>
              </a:graphicData>
            </a:graphic>
          </wp:inline>
        </w:drawing>
      </w:r>
      <w:r>
        <w:rPr>
          <w:rFonts w:ascii="Verdana" w:hAnsi="Verdana" w:cs="Verdana" w:eastAsia="Verdana"/>
          <w:sz w:val="24"/>
        </w:rPr>
        <w:t>,en el mes inmediatamente anterior a un evento de inclusión, o en el último mes del período de exclusión del subnumeral 1.10.2.2.2.3. Este valor solamente se modifica cuando se presenten eventos de inclusión o exclusión.</w:t>
        <w:cr/>
      </w:r>
      <w:r>
        <w:rPr>
          <w:rFonts w:ascii="Verdana" w:hAnsi="Verdana" w:cs="Verdana" w:eastAsia="Verdana"/>
          <w:sz w:val="24"/>
        </w:rPr>
        <w:t/>
        <w:cr/>
      </w:r>
      <w:r>
        <w:rPr>
          <w:rFonts w:ascii="Verdana" w:hAnsi="Verdana" w:cs="Verdana" w:eastAsia="Verdana"/>
          <w:sz w:val="24"/>
        </w:rPr>
        <w:t xml:space="preserve">Sin perjuicio de lo anterior, en caso de incluir un índice o índices de deuda privada, la suma de las ponderaciones de éstos no podrá ser superior al 30%. </w:t>
        <w:cr/>
      </w:r>
    </w:p>
    <w:p>
      <w:pPr>
        <w:jc w:val="both"/>
      </w:pPr>
      <w:r>
        <w:rPr>
          <w:rFonts w:ascii="Verdana" w:hAnsi="Verdana" w:cs="Verdana" w:eastAsia="Verdana"/>
          <w:sz w:val="24"/>
        </w:rPr>
        <w:t>1.10.2.2.2.3. Cálculo de la ponderación de los índices cuando se presenta un evento de exclusión del IARFL</w:t>
        <w:cr/>
      </w:r>
      <w:r>
        <w:rPr>
          <w:rFonts w:ascii="Verdana" w:hAnsi="Verdana" w:cs="Verdana" w:eastAsia="Verdana"/>
          <w:sz w:val="24"/>
        </w:rPr>
        <w:t/>
        <w:cr/>
      </w:r>
      <w:r>
        <w:rPr>
          <w:rFonts w:ascii="Verdana" w:hAnsi="Verdana" w:cs="Verdana" w:eastAsia="Verdana"/>
          <w:sz w:val="24"/>
        </w:rPr>
        <w:t>Para efectos de la exclusión de un índice del IARFL, la SFC de acuerdo con lo establecido en el subnumeral 1.10.2.2.1.4 debe informar a partir del momento en el cual el índice dejará de ponderar dentro del IARFL. El índice a ser excluido mensualmente debe disminuir proporcionalmente su ponderación dentro del IARFL hasta llegar a 0%. El plazo máximo para la exclusión de un índice es de 6 meses; para este caso se tiene que:</w:t>
        <w:cr/>
      </w:r>
      <w:r>
        <w:cr/>
        <w:drawing>
          <wp:inline distT="0" distR="0" distB="0" distL="0">
            <wp:extent cx="1828800" cy="876300"/>
            <wp:docPr id="19" name="Drawing 19" descr="Image"/>
            <a:graphic xmlns:a="http://schemas.openxmlformats.org/drawingml/2006/main">
              <a:graphicData uri="http://schemas.openxmlformats.org/drawingml/2006/picture">
                <pic:pic xmlns:pic="http://schemas.openxmlformats.org/drawingml/2006/picture">
                  <pic:nvPicPr>
                    <pic:cNvPr id="0" name="Picture 19" descr="Image"/>
                    <pic:cNvPicPr>
                      <a:picLocks noChangeAspect="true"/>
                    </pic:cNvPicPr>
                  </pic:nvPicPr>
                  <pic:blipFill>
                    <a:blip r:embed="rId17"/>
                    <a:stretch>
                      <a:fillRect/>
                    </a:stretch>
                  </pic:blipFill>
                  <pic:spPr>
                    <a:xfrm>
                      <a:off x="0" y="0"/>
                      <a:ext cx="1828800" cy="876300"/>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Donde:</w:t>
        <w:cr/>
      </w:r>
      <w:r>
        <w:cr/>
        <w:drawing>
          <wp:inline distT="0" distR="0" distB="0" distL="0">
            <wp:extent cx="219075" cy="390525"/>
            <wp:docPr id="20" name="Drawing 20" descr="Image"/>
            <a:graphic xmlns:a="http://schemas.openxmlformats.org/drawingml/2006/main">
              <a:graphicData uri="http://schemas.openxmlformats.org/drawingml/2006/picture">
                <pic:pic xmlns:pic="http://schemas.openxmlformats.org/drawingml/2006/picture">
                  <pic:nvPicPr>
                    <pic:cNvPr id="0" name="Picture 20" descr="Image"/>
                    <pic:cNvPicPr>
                      <a:picLocks noChangeAspect="true"/>
                    </pic:cNvPicPr>
                  </pic:nvPicPr>
                  <pic:blipFill>
                    <a:blip r:embed="rId18"/>
                    <a:stretch>
                      <a:fillRect/>
                    </a:stretch>
                  </pic:blipFill>
                  <pic:spPr>
                    <a:xfrm>
                      <a:off x="0" y="0"/>
                      <a:ext cx="219075" cy="390525"/>
                    </a:xfrm>
                    <a:prstGeom prst="rect">
                      <a:avLst/>
                    </a:prstGeom>
                  </pic:spPr>
                </pic:pic>
              </a:graphicData>
            </a:graphic>
          </wp:inline>
        </w:drawing>
      </w:r>
      <w:r>
        <w:rPr>
          <w:rFonts w:ascii="Verdana" w:hAnsi="Verdana" w:cs="Verdana" w:eastAsia="Verdana"/>
          <w:sz w:val="24"/>
        </w:rPr>
        <w:t xml:space="preserve"> : reducción porcentual mensual en el ponderador del índice </w:t>
      </w:r>
      <w:r>
        <w:cr/>
        <w:drawing>
          <wp:inline distT="0" distR="0" distB="0" distL="0">
            <wp:extent cx="76200" cy="285750"/>
            <wp:docPr id="21" name="Drawing 21" descr="Image"/>
            <a:graphic xmlns:a="http://schemas.openxmlformats.org/drawingml/2006/main">
              <a:graphicData uri="http://schemas.openxmlformats.org/drawingml/2006/picture">
                <pic:pic xmlns:pic="http://schemas.openxmlformats.org/drawingml/2006/picture">
                  <pic:nvPicPr>
                    <pic:cNvPr id="0" name="Picture 21" descr="Image"/>
                    <pic:cNvPicPr>
                      <a:picLocks noChangeAspect="true"/>
                    </pic:cNvPicPr>
                  </pic:nvPicPr>
                  <pic:blipFill>
                    <a:blip r:embed="rId19"/>
                    <a:stretch>
                      <a:fillRect/>
                    </a:stretch>
                  </pic:blipFill>
                  <pic:spPr>
                    <a:xfrm>
                      <a:off x="0" y="0"/>
                      <a:ext cx="76200" cy="285750"/>
                    </a:xfrm>
                    <a:prstGeom prst="rect">
                      <a:avLst/>
                    </a:prstGeom>
                  </pic:spPr>
                </pic:pic>
              </a:graphicData>
            </a:graphic>
          </wp:inline>
        </w:drawing>
      </w:r>
      <w:r>
        <w:rPr>
          <w:rFonts w:ascii="Verdana" w:hAnsi="Verdana" w:cs="Verdana" w:eastAsia="Verdana"/>
          <w:sz w:val="24"/>
        </w:rPr>
        <w:t xml:space="preserve"> a ser excluido, en el mes </w:t>
      </w:r>
      <w:r>
        <w:cr/>
        <w:drawing>
          <wp:inline distT="0" distR="0" distB="0" distL="0">
            <wp:extent cx="133350" cy="257175"/>
            <wp:docPr id="22" name="Drawing 22" descr="Image"/>
            <a:graphic xmlns:a="http://schemas.openxmlformats.org/drawingml/2006/main">
              <a:graphicData uri="http://schemas.openxmlformats.org/drawingml/2006/picture">
                <pic:pic xmlns:pic="http://schemas.openxmlformats.org/drawingml/2006/picture">
                  <pic:nvPicPr>
                    <pic:cNvPr id="0" name="Picture 22" descr="Image"/>
                    <pic:cNvPicPr>
                      <a:picLocks noChangeAspect="true"/>
                    </pic:cNvPicPr>
                  </pic:nvPicPr>
                  <pic:blipFill>
                    <a:blip r:embed="rId20"/>
                    <a:stretch>
                      <a:fillRect/>
                    </a:stretch>
                  </pic:blipFill>
                  <pic:spPr>
                    <a:xfrm>
                      <a:off x="0" y="0"/>
                      <a:ext cx="133350" cy="25717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xml:space="preserve">Por lo tanto, la ponderación del índice </w:t>
      </w:r>
      <w:r>
        <w:cr/>
        <w:drawing>
          <wp:inline distT="0" distR="0" distB="0" distL="0">
            <wp:extent cx="76200" cy="285750"/>
            <wp:docPr id="23" name="Drawing 23" descr="Image"/>
            <a:graphic xmlns:a="http://schemas.openxmlformats.org/drawingml/2006/main">
              <a:graphicData uri="http://schemas.openxmlformats.org/drawingml/2006/picture">
                <pic:pic xmlns:pic="http://schemas.openxmlformats.org/drawingml/2006/picture">
                  <pic:nvPicPr>
                    <pic:cNvPr id="0" name="Picture 23" descr="Image"/>
                    <pic:cNvPicPr>
                      <a:picLocks noChangeAspect="true"/>
                    </pic:cNvPicPr>
                  </pic:nvPicPr>
                  <pic:blipFill>
                    <a:blip r:embed="rId19"/>
                    <a:stretch>
                      <a:fillRect/>
                    </a:stretch>
                  </pic:blipFill>
                  <pic:spPr>
                    <a:xfrm>
                      <a:off x="0" y="0"/>
                      <a:ext cx="76200" cy="285750"/>
                    </a:xfrm>
                    <a:prstGeom prst="rect">
                      <a:avLst/>
                    </a:prstGeom>
                  </pic:spPr>
                </pic:pic>
              </a:graphicData>
            </a:graphic>
          </wp:inline>
        </w:drawing>
      </w:r>
      <w:r>
        <w:rPr>
          <w:rFonts w:ascii="Verdana" w:hAnsi="Verdana" w:cs="Verdana" w:eastAsia="Verdana"/>
          <w:sz w:val="24"/>
        </w:rPr>
        <w:t xml:space="preserve">a ser excluido en el mes </w:t>
      </w:r>
      <w:r>
        <w:cr/>
        <w:drawing>
          <wp:inline distT="0" distR="0" distB="0" distL="0">
            <wp:extent cx="133350" cy="257175"/>
            <wp:docPr id="24" name="Drawing 24" descr="Image"/>
            <a:graphic xmlns:a="http://schemas.openxmlformats.org/drawingml/2006/main">
              <a:graphicData uri="http://schemas.openxmlformats.org/drawingml/2006/picture">
                <pic:pic xmlns:pic="http://schemas.openxmlformats.org/drawingml/2006/picture">
                  <pic:nvPicPr>
                    <pic:cNvPr id="0" name="Picture 24" descr="Image"/>
                    <pic:cNvPicPr>
                      <a:picLocks noChangeAspect="true"/>
                    </pic:cNvPicPr>
                  </pic:nvPicPr>
                  <pic:blipFill>
                    <a:blip r:embed="rId20"/>
                    <a:stretch>
                      <a:fillRect/>
                    </a:stretch>
                  </pic:blipFill>
                  <pic:spPr>
                    <a:xfrm>
                      <a:off x="0" y="0"/>
                      <a:ext cx="133350" cy="257175"/>
                    </a:xfrm>
                    <a:prstGeom prst="rect">
                      <a:avLst/>
                    </a:prstGeom>
                  </pic:spPr>
                </pic:pic>
              </a:graphicData>
            </a:graphic>
          </wp:inline>
        </w:drawing>
      </w:r>
      <w:r>
        <w:rPr>
          <w:rFonts w:ascii="Verdana" w:hAnsi="Verdana" w:cs="Verdana" w:eastAsia="Verdana"/>
          <w:sz w:val="24"/>
        </w:rPr>
        <w:t xml:space="preserve"> está dada por:</w:t>
        <w:cr/>
      </w:r>
      <w:r>
        <w:cr/>
        <w:drawing>
          <wp:inline distT="0" distR="0" distB="0" distL="0">
            <wp:extent cx="1724025" cy="542925"/>
            <wp:docPr id="25" name="Drawing 25" descr="Image"/>
            <a:graphic xmlns:a="http://schemas.openxmlformats.org/drawingml/2006/main">
              <a:graphicData uri="http://schemas.openxmlformats.org/drawingml/2006/picture">
                <pic:pic xmlns:pic="http://schemas.openxmlformats.org/drawingml/2006/picture">
                  <pic:nvPicPr>
                    <pic:cNvPr id="0" name="Picture 25" descr="Image"/>
                    <pic:cNvPicPr>
                      <a:picLocks noChangeAspect="true"/>
                    </pic:cNvPicPr>
                  </pic:nvPicPr>
                  <pic:blipFill>
                    <a:blip r:embed="rId21"/>
                    <a:stretch>
                      <a:fillRect/>
                    </a:stretch>
                  </pic:blipFill>
                  <pic:spPr>
                    <a:xfrm>
                      <a:off x="0" y="0"/>
                      <a:ext cx="1724025" cy="54292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 xml:space="preserve">Para el mes  </w:t>
      </w:r>
      <w:r>
        <w:cr/>
        <w:drawing>
          <wp:inline distT="0" distR="0" distB="0" distL="0">
            <wp:extent cx="133350" cy="257175"/>
            <wp:docPr id="26" name="Drawing 26" descr="Image"/>
            <a:graphic xmlns:a="http://schemas.openxmlformats.org/drawingml/2006/main">
              <a:graphicData uri="http://schemas.openxmlformats.org/drawingml/2006/picture">
                <pic:pic xmlns:pic="http://schemas.openxmlformats.org/drawingml/2006/picture">
                  <pic:nvPicPr>
                    <pic:cNvPr id="0" name="Picture 26" descr="Image"/>
                    <pic:cNvPicPr>
                      <a:picLocks noChangeAspect="true"/>
                    </pic:cNvPicPr>
                  </pic:nvPicPr>
                  <pic:blipFill>
                    <a:blip r:embed="rId20"/>
                    <a:stretch>
                      <a:fillRect/>
                    </a:stretch>
                  </pic:blipFill>
                  <pic:spPr>
                    <a:xfrm>
                      <a:off x="0" y="0"/>
                      <a:ext cx="133350" cy="257175"/>
                    </a:xfrm>
                    <a:prstGeom prst="rect">
                      <a:avLst/>
                    </a:prstGeom>
                  </pic:spPr>
                </pic:pic>
              </a:graphicData>
            </a:graphic>
          </wp:inline>
        </w:drawing>
      </w:r>
      <w:r>
        <w:rPr>
          <w:rFonts w:ascii="Verdana" w:hAnsi="Verdana" w:cs="Verdana" w:eastAsia="Verdana"/>
          <w:sz w:val="24"/>
        </w:rPr>
        <w:t xml:space="preserve"> , el porcentaje que mensualmente reduce su participación el índice a ser excluido debe ser distribuido proporcionalmente </w:t>
      </w:r>
      <w:r>
        <w:cr/>
        <w:drawing>
          <wp:inline distT="0" distR="0" distB="0" distL="0">
            <wp:extent cx="238125" cy="295275"/>
            <wp:docPr id="27" name="Drawing 27" descr="Image"/>
            <a:graphic xmlns:a="http://schemas.openxmlformats.org/drawingml/2006/main">
              <a:graphicData uri="http://schemas.openxmlformats.org/drawingml/2006/picture">
                <pic:pic xmlns:pic="http://schemas.openxmlformats.org/drawingml/2006/picture">
                  <pic:nvPicPr>
                    <pic:cNvPr id="0" name="Picture 27" descr="Image"/>
                    <pic:cNvPicPr>
                      <a:picLocks noChangeAspect="true"/>
                    </pic:cNvPicPr>
                  </pic:nvPicPr>
                  <pic:blipFill>
                    <a:blip r:embed="rId22"/>
                    <a:stretch>
                      <a:fillRect/>
                    </a:stretch>
                  </pic:blipFill>
                  <pic:spPr>
                    <a:xfrm>
                      <a:off x="0" y="0"/>
                      <a:ext cx="238125" cy="295275"/>
                    </a:xfrm>
                    <a:prstGeom prst="rect">
                      <a:avLst/>
                    </a:prstGeom>
                  </pic:spPr>
                </pic:pic>
              </a:graphicData>
            </a:graphic>
          </wp:inline>
        </w:drawing>
      </w:r>
      <w:r>
        <w:rPr>
          <w:rFonts w:ascii="Verdana" w:hAnsi="Verdana" w:cs="Verdana" w:eastAsia="Verdana"/>
          <w:sz w:val="24"/>
        </w:rPr>
        <w:t> entre los demás índices que hagan parte del IARFL, teniendo en cuenta la ponderación relativa entre ellos, en el mes inmediatamente anterior al evento de exclusión, de tal forma que, durante los meses del período de exclusión, el ponderador para los índices que se mantienen en el IARFL está dado por:</w:t>
        <w:cr/>
      </w:r>
      <w:r>
        <w:cr/>
        <w:drawing>
          <wp:inline distT="0" distR="0" distB="0" distL="0">
            <wp:extent cx="2247900" cy="542925"/>
            <wp:docPr id="28" name="Drawing 28" descr="Image"/>
            <a:graphic xmlns:a="http://schemas.openxmlformats.org/drawingml/2006/main">
              <a:graphicData uri="http://schemas.openxmlformats.org/drawingml/2006/picture">
                <pic:pic xmlns:pic="http://schemas.openxmlformats.org/drawingml/2006/picture">
                  <pic:nvPicPr>
                    <pic:cNvPr id="0" name="Picture 28" descr="Image"/>
                    <pic:cNvPicPr>
                      <a:picLocks noChangeAspect="true"/>
                    </pic:cNvPicPr>
                  </pic:nvPicPr>
                  <pic:blipFill>
                    <a:blip r:embed="rId23"/>
                    <a:stretch>
                      <a:fillRect/>
                    </a:stretch>
                  </pic:blipFill>
                  <pic:spPr>
                    <a:xfrm>
                      <a:off x="0" y="0"/>
                      <a:ext cx="2247900" cy="54292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Finalizado el periodo de exclusión, las ponderaciones de estos índices deben calcularse de acuerdo con lo establecido en el subnumeral 1.10.2.2.2.2.</w:t>
        <w:cr/>
      </w:r>
    </w:p>
    <w:p>
      <w:pPr>
        <w:jc w:val="both"/>
      </w:pPr>
      <w:r>
        <w:rPr>
          <w:rFonts w:ascii="Verdana" w:hAnsi="Verdana" w:cs="Verdana" w:eastAsia="Verdana"/>
          <w:sz w:val="24"/>
        </w:rPr>
        <w:t>1.10.2.3. Metodología de agregación de índices de renta variable local (IARVL)</w:t>
        <w:cr/>
      </w:r>
      <w:r>
        <w:rPr>
          <w:rFonts w:ascii="Verdana" w:hAnsi="Verdana" w:cs="Verdana" w:eastAsia="Verdana"/>
          <w:sz w:val="24"/>
        </w:rPr>
        <w:t/>
        <w:cr/>
      </w:r>
      <w:r>
        <w:rPr>
          <w:rFonts w:ascii="Verdana" w:hAnsi="Verdana" w:cs="Verdana" w:eastAsia="Verdana"/>
          <w:sz w:val="24"/>
        </w:rPr>
        <w:t>La metodología de agregación de índices de renta variable local busca establecer la forma de cálculo de un referente que se denominará índice agregado de renta variable local (IARVL).</w:t>
        <w:cr/>
      </w:r>
    </w:p>
    <w:p>
      <w:pPr>
        <w:jc w:val="both"/>
      </w:pPr>
      <w:r>
        <w:rPr>
          <w:rFonts w:ascii="Verdana" w:hAnsi="Verdana" w:cs="Verdana" w:eastAsia="Verdana"/>
          <w:sz w:val="24"/>
        </w:rPr>
        <w:t>1.10.2.3.1. Consideraciones generales del IARVL</w:t>
        <w:cr/>
      </w:r>
      <w:r>
        <w:rPr>
          <w:rFonts w:ascii="Verdana" w:hAnsi="Verdana" w:cs="Verdana" w:eastAsia="Verdana"/>
          <w:sz w:val="24"/>
        </w:rPr>
        <w:t/>
        <w:cr/>
      </w:r>
      <w:r>
        <w:rPr>
          <w:rFonts w:ascii="Verdana" w:hAnsi="Verdana" w:cs="Verdana" w:eastAsia="Verdana"/>
          <w:sz w:val="24"/>
        </w:rPr>
        <w:t>Para efectos de determinar la rentabilidad mínima, resulta necesario contar con un IARVL específico para el portafolio de largo plazo de cesantías y para cada uno de los tipos de fondos de pensiones obligatorias, considerando la diferencia en los tiempos de sus períodos de cálculo establecidos en los artículos 2.6.5.1.4 y 2.6.9.1.4 del Decreto 2555 de 2010 respectivamente.</w:t>
        <w:cr/>
      </w:r>
    </w:p>
    <w:p>
      <w:pPr>
        <w:jc w:val="both"/>
      </w:pPr>
      <w:r>
        <w:rPr>
          <w:rFonts w:ascii="Verdana" w:hAnsi="Verdana" w:cs="Verdana" w:eastAsia="Verdana"/>
          <w:sz w:val="24"/>
        </w:rPr>
        <w:t>1.10.2.3.1.1. Nivel inicial</w:t>
        <w:cr/>
      </w:r>
      <w:r>
        <w:rPr>
          <w:rFonts w:ascii="Verdana" w:hAnsi="Verdana" w:cs="Verdana" w:eastAsia="Verdana"/>
          <w:sz w:val="24"/>
        </w:rPr>
        <w:t/>
        <w:cr/>
      </w:r>
      <w:r>
        <w:rPr>
          <w:rFonts w:ascii="Verdana" w:hAnsi="Verdana" w:cs="Verdana" w:eastAsia="Verdana"/>
          <w:sz w:val="24"/>
        </w:rPr>
        <w:t>El nivel inicial del IARVL al 31 de agosto de 2011 es de 100.</w:t>
        <w:cr/>
      </w:r>
    </w:p>
    <w:p>
      <w:pPr>
        <w:jc w:val="both"/>
      </w:pPr>
      <w:r>
        <w:rPr>
          <w:rFonts w:ascii="Verdana" w:hAnsi="Verdana" w:cs="Verdana" w:eastAsia="Verdana"/>
          <w:sz w:val="24"/>
        </w:rPr>
        <w:t>1.10.2.3.1.2. Componentes</w:t>
        <w:cr/>
      </w:r>
      <w:r>
        <w:rPr>
          <w:rFonts w:ascii="Verdana" w:hAnsi="Verdana" w:cs="Verdana" w:eastAsia="Verdana"/>
          <w:sz w:val="24"/>
        </w:rPr>
        <w:t/>
        <w:cr/>
      </w:r>
      <w:r>
        <w:rPr>
          <w:rFonts w:ascii="Verdana" w:hAnsi="Verdana" w:cs="Verdana" w:eastAsia="Verdana"/>
          <w:sz w:val="24"/>
        </w:rPr>
        <w:t>Hasta tanto no exista otro índice de renta variable local, que de acuerdo con los criterios establecidos en el subnumeral 1.10.2.3.1.3., pueda considerarse en el IARVL, el mismo está compuesto por el índice Colcap.</w:t>
        <w:cr/>
      </w:r>
    </w:p>
    <w:p>
      <w:pPr>
        <w:jc w:val="both"/>
      </w:pPr>
      <w:r>
        <w:rPr>
          <w:rFonts w:ascii="Verdana" w:hAnsi="Verdana" w:cs="Verdana" w:eastAsia="Verdana"/>
          <w:sz w:val="24"/>
        </w:rPr>
        <w:t>1.10.2.3.1.3. Criterios de elegibilidad de índices de renta variable local para hacer parte del cálculo del IARVL</w:t>
        <w:cr/>
      </w:r>
      <w:r>
        <w:rPr>
          <w:rFonts w:ascii="Verdana" w:hAnsi="Verdana" w:cs="Verdana" w:eastAsia="Verdana"/>
          <w:sz w:val="24"/>
        </w:rPr>
        <w:t/>
        <w:cr/>
      </w:r>
      <w:r>
        <w:rPr>
          <w:rFonts w:ascii="Verdana" w:hAnsi="Verdana" w:cs="Verdana" w:eastAsia="Verdana"/>
          <w:sz w:val="24"/>
        </w:rPr>
        <w:t>Con base en lo establecido en el parágrafo 4 del artículo 2.6.9.1.2 del Decreto 2555 de 2010, los criterios que debe cumplir un índice para hacer parte del IARVL son los siguientes:</w:t>
        <w:cr/>
      </w:r>
    </w:p>
    <w:p>
      <w:pPr>
        <w:jc w:val="both"/>
      </w:pPr>
      <w:r>
        <w:rPr>
          <w:rFonts w:ascii="Verdana" w:hAnsi="Verdana" w:cs="Verdana" w:eastAsia="Verdana"/>
          <w:sz w:val="24"/>
        </w:rPr>
        <w:t>1.10.2.3.1.3.1. Experiencia del proveedor: el proveedor del índice debe hacer parte del listado de bolsas y entidades reconocidas por la SFC para elaboración de índices, relacionado con los regímenes de inversión de los recursos de los fondos de cesantía y los de los fondos de pensiones obligatorias de que trata el subnumeral 7.2 del Capítulo II, Título II, Parte I de la presente Circular.</w:t>
        <w:cr/>
      </w:r>
    </w:p>
    <w:p>
      <w:pPr>
        <w:jc w:val="both"/>
      </w:pPr>
      <w:r>
        <w:rPr>
          <w:rFonts w:ascii="Verdana" w:hAnsi="Verdana" w:cs="Verdana" w:eastAsia="Verdana"/>
          <w:sz w:val="24"/>
        </w:rPr>
        <w:t>1.10.2.3.1.3.2. Representatividad: el índice debe reflejar razonablemente el comportamiento del mercado de renta variable local, buscando diversificación y evitando el sesgo hacia un sector o sectores específicos.</w:t>
        <w:cr/>
      </w:r>
    </w:p>
    <w:p>
      <w:pPr>
        <w:jc w:val="both"/>
      </w:pPr>
      <w:r>
        <w:rPr>
          <w:rFonts w:ascii="Verdana" w:hAnsi="Verdana" w:cs="Verdana" w:eastAsia="Verdana"/>
          <w:sz w:val="24"/>
        </w:rPr>
        <w:t>1.10.2.3.1.3.3. Replicabilidad: el índice debe ser replicable mediante un Exchange Traded Fund – ETF listado en el mercado doméstico y negociable en moneda local.</w:t>
        <w:cr/>
      </w:r>
    </w:p>
    <w:p>
      <w:pPr>
        <w:jc w:val="both"/>
      </w:pPr>
      <w:r>
        <w:rPr>
          <w:rFonts w:ascii="Verdana" w:hAnsi="Verdana" w:cs="Verdana" w:eastAsia="Verdana"/>
          <w:sz w:val="24"/>
        </w:rPr>
        <w:t>1.10.2.3.1.3.4. Condiciones mínimas de divulgación: la metodología de construcción del índice debe ser de público conocimiento y disponible para consulta en línea, así como sus políticas de rebalanceo y recomposición.</w:t>
        <w:cr/>
      </w:r>
    </w:p>
    <w:p>
      <w:pPr>
        <w:jc w:val="both"/>
      </w:pPr>
      <w:r>
        <w:rPr>
          <w:rFonts w:ascii="Verdana" w:hAnsi="Verdana" w:cs="Verdana" w:eastAsia="Verdana"/>
          <w:sz w:val="24"/>
        </w:rPr>
        <w:t>1.10.2.3.1.3.5. Administración: deben estar establecidas las políticas de gobierno corporativo en relación con los procedimientos para administrar los conflictos de interés de los agentes involucrados en la construcción y divulgación del índice hacia el mercado. Esta información debe ser pública y estar disponible para su consulta en línea.</w:t>
        <w:cr/>
      </w:r>
    </w:p>
    <w:p>
      <w:pPr>
        <w:jc w:val="both"/>
      </w:pPr>
      <w:r>
        <w:rPr>
          <w:rFonts w:ascii="Verdana" w:hAnsi="Verdana" w:cs="Verdana" w:eastAsia="Verdana"/>
          <w:sz w:val="24"/>
        </w:rPr>
        <w:t xml:space="preserve">1.10.2.3.1.3.6. Disponibilidad de información histórica: el índice debe contar por lo menos con 12 meses de información histórica real. Adicionalmente debe estar disponible información histórica simulada (backtesting) de 5 años antes del inicio oficial del índice y de la canasta que lo compone. Esta información debe ser pública y estar disponible para su consulta en línea. </w:t>
        <w:cr/>
      </w:r>
      <w:r>
        <w:rPr>
          <w:rFonts w:ascii="Verdana" w:hAnsi="Verdana" w:cs="Verdana" w:eastAsia="Verdana"/>
          <w:sz w:val="24"/>
        </w:rPr>
        <w:t/>
        <w:cr/>
      </w:r>
      <w:r>
        <w:rPr>
          <w:rFonts w:ascii="Verdana" w:hAnsi="Verdana" w:cs="Verdana" w:eastAsia="Verdana"/>
          <w:sz w:val="24"/>
        </w:rPr>
        <w:t>En los casos en que se modifique el proveedor o la metodología del cálculo de un índice que haga parte del IARVL, la información histórica real debe corresponder a la calculada con la metodología inicial. Asimismo, la nueva metodología debe prever la continuidad en la serie histórica del índice, por lo cual no se requiere la publicación de la información histórica simulada (backtesting).</w:t>
        <w:cr/>
      </w:r>
      <w:r>
        <w:rPr>
          <w:rFonts w:ascii="Verdana" w:hAnsi="Verdana" w:cs="Verdana" w:eastAsia="Verdana"/>
          <w:sz w:val="24"/>
        </w:rPr>
        <w:t/>
        <w:cr/>
      </w:r>
      <w:r>
        <w:rPr>
          <w:rFonts w:ascii="Verdana" w:hAnsi="Verdana" w:cs="Verdana" w:eastAsia="Verdana"/>
          <w:sz w:val="24"/>
        </w:rPr>
        <w:t>El incumplimiento de alguno de los anteriores criterios por parte de un índice es causal de su retiro en el cálculo del IARVL.</w:t>
        <w:cr/>
      </w:r>
    </w:p>
    <w:p>
      <w:pPr>
        <w:jc w:val="both"/>
      </w:pPr>
      <w:r>
        <w:rPr>
          <w:rFonts w:ascii="Verdana" w:hAnsi="Verdana" w:cs="Verdana" w:eastAsia="Verdana"/>
          <w:sz w:val="24"/>
        </w:rPr>
        <w:t>1.10.2.3.1.4. Divulgación de cambios en los componentes del IARVL</w:t>
        <w:cr/>
      </w:r>
      <w:r>
        <w:rPr>
          <w:rFonts w:ascii="Verdana" w:hAnsi="Verdana" w:cs="Verdana" w:eastAsia="Verdana"/>
          <w:sz w:val="24"/>
        </w:rPr>
        <w:t/>
        <w:cr/>
      </w:r>
      <w:r>
        <w:rPr>
          <w:rFonts w:ascii="Verdana" w:hAnsi="Verdana" w:cs="Verdana" w:eastAsia="Verdana"/>
          <w:sz w:val="24"/>
        </w:rPr>
        <w:t>La SFC debe informar acerca de la inclusión o exclusión de un índice, así como el momento a partir del cual tiene efecto en el cálculo del IARVL. La inclusión o exclusión de un índice debe proceder mínimo transcurridos 3 meses después de haber sido informado este hecho. No obstante, en el caso de una exclusión, solo excepcionalmente puede proceder un tiempo menor.</w:t>
        <w:cr/>
      </w:r>
    </w:p>
    <w:p>
      <w:pPr>
        <w:jc w:val="both"/>
      </w:pPr>
      <w:r>
        <w:rPr>
          <w:rFonts w:ascii="Verdana" w:hAnsi="Verdana" w:cs="Verdana" w:eastAsia="Verdana"/>
          <w:sz w:val="24"/>
        </w:rPr>
        <w:t>1.10.2.3.2. Metodología de cálculo del índice agregado de renta variable local (IARVL)</w:t>
        <w:cr/>
      </w:r>
    </w:p>
    <w:p>
      <w:pPr>
        <w:jc w:val="both"/>
      </w:pPr>
      <w:r>
        <w:rPr>
          <w:rFonts w:ascii="Verdana" w:hAnsi="Verdana" w:cs="Verdana" w:eastAsia="Verdana"/>
          <w:sz w:val="24"/>
        </w:rPr>
        <w:t>1.10.2.3.2.1. Determinación del IARVL</w:t>
        <w:cr/>
      </w:r>
      <w:r>
        <w:rPr>
          <w:rFonts w:ascii="Verdana" w:hAnsi="Verdana" w:cs="Verdana" w:eastAsia="Verdana"/>
          <w:sz w:val="24"/>
        </w:rPr>
        <w:t/>
        <w:cr/>
      </w:r>
      <w:r>
        <w:rPr>
          <w:rFonts w:ascii="Verdana" w:hAnsi="Verdana" w:cs="Verdana" w:eastAsia="Verdana"/>
          <w:sz w:val="24"/>
        </w:rPr>
        <w:t>El IARVL se calcula mensualmente en función del valor de sus componentes al último día hábil de cada mes. El valor del IARVL se obtiene a partir de su nivel en el mes anterior afectado por la variación porcentual mensual de cada índice que lo conforma, ponderada por su porcentaje de participación, como se muestra a continuación:</w:t>
        <w:cr/>
      </w:r>
      <w:r>
        <w:cr/>
        <w:drawing>
          <wp:inline distT="0" distR="0" distB="0" distL="0">
            <wp:extent cx="3009900" cy="581025"/>
            <wp:docPr id="29" name="Drawing 29" descr="Image"/>
            <a:graphic xmlns:a="http://schemas.openxmlformats.org/drawingml/2006/main">
              <a:graphicData uri="http://schemas.openxmlformats.org/drawingml/2006/picture">
                <pic:pic xmlns:pic="http://schemas.openxmlformats.org/drawingml/2006/picture">
                  <pic:nvPicPr>
                    <pic:cNvPr id="0" name="Picture 29" descr="Image"/>
                    <pic:cNvPicPr>
                      <a:picLocks noChangeAspect="true"/>
                    </pic:cNvPicPr>
                  </pic:nvPicPr>
                  <pic:blipFill>
                    <a:blip r:embed="rId24"/>
                    <a:stretch>
                      <a:fillRect/>
                    </a:stretch>
                  </pic:blipFill>
                  <pic:spPr>
                    <a:xfrm>
                      <a:off x="0" y="0"/>
                      <a:ext cx="3009900" cy="58102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Donde:</w:t>
        <w:cr/>
      </w:r>
      <w:r>
        <w:cr/>
        <w:drawing>
          <wp:inline distT="0" distR="0" distB="0" distL="0">
            <wp:extent cx="209550" cy="285750"/>
            <wp:docPr id="30" name="Drawing 30" descr="Image"/>
            <a:graphic xmlns:a="http://schemas.openxmlformats.org/drawingml/2006/main">
              <a:graphicData uri="http://schemas.openxmlformats.org/drawingml/2006/picture">
                <pic:pic xmlns:pic="http://schemas.openxmlformats.org/drawingml/2006/picture">
                  <pic:nvPicPr>
                    <pic:cNvPr id="0" name="Picture 30" descr="Image"/>
                    <pic:cNvPicPr>
                      <a:picLocks noChangeAspect="true"/>
                    </pic:cNvPicPr>
                  </pic:nvPicPr>
                  <pic:blipFill>
                    <a:blip r:embed="rId25"/>
                    <a:stretch>
                      <a:fillRect/>
                    </a:stretch>
                  </pic:blipFill>
                  <pic:spPr>
                    <a:xfrm>
                      <a:off x="0" y="0"/>
                      <a:ext cx="209550" cy="285750"/>
                    </a:xfrm>
                    <a:prstGeom prst="rect">
                      <a:avLst/>
                    </a:prstGeom>
                  </pic:spPr>
                </pic:pic>
              </a:graphicData>
            </a:graphic>
          </wp:inline>
        </w:drawing>
      </w:r>
      <w:r>
        <w:rPr>
          <w:rFonts w:ascii="Verdana" w:hAnsi="Verdana" w:cs="Verdana" w:eastAsia="Verdana"/>
          <w:sz w:val="24"/>
        </w:rPr>
        <w:t xml:space="preserve"> : Variación porcentual mensual del índice </w:t>
      </w:r>
      <w:r>
        <w:cr/>
        <w:drawing>
          <wp:inline distT="0" distR="0" distB="0" distL="0">
            <wp:extent cx="104775" cy="342900"/>
            <wp:docPr id="31" name="Drawing 31" descr="Image"/>
            <a:graphic xmlns:a="http://schemas.openxmlformats.org/drawingml/2006/main">
              <a:graphicData uri="http://schemas.openxmlformats.org/drawingml/2006/picture">
                <pic:pic xmlns:pic="http://schemas.openxmlformats.org/drawingml/2006/picture">
                  <pic:nvPicPr>
                    <pic:cNvPr id="0" name="Picture 31" descr="Image"/>
                    <pic:cNvPicPr>
                      <a:picLocks noChangeAspect="true"/>
                    </pic:cNvPicPr>
                  </pic:nvPicPr>
                  <pic:blipFill>
                    <a:blip r:embed="rId26"/>
                    <a:stretch>
                      <a:fillRect/>
                    </a:stretch>
                  </pic:blipFill>
                  <pic:spPr>
                    <a:xfrm>
                      <a:off x="0" y="0"/>
                      <a:ext cx="104775" cy="342900"/>
                    </a:xfrm>
                    <a:prstGeom prst="rect">
                      <a:avLst/>
                    </a:prstGeom>
                  </pic:spPr>
                </pic:pic>
              </a:graphicData>
            </a:graphic>
          </wp:inline>
        </w:drawing>
      </w:r>
      <w:r>
        <w:rPr>
          <w:rFonts w:ascii="Verdana" w:hAnsi="Verdana" w:cs="Verdana" w:eastAsia="Verdana"/>
          <w:sz w:val="24"/>
        </w:rPr>
        <w:t xml:space="preserve"> en el mes </w:t>
      </w:r>
      <w:r>
        <w:cr/>
        <w:drawing>
          <wp:inline distT="0" distR="0" distB="0" distL="0">
            <wp:extent cx="123825" cy="371475"/>
            <wp:docPr id="32" name="Drawing 32" descr="Image"/>
            <a:graphic xmlns:a="http://schemas.openxmlformats.org/drawingml/2006/main">
              <a:graphicData uri="http://schemas.openxmlformats.org/drawingml/2006/picture">
                <pic:pic xmlns:pic="http://schemas.openxmlformats.org/drawingml/2006/picture">
                  <pic:nvPicPr>
                    <pic:cNvPr id="0" name="Picture 32" descr="Image"/>
                    <pic:cNvPicPr>
                      <a:picLocks noChangeAspect="true"/>
                    </pic:cNvPicPr>
                  </pic:nvPicPr>
                  <pic:blipFill>
                    <a:blip r:embed="rId27"/>
                    <a:stretch>
                      <a:fillRect/>
                    </a:stretch>
                  </pic:blipFill>
                  <pic:spPr>
                    <a:xfrm>
                      <a:off x="0" y="0"/>
                      <a:ext cx="123825" cy="371475"/>
                    </a:xfrm>
                    <a:prstGeom prst="rect">
                      <a:avLst/>
                    </a:prstGeom>
                  </pic:spPr>
                </pic:pic>
              </a:graphicData>
            </a:graphic>
          </wp:inline>
        </w:drawing>
      </w:r>
      <w:r>
        <w:rPr>
          <w:rFonts w:ascii="Verdana" w:hAnsi="Verdana" w:cs="Verdana" w:eastAsia="Verdana"/>
          <w:sz w:val="24"/>
        </w:rPr>
        <w:t>, calculado como: </w:t>
      </w:r>
      <w:r>
        <w:cr/>
        <w:drawing>
          <wp:inline distT="0" distR="0" distB="0" distL="0">
            <wp:extent cx="2438400" cy="790575"/>
            <wp:docPr id="33" name="Drawing 33" descr="Image"/>
            <a:graphic xmlns:a="http://schemas.openxmlformats.org/drawingml/2006/main">
              <a:graphicData uri="http://schemas.openxmlformats.org/drawingml/2006/picture">
                <pic:pic xmlns:pic="http://schemas.openxmlformats.org/drawingml/2006/picture">
                  <pic:nvPicPr>
                    <pic:cNvPr id="0" name="Picture 33" descr="Image"/>
                    <pic:cNvPicPr>
                      <a:picLocks noChangeAspect="true"/>
                    </pic:cNvPicPr>
                  </pic:nvPicPr>
                  <pic:blipFill>
                    <a:blip r:embed="rId28"/>
                    <a:stretch>
                      <a:fillRect/>
                    </a:stretch>
                  </pic:blipFill>
                  <pic:spPr>
                    <a:xfrm>
                      <a:off x="0" y="0"/>
                      <a:ext cx="2438400" cy="790575"/>
                    </a:xfrm>
                    <a:prstGeom prst="rect">
                      <a:avLst/>
                    </a:prstGeom>
                  </pic:spPr>
                </pic:pic>
              </a:graphicData>
            </a:graphic>
          </wp:inline>
        </w:drawing>
      </w:r>
      <w:r>
        <w:cr/>
        <w:drawing>
          <wp:inline distT="0" distR="0" distB="0" distL="0">
            <wp:extent cx="247650" cy="419100"/>
            <wp:docPr id="34" name="Drawing 34" descr="Image"/>
            <a:graphic xmlns:a="http://schemas.openxmlformats.org/drawingml/2006/main">
              <a:graphicData uri="http://schemas.openxmlformats.org/drawingml/2006/picture">
                <pic:pic xmlns:pic="http://schemas.openxmlformats.org/drawingml/2006/picture">
                  <pic:nvPicPr>
                    <pic:cNvPr id="0" name="Picture 34" descr="Image"/>
                    <pic:cNvPicPr>
                      <a:picLocks noChangeAspect="true"/>
                    </pic:cNvPicPr>
                  </pic:nvPicPr>
                  <pic:blipFill>
                    <a:blip r:embed="rId29"/>
                    <a:stretch>
                      <a:fillRect/>
                    </a:stretch>
                  </pic:blipFill>
                  <pic:spPr>
                    <a:xfrm>
                      <a:off x="0" y="0"/>
                      <a:ext cx="247650" cy="419100"/>
                    </a:xfrm>
                    <a:prstGeom prst="rect">
                      <a:avLst/>
                    </a:prstGeom>
                  </pic:spPr>
                </pic:pic>
              </a:graphicData>
            </a:graphic>
          </wp:inline>
        </w:drawing>
      </w:r>
      <w:r>
        <w:rPr>
          <w:rFonts w:ascii="Verdana" w:hAnsi="Verdana" w:cs="Verdana" w:eastAsia="Verdana"/>
          <w:sz w:val="24"/>
        </w:rPr>
        <w:t xml:space="preserve"> : Ponderación porcentual del índice </w:t>
      </w:r>
      <w:r>
        <w:cr/>
        <w:drawing>
          <wp:inline distT="0" distR="0" distB="0" distL="0">
            <wp:extent cx="104775" cy="342900"/>
            <wp:docPr id="35" name="Drawing 35" descr="Image"/>
            <a:graphic xmlns:a="http://schemas.openxmlformats.org/drawingml/2006/main">
              <a:graphicData uri="http://schemas.openxmlformats.org/drawingml/2006/picture">
                <pic:pic xmlns:pic="http://schemas.openxmlformats.org/drawingml/2006/picture">
                  <pic:nvPicPr>
                    <pic:cNvPr id="0" name="Picture 35" descr="Image"/>
                    <pic:cNvPicPr>
                      <a:picLocks noChangeAspect="true"/>
                    </pic:cNvPicPr>
                  </pic:nvPicPr>
                  <pic:blipFill>
                    <a:blip r:embed="rId26"/>
                    <a:stretch>
                      <a:fillRect/>
                    </a:stretch>
                  </pic:blipFill>
                  <pic:spPr>
                    <a:xfrm>
                      <a:off x="0" y="0"/>
                      <a:ext cx="104775" cy="342900"/>
                    </a:xfrm>
                    <a:prstGeom prst="rect">
                      <a:avLst/>
                    </a:prstGeom>
                  </pic:spPr>
                </pic:pic>
              </a:graphicData>
            </a:graphic>
          </wp:inline>
        </w:drawing>
      </w:r>
      <w:r>
        <w:rPr>
          <w:rFonts w:ascii="Verdana" w:hAnsi="Verdana" w:cs="Verdana" w:eastAsia="Verdana"/>
          <w:sz w:val="24"/>
        </w:rPr>
        <w:t xml:space="preserve"> en el mes</w:t>
      </w:r>
      <w:r>
        <w:cr/>
        <w:drawing>
          <wp:inline distT="0" distR="0" distB="0" distL="0">
            <wp:extent cx="123825" cy="371475"/>
            <wp:docPr id="36" name="Drawing 36" descr="Image"/>
            <a:graphic xmlns:a="http://schemas.openxmlformats.org/drawingml/2006/main">
              <a:graphicData uri="http://schemas.openxmlformats.org/drawingml/2006/picture">
                <pic:pic xmlns:pic="http://schemas.openxmlformats.org/drawingml/2006/picture">
                  <pic:nvPicPr>
                    <pic:cNvPr id="0" name="Picture 36" descr="Image"/>
                    <pic:cNvPicPr>
                      <a:picLocks noChangeAspect="true"/>
                    </pic:cNvPicPr>
                  </pic:nvPicPr>
                  <pic:blipFill>
                    <a:blip r:embed="rId27"/>
                    <a:stretch>
                      <a:fillRect/>
                    </a:stretch>
                  </pic:blipFill>
                  <pic:spPr>
                    <a:xfrm>
                      <a:off x="0" y="0"/>
                      <a:ext cx="123825" cy="371475"/>
                    </a:xfrm>
                    <a:prstGeom prst="rect">
                      <a:avLst/>
                    </a:prstGeom>
                  </pic:spPr>
                </pic:pic>
              </a:graphicData>
            </a:graphic>
          </wp:inline>
        </w:drawing>
      </w:r>
      <w:r>
        <w:cr/>
        <w:drawing>
          <wp:inline distT="0" distR="0" distB="0" distL="0">
            <wp:extent cx="200025" cy="314325"/>
            <wp:docPr id="37" name="Drawing 37" descr="Image"/>
            <a:graphic xmlns:a="http://schemas.openxmlformats.org/drawingml/2006/main">
              <a:graphicData uri="http://schemas.openxmlformats.org/drawingml/2006/picture">
                <pic:pic xmlns:pic="http://schemas.openxmlformats.org/drawingml/2006/picture">
                  <pic:nvPicPr>
                    <pic:cNvPr id="0" name="Picture 37" descr="Image"/>
                    <pic:cNvPicPr>
                      <a:picLocks noChangeAspect="true"/>
                    </pic:cNvPicPr>
                  </pic:nvPicPr>
                  <pic:blipFill>
                    <a:blip r:embed="rId30"/>
                    <a:stretch>
                      <a:fillRect/>
                    </a:stretch>
                  </pic:blipFill>
                  <pic:spPr>
                    <a:xfrm>
                      <a:off x="0" y="0"/>
                      <a:ext cx="200025" cy="314325"/>
                    </a:xfrm>
                    <a:prstGeom prst="rect">
                      <a:avLst/>
                    </a:prstGeom>
                  </pic:spPr>
                </pic:pic>
              </a:graphicData>
            </a:graphic>
          </wp:inline>
        </w:drawing>
      </w:r>
      <w:r>
        <w:rPr>
          <w:rFonts w:ascii="Verdana" w:hAnsi="Verdana" w:cs="Verdana" w:eastAsia="Verdana"/>
          <w:sz w:val="24"/>
        </w:rPr>
        <w:t xml:space="preserve"> : Número de índices a ponderar en el mes</w:t>
      </w:r>
      <w:r>
        <w:cr/>
        <w:drawing>
          <wp:inline distT="0" distR="0" distB="0" distL="0">
            <wp:extent cx="123825" cy="371475"/>
            <wp:docPr id="38" name="Drawing 38" descr="Image"/>
            <a:graphic xmlns:a="http://schemas.openxmlformats.org/drawingml/2006/main">
              <a:graphicData uri="http://schemas.openxmlformats.org/drawingml/2006/picture">
                <pic:pic xmlns:pic="http://schemas.openxmlformats.org/drawingml/2006/picture">
                  <pic:nvPicPr>
                    <pic:cNvPr id="0" name="Picture 38" descr="Image"/>
                    <pic:cNvPicPr>
                      <a:picLocks noChangeAspect="true"/>
                    </pic:cNvPicPr>
                  </pic:nvPicPr>
                  <pic:blipFill>
                    <a:blip r:embed="rId27"/>
                    <a:stretch>
                      <a:fillRect/>
                    </a:stretch>
                  </pic:blipFill>
                  <pic:spPr>
                    <a:xfrm>
                      <a:off x="0" y="0"/>
                      <a:ext cx="123825" cy="37147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Para todos los casos:</w:t>
        <w:cr/>
      </w:r>
      <w:r>
        <w:cr/>
        <w:drawing>
          <wp:inline distT="0" distR="0" distB="0" distL="0">
            <wp:extent cx="1390650" cy="809625"/>
            <wp:docPr id="39" name="Drawing 39" descr="Image"/>
            <a:graphic xmlns:a="http://schemas.openxmlformats.org/drawingml/2006/main">
              <a:graphicData uri="http://schemas.openxmlformats.org/drawingml/2006/picture">
                <pic:pic xmlns:pic="http://schemas.openxmlformats.org/drawingml/2006/picture">
                  <pic:nvPicPr>
                    <pic:cNvPr id="0" name="Picture 39" descr="Image"/>
                    <pic:cNvPicPr>
                      <a:picLocks noChangeAspect="true"/>
                    </pic:cNvPicPr>
                  </pic:nvPicPr>
                  <pic:blipFill>
                    <a:blip r:embed="rId31"/>
                    <a:stretch>
                      <a:fillRect/>
                    </a:stretch>
                  </pic:blipFill>
                  <pic:spPr>
                    <a:xfrm>
                      <a:off x="0" y="0"/>
                      <a:ext cx="1390650" cy="809625"/>
                    </a:xfrm>
                    <a:prstGeom prst="rect">
                      <a:avLst/>
                    </a:prstGeom>
                  </pic:spPr>
                </pic:pic>
              </a:graphicData>
            </a:graphic>
          </wp:inline>
        </w:drawing>
      </w:r>
    </w:p>
    <w:p>
      <w:pPr>
        <w:jc w:val="both"/>
      </w:pPr>
      <w:r>
        <w:rPr>
          <w:rFonts w:ascii="Verdana" w:hAnsi="Verdana" w:cs="Verdana" w:eastAsia="Verdana"/>
          <w:sz w:val="24"/>
        </w:rPr>
        <w:t>1.10.2.3.2.2. Cálculo de la ponderación de los índices que hacen parte del IARVL</w:t>
        <w:cr/>
      </w:r>
      <w:r>
        <w:rPr>
          <w:rFonts w:ascii="Verdana" w:hAnsi="Verdana" w:cs="Verdana" w:eastAsia="Verdana"/>
          <w:sz w:val="24"/>
        </w:rPr>
        <w:t/>
        <w:cr/>
      </w:r>
      <w:r>
        <w:rPr>
          <w:rFonts w:ascii="Verdana" w:hAnsi="Verdana" w:cs="Verdana" w:eastAsia="Verdana"/>
          <w:sz w:val="24"/>
        </w:rPr>
        <w:t xml:space="preserve">La ponderación </w:t>
      </w:r>
      <w:r>
        <w:cr/>
        <w:drawing>
          <wp:inline distT="0" distR="0" distB="0" distL="0">
            <wp:extent cx="304800" cy="609600"/>
            <wp:docPr id="40" name="Drawing 40" descr="Image"/>
            <a:graphic xmlns:a="http://schemas.openxmlformats.org/drawingml/2006/main">
              <a:graphicData uri="http://schemas.openxmlformats.org/drawingml/2006/picture">
                <pic:pic xmlns:pic="http://schemas.openxmlformats.org/drawingml/2006/picture">
                  <pic:nvPicPr>
                    <pic:cNvPr id="0" name="Picture 40" descr="Image"/>
                    <pic:cNvPicPr>
                      <a:picLocks noChangeAspect="true"/>
                    </pic:cNvPicPr>
                  </pic:nvPicPr>
                  <pic:blipFill>
                    <a:blip r:embed="rId32"/>
                    <a:stretch>
                      <a:fillRect/>
                    </a:stretch>
                  </pic:blipFill>
                  <pic:spPr>
                    <a:xfrm>
                      <a:off x="0" y="0"/>
                      <a:ext cx="304800" cy="609600"/>
                    </a:xfrm>
                    <a:prstGeom prst="rect">
                      <a:avLst/>
                    </a:prstGeom>
                  </pic:spPr>
                </pic:pic>
              </a:graphicData>
            </a:graphic>
          </wp:inline>
        </w:drawing>
      </w:r>
      <w:r>
        <w:rPr>
          <w:rFonts w:ascii="Verdana" w:hAnsi="Verdana" w:cs="Verdana" w:eastAsia="Verdana"/>
          <w:sz w:val="24"/>
        </w:rPr>
        <w:t xml:space="preserve"> </w:t>
      </w:r>
      <w:r>
        <w:rPr>
          <w:rFonts w:ascii="Verdana" w:hAnsi="Verdana" w:cs="Verdana" w:eastAsia="Verdana"/>
          <w:sz w:val="24"/>
        </w:rPr>
        <w:t>de cada índice mensualmente hasta completar el tiempo del período de cálculo se determina así:</w:t>
        <w:cr/>
      </w:r>
      <w:r>
        <w:cr/>
        <w:drawing>
          <wp:inline distT="0" distR="0" distB="0" distL="0">
            <wp:extent cx="2419350" cy="1628775"/>
            <wp:docPr id="41" name="Drawing 41" descr="Image"/>
            <a:graphic xmlns:a="http://schemas.openxmlformats.org/drawingml/2006/main">
              <a:graphicData uri="http://schemas.openxmlformats.org/drawingml/2006/picture">
                <pic:pic xmlns:pic="http://schemas.openxmlformats.org/drawingml/2006/picture">
                  <pic:nvPicPr>
                    <pic:cNvPr id="0" name="Picture 41" descr="Image"/>
                    <pic:cNvPicPr>
                      <a:picLocks noChangeAspect="true"/>
                    </pic:cNvPicPr>
                  </pic:nvPicPr>
                  <pic:blipFill>
                    <a:blip r:embed="rId33"/>
                    <a:stretch>
                      <a:fillRect/>
                    </a:stretch>
                  </pic:blipFill>
                  <pic:spPr>
                    <a:xfrm>
                      <a:off x="0" y="0"/>
                      <a:ext cx="2419350" cy="162877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Donde:</w:t>
        <w:cr/>
      </w:r>
      <w:r>
        <w:cr/>
        <w:drawing>
          <wp:inline distT="0" distR="0" distB="0" distL="0">
            <wp:extent cx="200025" cy="342900"/>
            <wp:docPr id="42" name="Drawing 42" descr="Image"/>
            <a:graphic xmlns:a="http://schemas.openxmlformats.org/drawingml/2006/main">
              <a:graphicData uri="http://schemas.openxmlformats.org/drawingml/2006/picture">
                <pic:pic xmlns:pic="http://schemas.openxmlformats.org/drawingml/2006/picture">
                  <pic:nvPicPr>
                    <pic:cNvPr id="0" name="Picture 42" descr="Image"/>
                    <pic:cNvPicPr>
                      <a:picLocks noChangeAspect="true"/>
                    </pic:cNvPicPr>
                  </pic:nvPicPr>
                  <pic:blipFill>
                    <a:blip r:embed="rId34"/>
                    <a:stretch>
                      <a:fillRect/>
                    </a:stretch>
                  </pic:blipFill>
                  <pic:spPr>
                    <a:xfrm>
                      <a:off x="0" y="0"/>
                      <a:ext cx="200025" cy="342900"/>
                    </a:xfrm>
                    <a:prstGeom prst="rect">
                      <a:avLst/>
                    </a:prstGeom>
                  </pic:spPr>
                </pic:pic>
              </a:graphicData>
            </a:graphic>
          </wp:inline>
        </w:drawing>
      </w:r>
      <w:r>
        <w:rPr>
          <w:rFonts w:ascii="Verdana" w:hAnsi="Verdana" w:cs="Verdana" w:eastAsia="Verdana"/>
          <w:sz w:val="24"/>
        </w:rPr>
        <w:t xml:space="preserve"> : Variación porcentual a ponderar mensualmente el índice </w:t>
      </w:r>
      <w:r>
        <w:cr/>
        <w:drawing>
          <wp:inline distT="0" distR="0" distB="0" distL="0">
            <wp:extent cx="123825" cy="333375"/>
            <wp:docPr id="43" name="Drawing 43" descr="Image"/>
            <a:graphic xmlns:a="http://schemas.openxmlformats.org/drawingml/2006/main">
              <a:graphicData uri="http://schemas.openxmlformats.org/drawingml/2006/picture">
                <pic:pic xmlns:pic="http://schemas.openxmlformats.org/drawingml/2006/picture">
                  <pic:nvPicPr>
                    <pic:cNvPr id="0" name="Picture 43" descr="Image"/>
                    <pic:cNvPicPr>
                      <a:picLocks noChangeAspect="true"/>
                    </pic:cNvPicPr>
                  </pic:nvPicPr>
                  <pic:blipFill>
                    <a:blip r:embed="rId35"/>
                    <a:stretch>
                      <a:fillRect/>
                    </a:stretch>
                  </pic:blipFill>
                  <pic:spPr>
                    <a:xfrm>
                      <a:off x="0" y="0"/>
                      <a:ext cx="123825" cy="333375"/>
                    </a:xfrm>
                    <a:prstGeom prst="rect">
                      <a:avLst/>
                    </a:prstGeom>
                  </pic:spPr>
                </pic:pic>
              </a:graphicData>
            </a:graphic>
          </wp:inline>
        </w:drawing>
      </w:r>
      <w:r>
        <w:rPr>
          <w:rFonts w:ascii="Verdana" w:hAnsi="Verdana" w:cs="Verdana" w:eastAsia="Verdana"/>
          <w:sz w:val="24"/>
        </w:rPr>
        <w:t> hasta completar el período de cálculo. Una vez todos los índices que conforman el IARVL completen el tiempo del periodo de cálculo, k=0.</w:t>
        <w:cr/>
      </w:r>
      <w:r>
        <w:cr/>
        <w:drawing>
          <wp:inline distT="0" distR="0" distB="0" distL="0">
            <wp:extent cx="266700" cy="342900"/>
            <wp:docPr id="44" name="Drawing 44" descr="Image"/>
            <a:graphic xmlns:a="http://schemas.openxmlformats.org/drawingml/2006/main">
              <a:graphicData uri="http://schemas.openxmlformats.org/drawingml/2006/picture">
                <pic:pic xmlns:pic="http://schemas.openxmlformats.org/drawingml/2006/picture">
                  <pic:nvPicPr>
                    <pic:cNvPr id="0" name="Picture 44" descr="Image"/>
                    <pic:cNvPicPr>
                      <a:picLocks noChangeAspect="true"/>
                    </pic:cNvPicPr>
                  </pic:nvPicPr>
                  <pic:blipFill>
                    <a:blip r:embed="rId36"/>
                    <a:stretch>
                      <a:fillRect/>
                    </a:stretch>
                  </pic:blipFill>
                  <pic:spPr>
                    <a:xfrm>
                      <a:off x="0" y="0"/>
                      <a:ext cx="266700" cy="342900"/>
                    </a:xfrm>
                    <a:prstGeom prst="rect">
                      <a:avLst/>
                    </a:prstGeom>
                  </pic:spPr>
                </pic:pic>
              </a:graphicData>
            </a:graphic>
          </wp:inline>
        </w:drawing>
      </w:r>
      <w:r>
        <w:rPr>
          <w:rFonts w:ascii="Verdana" w:hAnsi="Verdana" w:cs="Verdana" w:eastAsia="Verdana"/>
          <w:sz w:val="24"/>
        </w:rPr>
        <w:t xml:space="preserve"> : número de meses del período de cálculo de rentabilidad mínima, establecido en los artículos 2.6.5.1.4 y 2.6.9.1.4 del Decreto 2555 de 2010 para los tipos de fondos de los fondos de pensiones obligatorias y para el portafolio de largo plazo del fondo de cesantía respectivamente.</w:t>
        <w:cr/>
      </w:r>
      <w:r>
        <w:cr/>
        <w:drawing>
          <wp:inline distT="0" distR="0" distB="0" distL="0">
            <wp:extent cx="495300" cy="390525"/>
            <wp:docPr id="45" name="Drawing 45" descr="Image"/>
            <a:graphic xmlns:a="http://schemas.openxmlformats.org/drawingml/2006/main">
              <a:graphicData uri="http://schemas.openxmlformats.org/drawingml/2006/picture">
                <pic:pic xmlns:pic="http://schemas.openxmlformats.org/drawingml/2006/picture">
                  <pic:nvPicPr>
                    <pic:cNvPr id="0" name="Picture 45" descr="Image"/>
                    <pic:cNvPicPr>
                      <a:picLocks noChangeAspect="true"/>
                    </pic:cNvPicPr>
                  </pic:nvPicPr>
                  <pic:blipFill>
                    <a:blip r:embed="rId37"/>
                    <a:stretch>
                      <a:fillRect/>
                    </a:stretch>
                  </pic:blipFill>
                  <pic:spPr>
                    <a:xfrm>
                      <a:off x="0" y="0"/>
                      <a:ext cx="495300" cy="390525"/>
                    </a:xfrm>
                    <a:prstGeom prst="rect">
                      <a:avLst/>
                    </a:prstGeom>
                  </pic:spPr>
                </pic:pic>
              </a:graphicData>
            </a:graphic>
          </wp:inline>
        </w:drawing>
      </w:r>
      <w:r>
        <w:rPr>
          <w:rFonts w:ascii="Verdana" w:hAnsi="Verdana" w:cs="Verdana" w:eastAsia="Verdana"/>
          <w:sz w:val="24"/>
        </w:rPr>
        <w:t xml:space="preserve"> : Ponderación porcentual del índice </w:t>
      </w:r>
      <w:r>
        <w:cr/>
        <w:drawing>
          <wp:inline distT="0" distR="0" distB="0" distL="0">
            <wp:extent cx="123825" cy="333375"/>
            <wp:docPr id="46" name="Drawing 46" descr="Image"/>
            <a:graphic xmlns:a="http://schemas.openxmlformats.org/drawingml/2006/main">
              <a:graphicData uri="http://schemas.openxmlformats.org/drawingml/2006/picture">
                <pic:pic xmlns:pic="http://schemas.openxmlformats.org/drawingml/2006/picture">
                  <pic:nvPicPr>
                    <pic:cNvPr id="0" name="Picture 46" descr="Image"/>
                    <pic:cNvPicPr>
                      <a:picLocks noChangeAspect="true"/>
                    </pic:cNvPicPr>
                  </pic:nvPicPr>
                  <pic:blipFill>
                    <a:blip r:embed="rId35"/>
                    <a:stretch>
                      <a:fillRect/>
                    </a:stretch>
                  </pic:blipFill>
                  <pic:spPr>
                    <a:xfrm>
                      <a:off x="0" y="0"/>
                      <a:ext cx="123825" cy="333375"/>
                    </a:xfrm>
                    <a:prstGeom prst="rect">
                      <a:avLst/>
                    </a:prstGeom>
                  </pic:spPr>
                </pic:pic>
              </a:graphicData>
            </a:graphic>
          </wp:inline>
        </w:drawing>
      </w:r>
      <w:r>
        <w:rPr>
          <w:rFonts w:ascii="Verdana" w:hAnsi="Verdana" w:cs="Verdana" w:eastAsia="Verdana"/>
          <w:sz w:val="24"/>
        </w:rPr>
        <w:t>, en el mes inmediatamente anterior a un evento de inclusión, o en el último mes del período de exclusión del subnumeral 1.10.2.3.2.3. Este valor solamente se modifica cuando se presenten eventos de inclusión o exclusión.</w:t>
        <w:cr/>
      </w:r>
    </w:p>
    <w:p>
      <w:pPr>
        <w:jc w:val="both"/>
      </w:pPr>
      <w:r>
        <w:rPr>
          <w:rFonts w:ascii="Verdana" w:hAnsi="Verdana" w:cs="Verdana" w:eastAsia="Verdana"/>
          <w:sz w:val="24"/>
        </w:rPr>
        <w:t>1.10.2.3.2.3. Cálculo de la ponderación de los índices cuando se presenta un evento de exclusión del IARVL</w:t>
        <w:cr/>
      </w:r>
      <w:r>
        <w:rPr>
          <w:rFonts w:ascii="Verdana" w:hAnsi="Verdana" w:cs="Verdana" w:eastAsia="Verdana"/>
          <w:sz w:val="24"/>
        </w:rPr>
        <w:t/>
        <w:cr/>
      </w:r>
      <w:r>
        <w:rPr>
          <w:rFonts w:ascii="Verdana" w:hAnsi="Verdana" w:cs="Verdana" w:eastAsia="Verdana"/>
          <w:sz w:val="24"/>
        </w:rPr>
        <w:t>Para efectos de la exclusión de un índice del IARVL, la SFC de acuerdo con lo establecido en el subnumeral 1.10.2.3.1.4 debe informar a partir del momento en el cual el índice dejará de ponderar dentro del IARVL. El índice a ser excluido mensualmente debe disminuir proporcionalmente su ponderación dentro del IARVL hasta llegar a 0%. El plazo máximo para la exclusión de un índice es de 6 meses; para este caso se tiene que:</w:t>
        <w:cr/>
      </w:r>
      <w:r>
        <w:cr/>
        <w:drawing>
          <wp:inline distT="0" distR="0" distB="0" distL="0">
            <wp:extent cx="1876425" cy="781050"/>
            <wp:docPr id="47" name="Drawing 47" descr="Image"/>
            <a:graphic xmlns:a="http://schemas.openxmlformats.org/drawingml/2006/main">
              <a:graphicData uri="http://schemas.openxmlformats.org/drawingml/2006/picture">
                <pic:pic xmlns:pic="http://schemas.openxmlformats.org/drawingml/2006/picture">
                  <pic:nvPicPr>
                    <pic:cNvPr id="0" name="Picture 47" descr="Image"/>
                    <pic:cNvPicPr>
                      <a:picLocks noChangeAspect="true"/>
                    </pic:cNvPicPr>
                  </pic:nvPicPr>
                  <pic:blipFill>
                    <a:blip r:embed="rId38"/>
                    <a:stretch>
                      <a:fillRect/>
                    </a:stretch>
                  </pic:blipFill>
                  <pic:spPr>
                    <a:xfrm>
                      <a:off x="0" y="0"/>
                      <a:ext cx="1876425" cy="781050"/>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Donde:</w:t>
        <w:cr/>
      </w:r>
      <w:r>
        <w:cr/>
        <w:drawing>
          <wp:inline distT="0" distR="0" distB="0" distL="0">
            <wp:extent cx="209550" cy="352425"/>
            <wp:docPr id="48" name="Drawing 48" descr="Image"/>
            <a:graphic xmlns:a="http://schemas.openxmlformats.org/drawingml/2006/main">
              <a:graphicData uri="http://schemas.openxmlformats.org/drawingml/2006/picture">
                <pic:pic xmlns:pic="http://schemas.openxmlformats.org/drawingml/2006/picture">
                  <pic:nvPicPr>
                    <pic:cNvPr id="0" name="Picture 48" descr="Image"/>
                    <pic:cNvPicPr>
                      <a:picLocks noChangeAspect="true"/>
                    </pic:cNvPicPr>
                  </pic:nvPicPr>
                  <pic:blipFill>
                    <a:blip r:embed="rId39"/>
                    <a:stretch>
                      <a:fillRect/>
                    </a:stretch>
                  </pic:blipFill>
                  <pic:spPr>
                    <a:xfrm>
                      <a:off x="0" y="0"/>
                      <a:ext cx="209550" cy="352425"/>
                    </a:xfrm>
                    <a:prstGeom prst="rect">
                      <a:avLst/>
                    </a:prstGeom>
                  </pic:spPr>
                </pic:pic>
              </a:graphicData>
            </a:graphic>
          </wp:inline>
        </w:drawing>
      </w:r>
      <w:r>
        <w:rPr>
          <w:rFonts w:ascii="Verdana" w:hAnsi="Verdana" w:cs="Verdana" w:eastAsia="Verdana"/>
          <w:sz w:val="24"/>
        </w:rPr>
        <w:t xml:space="preserve"> : reducción porcentual mensual en el ponderador del índice </w:t>
      </w:r>
      <w:r>
        <w:cr/>
        <w:drawing>
          <wp:inline distT="0" distR="0" distB="0" distL="0">
            <wp:extent cx="104775" cy="314325"/>
            <wp:docPr id="49" name="Drawing 49" descr="Image"/>
            <a:graphic xmlns:a="http://schemas.openxmlformats.org/drawingml/2006/main">
              <a:graphicData uri="http://schemas.openxmlformats.org/drawingml/2006/picture">
                <pic:pic xmlns:pic="http://schemas.openxmlformats.org/drawingml/2006/picture">
                  <pic:nvPicPr>
                    <pic:cNvPr id="0" name="Picture 49" descr="Image"/>
                    <pic:cNvPicPr>
                      <a:picLocks noChangeAspect="true"/>
                    </pic:cNvPicPr>
                  </pic:nvPicPr>
                  <pic:blipFill>
                    <a:blip r:embed="rId40"/>
                    <a:stretch>
                      <a:fillRect/>
                    </a:stretch>
                  </pic:blipFill>
                  <pic:spPr>
                    <a:xfrm>
                      <a:off x="0" y="0"/>
                      <a:ext cx="104775" cy="314325"/>
                    </a:xfrm>
                    <a:prstGeom prst="rect">
                      <a:avLst/>
                    </a:prstGeom>
                  </pic:spPr>
                </pic:pic>
              </a:graphicData>
            </a:graphic>
          </wp:inline>
        </w:drawing>
      </w:r>
      <w:r>
        <w:rPr>
          <w:rFonts w:ascii="Verdana" w:hAnsi="Verdana" w:cs="Verdana" w:eastAsia="Verdana"/>
          <w:sz w:val="24"/>
        </w:rPr>
        <w:t xml:space="preserve"> a ser excluido, en el mes </w:t>
      </w:r>
      <w:r>
        <w:cr/>
        <w:drawing>
          <wp:inline distT="0" distR="0" distB="0" distL="0">
            <wp:extent cx="123825" cy="333375"/>
            <wp:docPr id="50" name="Drawing 50" descr="Image"/>
            <a:graphic xmlns:a="http://schemas.openxmlformats.org/drawingml/2006/main">
              <a:graphicData uri="http://schemas.openxmlformats.org/drawingml/2006/picture">
                <pic:pic xmlns:pic="http://schemas.openxmlformats.org/drawingml/2006/picture">
                  <pic:nvPicPr>
                    <pic:cNvPr id="0" name="Picture 50" descr="Image"/>
                    <pic:cNvPicPr>
                      <a:picLocks noChangeAspect="true"/>
                    </pic:cNvPicPr>
                  </pic:nvPicPr>
                  <pic:blipFill>
                    <a:blip r:embed="rId41"/>
                    <a:stretch>
                      <a:fillRect/>
                    </a:stretch>
                  </pic:blipFill>
                  <pic:spPr>
                    <a:xfrm>
                      <a:off x="0" y="0"/>
                      <a:ext cx="123825" cy="33337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xml:space="preserve">Por lo tanto, la ponderación del índice </w:t>
      </w:r>
      <w:r>
        <w:cr/>
        <w:drawing>
          <wp:inline distT="0" distR="0" distB="0" distL="0">
            <wp:extent cx="104775" cy="314325"/>
            <wp:docPr id="51" name="Drawing 51" descr="Image"/>
            <a:graphic xmlns:a="http://schemas.openxmlformats.org/drawingml/2006/main">
              <a:graphicData uri="http://schemas.openxmlformats.org/drawingml/2006/picture">
                <pic:pic xmlns:pic="http://schemas.openxmlformats.org/drawingml/2006/picture">
                  <pic:nvPicPr>
                    <pic:cNvPr id="0" name="Picture 51" descr="Image"/>
                    <pic:cNvPicPr>
                      <a:picLocks noChangeAspect="true"/>
                    </pic:cNvPicPr>
                  </pic:nvPicPr>
                  <pic:blipFill>
                    <a:blip r:embed="rId40"/>
                    <a:stretch>
                      <a:fillRect/>
                    </a:stretch>
                  </pic:blipFill>
                  <pic:spPr>
                    <a:xfrm>
                      <a:off x="0" y="0"/>
                      <a:ext cx="104775" cy="314325"/>
                    </a:xfrm>
                    <a:prstGeom prst="rect">
                      <a:avLst/>
                    </a:prstGeom>
                  </pic:spPr>
                </pic:pic>
              </a:graphicData>
            </a:graphic>
          </wp:inline>
        </w:drawing>
      </w:r>
      <w:r>
        <w:rPr>
          <w:rFonts w:ascii="Verdana" w:hAnsi="Verdana" w:cs="Verdana" w:eastAsia="Verdana"/>
          <w:sz w:val="24"/>
        </w:rPr>
        <w:t xml:space="preserve"> a ser excluido en el mes  </w:t>
      </w:r>
      <w:r>
        <w:cr/>
        <w:drawing>
          <wp:inline distT="0" distR="0" distB="0" distL="0">
            <wp:extent cx="123825" cy="333375"/>
            <wp:docPr id="52" name="Drawing 52" descr="Image"/>
            <a:graphic xmlns:a="http://schemas.openxmlformats.org/drawingml/2006/main">
              <a:graphicData uri="http://schemas.openxmlformats.org/drawingml/2006/picture">
                <pic:pic xmlns:pic="http://schemas.openxmlformats.org/drawingml/2006/picture">
                  <pic:nvPicPr>
                    <pic:cNvPr id="0" name="Picture 52" descr="Image"/>
                    <pic:cNvPicPr>
                      <a:picLocks noChangeAspect="true"/>
                    </pic:cNvPicPr>
                  </pic:nvPicPr>
                  <pic:blipFill>
                    <a:blip r:embed="rId41"/>
                    <a:stretch>
                      <a:fillRect/>
                    </a:stretch>
                  </pic:blipFill>
                  <pic:spPr>
                    <a:xfrm>
                      <a:off x="0" y="0"/>
                      <a:ext cx="123825" cy="333375"/>
                    </a:xfrm>
                    <a:prstGeom prst="rect">
                      <a:avLst/>
                    </a:prstGeom>
                  </pic:spPr>
                </pic:pic>
              </a:graphicData>
            </a:graphic>
          </wp:inline>
        </w:drawing>
      </w:r>
      <w:r>
        <w:rPr>
          <w:rFonts w:ascii="Verdana" w:hAnsi="Verdana" w:cs="Verdana" w:eastAsia="Verdana"/>
          <w:sz w:val="24"/>
        </w:rPr>
        <w:t xml:space="preserve"> está dada por:</w:t>
        <w:cr/>
      </w:r>
      <w:r>
        <w:cr/>
        <w:drawing>
          <wp:inline distT="0" distR="0" distB="0" distL="0">
            <wp:extent cx="1828800" cy="514350"/>
            <wp:docPr id="53" name="Drawing 53" descr="Image"/>
            <a:graphic xmlns:a="http://schemas.openxmlformats.org/drawingml/2006/main">
              <a:graphicData uri="http://schemas.openxmlformats.org/drawingml/2006/picture">
                <pic:pic xmlns:pic="http://schemas.openxmlformats.org/drawingml/2006/picture">
                  <pic:nvPicPr>
                    <pic:cNvPr id="0" name="Picture 53" descr="Image"/>
                    <pic:cNvPicPr>
                      <a:picLocks noChangeAspect="true"/>
                    </pic:cNvPicPr>
                  </pic:nvPicPr>
                  <pic:blipFill>
                    <a:blip r:embed="rId42"/>
                    <a:stretch>
                      <a:fillRect/>
                    </a:stretch>
                  </pic:blipFill>
                  <pic:spPr>
                    <a:xfrm>
                      <a:off x="0" y="0"/>
                      <a:ext cx="1828800" cy="514350"/>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 xml:space="preserve">Para el mes </w:t>
      </w:r>
      <w:r>
        <w:cr/>
        <w:drawing>
          <wp:inline distT="0" distR="0" distB="0" distL="0">
            <wp:extent cx="123825" cy="352425"/>
            <wp:docPr id="54" name="Drawing 54" descr="Image"/>
            <a:graphic xmlns:a="http://schemas.openxmlformats.org/drawingml/2006/main">
              <a:graphicData uri="http://schemas.openxmlformats.org/drawingml/2006/picture">
                <pic:pic xmlns:pic="http://schemas.openxmlformats.org/drawingml/2006/picture">
                  <pic:nvPicPr>
                    <pic:cNvPr id="0" name="Picture 54" descr="Image"/>
                    <pic:cNvPicPr>
                      <a:picLocks noChangeAspect="true"/>
                    </pic:cNvPicPr>
                  </pic:nvPicPr>
                  <pic:blipFill>
                    <a:blip r:embed="rId43"/>
                    <a:stretch>
                      <a:fillRect/>
                    </a:stretch>
                  </pic:blipFill>
                  <pic:spPr>
                    <a:xfrm>
                      <a:off x="0" y="0"/>
                      <a:ext cx="123825" cy="352425"/>
                    </a:xfrm>
                    <a:prstGeom prst="rect">
                      <a:avLst/>
                    </a:prstGeom>
                  </pic:spPr>
                </pic:pic>
              </a:graphicData>
            </a:graphic>
          </wp:inline>
        </w:drawing>
      </w:r>
      <w:r>
        <w:rPr>
          <w:rFonts w:ascii="Verdana" w:hAnsi="Verdana" w:cs="Verdana" w:eastAsia="Verdana"/>
          <w:sz w:val="24"/>
        </w:rPr>
        <w:t xml:space="preserve">, el porcentaje que mensualmente reduce su participación el índice a ser excluido debe ser distribuido proporcionalmente </w:t>
      </w:r>
      <w:r>
        <w:cr/>
        <w:drawing>
          <wp:inline distT="0" distR="0" distB="0" distL="0">
            <wp:extent cx="247650" cy="238125"/>
            <wp:docPr id="55" name="Drawing 55" descr="Image"/>
            <a:graphic xmlns:a="http://schemas.openxmlformats.org/drawingml/2006/main">
              <a:graphicData uri="http://schemas.openxmlformats.org/drawingml/2006/picture">
                <pic:pic xmlns:pic="http://schemas.openxmlformats.org/drawingml/2006/picture">
                  <pic:nvPicPr>
                    <pic:cNvPr id="0" name="Picture 55" descr="Image"/>
                    <pic:cNvPicPr>
                      <a:picLocks noChangeAspect="true"/>
                    </pic:cNvPicPr>
                  </pic:nvPicPr>
                  <pic:blipFill>
                    <a:blip r:embed="rId44"/>
                    <a:stretch>
                      <a:fillRect/>
                    </a:stretch>
                  </pic:blipFill>
                  <pic:spPr>
                    <a:xfrm>
                      <a:off x="0" y="0"/>
                      <a:ext cx="247650" cy="238125"/>
                    </a:xfrm>
                    <a:prstGeom prst="rect">
                      <a:avLst/>
                    </a:prstGeom>
                  </pic:spPr>
                </pic:pic>
              </a:graphicData>
            </a:graphic>
          </wp:inline>
        </w:drawing>
      </w:r>
      <w:r>
        <w:rPr>
          <w:rFonts w:ascii="Verdana" w:hAnsi="Verdana" w:cs="Verdana" w:eastAsia="Verdana"/>
          <w:sz w:val="24"/>
        </w:rPr>
        <w:t> entre los demás índices que hagan parte del IARVL, teniendo en cuenta la ponderación relativa entre ellos, en el mes inmediatamente anterior al evento de exclusión, de tal forma que, durante los meses del período de exclusión, el ponderador para los índices que se mantienen en el IARLV está dado por:</w:t>
        <w:cr/>
      </w:r>
      <w:r>
        <w:cr/>
        <w:drawing>
          <wp:inline distT="0" distR="0" distB="0" distL="0">
            <wp:extent cx="2028825" cy="523875"/>
            <wp:docPr id="56" name="Drawing 56" descr="Image"/>
            <a:graphic xmlns:a="http://schemas.openxmlformats.org/drawingml/2006/main">
              <a:graphicData uri="http://schemas.openxmlformats.org/drawingml/2006/picture">
                <pic:pic xmlns:pic="http://schemas.openxmlformats.org/drawingml/2006/picture">
                  <pic:nvPicPr>
                    <pic:cNvPr id="0" name="Picture 56" descr="Image"/>
                    <pic:cNvPicPr>
                      <a:picLocks noChangeAspect="true"/>
                    </pic:cNvPicPr>
                  </pic:nvPicPr>
                  <pic:blipFill>
                    <a:blip r:embed="rId45"/>
                    <a:stretch>
                      <a:fillRect/>
                    </a:stretch>
                  </pic:blipFill>
                  <pic:spPr>
                    <a:xfrm>
                      <a:off x="0" y="0"/>
                      <a:ext cx="2028825" cy="52387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Finalizado el periodo de exclusión, las ponderaciones de estos índices deben calcularse de acuerdo con lo establecido en el subnumeral 1.10.2.3.2.2.</w:t>
        <w:cr/>
      </w:r>
    </w:p>
    <w:sectPr>
      <w:headerReference w:type="default" r:id="rId2"/>
      <w:footerReference w:type="default" r:id="rId46"/>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III. Capítulo III: Disposiciones especiales aplicables a la administración de fondos de cesantías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10" Target="media/image9.png" Type="http://schemas.openxmlformats.org/officeDocument/2006/relationships/image"/><Relationship Id="rId11" Target="media/image10.png" Type="http://schemas.openxmlformats.org/officeDocument/2006/relationships/image"/><Relationship Id="rId12" Target="media/image11.png" Type="http://schemas.openxmlformats.org/officeDocument/2006/relationships/image"/><Relationship Id="rId13" Target="media/image12.png" Type="http://schemas.openxmlformats.org/officeDocument/2006/relationships/image"/><Relationship Id="rId14" Target="media/image13.png" Type="http://schemas.openxmlformats.org/officeDocument/2006/relationships/image"/><Relationship Id="rId15" Target="media/image14.png" Type="http://schemas.openxmlformats.org/officeDocument/2006/relationships/image"/><Relationship Id="rId16" Target="media/image15.png" Type="http://schemas.openxmlformats.org/officeDocument/2006/relationships/image"/><Relationship Id="rId17" Target="media/image16.png" Type="http://schemas.openxmlformats.org/officeDocument/2006/relationships/image"/><Relationship Id="rId18" Target="media/image17.png" Type="http://schemas.openxmlformats.org/officeDocument/2006/relationships/image"/><Relationship Id="rId19" Target="media/image18.png" Type="http://schemas.openxmlformats.org/officeDocument/2006/relationships/image"/><Relationship Id="rId2" Target="header1.xml" Type="http://schemas.openxmlformats.org/officeDocument/2006/relationships/header"/><Relationship Id="rId20" Target="media/image19.png" Type="http://schemas.openxmlformats.org/officeDocument/2006/relationships/image"/><Relationship Id="rId21" Target="media/image20.png" Type="http://schemas.openxmlformats.org/officeDocument/2006/relationships/image"/><Relationship Id="rId22" Target="media/image21.png" Type="http://schemas.openxmlformats.org/officeDocument/2006/relationships/image"/><Relationship Id="rId23" Target="media/image22.png" Type="http://schemas.openxmlformats.org/officeDocument/2006/relationships/image"/><Relationship Id="rId24" Target="media/image23.png" Type="http://schemas.openxmlformats.org/officeDocument/2006/relationships/image"/><Relationship Id="rId25" Target="media/image24.png" Type="http://schemas.openxmlformats.org/officeDocument/2006/relationships/image"/><Relationship Id="rId26" Target="media/image25.png" Type="http://schemas.openxmlformats.org/officeDocument/2006/relationships/image"/><Relationship Id="rId27" Target="media/image26.png" Type="http://schemas.openxmlformats.org/officeDocument/2006/relationships/image"/><Relationship Id="rId28" Target="media/image27.png" Type="http://schemas.openxmlformats.org/officeDocument/2006/relationships/image"/><Relationship Id="rId29" Target="media/image28.png" Type="http://schemas.openxmlformats.org/officeDocument/2006/relationships/image"/><Relationship Id="rId3" Target="media/image2.png" Type="http://schemas.openxmlformats.org/officeDocument/2006/relationships/image"/><Relationship Id="rId30" Target="media/image29.png" Type="http://schemas.openxmlformats.org/officeDocument/2006/relationships/image"/><Relationship Id="rId31" Target="media/image30.png" Type="http://schemas.openxmlformats.org/officeDocument/2006/relationships/image"/><Relationship Id="rId32" Target="media/image31.png" Type="http://schemas.openxmlformats.org/officeDocument/2006/relationships/image"/><Relationship Id="rId33" Target="media/image32.png" Type="http://schemas.openxmlformats.org/officeDocument/2006/relationships/image"/><Relationship Id="rId34" Target="media/image33.png" Type="http://schemas.openxmlformats.org/officeDocument/2006/relationships/image"/><Relationship Id="rId35" Target="media/image34.png" Type="http://schemas.openxmlformats.org/officeDocument/2006/relationships/image"/><Relationship Id="rId36" Target="media/image35.png" Type="http://schemas.openxmlformats.org/officeDocument/2006/relationships/image"/><Relationship Id="rId37" Target="media/image36.png" Type="http://schemas.openxmlformats.org/officeDocument/2006/relationships/image"/><Relationship Id="rId38" Target="media/image37.png" Type="http://schemas.openxmlformats.org/officeDocument/2006/relationships/image"/><Relationship Id="rId39" Target="media/image38.png" Type="http://schemas.openxmlformats.org/officeDocument/2006/relationships/image"/><Relationship Id="rId4" Target="media/image3.png" Type="http://schemas.openxmlformats.org/officeDocument/2006/relationships/image"/><Relationship Id="rId40" Target="media/image39.png" Type="http://schemas.openxmlformats.org/officeDocument/2006/relationships/image"/><Relationship Id="rId41" Target="media/image40.png" Type="http://schemas.openxmlformats.org/officeDocument/2006/relationships/image"/><Relationship Id="rId42" Target="media/image41.png" Type="http://schemas.openxmlformats.org/officeDocument/2006/relationships/image"/><Relationship Id="rId43" Target="media/image42.png" Type="http://schemas.openxmlformats.org/officeDocument/2006/relationships/image"/><Relationship Id="rId44" Target="media/image43.png" Type="http://schemas.openxmlformats.org/officeDocument/2006/relationships/image"/><Relationship Id="rId45" Target="media/image44.png" Type="http://schemas.openxmlformats.org/officeDocument/2006/relationships/image"/><Relationship Id="rId46" Target="footer1.xml" Type="http://schemas.openxmlformats.org/officeDocument/2006/relationships/footer"/><Relationship Id="rId5" Target="media/image4.png" Type="http://schemas.openxmlformats.org/officeDocument/2006/relationships/image"/><Relationship Id="rId6" Target="media/image5.png" Type="http://schemas.openxmlformats.org/officeDocument/2006/relationships/image"/><Relationship Id="rId7" Target="media/image6.png" Type="http://schemas.openxmlformats.org/officeDocument/2006/relationships/image"/><Relationship Id="rId8" Target="media/image7.png" Type="http://schemas.openxmlformats.org/officeDocument/2006/relationships/image"/><Relationship Id="rId9" Target="media/image8.png" Type="http://schemas.openxmlformats.org/officeDocument/2006/relationships/image"/></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2025-07-03T14:27:09Z</dcterms:created>
  <dc:creator>Apache POI</dc:creator>
</cp:coreProperties>
</file>