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 Instrucciones generales relativas a las operaciones de los establecimientos de crédito</w:t>
      </w:r>
    </w:p>
    <w:p>
      <w:pPr>
        <w:jc w:val="center"/>
      </w:pPr>
      <w:r>
        <w:rPr>
          <w:rFonts w:ascii="Verdana" w:hAnsi="Verdana" w:cs="Verdana" w:eastAsia="Verdana"/>
          <w:sz w:val="24"/>
          <w:b w:val="on"/>
        </w:rPr>
        <w:t>Capítulo IV. Disposiciones especiales aplicables a las operaciones exclusivas de los establecimientos bancarios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Cuentas corrientes</w:t>
      </w:r>
    </w:p>
    <w:p>
      <w:pPr>
        <w:jc w:val="left"/>
      </w:pPr>
      <w:r>
        <w:rPr>
          <w:rFonts w:ascii="Verdana" w:hAnsi="Verdana" w:cs="Verdana" w:eastAsia="Verdana"/>
          <w:sz w:val="24"/>
          <w:b w:val="on"/>
        </w:rPr>
        <w:t>1.1. Apertura</w:t>
      </w:r>
    </w:p>
    <w:p>
      <w:pPr>
        <w:jc w:val="both"/>
      </w:pPr>
    </w:p>
    <w:p>
      <w:pPr>
        <w:jc w:val="left"/>
      </w:pPr>
      <w:r>
        <w:rPr>
          <w:rFonts w:ascii="Verdana" w:hAnsi="Verdana" w:cs="Verdana" w:eastAsia="Verdana"/>
          <w:sz w:val="24"/>
          <w:b w:val="on"/>
        </w:rPr>
        <w:t>1.1.1. Con entidades públicas</w:t>
      </w:r>
    </w:p>
    <w:p>
      <w:pPr>
        <w:jc w:val="both"/>
      </w:pPr>
      <w:r>
        <w:rPr>
          <w:rFonts w:ascii="Verdana" w:hAnsi="Verdana" w:cs="Verdana" w:eastAsia="Verdana"/>
          <w:sz w:val="24"/>
        </w:rPr>
        <w:t>Los establecimientos bancarios, en el proceso de apertura y mantenimiento de cuentas corrientes con las entidades públicas a las que se refieren los artículos 38, 39, 40 y 68 de la Ley 489 de 1998, deben tener en cuenta el cumplimiento de los requisitos establecidos en la Ley 1 de 1980, así como los demás requisitos previstos en la normativa aplicable.</w:t>
        <w:cr/>
      </w:r>
      <w:r>
        <w:rPr>
          <w:rFonts w:ascii="Verdana" w:hAnsi="Verdana" w:cs="Verdana" w:eastAsia="Verdana"/>
          <w:sz w:val="24"/>
        </w:rPr>
        <w:t/>
        <w:cr/>
      </w:r>
      <w:r>
        <w:rPr>
          <w:rFonts w:ascii="Verdana" w:hAnsi="Verdana" w:cs="Verdana" w:eastAsia="Verdana"/>
          <w:sz w:val="24"/>
        </w:rPr>
        <w:t>Para tal efecto, la apertura de cuentas corrientes a nombre de estas entidades debe ser autorizada por un representante legal del establecimiento bancario o por la persona delegada por un representante legal para tales efectos, previo el cumplimiento de los requisitos señalados en el artículo 3 de la misma Ley 1 de 1980.</w:t>
        <w:cr/>
      </w:r>
    </w:p>
    <w:p>
      <w:pPr>
        <w:jc w:val="left"/>
      </w:pPr>
      <w:r>
        <w:rPr>
          <w:rFonts w:ascii="Verdana" w:hAnsi="Verdana" w:cs="Verdana" w:eastAsia="Verdana"/>
          <w:sz w:val="24"/>
          <w:b w:val="on"/>
        </w:rPr>
        <w:t>1.1.2. Con entidades que manejan recursos del presupuesto nacional</w:t>
      </w:r>
    </w:p>
    <w:p>
      <w:pPr>
        <w:jc w:val="both"/>
      </w:pPr>
      <w:r>
        <w:rPr>
          <w:rFonts w:ascii="Verdana" w:hAnsi="Verdana" w:cs="Verdana" w:eastAsia="Verdana"/>
          <w:sz w:val="24"/>
        </w:rPr>
        <w:t>Las entidades vigiladas a través de las cuales se administren recursos del presupuesto nacional deben cumplir con los trámites y procedimientos que para el efecto defina la Dirección General del Crédito Público y del Tesoro Nacional en el instructivo de apertura – terminación- y sustitución de cuentas, de conformidad con lo establecido en la normativa aplicable.</w:t>
        <w:cr/>
      </w:r>
      <w:r>
        <w:rPr>
          <w:rFonts w:ascii="Verdana" w:hAnsi="Verdana" w:cs="Verdana" w:eastAsia="Verdana"/>
          <w:sz w:val="24"/>
        </w:rPr>
        <w:t/>
        <w:cr/>
      </w:r>
      <w:r>
        <w:rPr>
          <w:rFonts w:ascii="Verdana" w:hAnsi="Verdana" w:cs="Verdana" w:eastAsia="Verdana"/>
          <w:sz w:val="24"/>
        </w:rPr>
        <w:t>En desarrollo de los citados procedimientos, corresponde a los establecimientos bancarios efectuar un reporte a la Dirección General de Crédito Público y al Tesoro Nacional con la información de las cuentas corrientes o de ahorros que manejan dineros del presupuesto nacional. Dichos reportes deben contener: saldo inicial, valor total de los débitos, valor total de los créditos y el saldo promedio mensual calculado con base diaria y saldo final. Se debe reportar la información del mes inmediatamente anterior, dentro de los 5 primeros días de cada mes y debe ser transmitida en medio magnético de acuerdo con las especificaciones técnicas que se detallan en el formato diseñado para tal fin.</w:t>
        <w:cr/>
      </w:r>
      <w:r>
        <w:rPr>
          <w:rFonts w:ascii="Verdana" w:hAnsi="Verdana" w:cs="Verdana" w:eastAsia="Verdana"/>
          <w:sz w:val="24"/>
        </w:rPr>
        <w:t/>
        <w:cr/>
      </w:r>
      <w:r>
        <w:rPr>
          <w:rFonts w:ascii="Verdana" w:hAnsi="Verdana" w:cs="Verdana" w:eastAsia="Verdana"/>
          <w:sz w:val="24"/>
        </w:rPr>
        <w:t>La Dirección del Tesoro Nacional podrá solicitar información sobre cuentas corrientes y/o de ahorro que manejen recursos de la Nación, con las características que se especifique cuando dicha instancia lo considere necesario.</w:t>
        <w:cr/>
      </w:r>
    </w:p>
    <w:p>
      <w:pPr>
        <w:jc w:val="left"/>
      </w:pPr>
      <w:r>
        <w:rPr>
          <w:rFonts w:ascii="Verdana" w:hAnsi="Verdana" w:cs="Verdana" w:eastAsia="Verdana"/>
          <w:sz w:val="24"/>
          <w:b w:val="on"/>
        </w:rPr>
        <w:t>1.2. Prohibiciones y limitaciones</w:t>
      </w:r>
    </w:p>
    <w:p>
      <w:pPr>
        <w:jc w:val="left"/>
      </w:pPr>
      <w:r>
        <w:rPr>
          <w:rFonts w:ascii="Verdana" w:hAnsi="Verdana" w:cs="Verdana" w:eastAsia="Verdana"/>
          <w:sz w:val="24"/>
          <w:b w:val="on"/>
        </w:rPr>
        <w:t>1.2.1. Apertura de cuentas corrientes a nombre de establecimientos de comercio</w:t>
      </w:r>
    </w:p>
    <w:p>
      <w:pPr>
        <w:jc w:val="both"/>
      </w:pPr>
      <w:r>
        <w:rPr>
          <w:rFonts w:ascii="Verdana" w:hAnsi="Verdana" w:cs="Verdana" w:eastAsia="Verdana"/>
          <w:sz w:val="24"/>
        </w:rPr>
        <w:t>Dada la naturaleza de bien mercantil que tienen los establecimientos de comercio, no es jurídicamente viable la apertura de cuentas corrientes bancarias a su nombre, pues en sí mismos no tienen personalidad jurídica y por tanto no son sujetos de derechos y obligaciones.</w:t>
        <w:cr/>
      </w:r>
      <w:r>
        <w:rPr>
          <w:rFonts w:ascii="Verdana" w:hAnsi="Verdana" w:cs="Verdana" w:eastAsia="Verdana"/>
          <w:sz w:val="24"/>
        </w:rPr>
        <w:t> </w:t>
        <w:cr/>
      </w:r>
      <w:r>
        <w:rPr>
          <w:rFonts w:ascii="Verdana" w:hAnsi="Verdana" w:cs="Verdana" w:eastAsia="Verdana"/>
          <w:sz w:val="24"/>
        </w:rPr>
        <w:t>Sin embargo, los títulos-valores expedidos a favor de un establecimiento de comercio se consideran títulos al portador, es decir títulos expedidos a favor de sujeto indeterminado, y por tanto, deben ser recibidos y cancelados a quien los tenga; independientemente de que jurídicamente el sujeto a quien esté emitido no exista, sea una supuesta persona o su nombre no corresponda a persona alguna</w:t>
        <w:cr/>
      </w:r>
    </w:p>
    <w:p>
      <w:pPr>
        <w:jc w:val="left"/>
      </w:pPr>
      <w:r>
        <w:rPr>
          <w:rFonts w:ascii="Verdana" w:hAnsi="Verdana" w:cs="Verdana" w:eastAsia="Verdana"/>
          <w:sz w:val="24"/>
          <w:b w:val="on"/>
        </w:rPr>
        <w:t>1.2.2. Sostenimiento de saldos mínimos y cobro de cuota de manejo</w:t>
      </w:r>
    </w:p>
    <w:p>
      <w:pPr>
        <w:jc w:val="both"/>
      </w:pPr>
      <w:r>
        <w:rPr>
          <w:rFonts w:ascii="Verdana" w:hAnsi="Verdana" w:cs="Verdana" w:eastAsia="Verdana"/>
          <w:sz w:val="24"/>
        </w:rPr>
        <w:t>No se considera viable jurídicamente la imposición de exigencias relativas al mantenimiento de saldos mínimos promedios en las cuentas corrientes de los clientes de los bancos, como requisito para mantenerlas vigentes.</w:t>
        <w:cr/>
      </w:r>
      <w:r>
        <w:rPr>
          <w:rFonts w:ascii="Verdana" w:hAnsi="Verdana" w:cs="Verdana" w:eastAsia="Verdana"/>
          <w:sz w:val="24"/>
        </w:rPr>
        <w:t/>
        <w:cr/>
      </w:r>
      <w:r>
        <w:rPr>
          <w:rFonts w:ascii="Verdana" w:hAnsi="Verdana" w:cs="Verdana" w:eastAsia="Verdana"/>
          <w:sz w:val="24"/>
        </w:rPr>
        <w:t>En el mismo sentido, se considera que contraría normas de orden público la imposición de manera unilateral, de cláusulas que obliguen a pagar una suma determinada de dinero por concepto de cuota de manejo de la cuenta corriente, cuando el promedio de la misma sea inferior a una determinada suma, pues ello constituye una forma de imponer limitaciones a los saldos de depósitos en cuenta corriente.</w:t>
        <w:cr/>
      </w:r>
    </w:p>
    <w:p>
      <w:pPr>
        <w:jc w:val="left"/>
      </w:pPr>
      <w:r>
        <w:rPr>
          <w:rFonts w:ascii="Verdana" w:hAnsi="Verdana" w:cs="Verdana" w:eastAsia="Verdana"/>
          <w:sz w:val="24"/>
          <w:b w:val="on"/>
        </w:rPr>
        <w:t>1.2.3. Cobro de multa por cheques devueltos por fondos insuficientes</w:t>
      </w:r>
    </w:p>
    <w:p>
      <w:pPr>
        <w:jc w:val="both"/>
      </w:pPr>
      <w:r>
        <w:rPr>
          <w:rFonts w:ascii="Verdana" w:hAnsi="Verdana" w:cs="Verdana" w:eastAsia="Verdana"/>
          <w:sz w:val="24"/>
        </w:rPr>
        <w:t>Sin perjuicio de la posición que ostente el banco en las relaciones originadas en el contrato de cuenta corriente, y las obligaciones y responsabilidades que se derivan de esa relación contractual, los establecimientos bancarios deben abstenerse de cobrar sumas de dinero por cada devolución de cheques originada en la causal "fondos insuficientes” con cargo a las cuentas de sus clientes por cheques presentados y devueltos por esa causal.</w:t>
        <w:cr/>
      </w:r>
      <w:r>
        <w:rPr>
          <w:rFonts w:ascii="Verdana" w:hAnsi="Verdana" w:cs="Verdana" w:eastAsia="Verdana"/>
          <w:sz w:val="24"/>
        </w:rPr>
        <w:t/>
        <w:cr/>
      </w:r>
      <w:r>
        <w:rPr>
          <w:rFonts w:ascii="Verdana" w:hAnsi="Verdana" w:cs="Verdana" w:eastAsia="Verdana"/>
          <w:sz w:val="24"/>
        </w:rPr>
        <w:t>Para tal efecto, las entidades pueden adoptar políticas unilaterales de mal manejo de sus productos, que conlleven a la terminación del contrato, y si es del caso, proceder a la cancelación de la cuenta.</w:t>
        <w:cr/>
      </w:r>
    </w:p>
    <w:p>
      <w:pPr>
        <w:jc w:val="left"/>
      </w:pPr>
      <w:r>
        <w:rPr>
          <w:rFonts w:ascii="Verdana" w:hAnsi="Verdana" w:cs="Verdana" w:eastAsia="Verdana"/>
          <w:sz w:val="24"/>
          <w:b w:val="on"/>
        </w:rPr>
        <w:t>1.2.4. Celebración de convenios para tramitar órdenes de pago</w:t>
      </w:r>
    </w:p>
    <w:p>
      <w:pPr>
        <w:jc w:val="both"/>
      </w:pPr>
      <w:r>
        <w:rPr>
          <w:rFonts w:ascii="Verdana" w:hAnsi="Verdana" w:cs="Verdana" w:eastAsia="Verdana"/>
          <w:sz w:val="24"/>
        </w:rPr>
        <w:t>Los depósitos que en virtud del contrato de depósito se realicen en las cuentas corrientes de los bancos, deben realizarse exclusivamente con sumas de dinero y cheques de establecimientos bancarios. En tal sentido, los bancos deben abstenerse de celebrar convenios con las cooperativas de ahorro y crédito para recibir como títulos valores documentos emitidos por ellas para facilitar a sus clientes el manejo de su ahorro, así como llevarlos a canje en el Banco de la República.</w:t>
        <w:cr/>
      </w:r>
    </w:p>
    <w:p>
      <w:pPr>
        <w:jc w:val="left"/>
      </w:pPr>
      <w:r>
        <w:rPr>
          <w:rFonts w:ascii="Verdana" w:hAnsi="Verdana" w:cs="Verdana" w:eastAsia="Verdana"/>
          <w:sz w:val="24"/>
          <w:b w:val="on"/>
        </w:rPr>
        <w:t>1.3. Sobregiro en cuenta corriente</w:t>
      </w:r>
    </w:p>
    <w:p>
      <w:pPr>
        <w:jc w:val="both"/>
      </w:pPr>
      <w:r>
        <w:rPr>
          <w:rFonts w:ascii="Verdana" w:hAnsi="Verdana" w:cs="Verdana" w:eastAsia="Verdana"/>
          <w:sz w:val="24"/>
        </w:rPr>
        <w:t>Acorde con la autorización contemplada a los establecimientos bancarios para que paguen cheques al descubierto (Estatuto Orgánico del Sistema Financiero (EOSF), artículo 125), es viable que éstos pueden pactar con el cuentacorrentista un plazo para el pago de los sobregiros pagando intereses remuneratorios y moratorios. En todo caso, una y otra estipulación debe constar por escrito, sin que se requiera hacerlo para cada utilización.</w:t>
        <w:cr/>
      </w:r>
      <w:r>
        <w:rPr>
          <w:rFonts w:ascii="Verdana" w:hAnsi="Verdana" w:cs="Verdana" w:eastAsia="Verdana"/>
          <w:sz w:val="24"/>
        </w:rPr>
        <w:t/>
        <w:cr/>
      </w:r>
      <w:r>
        <w:rPr>
          <w:rFonts w:ascii="Verdana" w:hAnsi="Verdana" w:cs="Verdana" w:eastAsia="Verdana"/>
          <w:sz w:val="24"/>
        </w:rPr>
        <w:t>En todo caso el banco: i) no está legalmente obligado a pagar si no hay provisión de fondos por parte del girador y ii) por la concesión del sobregiro, no puede cobrar comisión, esto es, remuneración por un servicio hecho al girador, sino intereses, o sea la remuneración normal que corresponde al préstamo de dinero.</w:t>
        <w:cr/>
      </w:r>
    </w:p>
    <w:p>
      <w:pPr>
        <w:jc w:val="left"/>
      </w:pPr>
      <w:r>
        <w:rPr>
          <w:rFonts w:ascii="Verdana" w:hAnsi="Verdana" w:cs="Verdana" w:eastAsia="Verdana"/>
          <w:sz w:val="24"/>
          <w:b w:val="on"/>
        </w:rPr>
        <w:t>1.3.1. Prohibiciones para incrementar y producir sobregiros</w:t>
      </w:r>
    </w:p>
    <w:p>
      <w:pPr>
        <w:jc w:val="both"/>
      </w:pPr>
      <w:r>
        <w:rPr>
          <w:rFonts w:ascii="Verdana" w:hAnsi="Verdana" w:cs="Verdana" w:eastAsia="Verdana"/>
          <w:sz w:val="24"/>
        </w:rPr>
        <w:t>Los sobregiros o descubiertos no pueden incrementarse ni producirse, en los siguientes casos:</w:t>
        <w:cr/>
      </w:r>
      <w:r>
        <w:rPr>
          <w:rFonts w:ascii="Verdana" w:hAnsi="Verdana" w:cs="Verdana" w:eastAsia="Verdana"/>
          <w:sz w:val="24"/>
        </w:rPr>
        <w:t/>
        <w:cr/>
      </w:r>
      <w:r>
        <w:rPr>
          <w:rFonts w:ascii="Verdana" w:hAnsi="Verdana" w:cs="Verdana" w:eastAsia="Verdana"/>
          <w:sz w:val="24"/>
        </w:rPr>
        <w:t xml:space="preserve">i.	Por cargos a la cuenta por concepto de remesas negociadas extraviadas. </w:t>
        <w:cr/>
      </w:r>
      <w:r>
        <w:rPr>
          <w:rFonts w:ascii="Verdana" w:hAnsi="Verdana" w:cs="Verdana" w:eastAsia="Verdana"/>
          <w:sz w:val="24"/>
        </w:rPr>
        <w:t/>
        <w:cr/>
      </w:r>
      <w:r>
        <w:rPr>
          <w:rFonts w:ascii="Verdana" w:hAnsi="Verdana" w:cs="Verdana" w:eastAsia="Verdana"/>
          <w:sz w:val="24"/>
        </w:rPr>
        <w:t xml:space="preserve">ii.	Por cargos a la cuenta por concepto de cheques extraviados en el canje.	</w:t>
        <w:cr/>
      </w:r>
      <w:r>
        <w:rPr>
          <w:rFonts w:ascii="Verdana" w:hAnsi="Verdana" w:cs="Verdana" w:eastAsia="Verdana"/>
          <w:sz w:val="24"/>
        </w:rPr>
        <w:t/>
        <w:cr/>
      </w:r>
      <w:r>
        <w:rPr>
          <w:rFonts w:ascii="Verdana" w:hAnsi="Verdana" w:cs="Verdana" w:eastAsia="Verdana"/>
          <w:sz w:val="24"/>
        </w:rPr>
        <w:t>iii. Por cargos a la cuenta provenientes de las prefinanciaciones o financiaciones para futuras exportaciones, cartas de crédito utilizadas, abonos o cancelación de obligaciones de cartera; ni por intereses, comisiones y demás gastos causados por las operaciones antes citadas.</w:t>
        <w:cr/>
      </w:r>
      <w:r>
        <w:rPr>
          <w:rFonts w:ascii="Verdana" w:hAnsi="Verdana" w:cs="Verdana" w:eastAsia="Verdana"/>
          <w:sz w:val="24"/>
        </w:rPr>
        <w:t/>
        <w:cr/>
      </w:r>
      <w:r>
        <w:rPr>
          <w:rFonts w:ascii="Verdana" w:hAnsi="Verdana" w:cs="Verdana" w:eastAsia="Verdana"/>
          <w:sz w:val="24"/>
        </w:rPr>
        <w:t>iv. Por cargos de comisiones o intereses por devoluciones de cheques impagados.</w:t>
        <w:cr/>
      </w:r>
    </w:p>
    <w:p>
      <w:pPr>
        <w:jc w:val="left"/>
      </w:pPr>
      <w:r>
        <w:rPr>
          <w:rFonts w:ascii="Verdana" w:hAnsi="Verdana" w:cs="Verdana" w:eastAsia="Verdana"/>
          <w:sz w:val="24"/>
          <w:b w:val="on"/>
        </w:rPr>
        <w:t>1.4. Formularios de cheques</w:t>
      </w:r>
    </w:p>
    <w:p>
      <w:pPr>
        <w:jc w:val="both"/>
      </w:pPr>
      <w:r>
        <w:rPr>
          <w:rFonts w:ascii="Verdana" w:hAnsi="Verdana" w:cs="Verdana" w:eastAsia="Verdana"/>
          <w:sz w:val="24"/>
        </w:rPr>
        <w:t>Los títulos representativos de los cheques deben ser librados en formularios elaborados o autorizados por los bancos. En tal virtud, dichos formularios deben ser impresos por los bancos bajo su responsabilidad y contener necesariamente el nombre del banco librado y una numeración consecutiva que permita identificarlos plenamente.</w:t>
        <w:cr/>
      </w:r>
      <w:r>
        <w:rPr>
          <w:rFonts w:ascii="Verdana" w:hAnsi="Verdana" w:cs="Verdana" w:eastAsia="Verdana"/>
          <w:sz w:val="24"/>
        </w:rPr>
        <w:t/>
        <w:cr/>
      </w:r>
      <w:r>
        <w:rPr>
          <w:rFonts w:ascii="Verdana" w:hAnsi="Verdana" w:cs="Verdana" w:eastAsia="Verdana"/>
          <w:sz w:val="24"/>
        </w:rPr>
        <w:t>Excepcionalmente, cuando los bancos autoricen a sus clientes para elaborar formularios especiales de cheques, debe suscribirse un documento en el que consten claramente las obligaciones que se generan para el cuentacorrentista, los requisitos y factores de seguridad que deben llenar los instrumentos y particularmente, la necesidad de incluir en la impresión el nombre del librado y el número de identificación de los cheques.</w:t>
        <w:cr/>
      </w:r>
      <w:r>
        <w:rPr>
          <w:rFonts w:ascii="Verdana" w:hAnsi="Verdana" w:cs="Verdana" w:eastAsia="Verdana"/>
          <w:sz w:val="24"/>
        </w:rPr>
        <w:t/>
        <w:cr/>
      </w:r>
      <w:r>
        <w:rPr>
          <w:rFonts w:ascii="Verdana" w:hAnsi="Verdana" w:cs="Verdana" w:eastAsia="Verdana"/>
          <w:sz w:val="24"/>
        </w:rPr>
        <w:t>Para este efecto, se le señalarán a cada cliente numeraciones consecutivas y particulares que deben estar impresas en los cheques, de manera que permitan identificarlos, sin lugar a duda como correspondientes a los instrumentos especiales, cuya elaboración ha sido autorizada al mismo.</w:t>
        <w:cr/>
      </w:r>
      <w:r>
        <w:rPr>
          <w:rFonts w:ascii="Verdana" w:hAnsi="Verdana" w:cs="Verdana" w:eastAsia="Verdana"/>
          <w:sz w:val="24"/>
        </w:rPr>
        <w:t/>
        <w:cr/>
      </w:r>
      <w:r>
        <w:rPr>
          <w:rFonts w:ascii="Verdana" w:hAnsi="Verdana" w:cs="Verdana" w:eastAsia="Verdana"/>
          <w:sz w:val="24"/>
        </w:rPr>
        <w:t>En ningún caso se autorizarán chequeras especiales que, al carecer de los requisitos mencionados, permitan librar cheques a cargo de distintos bancos al arbitrio del titular de las cuentas corrientes.</w:t>
        <w:cr/>
      </w:r>
      <w:r>
        <w:rPr>
          <w:rFonts w:ascii="Verdana" w:hAnsi="Verdana" w:cs="Verdana" w:eastAsia="Verdana"/>
          <w:sz w:val="24"/>
        </w:rPr>
        <w:t/>
        <w:cr/>
      </w:r>
      <w:r>
        <w:rPr>
          <w:rFonts w:ascii="Verdana" w:hAnsi="Verdana" w:cs="Verdana" w:eastAsia="Verdana"/>
          <w:sz w:val="24"/>
        </w:rPr>
        <w:t>Cuando el banco utilice para el procesamiento de sus cheques caracteres magnéticos que identifiquen tanto al banco como al cliente o a cualquiera de ellos, dichos caracteres deben ser necesariamente impresos por el banco, aun cuando medie contrato para elaboración de chequeras especiales.</w:t>
        <w:cr/>
      </w:r>
    </w:p>
    <w:p>
      <w:pPr>
        <w:jc w:val="left"/>
      </w:pPr>
      <w:r>
        <w:rPr>
          <w:rFonts w:ascii="Verdana" w:hAnsi="Verdana" w:cs="Verdana" w:eastAsia="Verdana"/>
          <w:sz w:val="24"/>
          <w:b w:val="on"/>
        </w:rPr>
        <w:t>1.5. Protesto de cheques</w:t>
      </w:r>
    </w:p>
    <w:p>
      <w:pPr>
        <w:jc w:val="both"/>
      </w:pPr>
      <w:r>
        <w:rPr>
          <w:rFonts w:ascii="Verdana" w:hAnsi="Verdana" w:cs="Verdana" w:eastAsia="Verdana"/>
          <w:sz w:val="24"/>
        </w:rPr>
        <w:t>El protesto de cheques solicitado por el tenedor del título debe ir completo, es decir, debe tener estampado al dorso del cheque la palabra "protesto", la causa de éste, el lugar, la fecha, la firma del girado y de los testigos, con el nombre o razón social del girador y la denominación o número de la cuenta, sin que ello implique violación a la reserva bancaria.</w:t>
        <w:cr/>
      </w:r>
    </w:p>
    <w:p>
      <w:pPr>
        <w:jc w:val="left"/>
      </w:pPr>
      <w:r>
        <w:rPr>
          <w:rFonts w:ascii="Verdana" w:hAnsi="Verdana" w:cs="Verdana" w:eastAsia="Verdana"/>
          <w:sz w:val="24"/>
          <w:b w:val="on"/>
        </w:rPr>
        <w:t>1.6. Cheques especiales</w:t>
      </w:r>
    </w:p>
    <w:p>
      <w:pPr>
        <w:jc w:val="left"/>
      </w:pPr>
      <w:r>
        <w:rPr>
          <w:rFonts w:ascii="Verdana" w:hAnsi="Verdana" w:cs="Verdana" w:eastAsia="Verdana"/>
          <w:sz w:val="24"/>
          <w:b w:val="on"/>
        </w:rPr>
        <w:t>1.6.1. Cheques fiscales</w:t>
      </w:r>
    </w:p>
    <w:p>
      <w:pPr>
        <w:jc w:val="both"/>
      </w:pPr>
      <w:r>
        <w:rPr>
          <w:rFonts w:ascii="Verdana" w:hAnsi="Verdana" w:cs="Verdana" w:eastAsia="Verdana"/>
          <w:sz w:val="24"/>
        </w:rPr>
        <w:t>Aplican a los cheques fiscales las disposiciones de la Ley 1 de 1980 y sus decretos reglamentarios, así como el artículo 125 del EOSF, so pena de las responsabilidades contempladas para los establecimientos de crédito.</w:t>
        <w:cr/>
      </w:r>
    </w:p>
    <w:p>
      <w:pPr>
        <w:jc w:val="left"/>
      </w:pPr>
      <w:r>
        <w:rPr>
          <w:rFonts w:ascii="Verdana" w:hAnsi="Verdana" w:cs="Verdana" w:eastAsia="Verdana"/>
          <w:sz w:val="24"/>
          <w:b w:val="on"/>
        </w:rPr>
        <w:t>1.6.2. Cheques con negociabilidad restringida</w:t>
      </w:r>
    </w:p>
    <w:p>
      <w:pPr>
        <w:jc w:val="both"/>
      </w:pPr>
      <w:r>
        <w:rPr>
          <w:rFonts w:ascii="Verdana" w:hAnsi="Verdana" w:cs="Verdana" w:eastAsia="Verdana"/>
          <w:sz w:val="24"/>
        </w:rPr>
        <w:t>La negociabilidad de los cheques puede limitarse en virtud de un mandato legal o por la inclusión de cláusulas tales como "páguese al primer beneficiario” o "no negociable”, obligando a que el cobro se realice por conducto de un banco como lo establece el artículo 715 del Código de Comercio.</w:t>
        <w:cr/>
      </w:r>
      <w:r>
        <w:rPr>
          <w:rFonts w:ascii="Verdana" w:hAnsi="Verdana" w:cs="Verdana" w:eastAsia="Verdana"/>
          <w:sz w:val="24"/>
        </w:rPr>
        <w:t/>
        <w:cr/>
      </w:r>
      <w:r>
        <w:rPr>
          <w:rFonts w:ascii="Verdana" w:hAnsi="Verdana" w:cs="Verdana" w:eastAsia="Verdana"/>
          <w:sz w:val="24"/>
        </w:rPr>
        <w:t>Dicha restricción carece de efectos respecto de los títulos al portador. No así en los títulos nominativos, respecto de los cuales es predicable el endoso en procuración y en donde para efectos del artículo citado, el banco actúa como mandatario al cobro de los beneficiarios del pago, sea porque lo han consignado directamente en el banco cobrador o en otra institución financiera que garantiza al banco cobrador que se abonará en cuenta del beneficiario.</w:t>
        <w:cr/>
      </w:r>
      <w:r>
        <w:rPr>
          <w:rFonts w:ascii="Verdana" w:hAnsi="Verdana" w:cs="Verdana" w:eastAsia="Verdana"/>
          <w:sz w:val="24"/>
        </w:rPr>
        <w:t/>
        <w:cr/>
      </w:r>
      <w:r>
        <w:rPr>
          <w:rFonts w:ascii="Verdana" w:hAnsi="Verdana" w:cs="Verdana" w:eastAsia="Verdana"/>
          <w:sz w:val="24"/>
        </w:rPr>
        <w:t>La restricción de negociabilidad impone al librado la obligación de pagar el cheque exclusivamente a la persona que acredite ser el beneficiario del mismo en forma directa o por conducto de un banco, salvo en el caso de una norma legal que limite de manera específica el pago directo al beneficiario, como ocurre con los cheques fiscales que sólo podrán pagarse abonando su valor en la cuenta que la entidad pública mantenga en el banco librado o en el establecimiento de crédito consignatario.</w:t>
        <w:cr/>
      </w:r>
      <w:r>
        <w:rPr>
          <w:rFonts w:ascii="Verdana" w:hAnsi="Verdana" w:cs="Verdana" w:eastAsia="Verdana"/>
          <w:sz w:val="24"/>
        </w:rPr>
        <w:t/>
        <w:cr/>
      </w:r>
      <w:r>
        <w:rPr>
          <w:rFonts w:ascii="Verdana" w:hAnsi="Verdana" w:cs="Verdana" w:eastAsia="Verdana"/>
          <w:sz w:val="24"/>
        </w:rPr>
        <w:t>La restricción impuesta por norma legal o por disposición de autonomía particular puede ser igualmente complementada con la inclusión de otras cláusulas como el cruzamiento general o especial o la indicación de que el cheque fue emitido para abono en cuenta.</w:t>
        <w:cr/>
      </w:r>
    </w:p>
    <w:p>
      <w:pPr>
        <w:jc w:val="left"/>
      </w:pPr>
      <w:r>
        <w:rPr>
          <w:rFonts w:ascii="Verdana" w:hAnsi="Verdana" w:cs="Verdana" w:eastAsia="Verdana"/>
          <w:sz w:val="24"/>
          <w:b w:val="on"/>
        </w:rPr>
        <w:t>1.6.3. Canje de cheques con negociabilidad restringida</w:t>
      </w:r>
    </w:p>
    <w:p>
      <w:pPr>
        <w:jc w:val="both"/>
      </w:pPr>
      <w:r>
        <w:rPr>
          <w:rFonts w:ascii="Verdana" w:hAnsi="Verdana" w:cs="Verdana" w:eastAsia="Verdana"/>
          <w:sz w:val="24"/>
        </w:rPr>
        <w:t>Toda entidad financiera autorizada por la ley para recibir cheques en consignación con cláusula de negociabilidad restringida debe hacer una revisión cuidadosa del título, desde el punto de vista formal, con el propósito de verificar si quien lo recibe o el titular de la cuenta en la cual está consignando, es el legitimado para ejercer el derecho incorporado en el título respectivo.</w:t>
        <w:cr/>
      </w:r>
      <w:r>
        <w:rPr>
          <w:rFonts w:ascii="Verdana" w:hAnsi="Verdana" w:cs="Verdana" w:eastAsia="Verdana"/>
          <w:sz w:val="24"/>
        </w:rPr>
        <w:t/>
        <w:cr/>
      </w:r>
      <w:r>
        <w:rPr>
          <w:rFonts w:ascii="Verdana" w:hAnsi="Verdana" w:cs="Verdana" w:eastAsia="Verdana"/>
          <w:sz w:val="24"/>
        </w:rPr>
        <w:t>Cuando una entidad crediticia envíe por canje cheques con negociabilidad restringida, consignados en las cuentas de sus clientes, debe certificar al banco librado que el título fue consignado en la cuenta del primer beneficiario, mediante la imposición del sello mecánico en el que se indique tal circunstancia.</w:t>
        <w:cr/>
      </w:r>
      <w:r>
        <w:rPr>
          <w:rFonts w:ascii="Verdana" w:hAnsi="Verdana" w:cs="Verdana" w:eastAsia="Verdana"/>
          <w:sz w:val="24"/>
        </w:rPr>
        <w:t/>
        <w:cr/>
      </w:r>
      <w:r>
        <w:rPr>
          <w:rFonts w:ascii="Verdana" w:hAnsi="Verdana" w:cs="Verdana" w:eastAsia="Verdana"/>
          <w:sz w:val="24"/>
        </w:rPr>
        <w:t>Respecto de los cheques consignados en cuentas de entidades autorizadas por la ley para recibir cheques en consignación (cooperativas de ahorro y crédito, y otros), la certificación que éstas hagan surtirá efectos ante el banco que reciba el documento para presentarlo al canje y ante el banco librado.</w:t>
        <w:cr/>
      </w:r>
      <w:r>
        <w:rPr>
          <w:rFonts w:ascii="Verdana" w:hAnsi="Verdana" w:cs="Verdana" w:eastAsia="Verdana"/>
          <w:sz w:val="24"/>
        </w:rPr>
        <w:t/>
        <w:cr/>
      </w:r>
      <w:r>
        <w:rPr>
          <w:rFonts w:ascii="Verdana" w:hAnsi="Verdana" w:cs="Verdana" w:eastAsia="Verdana"/>
          <w:sz w:val="24"/>
        </w:rPr>
        <w:t>La devolución del instrumento a la entidad consignataria, en el evento de haberse omitido la certificación, no puede afectar al tenedor legítimo del título, en el entendido de que dicha causal es de uso meramente interbancario.</w:t>
        <w:cr/>
      </w:r>
      <w:r>
        <w:rPr>
          <w:rFonts w:ascii="Verdana" w:hAnsi="Verdana" w:cs="Verdana" w:eastAsia="Verdana"/>
          <w:sz w:val="24"/>
        </w:rPr>
        <w:t/>
        <w:cr/>
      </w:r>
      <w:r>
        <w:rPr>
          <w:rFonts w:ascii="Verdana" w:hAnsi="Verdana" w:cs="Verdana" w:eastAsia="Verdana"/>
          <w:sz w:val="24"/>
        </w:rPr>
        <w:t>Los bancos no deben solicitar como requisito obligatorio que los cheques con cláusula restrictiva de la negociabilidad presentados para el cobro a través del mecanismo de la Cámara de Compensación, además de contener el sello de certificación de que trata el presente subnumeral, contengan la firma del funcionario que en el establecimiento de crédito se encarga de imponer las certificaciones respectivas.</w:t>
        <w:cr/>
      </w:r>
      <w:r>
        <w:rPr>
          <w:rFonts w:ascii="Verdana" w:hAnsi="Verdana" w:cs="Verdana" w:eastAsia="Verdana"/>
          <w:sz w:val="24"/>
        </w:rPr>
        <w:t/>
        <w:cr/>
      </w:r>
      <w:r>
        <w:rPr>
          <w:rFonts w:ascii="Verdana" w:hAnsi="Verdana" w:cs="Verdana" w:eastAsia="Verdana"/>
          <w:sz w:val="24"/>
        </w:rPr>
        <w:t>La firma del funcionario encargado de estas funciones puede ser establecida como medida de control, tendiente a establecer responsabilidades administrativas internas, puesto que frente al banco librado y a los demás terceros es el consignatario (como persona jurídica), el responsable de una indebida certificación.</w:t>
        <w:cr/>
      </w:r>
    </w:p>
    <w:p>
      <w:pPr>
        <w:jc w:val="left"/>
      </w:pPr>
      <w:r>
        <w:rPr>
          <w:rFonts w:ascii="Verdana" w:hAnsi="Verdana" w:cs="Verdana" w:eastAsia="Verdana"/>
          <w:sz w:val="24"/>
          <w:b w:val="on"/>
        </w:rPr>
        <w:t>1.6.4. Procedimiento para el pago de cheques con negociabilidad restringida y para abono en cuenta</w:t>
      </w:r>
    </w:p>
    <w:p>
      <w:pPr>
        <w:jc w:val="both"/>
      </w:pPr>
      <w:r>
        <w:rPr>
          <w:rFonts w:ascii="Verdana" w:hAnsi="Verdana" w:cs="Verdana" w:eastAsia="Verdana"/>
          <w:sz w:val="24"/>
        </w:rPr>
        <w:t>El cheque para abono en cuenta es libremente negociable, salvo que expresamente se limite su circulación por medio de una cláusula en tal sentido. La restricción para este tipo de títulos está dada en su forma de pago, ya que solo constituye un pago válido aquél que se realice mediante un asiento contable en la cuenta corriente o de ahorros que el tenedor lleve en el banco librado, siendo inválido el pago en efectivo.</w:t>
        <w:cr/>
      </w:r>
      <w:r>
        <w:rPr>
          <w:rFonts w:ascii="Verdana" w:hAnsi="Verdana" w:cs="Verdana" w:eastAsia="Verdana"/>
          <w:sz w:val="24"/>
        </w:rPr>
        <w:t/>
        <w:cr/>
      </w:r>
      <w:r>
        <w:rPr>
          <w:rFonts w:ascii="Verdana" w:hAnsi="Verdana" w:cs="Verdana" w:eastAsia="Verdana"/>
          <w:sz w:val="24"/>
        </w:rPr>
        <w:t>Si el tenedor del cheque para abono en cuenta no posee una cuenta corriente o de ahorros en el banco librado, puede endosar el cheque en procuración al banco donde sea titular de una de estas cuentas, para que sea éste el que lo presente al cobro ante el banco librado. En tal evento, el banco librado puede aceptar que el banco intermediario actúe en calidad de mandatario suyo para el pago, celebrándose entonces un contrato de mandato comercial entre las dos entidades.</w:t>
        <w:cr/>
      </w:r>
    </w:p>
    <w:p>
      <w:pPr>
        <w:jc w:val="left"/>
      </w:pPr>
      <w:r>
        <w:rPr>
          <w:rFonts w:ascii="Verdana" w:hAnsi="Verdana" w:cs="Verdana" w:eastAsia="Verdana"/>
          <w:sz w:val="24"/>
          <w:b w:val="on"/>
        </w:rPr>
        <w:t>1.7. Prácticas inseguras en cuentas convenio</w:t>
      </w:r>
    </w:p>
    <w:p>
      <w:pPr>
        <w:jc w:val="both"/>
      </w:pPr>
      <w:r>
        <w:rPr>
          <w:rFonts w:ascii="Verdana" w:hAnsi="Verdana" w:cs="Verdana" w:eastAsia="Verdana"/>
          <w:sz w:val="24"/>
        </w:rPr>
        <w:t>Con el propósito de que las entidades utilicen adecuadamente la figura de las cuentas convenio, esta Superintendencia se permite señalar las siguientes conductas como constitutivas de prácticas inseguras en el desarrollo de las mismas o en la ejecución de otros mecanismos de traslado de fondos que tengan efectos idénticos o similares a los de la cuenta convenio:</w:t>
        <w:cr/>
      </w:r>
    </w:p>
    <w:p>
      <w:pPr>
        <w:jc w:val="both"/>
      </w:pPr>
      <w:r>
        <w:rPr>
          <w:rFonts w:ascii="Verdana" w:hAnsi="Verdana" w:cs="Verdana" w:eastAsia="Verdana"/>
          <w:sz w:val="24"/>
        </w:rPr>
        <w:t>1.7.1. Solicitar a los clientes autorizaciones automáticas o poderes generales para facilitar el flujo de fondos de cuenta de ahorros hacia cuenta corriente y viceversa.</w:t>
        <w:cr/>
      </w:r>
    </w:p>
    <w:p>
      <w:pPr>
        <w:jc w:val="both"/>
      </w:pPr>
      <w:r>
        <w:rPr>
          <w:rFonts w:ascii="Verdana" w:hAnsi="Verdana" w:cs="Verdana" w:eastAsia="Verdana"/>
          <w:sz w:val="24"/>
        </w:rPr>
        <w:t>1.7.2. Trasladar fondos de cuentas corrientes hacia cuentas de ahorros o viceversa, sin el previo consentimiento de sus titulares.</w:t>
        <w:cr/>
      </w:r>
      <w:r>
        <w:rPr>
          <w:rFonts w:ascii="Verdana" w:hAnsi="Verdana" w:cs="Verdana" w:eastAsia="Verdana"/>
          <w:sz w:val="24"/>
        </w:rPr>
        <w:t/>
        <w:cr/>
      </w:r>
      <w:r>
        <w:rPr>
          <w:rFonts w:ascii="Verdana" w:hAnsi="Verdana" w:cs="Verdana" w:eastAsia="Verdana"/>
          <w:sz w:val="24"/>
        </w:rPr>
        <w:t>Para que una entidad vigilada pueda proceder a efectuar tales traslados debe atender las estipulaciones contractuales, los preceptos legales y las regulaciones administrativas que rigen el respectivo contrato, a efectos de evaluar y determinar los casos concretos en que expresamente está autorizado para hacerlo, y de no existir esa posibilidad dentro del marco legal debe abstenerse de realizar dichas transferencias u obtener previamente la autorización expresa del titular de la cuenta para cada caso en particular.</w:t>
        <w:cr/>
      </w:r>
    </w:p>
    <w:p>
      <w:pPr>
        <w:jc w:val="left"/>
      </w:pPr>
      <w:r>
        <w:rPr>
          <w:rFonts w:ascii="Verdana" w:hAnsi="Verdana" w:cs="Verdana" w:eastAsia="Verdana"/>
          <w:sz w:val="24"/>
          <w:b w:val="on"/>
        </w:rPr>
        <w:t>2. Cajillas de seguridad</w:t>
      </w:r>
    </w:p>
    <w:p>
      <w:pPr>
        <w:jc w:val="both"/>
      </w:pPr>
      <w:r>
        <w:rPr>
          <w:rFonts w:ascii="Verdana" w:hAnsi="Verdana" w:cs="Verdana" w:eastAsia="Verdana"/>
          <w:sz w:val="24"/>
        </w:rPr>
        <w:t>El artículo 1424 del Código de Comercio dispone que los establecimientos bancarios que celebren el contrato de cajillas de seguridad deben conservar un duplicado de la llave entregada al cliente, que depositará inmediatamente ante el funcionario que designe la SFC.</w:t>
        <w:cr/>
      </w:r>
      <w:r>
        <w:rPr>
          <w:rFonts w:ascii="Verdana" w:hAnsi="Verdana" w:cs="Verdana" w:eastAsia="Verdana"/>
          <w:sz w:val="24"/>
        </w:rPr>
        <w:t/>
        <w:cr/>
      </w:r>
      <w:r>
        <w:rPr>
          <w:rFonts w:ascii="Verdana" w:hAnsi="Verdana" w:cs="Verdana" w:eastAsia="Verdana"/>
          <w:sz w:val="24"/>
        </w:rPr>
        <w:t xml:space="preserve">En tal sentido la guarda, como depósito en custodia, de los duplicados de las llaves de las cajillas de seguridad para los establecimientos bancarios del país, estará en cabeza del funcionario que de acuerdo al Manual de Riesgo Operativo de cada entidad sea designado para tal efecto. </w:t>
        <w:cr/>
      </w:r>
      <w:r>
        <w:rPr>
          <w:rFonts w:ascii="Verdana" w:hAnsi="Verdana" w:cs="Verdana" w:eastAsia="Verdana"/>
          <w:sz w:val="24"/>
        </w:rPr>
        <w:t/>
        <w:cr/>
      </w:r>
      <w:r>
        <w:rPr>
          <w:rFonts w:ascii="Verdana" w:hAnsi="Verdana" w:cs="Verdana" w:eastAsia="Verdana"/>
          <w:sz w:val="24"/>
        </w:rPr>
        <w:t>Para el retiro de los duplicados de las llaves de las cajillas de seguridad, las entidades depositarias deben cumplir rigurosamente con lo preceptuado al respecto por el inciso segundo del artículo 1424 del Código de Comercio. Para tal fin, deben llevar un registro en el cual se anote cronológicamente el nombre del usuario de la cajilla y el número asignado a ésta, la fecha y hora en que se produce el retiro de la llave y su entrega o restitución, así como, la indicación sobre si la solicitud de retiro fue conjunta o presentada exclusivamente por el banco depositante.</w:t>
        <w:cr/>
      </w:r>
      <w:r>
        <w:rPr>
          <w:rFonts w:ascii="Verdana" w:hAnsi="Verdana" w:cs="Verdana" w:eastAsia="Verdana"/>
          <w:sz w:val="24"/>
        </w:rPr>
        <w:t/>
        <w:cr/>
      </w:r>
      <w:r>
        <w:rPr>
          <w:rFonts w:ascii="Verdana" w:hAnsi="Verdana" w:cs="Verdana" w:eastAsia="Verdana"/>
          <w:sz w:val="24"/>
        </w:rPr>
        <w:t>Así mismo, los establecimientos bancarios depositarios deben llevar un registro en el cual consten las firmas autorizadas de los usuarios de las cajillas de seguridad, y en él deben anotar cronológicamente el nombre del usuario, la fecha y hora en que se produzcan depósitos o retiros, restituciones de llaves y el número de la respectiva cajilla.</w:t>
        <w:cr/>
      </w:r>
    </w:p>
    <w:p>
      <w:pPr>
        <w:jc w:val="left"/>
      </w:pPr>
      <w:r>
        <w:rPr>
          <w:rFonts w:ascii="Verdana" w:hAnsi="Verdana" w:cs="Verdana" w:eastAsia="Verdana"/>
          <w:sz w:val="24"/>
          <w:b w:val="on"/>
        </w:rPr>
        <w:t>3. Compensación interbancaria</w:t>
      </w:r>
    </w:p>
    <w:p>
      <w:pPr>
        <w:jc w:val="both"/>
      </w:pPr>
      <w:r>
        <w:rPr>
          <w:rFonts w:ascii="Verdana" w:hAnsi="Verdana" w:cs="Verdana" w:eastAsia="Verdana"/>
          <w:sz w:val="24"/>
        </w:rPr>
        <w:t>El servicio de compensación interbancaria debe regirse por la normativa expedida por el Banco de la República para tal efecto.</w:t>
        <w:cr/>
      </w:r>
      <w:r>
        <w:rPr>
          <w:rFonts w:ascii="Verdana" w:hAnsi="Verdana" w:cs="Verdana" w:eastAsia="Verdana"/>
          <w:sz w:val="24"/>
        </w:rPr>
        <w:t/>
        <w:cr/>
      </w:r>
      <w:r>
        <w:rPr>
          <w:rFonts w:ascii="Verdana" w:hAnsi="Verdana" w:cs="Verdana" w:eastAsia="Verdana"/>
          <w:sz w:val="24"/>
        </w:rPr>
        <w:t>Para una mejor prestación del servicio de compensación interbancaria prestado por el Banco de la República los establecimientos bancarios deben reconciliar las diferencias por fuera de la compensación, en aquellos casos en los cuales en la segunda sesión de compensación se devuelvan documentos por valores superiores a los recibidos en la primera, so pena de que se califique como una práctica no autorizada.</w:t>
        <w:cr/>
      </w:r>
    </w:p>
    <w:p>
      <w:pPr>
        <w:jc w:val="left"/>
      </w:pPr>
      <w:r>
        <w:rPr>
          <w:rFonts w:ascii="Verdana" w:hAnsi="Verdana" w:cs="Verdana" w:eastAsia="Verdana"/>
          <w:sz w:val="24"/>
          <w:b w:val="on"/>
        </w:rPr>
        <w:t>3.1. Saldo débito en la Cuenta Única de Depósito (CUD) en el Banco de la República</w:t>
      </w:r>
    </w:p>
    <w:p>
      <w:pPr>
        <w:jc w:val="both"/>
      </w:pPr>
      <w:r>
        <w:rPr>
          <w:rFonts w:ascii="Verdana" w:hAnsi="Verdana" w:cs="Verdana" w:eastAsia="Verdana"/>
          <w:sz w:val="24"/>
        </w:rPr>
        <w:t>Se califica como práctica no autorizada e insegura la conducta de los establecimientos bancarios que conduzca a generar saldos débito en su Cuenta Única de Depósito (CUD) en el Banco de la República al finalizar la primera etapa de compensación interbancaria.</w:t>
        <w:cr/>
      </w:r>
      <w:r>
        <w:rPr>
          <w:rFonts w:ascii="Verdana" w:hAnsi="Verdana" w:cs="Verdana" w:eastAsia="Verdana"/>
          <w:sz w:val="24"/>
        </w:rPr>
        <w:t/>
        <w:cr/>
      </w:r>
      <w:r>
        <w:rPr>
          <w:rFonts w:ascii="Verdana" w:hAnsi="Verdana" w:cs="Verdana" w:eastAsia="Verdana"/>
          <w:sz w:val="24"/>
        </w:rPr>
        <w:t>Igualmente, se califica como práctica no autorizada e insegura la falta de controles adecuados de tesorería que permitan examinar adecuadamente los flujos de fondos disponibles, toda vez que tales deficiencias no permiten adoptar las medidas necesarias con la debida oportunidad para evitar situaciones como la que se comenta.</w:t>
        <w:cr/>
      </w:r>
    </w:p>
    <w:p>
      <w:pPr>
        <w:jc w:val="left"/>
      </w:pPr>
      <w:r>
        <w:rPr>
          <w:rFonts w:ascii="Verdana" w:hAnsi="Verdana" w:cs="Verdana" w:eastAsia="Verdana"/>
          <w:sz w:val="24"/>
          <w:b w:val="on"/>
        </w:rPr>
        <w:t>3.2. Canje</w:t>
      </w:r>
    </w:p>
    <w:p>
      <w:pPr>
        <w:jc w:val="both"/>
      </w:pPr>
      <w:r>
        <w:rPr>
          <w:rFonts w:ascii="Verdana" w:hAnsi="Verdana" w:cs="Verdana" w:eastAsia="Verdana"/>
          <w:sz w:val="24"/>
        </w:rPr>
        <w:t>Para el cobro en las operaciones de canje, los establecimientos bancarios deben abstenerse de hacer figurar en la parte exterior de los sobres entregados una cantidad mayor a aquella que resulta de sumar el valor de los documentos librados a cargo de otra entidad bancaria de la misma plaza. Dicha práctica se convierte en una forma de crédito interbancario sin costo financiero, mediante la distorsión de la operación de canje ordenada por la ley.</w:t>
        <w:cr/>
      </w:r>
      <w:r>
        <w:rPr>
          <w:rFonts w:ascii="Verdana" w:hAnsi="Verdana" w:cs="Verdana" w:eastAsia="Verdana"/>
          <w:sz w:val="24"/>
        </w:rPr>
        <w:t/>
        <w:cr/>
      </w:r>
      <w:r>
        <w:rPr>
          <w:rFonts w:ascii="Verdana" w:hAnsi="Verdana" w:cs="Verdana" w:eastAsia="Verdana"/>
          <w:sz w:val="24"/>
        </w:rPr>
        <w:t>La realización de la práctica antes mencionada hará incurrir a las entidades en las sanciones previstas en los artículos 209 y 211 del EOSF, sin perjuicio de las sanciones a que haya lugar por violación a las disposiciones que regulan el encaje legal.</w:t>
        <w:cr/>
      </w:r>
    </w:p>
    <w:p>
      <w:pPr>
        <w:jc w:val="left"/>
      </w:pPr>
      <w:r>
        <w:rPr>
          <w:rFonts w:ascii="Verdana" w:hAnsi="Verdana" w:cs="Verdana" w:eastAsia="Verdana"/>
          <w:sz w:val="24"/>
          <w:b w:val="on"/>
        </w:rPr>
        <w:t>4. Reglas relativas a la apertura y régimen de los depósitos en moneda legal de no residentes en el país y de los depósitos en moneda extranjera</w:t>
      </w:r>
    </w:p>
    <w:p>
      <w:pPr>
        <w:jc w:val="both"/>
      </w:pPr>
      <w:r>
        <w:rPr>
          <w:rFonts w:ascii="Verdana" w:hAnsi="Verdana" w:cs="Verdana" w:eastAsia="Verdana"/>
          <w:sz w:val="24"/>
        </w:rPr>
        <w:t>Para los efectos de lo dispuesto en la Resolución 1 de 2018 de la Junta Directiva del Banco de la República (JDBR), los establecimientos de crédito a que se refiere dicha norma que aperturen cuentas corrientes o de ahorro en moneda legal a no residentes en el país o aperturen cuentas en moneda extranjera deben cumplir las reglas que se indican a continuación.</w:t>
        <w:cr/>
      </w:r>
    </w:p>
    <w:p>
      <w:pPr>
        <w:jc w:val="left"/>
      </w:pPr>
      <w:r>
        <w:rPr>
          <w:rFonts w:ascii="Verdana" w:hAnsi="Verdana" w:cs="Verdana" w:eastAsia="Verdana"/>
          <w:sz w:val="24"/>
          <w:b w:val="on"/>
        </w:rPr>
        <w:t>4.1. Requisitos</w:t>
      </w:r>
    </w:p>
    <w:p>
      <w:pPr>
        <w:jc w:val="both"/>
      </w:pPr>
      <w:r>
        <w:rPr>
          <w:rFonts w:ascii="Verdana" w:hAnsi="Verdana" w:cs="Verdana" w:eastAsia="Verdana"/>
          <w:sz w:val="24"/>
        </w:rPr>
        <w:t>4.1.1. Atender al concepto de residencia señalado en el artículo 2.17.1.2. del Decreto 1068 de 2015, y las normas que lo modifiquen, adicionen o sustituyan.</w:t>
        <w:cr/>
      </w:r>
    </w:p>
    <w:p>
      <w:pPr>
        <w:jc w:val="both"/>
      </w:pPr>
      <w:r>
        <w:rPr>
          <w:rFonts w:ascii="Verdana" w:hAnsi="Verdana" w:cs="Verdana" w:eastAsia="Verdana"/>
          <w:sz w:val="24"/>
        </w:rPr>
        <w:t>4.1.2. Cumplir con las instrucciones relativas al SARLAFT, en especial, lo relacionado con los requisitos de vinculación de clientes a que se refiere el Anexo 1 del Capítulo IV, Título IV de la Parte I de esta Circular. Si la cuenta se apertura desde el exterior a través de apoderado en Colombia, los documentos que se anexen, incluido el respectivo poder, deben cumplir las formalidades previstas en la ley para los documentos otorgados en el exterior.</w:t>
        <w:cr/>
      </w:r>
      <w:r>
        <w:rPr>
          <w:rFonts w:ascii="Verdana" w:hAnsi="Verdana" w:cs="Verdana" w:eastAsia="Verdana"/>
          <w:sz w:val="24"/>
        </w:rPr>
        <w:t/>
        <w:cr/>
      </w:r>
      <w:r>
        <w:rPr>
          <w:rFonts w:ascii="Verdana" w:hAnsi="Verdana" w:cs="Verdana" w:eastAsia="Verdana"/>
          <w:sz w:val="24"/>
        </w:rPr>
        <w:t>Salvo la regla especial contenida en el subnumeral 4.3. del presente Capítulo para la constitución de depósitos por parte de entidades financieras del exterior, y dado que estos depósitos no constituyen inversión extranjera, los mismos no gozan de los derechos cambiarios que se otorgan a tales tipos de inversiones. Los recursos depositados en estas cuentas pueden ser utilizados para cualquier fin.</w:t>
        <w:cr/>
      </w:r>
    </w:p>
    <w:p>
      <w:pPr>
        <w:jc w:val="left"/>
      </w:pPr>
      <w:r>
        <w:rPr>
          <w:rFonts w:ascii="Verdana" w:hAnsi="Verdana" w:cs="Verdana" w:eastAsia="Verdana"/>
          <w:sz w:val="24"/>
          <w:b w:val="on"/>
        </w:rPr>
        <w:t>4.2. Requisitos para la apertura de cuentas en moneda extranjera</w:t>
      </w:r>
    </w:p>
    <w:p>
      <w:pPr>
        <w:jc w:val="both"/>
      </w:pPr>
      <w:r>
        <w:rPr>
          <w:rFonts w:ascii="Verdana" w:hAnsi="Verdana" w:cs="Verdana" w:eastAsia="Verdana"/>
          <w:sz w:val="24"/>
        </w:rPr>
        <w:t>Podrán constituir depósitos en moneda extranjera, de acuerdo con el régimen de cambios internacionales, las empresas de transporte internacional, agencias de viajes y turismo, almacenes y depósitos francos, entidades que presten servicios portuarios y aeroportuarios, personas naturales y jurídicas no residentes en el país, misiones diplomáticas y consulares acreditadas ante el Gobierno de Colombia, organizaciones multilaterales y los funcionarios de estas últimas y entidades públicas o privadas que estén ejecutando programas de cooperación técnica internacional con el Gobierno Nacional en las cuantías efectivamente desembolsadas por los organismos externos de cooperación. Estas cuentas no dan lugar a la expedición de chequeras o talonarios.</w:t>
        <w:cr/>
      </w:r>
      <w:r>
        <w:rPr>
          <w:rFonts w:ascii="Verdana" w:hAnsi="Verdana" w:cs="Verdana" w:eastAsia="Verdana"/>
          <w:sz w:val="24"/>
        </w:rPr>
        <w:t/>
        <w:cr/>
      </w:r>
      <w:r>
        <w:rPr>
          <w:rFonts w:ascii="Verdana" w:hAnsi="Verdana" w:cs="Verdana" w:eastAsia="Verdana"/>
          <w:sz w:val="24"/>
        </w:rPr>
        <w:t>Para tal efecto, las entidades vigiladas deben obtener la siguiente información:</w:t>
        <w:cr/>
      </w:r>
    </w:p>
    <w:p>
      <w:pPr>
        <w:jc w:val="both"/>
      </w:pPr>
      <w:r>
        <w:rPr>
          <w:rFonts w:ascii="Verdana" w:hAnsi="Verdana" w:cs="Verdana" w:eastAsia="Verdana"/>
          <w:sz w:val="24"/>
        </w:rPr>
        <w:t>4.2.1. Tratándose de empresas de transporte internacional, agencias de viajes y turismo, almacenes y depósitos francos, entidades que presten servicios portuarios y aeroportuarios, en todos los casos debe obtenerse el certificado de existencia y representación legal que permita acreditar la calidad que tienen para acceder a una cuenta en moneda extranjera.</w:t>
        <w:cr/>
      </w:r>
    </w:p>
    <w:p>
      <w:pPr>
        <w:jc w:val="both"/>
      </w:pPr>
      <w:r>
        <w:rPr>
          <w:rFonts w:ascii="Verdana" w:hAnsi="Verdana" w:cs="Verdana" w:eastAsia="Verdana"/>
          <w:sz w:val="24"/>
        </w:rPr>
        <w:t>4.2.2. Tratándose de misiones diplomáticas, consulares y organizaciones multilaterales, la entidad vigilada debe contar con la relación de las embajadas, consulados y organismos multilaterales acreditados ante el Gobierno de Colombia que expida la Dirección General de Protocolo del Ministerio de Relaciones Exteriores.</w:t>
        <w:cr/>
      </w:r>
    </w:p>
    <w:p>
      <w:pPr>
        <w:jc w:val="both"/>
      </w:pPr>
      <w:r>
        <w:rPr>
          <w:rFonts w:ascii="Verdana" w:hAnsi="Verdana" w:cs="Verdana" w:eastAsia="Verdana"/>
          <w:sz w:val="24"/>
        </w:rPr>
        <w:t>4.2.3. Tratándose de funcionarios de misiones diplomáticas, consulares y organizaciones multilaterales, la certificación vigente expedida por la Dirección General de Protocolo del Ministerio de Relaciones Exteriores en la que conste que están acreditados ante la Cancillería, así como copia de la visa diplomática o visa oficial.</w:t>
        <w:cr/>
      </w:r>
    </w:p>
    <w:p>
      <w:pPr>
        <w:jc w:val="both"/>
      </w:pPr>
      <w:r>
        <w:rPr>
          <w:rFonts w:ascii="Verdana" w:hAnsi="Verdana" w:cs="Verdana" w:eastAsia="Verdana"/>
          <w:sz w:val="24"/>
        </w:rPr>
        <w:t xml:space="preserve">4.2.4. Tratándose de personas jurídicas no residentes, se debe anexar el certificado de existencia y representación legal o documento equivalente, expedido por la autoridad competente en el país de su domicilio. </w:t>
        <w:cr/>
      </w:r>
    </w:p>
    <w:p>
      <w:pPr>
        <w:jc w:val="both"/>
      </w:pPr>
      <w:r>
        <w:rPr>
          <w:rFonts w:ascii="Verdana" w:hAnsi="Verdana" w:cs="Verdana" w:eastAsia="Verdana"/>
          <w:sz w:val="24"/>
        </w:rPr>
        <w:t>4.2.5. Tratándose de personas naturales no residentes, para que puedan abrir una cuenta en moneda extranjera deben acreditar su calidad de no residentes. En el caso de extranjeros deben acreditar que no han habitado o permanecido dentro del territorio nacional por un período que exceda de 6 meses continuos o discontinuos en un periodo de 12 meses, de acuerdo con lo establecido en el artículo 2.17.1.2. del Decreto 1068 de 2015. En el caso de nacionales colombianos deben certificar que habitan con carácter permanente en el extranjero.</w:t>
        <w:cr/>
      </w:r>
      <w:r>
        <w:rPr>
          <w:rFonts w:ascii="Verdana" w:hAnsi="Verdana" w:cs="Verdana" w:eastAsia="Verdana"/>
          <w:sz w:val="24"/>
        </w:rPr>
        <w:t/>
        <w:cr/>
      </w:r>
      <w:r>
        <w:rPr>
          <w:rFonts w:ascii="Verdana" w:hAnsi="Verdana" w:cs="Verdana" w:eastAsia="Verdana"/>
          <w:sz w:val="24"/>
        </w:rPr>
        <w:t xml:space="preserve">Las cuentas que estas personas abran en moneda extranjera en Colombia, deben ceñirse a lo que sobre la materia dispongan las normas sobre cambios internacionales expedidas por la autoridad cambiaria. </w:t>
        <w:cr/>
      </w:r>
    </w:p>
    <w:p>
      <w:pPr>
        <w:jc w:val="left"/>
      </w:pPr>
      <w:r>
        <w:rPr>
          <w:rFonts w:ascii="Verdana" w:hAnsi="Verdana" w:cs="Verdana" w:eastAsia="Verdana"/>
          <w:sz w:val="24"/>
          <w:b w:val="on"/>
        </w:rPr>
        <w:t>4.3. Requisitos para la constitución de depósitos por parte de entidades financieras del exterior</w:t>
      </w:r>
    </w:p>
    <w:p>
      <w:pPr>
        <w:jc w:val="both"/>
      </w:pPr>
      <w:r>
        <w:rPr>
          <w:rFonts w:ascii="Verdana" w:hAnsi="Verdana" w:cs="Verdana" w:eastAsia="Verdana"/>
          <w:sz w:val="24"/>
        </w:rPr>
        <w:t>Las entidades vigiladas que aperturen cuentas corrientes o de ahorro, tanto en moneda legal como extranjera, en favor de entidades financieras del exterior en calidad de no domiciliadas en el país, deben atender lo dispuesto en las respectivas normas sobre cambios internacionales.</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 Capítulo IV: Disposiciones especiales aplicables a las operaciones exclusivas de los establecimientos bancarios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2025-07-03T14:27:05Z</dcterms:created>
  <dc:creator>Apache POI</dc:creator>
</cp:coreProperties>
</file>