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p>
      <w:pPr>
        <w:jc w:val="center"/>
      </w:pPr>
      <w:r>
        <w:rPr>
          <w:rFonts w:ascii="Verdana" w:hAnsi="Verdana" w:cs="Verdana" w:eastAsia="Verdana"/>
          <w:sz w:val="24"/>
          <w:b w:val="on"/>
        </w:rPr>
        <w:t>CIRCULAR BÁSICA JURÍDICA</w:t>
      </w:r>
    </w:p>
    <w:p>
      <w:pPr>
        <w:jc w:val="center"/>
      </w:pPr>
      <w:r>
        <w:rPr>
          <w:rFonts w:ascii="Verdana" w:hAnsi="Verdana" w:cs="Verdana" w:eastAsia="Verdana"/>
          <w:sz w:val="24"/>
          <w:b w:val="on"/>
        </w:rPr>
        <w:t>Parte II. Mercado intermediado</w:t>
      </w:r>
    </w:p>
    <w:p>
      <w:pPr>
        <w:jc w:val="center"/>
      </w:pPr>
      <w:r>
        <w:rPr>
          <w:rFonts w:ascii="Verdana" w:hAnsi="Verdana" w:cs="Verdana" w:eastAsia="Verdana"/>
          <w:sz w:val="24"/>
          <w:b w:val="on"/>
        </w:rPr>
        <w:t>Título I. Instrucciones generales relativas a las operaciones de los establecimientos de crédito</w:t>
      </w:r>
    </w:p>
    <w:p>
      <w:pPr>
        <w:jc w:val="center"/>
      </w:pPr>
      <w:r>
        <w:rPr>
          <w:rFonts w:ascii="Verdana" w:hAnsi="Verdana" w:cs="Verdana" w:eastAsia="Verdana"/>
          <w:sz w:val="24"/>
          <w:b w:val="on"/>
        </w:rPr>
        <w:t>Capítulo I. Disposiciones especiales aplicables a operaciones activas de crédito</w:t>
      </w:r>
    </w:p>
    <w:p>
      <w:pPr>
        <w:jc w:val="center"/>
      </w:pPr>
      <w:r>
        <w:rPr>
          <w:rFonts w:ascii="Verdana" w:hAnsi="Verdana" w:cs="Verdana" w:eastAsia="Verdana"/>
          <w:sz w:val="24"/>
          <w:b w:val="off"/>
        </w:rPr>
        <w:t xml:space="preserve"> </w:t>
      </w:r>
    </w:p>
    <w:p>
      <w:pPr>
        <w:jc w:val="left"/>
      </w:pPr>
      <w:r>
        <w:rPr>
          <w:rFonts w:ascii="Verdana" w:hAnsi="Verdana" w:cs="Verdana" w:eastAsia="Verdana"/>
          <w:sz w:val="24"/>
          <w:b w:val="on"/>
        </w:rPr>
        <w:t xml:space="preserve">1. Condiciones generales para cualquier operación de crédito </w:t>
      </w:r>
    </w:p>
    <w:p>
      <w:pPr>
        <w:jc w:val="left"/>
      </w:pPr>
      <w:r>
        <w:rPr>
          <w:rFonts w:ascii="Verdana" w:hAnsi="Verdana" w:cs="Verdana" w:eastAsia="Verdana"/>
          <w:sz w:val="24"/>
          <w:b w:val="on"/>
        </w:rPr>
        <w:t>1.1. Condiciones en el otorgamiento de créditos</w:t>
      </w:r>
    </w:p>
    <w:p>
      <w:pPr>
        <w:jc w:val="both"/>
      </w:pPr>
      <w:r>
        <w:rPr>
          <w:rFonts w:ascii="Verdana" w:hAnsi="Verdana" w:cs="Verdana" w:eastAsia="Verdana"/>
          <w:sz w:val="24"/>
        </w:rPr>
        <w:t>El otorgamiento de crédito se debe realizar de conformidad con lo dispuesto en los capítulos XIII – 18 y XXXI de la Circular Básica Contable y Financiera (CBCF) o las normas que los modifiquen o sustituyan.</w:t>
      </w:r>
    </w:p>
    <w:p>
      <w:pPr>
        <w:jc w:val="left"/>
      </w:pPr>
      <w:r>
        <w:rPr>
          <w:rFonts w:ascii="Verdana" w:hAnsi="Verdana" w:cs="Verdana" w:eastAsia="Verdana"/>
          <w:sz w:val="24"/>
          <w:b w:val="on"/>
        </w:rPr>
        <w:t>1.2. Condiciones en la ejecución de los créditos</w:t>
      </w:r>
    </w:p>
    <w:p>
      <w:pPr>
        <w:jc w:val="left"/>
      </w:pPr>
      <w:r>
        <w:rPr>
          <w:rFonts w:ascii="Verdana" w:hAnsi="Verdana" w:cs="Verdana" w:eastAsia="Verdana"/>
          <w:sz w:val="24"/>
          <w:b w:val="on"/>
        </w:rPr>
        <w:t>1.2.1. Registro de abonos parciales y de la cancelación de obligaciones en el título valor correspondiente</w:t>
      </w:r>
    </w:p>
    <w:p>
      <w:pPr>
        <w:jc w:val="both"/>
      </w:pPr>
      <w:r>
        <w:rPr>
          <w:rFonts w:ascii="Verdana" w:hAnsi="Verdana" w:cs="Verdana" w:eastAsia="Verdana"/>
          <w:sz w:val="24"/>
        </w:rPr>
        <w:t>Cuando una obligación incorporada en un título valor es cancelada en su totalidad debe registrarse dicha cancelación en el documento respectivo. Así mismo, cuando se negocie un título valor respecto del cual se hayan efectuado pagos parciales debe expresarse en el documento el valor cancelado. En cualquiera de los eventos antes mencionados, tales registros deben llevar la firma del funcionario de la entidad vigilada con atribuciones para el efecto.</w:t>
      </w:r>
      <w:r>
        <w:rPr>
          <w:rFonts w:ascii="Verdana" w:hAnsi="Verdana" w:cs="Verdana" w:eastAsia="Verdana"/>
          <w:sz w:val="24"/>
        </w:rPr>
        <w:t xml:space="preserve">Las entidades vigiladas deben llevar en registros sistematizados los datos referentes a los abonos parciales recibidos y su aplicación a intereses o capital, para lo cual deben establecer procedimientos que permitan asegurar la contabilidad de la información contenida en dichos registros, su oportuna actualización y el fácil acceso a la misma. </w:t>
      </w:r>
      <w:r>
        <w:rPr>
          <w:rFonts w:ascii="Verdana" w:hAnsi="Verdana" w:cs="Verdana" w:eastAsia="Verdana"/>
          <w:sz w:val="24"/>
        </w:rPr>
        <w:t>Lo anterior, sin perjuicio de la obligación de efectuar las correspondientes anotaciones en el cuerpo del título valor en aquellos eventos en que el deudor así lo solicite.</w:t>
        <w:cr/>
      </w:r>
    </w:p>
    <w:p>
      <w:pPr>
        <w:jc w:val="left"/>
      </w:pPr>
      <w:r>
        <w:rPr>
          <w:rFonts w:ascii="Verdana" w:hAnsi="Verdana" w:cs="Verdana" w:eastAsia="Verdana"/>
          <w:sz w:val="24"/>
          <w:b w:val="on"/>
        </w:rPr>
        <w:t>1.2.2. Extractos</w:t>
      </w:r>
    </w:p>
    <w:p>
      <w:pPr>
        <w:jc w:val="both"/>
      </w:pPr>
      <w:r>
        <w:rPr>
          <w:rFonts w:ascii="Verdana" w:hAnsi="Verdana" w:cs="Verdana" w:eastAsia="Verdana"/>
          <w:sz w:val="24"/>
        </w:rPr>
        <w:t>En la expedición de los extractos o estados de cuenta que las vigiladas entreguen a sus clientes con ocasión de la celebración de operaciones activas debe indicarse la tasa efectiva cobrada o pagada durante el período cubierto, incluyendo, para el caso de los créditos, la totalidad de los costos financieros a cargo del deudor, cualquiera que sea su denominación, vinculados o relacionados con su otorgamiento.</w:t>
      </w:r>
      <w:r>
        <w:rPr>
          <w:rFonts w:ascii="Verdana" w:hAnsi="Verdana" w:cs="Verdana" w:eastAsia="Verdana"/>
          <w:sz w:val="24"/>
        </w:rPr>
        <w:t>Tratándose de tarjetas de crédito, el extracto debe contener la fecha de la compra, el valor, el número de cuotas seleccionadas, las canceladas y las pendientes por pagar, la tasa de interés efectiva aplicable a cada una, así como la fecha de pago y de corte de la respectiva cuenta. En este tipo de operaciones se exceptúan como costos financieros, los relativos a la cuota de manejo y a la prima de seguro, en tanto el cobro de estos rubros obedezca inequívocamente a costos de índole no financiera que, por lo mismo, merecen un tratamiento excepcional.</w:t>
        <w:cr/>
      </w:r>
    </w:p>
    <w:p>
      <w:pPr>
        <w:jc w:val="left"/>
      </w:pPr>
      <w:r>
        <w:rPr>
          <w:rFonts w:ascii="Verdana" w:hAnsi="Verdana" w:cs="Verdana" w:eastAsia="Verdana"/>
          <w:sz w:val="24"/>
          <w:b w:val="on"/>
        </w:rPr>
        <w:t>1.2.3. Prepago o pago anticipado de créditos con instituciones vigiladas</w:t>
      </w:r>
    </w:p>
    <w:p>
      <w:pPr>
        <w:jc w:val="both"/>
      </w:pPr>
      <w:r>
        <w:rPr>
          <w:rFonts w:ascii="Verdana" w:hAnsi="Verdana" w:cs="Verdana" w:eastAsia="Verdana"/>
          <w:sz w:val="24"/>
        </w:rPr>
        <w:t>De acuerdo con el literal g. del artículo 5 de la Ley 1328 de 2009, es un derecho del consumidor financiero efectuar pagos anticipados en toda operación de crédito en moneda nacional cuyo saldo no supere los 880 smmlv, sin incurrir en ningún tipo de penalización o compensación por lucro cesante, de las cuotas o saldos en forma total o parcial, con la consiguiente liquidación de intereses al día del pago.</w:t>
        <w:cr/>
      </w:r>
    </w:p>
    <w:p>
      <w:pPr>
        <w:jc w:val="left"/>
      </w:pPr>
      <w:r>
        <w:rPr>
          <w:rFonts w:ascii="Verdana" w:hAnsi="Verdana" w:cs="Verdana" w:eastAsia="Verdana"/>
          <w:sz w:val="24"/>
          <w:b w:val="on"/>
        </w:rPr>
        <w:t>1.2.4. Cobro de cláusula penal</w:t>
      </w:r>
    </w:p>
    <w:p>
      <w:pPr>
        <w:jc w:val="both"/>
      </w:pPr>
      <w:r>
        <w:rPr>
          <w:rFonts w:ascii="Verdana" w:hAnsi="Verdana" w:cs="Verdana" w:eastAsia="Verdana"/>
          <w:sz w:val="24"/>
        </w:rPr>
        <w:t>En desarrollo del artículo 65 de la Ley 45 de 1990, en las operaciones activas que realicen las entidades vigiladas por la Superintendencia Financiera de Colombia (SFC) no es posible aplicar, respecto de una obligación dineraria, una sanción convencional a título de cláusula penal, cuando se hayan pactado intereses moratorios para la misma obligación, sin perjuicio de las sanciones que se estipulen para otro tipo de obligaciones pactadas en el marco de la operación activa de crédito.</w:t>
        <w:cr/>
      </w:r>
    </w:p>
    <w:p>
      <w:pPr>
        <w:jc w:val="left"/>
      </w:pPr>
      <w:r>
        <w:rPr>
          <w:rFonts w:ascii="Verdana" w:hAnsi="Verdana" w:cs="Verdana" w:eastAsia="Verdana"/>
          <w:sz w:val="24"/>
          <w:b w:val="on"/>
        </w:rPr>
        <w:t>1.2.5. Sanción por cobro de intereses en exceso</w:t>
      </w:r>
    </w:p>
    <w:p>
      <w:pPr>
        <w:jc w:val="both"/>
      </w:pPr>
      <w:r>
        <w:rPr>
          <w:rFonts w:ascii="Verdana" w:hAnsi="Verdana" w:cs="Verdana" w:eastAsia="Verdana"/>
          <w:sz w:val="24"/>
        </w:rPr>
        <w:t>De conformidad con el artículo 72 de la Ley 45 de 1990, el deudor se encuentra facultado para solicitar la devolución de los intereses pagados en exceso, aumentados en una suma igual que el acreedor debe entregar a título de sanción. Los establecimientos de crédito deben demostrar que efectivamente hicieron entrega de las sumas cobradas en exceso al haberse presentado esta situación.</w:t>
        <w:cr/>
      </w:r>
      <w:r>
        <w:rPr>
          <w:rFonts w:ascii="Verdana" w:hAnsi="Verdana" w:cs="Verdana" w:eastAsia="Verdana"/>
          <w:sz w:val="24"/>
        </w:rPr>
        <w:t/>
        <w:cr/>
      </w:r>
      <w:r>
        <w:rPr>
          <w:rFonts w:ascii="Verdana" w:hAnsi="Verdana" w:cs="Verdana" w:eastAsia="Verdana"/>
          <w:sz w:val="24"/>
        </w:rPr>
        <w:t>Si se pactan sistemas de capitalización de intereses o de interés compuesto, los intereses remuneratorios estipulados en cualquiera de esas modalidades no pueden exceder el interés bancario corriente más la mitad de éste, de conformidad con lo previsto en el artículo 64 de la Ley 45 de 1990.</w:t>
      </w:r>
    </w:p>
    <w:p>
      <w:pPr>
        <w:jc w:val="left"/>
      </w:pPr>
      <w:r>
        <w:rPr>
          <w:rFonts w:ascii="Verdana" w:hAnsi="Verdana" w:cs="Verdana" w:eastAsia="Verdana"/>
          <w:sz w:val="24"/>
          <w:b w:val="on"/>
        </w:rPr>
        <w:t>1.2.6. Modificaciones a las tasas de interés</w:t>
      </w:r>
    </w:p>
    <w:p>
      <w:pPr>
        <w:jc w:val="both"/>
      </w:pPr>
      <w:r>
        <w:rPr>
          <w:rFonts w:ascii="Verdana" w:hAnsi="Verdana" w:cs="Verdana" w:eastAsia="Verdana"/>
          <w:sz w:val="24"/>
        </w:rPr>
        <w:t>Las modificaciones que presenten las tasas de interés durante la vida de préstamos pactados con los establecimientos de crédito deben reflejarse en la correspondiente reducción de los montos convenidos al momento de la celebración de los contratos, cuando quiera que al momento de la causación de los réditos aquellos sobrepasen los límites correspondientes al período liquidado. No es procedente reajustar unilateralmente la tasa fija pactada cuando se autoricen tasas más altas.</w:t>
      </w:r>
    </w:p>
    <w:p>
      <w:pPr>
        <w:jc w:val="left"/>
      </w:pPr>
      <w:r>
        <w:rPr>
          <w:rFonts w:ascii="Verdana" w:hAnsi="Verdana" w:cs="Verdana" w:eastAsia="Verdana"/>
          <w:sz w:val="24"/>
          <w:b w:val="on"/>
        </w:rPr>
        <w:t>1.3. Tipos de interés</w:t>
      </w:r>
    </w:p>
    <w:p>
      <w:pPr>
        <w:jc w:val="both"/>
      </w:pPr>
      <w:r>
        <w:rPr>
          <w:rFonts w:ascii="Verdana" w:hAnsi="Verdana" w:cs="Verdana" w:eastAsia="Verdana"/>
          <w:sz w:val="24"/>
        </w:rPr>
        <w:t>A continuación se define cada uno de los tipos de interés aceptables con su significado, que deben ser aplicados por las entidades vigiladas tanto en los rendimientos que pagan por los recursos captados, como en el cobro de intereses anticipados o vencidos de los créditos efectuados por éstas, de conformidad con la tasa fijada por la ley en cada caso.</w:t>
        <w:cr/>
      </w:r>
    </w:p>
    <w:p>
      <w:pPr>
        <w:jc w:val="left"/>
      </w:pPr>
      <w:r>
        <w:rPr>
          <w:rFonts w:ascii="Verdana" w:hAnsi="Verdana" w:cs="Verdana" w:eastAsia="Verdana"/>
          <w:sz w:val="24"/>
          <w:b w:val="on"/>
        </w:rPr>
        <w:t>1.3.1. Tipo de interés efectivo</w:t>
      </w:r>
    </w:p>
    <w:p>
      <w:pPr>
        <w:jc w:val="both"/>
      </w:pPr>
      <w:r>
        <w:rPr>
          <w:rFonts w:ascii="Verdana" w:hAnsi="Verdana" w:cs="Verdana" w:eastAsia="Verdana"/>
          <w:sz w:val="24"/>
        </w:rPr>
        <w:t>La tasa efectiva de interés es la que se refiere a la unidad de tiempo y a la unidad de capital y se liquida por unidad de tiempo.</w:t>
        <w:cr/>
      </w:r>
      <w:r>
        <w:rPr>
          <w:rFonts w:ascii="Verdana" w:hAnsi="Verdana" w:cs="Verdana" w:eastAsia="Verdana"/>
          <w:sz w:val="24"/>
        </w:rPr>
        <w:t/>
        <w:cr/>
      </w:r>
      <w:r>
        <w:rPr>
          <w:rFonts w:ascii="Verdana" w:hAnsi="Verdana" w:cs="Verdana" w:eastAsia="Verdana"/>
          <w:sz w:val="24"/>
        </w:rPr>
        <w:t>El símbolo que se utiliza para el tipo efectivo de interés es la letra minúscula “i”.</w:t>
        <w:cr/>
      </w:r>
    </w:p>
    <w:p>
      <w:pPr>
        <w:jc w:val="left"/>
      </w:pPr>
      <w:r>
        <w:rPr>
          <w:rFonts w:ascii="Verdana" w:hAnsi="Verdana" w:cs="Verdana" w:eastAsia="Verdana"/>
          <w:sz w:val="24"/>
          <w:b w:val="on"/>
        </w:rPr>
        <w:t>1.3.2. Tipo nominal de interés</w:t>
      </w:r>
    </w:p>
    <w:p>
      <w:pPr>
        <w:jc w:val="both"/>
      </w:pPr>
      <w:r>
        <w:rPr>
          <w:rFonts w:ascii="Verdana" w:hAnsi="Verdana" w:cs="Verdana" w:eastAsia="Verdana"/>
          <w:sz w:val="24"/>
        </w:rPr>
        <w:t>El tipo nominal de interés es el que se refiere a la unidad de tiempo y a la unidad de capital y se liquida por fracción de unidad de tiempo.</w:t>
        <w:cr/>
      </w:r>
      <w:r>
        <w:rPr>
          <w:rFonts w:ascii="Verdana" w:hAnsi="Verdana" w:cs="Verdana" w:eastAsia="Verdana"/>
          <w:sz w:val="24"/>
        </w:rPr>
        <w:t/>
        <w:cr/>
      </w:r>
      <w:r>
        <w:rPr>
          <w:rFonts w:ascii="Verdana" w:hAnsi="Verdana" w:cs="Verdana" w:eastAsia="Verdana"/>
          <w:sz w:val="24"/>
        </w:rPr>
        <w:t>El símbolo que se utiliza para el tipo nominal de interés es la letra minúscula j(m), donde m significa el número de pagos del interés por unidad de tiempo.</w:t>
        <w:cr/>
      </w:r>
    </w:p>
    <w:p>
      <w:pPr>
        <w:jc w:val="left"/>
      </w:pPr>
      <w:r>
        <w:rPr>
          <w:rFonts w:ascii="Verdana" w:hAnsi="Verdana" w:cs="Verdana" w:eastAsia="Verdana"/>
          <w:sz w:val="24"/>
          <w:b w:val="on"/>
        </w:rPr>
        <w:t>1.3.3. Tipos equivalentes de interés</w:t>
      </w:r>
    </w:p>
    <w:p>
      <w:pPr>
        <w:jc w:val="both"/>
      </w:pPr>
      <w:r>
        <w:rPr>
          <w:rFonts w:ascii="Verdana" w:hAnsi="Verdana" w:cs="Verdana" w:eastAsia="Verdana"/>
          <w:sz w:val="24"/>
        </w:rPr>
        <w:t>La unidad de capital se convierte, después de la unidad de tiempo, en el capital 1 + i, si se liquida el tipo efectivo de interés i. Al mismo tiempo, se convierte la unidad de capital, después de la unidad de tiempo, en el capital [i j (m) ]m decimos que i es el tipo efectivo equivalente al tipo nominal j(m) y viceversa.</w:t>
        <w:cr/>
      </w:r>
    </w:p>
    <w:p>
      <w:pPr>
        <w:jc w:val="left"/>
      </w:pPr>
      <w:r>
        <w:rPr>
          <w:rFonts w:ascii="Verdana" w:hAnsi="Verdana" w:cs="Verdana" w:eastAsia="Verdana"/>
          <w:sz w:val="24"/>
          <w:b w:val="on"/>
        </w:rPr>
        <w:t>1.3.4. Tipo efectivo de descuento</w:t>
      </w:r>
    </w:p>
    <w:p>
      <w:pPr>
        <w:jc w:val="both"/>
      </w:pPr>
      <w:r>
        <w:rPr>
          <w:rFonts w:ascii="Verdana" w:hAnsi="Verdana" w:cs="Verdana" w:eastAsia="Verdana"/>
          <w:sz w:val="24"/>
        </w:rPr>
        <w:t>El tipo efectivo de descuento es el que se refiere a la unidad de tiempo y a la unidad de capital y se reconoce por unidad de tiempo, es decir, que se paga anticipadamente por unidad de tiempo. El símbolo que se utiliza para el tipo efectivo de descuento es la letra minúscula “d”.</w:t>
      </w:r>
    </w:p>
    <w:p>
      <w:pPr>
        <w:jc w:val="left"/>
      </w:pPr>
      <w:r>
        <w:rPr>
          <w:rFonts w:ascii="Verdana" w:hAnsi="Verdana" w:cs="Verdana" w:eastAsia="Verdana"/>
          <w:sz w:val="24"/>
          <w:b w:val="on"/>
        </w:rPr>
        <w:t>1.3.5. Tipo nominal de descuento</w:t>
      </w:r>
    </w:p>
    <w:p>
      <w:pPr>
        <w:jc w:val="both"/>
      </w:pPr>
      <w:r>
        <w:rPr>
          <w:rFonts w:ascii="Verdana" w:hAnsi="Verdana" w:cs="Verdana" w:eastAsia="Verdana"/>
          <w:sz w:val="24"/>
        </w:rPr>
        <w:t>El tipo nominal de descuento es el que se refiere a la unidad de tiempo y a la unidad de capital y se deduce por fracción de unidad de tiempo, o sea que se paga anticipadamente por fracción de unidad de tiempo.</w:t>
        <w:cr/>
      </w:r>
      <w:r>
        <w:rPr>
          <w:rFonts w:ascii="Verdana" w:hAnsi="Verdana" w:cs="Verdana" w:eastAsia="Verdana"/>
          <w:sz w:val="24"/>
        </w:rPr>
        <w:t/>
        <w:cr/>
      </w:r>
      <w:r>
        <w:rPr>
          <w:rFonts w:ascii="Verdana" w:hAnsi="Verdana" w:cs="Verdana" w:eastAsia="Verdana"/>
          <w:sz w:val="24"/>
        </w:rPr>
        <w:t>El símbolo que se utiliza para el tipo nominal de descuento es la letra minúscula f(m), donde m significa el número de pagos por unidad de tiempo nominal que vence en un año, se deducen en forma anticipada dos centavos mensuales.</w:t>
        <w:cr/>
      </w:r>
    </w:p>
    <w:p>
      <w:pPr>
        <w:jc w:val="left"/>
      </w:pPr>
      <w:r>
        <w:rPr>
          <w:rFonts w:ascii="Verdana" w:hAnsi="Verdana" w:cs="Verdana" w:eastAsia="Verdana"/>
          <w:sz w:val="24"/>
          <w:b w:val="on"/>
        </w:rPr>
        <w:t>1.3.6. Tasa de interés preferencial</w:t>
      </w:r>
    </w:p>
    <w:p>
      <w:pPr>
        <w:jc w:val="both"/>
      </w:pPr>
      <w:r>
        <w:rPr>
          <w:rFonts w:ascii="Verdana" w:hAnsi="Verdana" w:cs="Verdana" w:eastAsia="Verdana"/>
          <w:sz w:val="24"/>
        </w:rPr>
        <w:t>Es aquella que la entidad ha cobrado a sus clientes corporativos de menor riesgo en operaciones de crédito en moneda legal de corto plazo (hasta 12 meses), cualquiera que sea la modalidad utilizada y sin que ella constituya necesariamente una oferta. En consecuencia y con arreglo al criterio antes expuesto, dicha tasa debe reflejar la realidad comercial del momento para los usuarios del servicio, permitiéndoles seleccionar uno u otro intermediario a partir de la información suministrada.</w:t>
        <w:cr/>
      </w:r>
    </w:p>
    <w:p>
      <w:pPr>
        <w:jc w:val="left"/>
      </w:pPr>
      <w:r>
        <w:rPr>
          <w:rFonts w:ascii="Verdana" w:hAnsi="Verdana" w:cs="Verdana" w:eastAsia="Verdana"/>
          <w:sz w:val="24"/>
          <w:b w:val="on"/>
        </w:rPr>
        <w:t>1.4. Tasas máximas de interés</w:t>
      </w:r>
    </w:p>
    <w:p>
      <w:pPr>
        <w:jc w:val="both"/>
      </w:pPr>
      <w:r>
        <w:rPr>
          <w:rFonts w:ascii="Verdana" w:hAnsi="Verdana" w:cs="Verdana" w:eastAsia="Verdana"/>
          <w:sz w:val="24"/>
        </w:rPr>
        <w:t>Las tasas de interés pueden ser libremente acordadas por las partes siempre que se sujeten a los límites legales. Teniendo en cuenta lo anterior, y para los efectos de lo dispuesto en el artículo 884 del Código de Comercio, aquellas obligaciones que pacten las entidades vigiladas, en las cuales hayan de pagarse créditos de un capital, deben sujetarse a las siguientes reglas:</w:t>
      </w:r>
    </w:p>
    <w:p>
      <w:pPr>
        <w:jc w:val="both"/>
      </w:pPr>
      <w:r>
        <w:rPr>
          <w:rFonts w:ascii="Verdana" w:hAnsi="Verdana" w:cs="Verdana" w:eastAsia="Verdana"/>
          <w:sz w:val="24"/>
        </w:rPr>
        <w:t>1.4.1. Tasa máxima de interés remuneratorio: las tasas máximas de interés remuneratorio que los establecimientos de crédito pueden cobrar o pagar a su clientela sobre todas las operaciones activas y pasivas son las que indique la Junta Directiva del Banco de la República (JDBR) de acuerdo con lo dispuesto en el literal e. del artículo 16 de la Ley 31 de 1992. En tanto la autoridad monetaria no señale las tasas máximas remuneratorias, las mismas deben responder a lo pactado libremente por las partes, teniendo en cuenta en todo caso que no pueden superar la tasa constitutiva del delito de usura.</w:t>
        <w:cr/>
      </w:r>
    </w:p>
    <w:p>
      <w:pPr>
        <w:jc w:val="both"/>
      </w:pPr>
      <w:r>
        <w:rPr>
          <w:rFonts w:ascii="Verdana" w:hAnsi="Verdana" w:cs="Verdana" w:eastAsia="Verdana"/>
          <w:sz w:val="24"/>
        </w:rPr>
        <w:t>1.4.2. Tasa máxima de interés moratorio:</w:t>
      </w:r>
      <w:r>
        <w:rPr>
          <w:rFonts w:ascii="Verdana" w:hAnsi="Verdana" w:cs="Verdana" w:eastAsia="Verdana"/>
          <w:sz w:val="24"/>
        </w:rPr>
        <w:t xml:space="preserve"> </w:t>
      </w:r>
      <w:r>
        <w:rPr>
          <w:rFonts w:ascii="Verdana" w:hAnsi="Verdana" w:cs="Verdana" w:eastAsia="Verdana"/>
          <w:sz w:val="24"/>
        </w:rPr>
        <w:t>las tasas máximas de interés moratorio no pueden ser superiores a una y media veces el interés bancario corriente certificado por la SFC de acuerdo con lo dispuesto en el artículo 884 del Código de Comercio.</w:t>
      </w:r>
      <w:r>
        <w:rPr>
          <w:rFonts w:ascii="Verdana" w:hAnsi="Verdana" w:cs="Verdana" w:eastAsia="Verdana"/>
          <w:sz w:val="24"/>
        </w:rPr>
        <w:t/>
        <w:cr/>
      </w:r>
      <w:r>
        <w:rPr>
          <w:rFonts w:ascii="Verdana" w:hAnsi="Verdana" w:cs="Verdana" w:eastAsia="Verdana"/>
          <w:sz w:val="24"/>
        </w:rPr>
        <w:t>Para efectos de lo dispuesto en</w:t>
      </w:r>
      <w:r>
        <w:rPr>
          <w:rFonts w:ascii="Verdana" w:hAnsi="Verdana" w:cs="Verdana" w:eastAsia="Verdana"/>
          <w:sz w:val="24"/>
        </w:rPr>
        <w:t xml:space="preserve"> </w:t>
      </w:r>
      <w:r>
        <w:rPr>
          <w:rFonts w:ascii="Verdana" w:hAnsi="Verdana" w:cs="Verdana" w:eastAsia="Verdana"/>
          <w:sz w:val="24"/>
        </w:rPr>
        <w:t>el artículo 19 de la Ley 546 de 1999, cuando las partes no hayan pactado intereses moratorios, los mismos no se presumen; sin embargo, cuando se pacten no podrán exceder una y media veces el interés remuneratorio pactado y solamente podrán cobrarse sobre cuotas vencidas.</w:t>
        <w:cr/>
      </w:r>
      <w:r>
        <w:rPr>
          <w:rFonts w:ascii="Verdana" w:hAnsi="Verdana" w:cs="Verdana" w:eastAsia="Verdana"/>
          <w:sz w:val="24"/>
        </w:rPr>
        <w:t/>
        <w:cr/>
      </w:r>
      <w:r>
        <w:rPr>
          <w:rFonts w:ascii="Verdana" w:hAnsi="Verdana" w:cs="Verdana" w:eastAsia="Verdana"/>
          <w:sz w:val="24"/>
        </w:rPr>
        <w:t>Atendiendo la existencia de tasas diferenciales dependiendo de las certificaciones emitidas por la SFC para los distintos tipos de crédito de conformidad con las facultades previstas en el artículo 326 del EOSF, el cálculo de las tasas moratorias debe corresponder a cada uno de los tipos de crédito existentes. </w:t>
        <w:cr/>
      </w:r>
    </w:p>
    <w:p>
      <w:pPr>
        <w:jc w:val="both"/>
      </w:pPr>
      <w:r>
        <w:rPr>
          <w:rFonts w:ascii="Verdana" w:hAnsi="Verdana" w:cs="Verdana" w:eastAsia="Verdana"/>
          <w:sz w:val="24"/>
        </w:rPr>
        <w:t>1.4.3. Tasa constitutiva de usura: es aquella tasa que se configura cuando la utilidad o ventaja que se cobre o reciba por concepto de un préstamo de dinero o de la venta de un bien o un servicio a plazo, exceda en la mitad el interés bancario corriente que para el período correspondiente estén cobrando los bancos, según certificación de la SFC, de conformidad con el artículo 305 del Código Penal (CP).</w:t>
        <w:cr/>
      </w:r>
    </w:p>
    <w:p>
      <w:pPr>
        <w:jc w:val="left"/>
      </w:pPr>
      <w:r>
        <w:rPr>
          <w:rFonts w:ascii="Verdana" w:hAnsi="Verdana" w:cs="Verdana" w:eastAsia="Verdana"/>
          <w:sz w:val="24"/>
          <w:b w:val="on"/>
        </w:rPr>
        <w:t>1.5. Cobros que conforman intereses</w:t>
      </w:r>
    </w:p>
    <w:p>
      <w:pPr>
        <w:jc w:val="both"/>
      </w:pPr>
      <w:r>
        <w:rPr>
          <w:rFonts w:ascii="Verdana" w:hAnsi="Verdana" w:cs="Verdana" w:eastAsia="Verdana"/>
          <w:sz w:val="24"/>
        </w:rPr>
        <w:t>Dado que los intereses son réditos de un capital, debe entenderse incluido en ellos tanto lo que se cobra por</w:t>
      </w:r>
      <w:r>
        <w:rPr>
          <w:rFonts w:ascii="Verdana" w:hAnsi="Verdana" w:cs="Verdana" w:eastAsia="Verdana"/>
          <w:sz w:val="24"/>
        </w:rPr>
        <w:t xml:space="preserve"> </w:t>
      </w:r>
      <w:r>
        <w:rPr>
          <w:rFonts w:ascii="Verdana" w:hAnsi="Verdana" w:cs="Verdana" w:eastAsia="Verdana"/>
          <w:sz w:val="24"/>
        </w:rPr>
        <w:t>ceder el beneficio de hacer uso del dinero, como por asumir el riesgo que ello representa y en general, todas las cargas de tipo accesorio que se derivan para el acreedor respectivo, con excepción de los impuestos directos que se causen, como podrían ser los estudios de crédito y los costos de control y cobranza normal u ordinaria, resultando así remunerada con tales réditos y en su integridad, la operación financiera.</w:t>
        <w:cr/>
      </w:r>
      <w:r>
        <w:rPr>
          <w:rFonts w:ascii="Verdana" w:hAnsi="Verdana" w:cs="Verdana" w:eastAsia="Verdana"/>
          <w:sz w:val="24"/>
        </w:rPr>
        <w:t/>
        <w:cr/>
      </w:r>
      <w:r>
        <w:rPr>
          <w:rFonts w:ascii="Verdana" w:hAnsi="Verdana" w:cs="Verdana" w:eastAsia="Verdana"/>
          <w:sz w:val="24"/>
        </w:rPr>
        <w:t xml:space="preserve">Así las cosas, para efectos de lo dispuesto en el artículo 1168 del Código de Comercio y el artículo 68 de la Ley 45 de 1990, debe entenderse comprendido en el concepto de interés, toda suma que reciba el acreedor directamente o por interpuesta persona, teniendo como causa la entrega de dinero, a título de depósito o de mutuo, así como aquellas sumas que el deudor pague por concepto de servicios vinculados directamente con el crédito. </w:t>
        <w:cr/>
      </w:r>
      <w:r>
        <w:rPr>
          <w:rFonts w:ascii="Verdana" w:hAnsi="Verdana" w:cs="Verdana" w:eastAsia="Verdana"/>
          <w:sz w:val="24"/>
        </w:rPr>
        <w:t/>
        <w:cr/>
      </w:r>
      <w:r>
        <w:rPr>
          <w:rFonts w:ascii="Verdana" w:hAnsi="Verdana" w:cs="Verdana" w:eastAsia="Verdana"/>
          <w:sz w:val="24"/>
        </w:rPr>
        <w:t>Tratándose de microcréditos, los intermediarios financieros y las organizaciones especializadas en crédito micro empresarial, podrán cobrar honorarios y comisiones, de conformidad con las tarifas que autorice el Consejo Superior de Microempresa, según lo dispone el artículo 39 de la Ley 590 de 2000, no repuntándose tales cobros como intereses, para efectos de lo estipulado en el artículo 68 de la Ley 45 de 1990.</w:t>
        <w:cr/>
      </w:r>
    </w:p>
    <w:p>
      <w:pPr>
        <w:jc w:val="left"/>
      </w:pPr>
      <w:r>
        <w:rPr>
          <w:rFonts w:ascii="Verdana" w:hAnsi="Verdana" w:cs="Verdana" w:eastAsia="Verdana"/>
          <w:sz w:val="24"/>
          <w:b w:val="on"/>
        </w:rPr>
        <w:t>2. Crédito a entidades estatales</w:t>
      </w:r>
    </w:p>
    <w:p>
      <w:pPr>
        <w:jc w:val="both"/>
      </w:pPr>
      <w:r>
        <w:rPr>
          <w:rFonts w:ascii="Verdana" w:hAnsi="Verdana" w:cs="Verdana" w:eastAsia="Verdana"/>
          <w:sz w:val="24"/>
        </w:rPr>
        <w:t>En todos los casos que pretenda celebrarse una operación de crédito público o sus asimiladas con las entidades estatales del orden nacional, definidas en el artículo 2.2.1.2. del Decreto 1068 de 2015, previo a la firma del mismo, sin excepción, debe exigirse la autorización expedida por el Ministerio de Hacienda y Crédito Público, de conformidad con lo establecido en el mencionado decreto.</w:t>
        <w:cr/>
      </w:r>
    </w:p>
    <w:p>
      <w:pPr>
        <w:jc w:val="left"/>
      </w:pPr>
      <w:r>
        <w:rPr>
          <w:rFonts w:ascii="Verdana" w:hAnsi="Verdana" w:cs="Verdana" w:eastAsia="Verdana"/>
          <w:sz w:val="24"/>
          <w:b w:val="on"/>
        </w:rPr>
        <w:t>2.1. Requisitos para el otorgamiento de créditos a cargo de entidades públicas territoriales</w:t>
      </w:r>
    </w:p>
    <w:p>
      <w:pPr>
        <w:jc w:val="both"/>
      </w:pPr>
      <w:r>
        <w:rPr>
          <w:rFonts w:ascii="Verdana" w:hAnsi="Verdana" w:cs="Verdana" w:eastAsia="Verdana"/>
          <w:sz w:val="24"/>
        </w:rPr>
        <w:t>El otorgamiento de créditos a entidades públicas territoriales y sus organismos descentralizados, se rige por reglas que imponen a las entidades vigiladas una particular diligencia en el análisis de la capacidad de pago y endeudamiento de los potenciales deudores. En esa medida y dado que este tipo de entes se rigen por condiciones especiales, es deber de los establecimientos de crédito, además de los requisitos que se definan en sus políticas internas de crédito, exigir los requisitos dispuestos en las disposiciones legales en materia de endeudamiento para este tipo de entidades.</w:t>
        <w:cr/>
      </w:r>
      <w:r>
        <w:rPr>
          <w:rFonts w:ascii="Verdana" w:hAnsi="Verdana" w:cs="Verdana" w:eastAsia="Verdana"/>
          <w:sz w:val="24"/>
        </w:rPr>
        <w:t/>
        <w:cr/>
      </w:r>
      <w:r>
        <w:rPr>
          <w:rFonts w:ascii="Verdana" w:hAnsi="Verdana" w:cs="Verdana" w:eastAsia="Verdana"/>
          <w:sz w:val="24"/>
        </w:rPr>
        <w:t>Para tal efecto, debe tenerse en cuenta:</w:t>
        <w:cr/>
      </w:r>
    </w:p>
    <w:p>
      <w:pPr>
        <w:jc w:val="left"/>
      </w:pPr>
      <w:r>
        <w:rPr>
          <w:rFonts w:ascii="Verdana" w:hAnsi="Verdana" w:cs="Verdana" w:eastAsia="Verdana"/>
          <w:sz w:val="24"/>
          <w:b w:val="on"/>
        </w:rPr>
        <w:t>2.1.1. Regulación vigente</w:t>
      </w:r>
    </w:p>
    <w:p>
      <w:pPr>
        <w:jc w:val="both"/>
      </w:pPr>
      <w:r>
        <w:rPr>
          <w:rFonts w:ascii="Verdana" w:hAnsi="Verdana" w:cs="Verdana" w:eastAsia="Verdana"/>
          <w:sz w:val="24"/>
        </w:rPr>
        <w:t>En la celebración de operaciones de crédito público y sus asimiladas con entidades territoriales y sus organismos descentralizados, se deben atender las reglas contenidas en el parágrafo 2 del artículo 41 de la Ley 80 de 1993 y las contenidas en las Leyes 358 de 1997, 533 y 550 de 1999, 617 de 2000, 819 de 2003, y en las demás normas concordantes, incluyendo el Decreto 1068 de 2015.</w:t>
      </w:r>
    </w:p>
    <w:p>
      <w:pPr>
        <w:jc w:val="left"/>
      </w:pPr>
      <w:r>
        <w:rPr>
          <w:rFonts w:ascii="Verdana" w:hAnsi="Verdana" w:cs="Verdana" w:eastAsia="Verdana"/>
          <w:sz w:val="24"/>
          <w:b w:val="on"/>
        </w:rPr>
        <w:t>2.1.2. Destinación de los recursos de financiación</w:t>
      </w:r>
    </w:p>
    <w:p>
      <w:pPr>
        <w:jc w:val="both"/>
      </w:pPr>
      <w:r>
        <w:rPr>
          <w:rFonts w:ascii="Verdana" w:hAnsi="Verdana" w:cs="Verdana" w:eastAsia="Verdana"/>
          <w:sz w:val="24"/>
        </w:rPr>
        <w:t>En la celebración de operaciones de crédito público, las entidades vigiladas deben verificar que los recursos otorgados sean destinados a financiar gastos de inversión de acuerdo con lo señalado en el parágrafo del artículo 2 de la Ley 358 de 1997, salvo aquellos créditos de corto plazo, los de refinanciación de deuda vigente o los adquiridos para pago de indemnizaciones de personal en procesos de reducción de planta.</w:t>
        <w:cr/>
      </w:r>
      <w:r>
        <w:rPr>
          <w:rFonts w:ascii="Verdana" w:hAnsi="Verdana" w:cs="Verdana" w:eastAsia="Verdana"/>
          <w:sz w:val="24"/>
        </w:rPr>
        <w:t/>
        <w:cr/>
      </w:r>
      <w:r>
        <w:rPr>
          <w:rFonts w:ascii="Verdana" w:hAnsi="Verdana" w:cs="Verdana" w:eastAsia="Verdana"/>
          <w:sz w:val="24"/>
        </w:rPr>
        <w:t>Para el caso de créditos de corto plazo como los de tesorería, las operaciones de endeudamiento deben ajustarse a los requisitos establecidos para estas entidades en las disposiciones que les rigen, como el artículo 15 de la Ley 819 de 2003.</w:t>
        <w:cr/>
      </w:r>
    </w:p>
    <w:p>
      <w:pPr>
        <w:jc w:val="left"/>
      </w:pPr>
      <w:r>
        <w:rPr>
          <w:rFonts w:ascii="Verdana" w:hAnsi="Verdana" w:cs="Verdana" w:eastAsia="Verdana"/>
          <w:sz w:val="24"/>
          <w:b w:val="on"/>
        </w:rPr>
        <w:t>2.1.3. Capitalización de intereses</w:t>
      </w:r>
    </w:p>
    <w:p>
      <w:pPr>
        <w:jc w:val="both"/>
      </w:pPr>
      <w:r>
        <w:rPr>
          <w:rFonts w:ascii="Verdana" w:hAnsi="Verdana" w:cs="Verdana" w:eastAsia="Verdana"/>
          <w:sz w:val="24"/>
        </w:rPr>
        <w:t>Las entidades financieras no pueden estipular mecanismos de financiación en los que por virtud de la capitalización de intereses se mantenga inactiva la atención de la deuda por un término relativamente considerable, sin que pueda evaluarse durante el mismo la capacidad de pago del deudor y, por ende, la calidad del crédito concedido en tales condiciones. Este mecanismo conduce a que no se revele en forma adecuada el servicio total de la deuda e impide ejercer el control sobre el límite de endeudamiento de las entidades territoriales previsto en la Ley 358 de 1997. En estos casos, el establecimiento de crédito debe verificar que la entidad territorial cumple además con la relación saldo de la deuda/ingresos corrientes establecido en el artículo 6 de la Ley 358 de 1997, cuando a ello hubiere lugar. </w:t>
        <w:cr/>
      </w:r>
    </w:p>
    <w:p>
      <w:pPr>
        <w:jc w:val="left"/>
      </w:pPr>
      <w:r>
        <w:rPr>
          <w:rFonts w:ascii="Verdana" w:hAnsi="Verdana" w:cs="Verdana" w:eastAsia="Verdana"/>
          <w:sz w:val="24"/>
          <w:b w:val="on"/>
        </w:rPr>
        <w:t>2.1.4. Garantías</w:t>
      </w:r>
    </w:p>
    <w:p>
      <w:pPr>
        <w:jc w:val="both"/>
      </w:pPr>
      <w:r>
        <w:rPr>
          <w:rFonts w:ascii="Verdana" w:hAnsi="Verdana" w:cs="Verdana" w:eastAsia="Verdana"/>
          <w:sz w:val="24"/>
        </w:rPr>
        <w:t xml:space="preserve">Sin perjuicio de lo establecido en el subnumeral 2.1.2 del presente Capítulo, las entidades vigiladas deben tener en cuenta que los ingresos o rentas de vigencias futuras, son proyecciones y por tanto, son estimativos inciertos, para efectos de la asunción del riesgo implícito en dichas operaciones. </w:t>
        <w:cr/>
      </w:r>
      <w:r>
        <w:rPr>
          <w:rFonts w:ascii="Verdana" w:hAnsi="Verdana" w:cs="Verdana" w:eastAsia="Verdana"/>
          <w:sz w:val="24"/>
        </w:rPr>
        <w:t>En igual sentido, es deber de los establecimientos de crédito asegurarse de que las garantías ofrecidas no tengan gravámenes o compromisos previos que limiten su eficacia, y en todo caso, cuando la cuantía del crédito no haga necesaria la sujeción a las normas sobre riesgo de concentración, el establecimiento de crédito debe verificar que las rentas no hayan sido otorgadas en garantía anteriormente a otras entidades financieras, salvo que la suficiencia de la renta sea tal que pueda garantizar créditos adicionales.</w:t>
      </w:r>
    </w:p>
    <w:p>
      <w:pPr>
        <w:jc w:val="left"/>
      </w:pPr>
      <w:r>
        <w:rPr>
          <w:rFonts w:ascii="Verdana" w:hAnsi="Verdana" w:cs="Verdana" w:eastAsia="Verdana"/>
          <w:sz w:val="24"/>
          <w:b w:val="on"/>
        </w:rPr>
        <w:t>2.1.5. Límites a los niveles de endeudamiento</w:t>
      </w:r>
    </w:p>
    <w:p>
      <w:pPr>
        <w:jc w:val="both"/>
      </w:pPr>
      <w:r>
        <w:rPr>
          <w:rFonts w:ascii="Verdana" w:hAnsi="Verdana" w:cs="Verdana" w:eastAsia="Verdana"/>
          <w:sz w:val="24"/>
        </w:rPr>
        <w:t xml:space="preserve">Cuando las entidades vigiladas otorguen crédito a las entidades territoriales deben, en todos los casos, verificar que estos no superen los límites de endeudamiento previstos en las Leyes 358 de 1997, 617 de 2000 y 819 de 2013, u otras que las adicionen o modifiquen. Adicionalmente, tratándose de departamentos, distritos y municipios debe acreditarse el cumplimiento de los indicadores de gastos de funcionamiento a que se refieren los artículos 4, 6, 8 y 10 de la Ley 617 de 2000. </w:t>
        <w:cr/>
      </w:r>
      <w:r>
        <w:rPr>
          <w:rFonts w:ascii="Verdana" w:hAnsi="Verdana" w:cs="Verdana" w:eastAsia="Verdana"/>
          <w:sz w:val="24"/>
        </w:rPr>
        <w:t/>
        <w:cr/>
      </w:r>
      <w:r>
        <w:rPr>
          <w:rFonts w:ascii="Verdana" w:hAnsi="Verdana" w:cs="Verdana" w:eastAsia="Verdana"/>
          <w:sz w:val="24"/>
        </w:rPr>
        <w:t>En todo caso, los establecimientos de crédito deben abstenerse de otorgar financiación a cualquier entidad territorial que, presentando una relación intereses/ahorro operacional superior al 60% o una relación saldo de la deuda/ingresos corrientes superior al 100%, no haya suscrito un plan de desempeño -el cual debe contar con la conformidad previa de la Dirección de Apoyo Fiscal del Ministerio de Hacienda y Crédito Público- y tenga la autorización de endeudamiento correspondiente, en los términos establecidos en la Ley 358 de 1997 y en la ley 2155 de 2021 y sus disposiciones complementarias.</w:t>
        <w:cr/>
      </w:r>
      <w:r>
        <w:rPr>
          <w:rFonts w:ascii="Verdana" w:hAnsi="Verdana" w:cs="Verdana" w:eastAsia="Verdana"/>
          <w:sz w:val="24"/>
        </w:rPr>
        <w:t/>
        <w:cr/>
      </w:r>
      <w:r>
        <w:rPr>
          <w:rFonts w:ascii="Verdana" w:hAnsi="Verdana" w:cs="Verdana" w:eastAsia="Verdana"/>
          <w:sz w:val="24"/>
        </w:rPr>
        <w:t>La SFC impondrá las sanciones a que haya lugar por el otorgamiento de créditos a las entidades territoriales sin la verificación de la capacidad de pago de que trata la Ley 358 de 1997.</w:t>
        <w:cr/>
      </w:r>
    </w:p>
    <w:p>
      <w:pPr>
        <w:jc w:val="left"/>
      </w:pPr>
      <w:r>
        <w:rPr>
          <w:rFonts w:ascii="Verdana" w:hAnsi="Verdana" w:cs="Verdana" w:eastAsia="Verdana"/>
          <w:sz w:val="24"/>
          <w:b w:val="on"/>
        </w:rPr>
        <w:t>2.1.6. Planes de desempeño / Acuerdos de reestructuración - Programas de saneamiento fiscal</w:t>
      </w:r>
    </w:p>
    <w:p>
      <w:pPr>
        <w:jc w:val="both"/>
      </w:pPr>
      <w:r>
        <w:rPr>
          <w:rFonts w:ascii="Verdana" w:hAnsi="Verdana" w:cs="Verdana" w:eastAsia="Verdana"/>
          <w:sz w:val="24"/>
        </w:rPr>
        <w:t>De acuerdo con lo establecido en el artículo 9 de la Ley 358 de 1997, los planes de desempeño son programas de ajuste fiscal, financiero y administrativo tendientes a restablecer la solidez económica y financiera de las entidades territoriales. No obstante, las entidades territoriales, tanto en su sector central como descentralizado pueden acogerse a los acuerdos de reestructuración de la Ley 550 de 1999 y a los programas de saneamiento fiscal a que se refiere la Ley 617 de 2000.</w:t>
        <w:cr/>
      </w:r>
      <w:r>
        <w:rPr>
          <w:rFonts w:ascii="Verdana" w:hAnsi="Verdana" w:cs="Verdana" w:eastAsia="Verdana"/>
          <w:sz w:val="24"/>
        </w:rPr>
        <w:t/>
        <w:cr/>
      </w:r>
      <w:r>
        <w:rPr>
          <w:rFonts w:ascii="Verdana" w:hAnsi="Verdana" w:cs="Verdana" w:eastAsia="Verdana"/>
          <w:sz w:val="24"/>
        </w:rPr>
        <w:t>Tratándose de acuerdos de reestructuración, corresponde a las entidades vigiladas el control al cumplimiento de los acuerdos, bajo el entendido que el control atribuido a las entidades financieras sólo comprende acceder a información respecto del cumplimiento de los acuerdos de reestructuración por parte de las entidades territoriales, con el consecuente deber de comunicar a las autoridades competentes acerca de los incumplimientos identificados.</w:t>
        <w:cr/>
      </w:r>
      <w:r>
        <w:rPr>
          <w:rFonts w:ascii="Verdana" w:hAnsi="Verdana" w:cs="Verdana" w:eastAsia="Verdana"/>
          <w:sz w:val="24"/>
        </w:rPr>
        <w:t/>
        <w:cr/>
      </w:r>
      <w:r>
        <w:rPr>
          <w:rFonts w:ascii="Verdana" w:hAnsi="Verdana" w:cs="Verdana" w:eastAsia="Verdana"/>
          <w:sz w:val="24"/>
        </w:rPr>
        <w:t>Los establecimientos de crédito deben abstenerse de otorgar cualquier nuevo endeudamiento a las entidades territoriales que incumplan el plan de desempeño a que se refiere el artículo 9 de la Ley 358 de 1997, salvo que tratándose de una nueva administración ésta cuente con autorización del Ministerio de Hacienda y Crédito Público. Lo anterior, sin perjuicio de lo establecido en el Capítulo XXXI de la CBCF o las normas que lo modifiquen o sustituyan.</w:t>
        <w:cr/>
      </w:r>
    </w:p>
    <w:p>
      <w:pPr>
        <w:jc w:val="left"/>
      </w:pPr>
      <w:r>
        <w:rPr>
          <w:rFonts w:ascii="Verdana" w:hAnsi="Verdana" w:cs="Verdana" w:eastAsia="Verdana"/>
          <w:sz w:val="24"/>
          <w:b w:val="on"/>
        </w:rPr>
        <w:t>2.1.7. Mecanismos adicionales de verificación y de registro de la operación</w:t>
      </w:r>
    </w:p>
    <w:p>
      <w:pPr>
        <w:jc w:val="both"/>
      </w:pPr>
      <w:r>
        <w:rPr>
          <w:rFonts w:ascii="Verdana" w:hAnsi="Verdana" w:cs="Verdana" w:eastAsia="Verdana"/>
          <w:sz w:val="24"/>
        </w:rPr>
        <w:t>Sin perjuicio de las obligaciones establecidas a las entidades vigiladas en las normas que regulan la actividad de endeudamiento de las entidades a que se refiere este aparte, los establecimientos de crédito deben tener en cuenta mecanismos adicionales que les permitan evaluar en debida forma la capacidad de pago de dichas entidades y contar con suficientes elementos de juicio para valorar la seguridad de las operaciones realizadas. En tal sentido, entre los diversos mecanismos, resulta preciso que los establecimientos de crédito exijan de las entidades territoriales el certificado de registro de la deuda que expiden las correspondientes Contralorías.</w:t>
        <w:cr/>
      </w:r>
      <w:r>
        <w:rPr>
          <w:rFonts w:ascii="Verdana" w:hAnsi="Verdana" w:cs="Verdana" w:eastAsia="Verdana"/>
          <w:sz w:val="24"/>
        </w:rPr>
        <w:t/>
        <w:cr/>
      </w:r>
      <w:r>
        <w:rPr>
          <w:rFonts w:ascii="Verdana" w:hAnsi="Verdana" w:cs="Verdana" w:eastAsia="Verdana"/>
          <w:sz w:val="24"/>
        </w:rPr>
        <w:t>Así mismo y con el fin de que las entidades sometidas a la Ley 358 de 1997 cumplan con el parágrafo 2 del artículo 41 de la Ley 80 de 1993, en concordancia con el artículo 13 de la Ley 533 de 1999, de acuerdo con los cuales para la ejecución de estas operaciones de crédito es requisito indispensable proceder a su registro en la Dirección General de Crédito Público del Ministerio de Hacienda y Crédito Público y al envío de información referente a saldos y movimientos de dichas operaciones, se considera conveniente que en las minutas de contrato de empréstito interno que se acuerden con las entidades territoriales y sus organismos descentralizados, se incluya una cláusula que obligue a que previo el primer desembolso del préstamo, el prestatario, en cumplimiento de la citada disposición, remita a la Dirección General de Crédito Público copia del contrato de empréstito, para su consiguiente registro.</w:t>
        <w:cr/>
      </w:r>
      <w:r>
        <w:rPr>
          <w:rFonts w:ascii="Verdana" w:hAnsi="Verdana" w:cs="Verdana" w:eastAsia="Verdana"/>
          <w:sz w:val="24"/>
        </w:rPr>
        <w:t>Para los efectos de este subnumeral,</w:t>
      </w:r>
      <w:r>
        <w:rPr>
          <w:rFonts w:ascii="Verdana" w:hAnsi="Verdana" w:cs="Verdana" w:eastAsia="Verdana"/>
          <w:sz w:val="24"/>
        </w:rPr>
        <w:t xml:space="preserve"> </w:t>
      </w:r>
      <w:r>
        <w:rPr>
          <w:rFonts w:ascii="Verdana" w:hAnsi="Verdana" w:cs="Verdana" w:eastAsia="Verdana"/>
          <w:sz w:val="24"/>
        </w:rPr>
        <w:t>los establecimientos de crédito deben adoptar instructivos internos necesarios para poner en ejecución las medidas señaladas.</w:t>
        <w:cr/>
      </w:r>
    </w:p>
    <w:p>
      <w:pPr>
        <w:jc w:val="left"/>
      </w:pPr>
      <w:r>
        <w:rPr>
          <w:rFonts w:ascii="Verdana" w:hAnsi="Verdana" w:cs="Verdana" w:eastAsia="Verdana"/>
          <w:sz w:val="24"/>
          <w:b w:val="on"/>
        </w:rPr>
        <w:t>2.2. Contratos con empresas de servicios públicos de carácter oficial</w:t>
      </w:r>
    </w:p>
    <w:p>
      <w:pPr>
        <w:jc w:val="both"/>
      </w:pPr>
      <w:r>
        <w:rPr>
          <w:rFonts w:ascii="Verdana" w:hAnsi="Verdana" w:cs="Verdana" w:eastAsia="Verdana"/>
          <w:sz w:val="24"/>
        </w:rPr>
        <w:t>De conformidad con lo dispuesto en el artículo 36.6 de la Ley 142 de 1994, les está prohibido a las instituciones financieras celebrar contratos con empresas de servicios públicos oficiales para facilitarles recursos, cuando se encuentren incumpliendo los indicadores de gestión a los que deben estar sujetas, mientras no acuerden un plan de recuperación con la comisión encargada de regularlas.</w:t>
      </w:r>
      <w:r>
        <w:rPr>
          <w:rFonts w:ascii="Verdana" w:hAnsi="Verdana" w:cs="Verdana" w:eastAsia="Verdana"/>
          <w:sz w:val="24"/>
        </w:rPr>
        <w:t>En consecuencia, siempre que un establecimiento de crédito celebre operaciones de crédito con una empresa de servicios públicos de carácter oficial, debe verificar previamente, de manera formal y dejando constancia escrita en los documentos de estudio del crédito, si la respectiva empresa se encuentra cumpliendo los indicadores de gestión (cuyo seguimiento y control es realizado por la Superintendencia de Servicios Públicos Domiciliarios), o, en su defecto, si ha suscrito un plan de recuperación con el correspondiente ente regulador que la habilite para endeudarse.</w:t>
      </w:r>
    </w:p>
    <w:p>
      <w:pPr>
        <w:jc w:val="left"/>
      </w:pPr>
      <w:r>
        <w:rPr>
          <w:rFonts w:ascii="Verdana" w:hAnsi="Verdana" w:cs="Verdana" w:eastAsia="Verdana"/>
          <w:sz w:val="24"/>
          <w:b w:val="on"/>
        </w:rPr>
        <w:t>3. Garantías para efectos de cupos individuales de crédito</w:t>
      </w:r>
    </w:p>
    <w:p>
      <w:pPr>
        <w:jc w:val="both"/>
      </w:pPr>
      <w:r>
        <w:rPr>
          <w:rFonts w:ascii="Verdana" w:hAnsi="Verdana" w:cs="Verdana" w:eastAsia="Verdana"/>
          <w:sz w:val="24"/>
        </w:rPr>
        <w:t>Las instrucciones del presente numeral rigen hasta el 4 de agosto de 2025, de conformidad con lo dispuesto en la Circular Externa 003 de 2024 de esta Superintendencia y según lo previsto en el Decreto 1533 de 2022.</w:t>
      </w:r>
    </w:p>
    <w:p>
      <w:pPr>
        <w:jc w:val="left"/>
      </w:pPr>
      <w:r>
        <w:rPr>
          <w:rFonts w:ascii="Verdana" w:hAnsi="Verdana" w:cs="Verdana" w:eastAsia="Verdana"/>
          <w:sz w:val="24"/>
          <w:b w:val="on"/>
        </w:rPr>
        <w:t>3.1. Garantías admisibles</w:t>
      </w:r>
    </w:p>
    <w:p>
      <w:pPr>
        <w:jc w:val="both"/>
      </w:pPr>
      <w:r>
        <w:rPr>
          <w:rFonts w:ascii="Verdana" w:hAnsi="Verdana" w:cs="Verdana" w:eastAsia="Verdana"/>
          <w:sz w:val="24"/>
        </w:rPr>
        <w:t>Para efectos de establecer los límites a los cupos individuales de crédito y de acuerdo con lo previsto en los artículos 2.1.2.1.3 y 2.1.2.1.4 del Decreto 2555 de 2010, se consideran garantías admisibles los derechos reales o personales que permiten a la entidad financiera acreedora, en caso de ser incumplida la obligación garantizada, obtener de manera eficaz y oportuna su pago, incluso coactivamente, sin ser indispensable acudir ante la jurisdicción ordinaria. Así es como, la garantía admisible consiste en ofrecer un respaldo jurídicamente eficaz al pago de la obligación garantizada al otorgar al acreedor una preferencia o mejor derecho para obtener el pago de la obligación.</w:t>
        <w:cr/>
      </w:r>
      <w:r>
        <w:rPr>
          <w:rFonts w:ascii="Verdana" w:hAnsi="Verdana" w:cs="Verdana" w:eastAsia="Verdana"/>
          <w:sz w:val="24"/>
        </w:rPr>
        <w:t/>
        <w:cr/>
      </w:r>
      <w:r>
        <w:rPr>
          <w:rFonts w:ascii="Verdana" w:hAnsi="Verdana" w:cs="Verdana" w:eastAsia="Verdana"/>
          <w:sz w:val="24"/>
        </w:rPr>
        <w:t>En tal sentido, la enunciación de garantías admisibles contenida en el artículo 2.1.2.1.4 del Decreto 2555 de 2010 no es taxativa; por ende, las entidades financieras pueden aceptar como tales aquellas seguridades que conforme a la evaluación que de ellas hagan, reúnan las características descritas en los mencionados artículos. La evaluación pertinente debe reposar en la entidad y mantenerse a disposición de esta Superintendencia, acorde con las políticas de administración de riesgo de crédito.</w:t>
        <w:cr/>
      </w:r>
      <w:r>
        <w:rPr>
          <w:rFonts w:ascii="Verdana" w:hAnsi="Verdana" w:cs="Verdana" w:eastAsia="Verdana"/>
          <w:sz w:val="24"/>
        </w:rPr>
        <w:t/>
        <w:cr/>
      </w:r>
      <w:r>
        <w:rPr>
          <w:rFonts w:ascii="Verdana" w:hAnsi="Verdana" w:cs="Verdana" w:eastAsia="Verdana"/>
          <w:sz w:val="24"/>
        </w:rPr>
        <w:t>A continuación, se considera pertinente efectuar las siguientes precisiones adicionales respecto de algunas garantías o seguridades admisibles:</w:t>
        <w:cr/>
      </w:r>
    </w:p>
    <w:p>
      <w:pPr>
        <w:jc w:val="left"/>
      </w:pPr>
      <w:r>
        <w:rPr>
          <w:rFonts w:ascii="Verdana" w:hAnsi="Verdana" w:cs="Verdana" w:eastAsia="Verdana"/>
          <w:sz w:val="24"/>
          <w:b w:val="on"/>
        </w:rPr>
        <w:t>3.1.1. Pignoración de rentas de entidades territoriales y entidades descentralizadas</w:t>
      </w:r>
    </w:p>
    <w:p>
      <w:pPr>
        <w:jc w:val="both"/>
      </w:pPr>
      <w:r>
        <w:rPr>
          <w:rFonts w:ascii="Verdana" w:hAnsi="Verdana" w:cs="Verdana" w:eastAsia="Verdana"/>
          <w:sz w:val="24"/>
        </w:rPr>
        <w:t>Las garantías otorgadas por las entidades territoriales y sus entidades descentralizadas deben evaluarse de acuerdo con los criterios definidos en el artículo 2.1.2.1.3 del Decreto 2555 de 2010. </w:t>
        <w:cr/>
      </w:r>
      <w:r>
        <w:rPr>
          <w:rFonts w:ascii="Verdana" w:hAnsi="Verdana" w:cs="Verdana" w:eastAsia="Verdana"/>
          <w:sz w:val="24"/>
        </w:rPr>
        <w:t/>
        <w:cr/>
      </w:r>
      <w:r>
        <w:rPr>
          <w:rFonts w:ascii="Verdana" w:hAnsi="Verdana" w:cs="Verdana" w:eastAsia="Verdana"/>
          <w:sz w:val="24"/>
        </w:rPr>
        <w:t>Ahora bien, conforme al artículo 11 de la Ley 358 de 1997, y para los efectos de lo previsto en el literal e. del artículo 2.1.2.1.4 del Decreto 2555 de 2010, cuando se pignoren rentas de las entidades territoriales, de sus entidades descentralizadas o de las áreas metropolitanas y dichas rentas deban destinarse forzosamente a determinados servicios, actividades o sectores establecidos por la ley, se considera dicha pignoración como garantía admisible, sólo si el crédito asegurado con la prenda tiene como objetivo único financiar la inversión para la provisión de los mismos servicios, actividades o sectores a los cuales deban destinarse las rentas correspondientes.</w:t>
        <w:cr/>
      </w:r>
      <w:r>
        <w:rPr>
          <w:rFonts w:ascii="Verdana" w:hAnsi="Verdana" w:cs="Verdana" w:eastAsia="Verdana"/>
          <w:sz w:val="24"/>
        </w:rPr>
        <w:t/>
        <w:cr/>
      </w:r>
      <w:r>
        <w:rPr>
          <w:rFonts w:ascii="Verdana" w:hAnsi="Verdana" w:cs="Verdana" w:eastAsia="Verdana"/>
          <w:sz w:val="24"/>
        </w:rPr>
        <w:t>No obstante, es posible constituir garantías sobre rentas de destinación específica para respaldar operaciones de sustitución de los créditos originales, es decir, para contraer una operación crediticia cuyos recursos se destinarán a pagar de manera anticipada otra obligación ya vigente. Lo anterior, en razón a que estas operaciones se interpretan como un acto de gestión sobre el pasivo financiero en el cual se realizan algunas modificaciones sobre la deuda inicial, pero manteniendo el propósito y monto de la operación.</w:t>
        <w:cr/>
      </w:r>
    </w:p>
    <w:p>
      <w:pPr>
        <w:jc w:val="left"/>
      </w:pPr>
      <w:r>
        <w:rPr>
          <w:rFonts w:ascii="Verdana" w:hAnsi="Verdana" w:cs="Verdana" w:eastAsia="Verdana"/>
          <w:sz w:val="24"/>
          <w:b w:val="on"/>
        </w:rPr>
        <w:t>3.1.2. Garantía personal</w:t>
      </w:r>
    </w:p>
    <w:p>
      <w:pPr>
        <w:jc w:val="both"/>
      </w:pPr>
      <w:r>
        <w:rPr>
          <w:rFonts w:ascii="Verdana" w:hAnsi="Verdana" w:cs="Verdana" w:eastAsia="Verdana"/>
          <w:sz w:val="24"/>
        </w:rPr>
        <w:t>Conforme lo previsto en el literal h. del artículo 2.1.2.1.4 del Decreto 2555 de 2010 es garantía admisible la garantía personal, esto es, el aval o fianza de personas jurídicas que tengan en circulación en el mercado de valores papeles con la mera garantía de su patrimonio, siempre y cuando se trate de personas cuyos valores hayan sido calificados como de primera clase por empresas calificadoras de valores inscritas ante la SFC. Esta garantía, respecto de las operaciones con un mismo deudor o grupo de deudores, no podrá ser superior al 15% del patrimonio técnico de la entidad acreedora.</w:t>
        <w:cr/>
      </w:r>
    </w:p>
    <w:p>
      <w:pPr>
        <w:jc w:val="left"/>
      </w:pPr>
      <w:r>
        <w:rPr>
          <w:rFonts w:ascii="Verdana" w:hAnsi="Verdana" w:cs="Verdana" w:eastAsia="Verdana"/>
          <w:sz w:val="24"/>
          <w:b w:val="on"/>
        </w:rPr>
        <w:t>3.1.3. Garantías mobiliarias</w:t>
      </w:r>
    </w:p>
    <w:p>
      <w:pPr>
        <w:jc w:val="both"/>
      </w:pPr>
      <w:r>
        <w:rPr>
          <w:rFonts w:ascii="Verdana" w:hAnsi="Verdana" w:cs="Verdana" w:eastAsia="Verdana"/>
          <w:sz w:val="24"/>
        </w:rPr>
        <w:t>Se consideran admisibles, las garantías mobiliarias que refiriéndose a cualquiera de las operaciones de que trata el artículo 3 de la Ley 1676 de 2013, reúnan los requisitos establecidos en el artículo 2.1.2.1.3 del Decreto 2555 de 2010.</w:t>
        <w:cr/>
      </w:r>
      <w:r>
        <w:rPr>
          <w:rFonts w:ascii="Verdana" w:hAnsi="Verdana" w:cs="Verdana" w:eastAsia="Verdana"/>
          <w:sz w:val="24"/>
        </w:rPr>
        <w:t/>
        <w:cr/>
      </w:r>
      <w:r>
        <w:rPr>
          <w:rFonts w:ascii="Verdana" w:hAnsi="Verdana" w:cs="Verdana" w:eastAsia="Verdana"/>
          <w:sz w:val="24"/>
        </w:rPr>
        <w:t>La constitución, oponibilidad, registro, prelación y ejecución de las garantías mobiliarias siguen lo dispuesto en la Ley 1676 de 2013 o las normas que la modifiquen, así como en sus decretos reglamentarios, entre estos, el Decreto 1074 de 2015 y sus modificaciones.</w:t>
        <w:cr/>
      </w:r>
      <w:r>
        <w:rPr>
          <w:rFonts w:ascii="Verdana" w:hAnsi="Verdana" w:cs="Verdana" w:eastAsia="Verdana"/>
          <w:sz w:val="24"/>
        </w:rPr>
        <w:t/>
        <w:cr/>
      </w:r>
      <w:r>
        <w:rPr>
          <w:rFonts w:ascii="Verdana" w:hAnsi="Verdana" w:cs="Verdana" w:eastAsia="Verdana"/>
          <w:sz w:val="24"/>
        </w:rPr>
        <w:t>No obstante, la misma ley en el artículo 4 establece unas limitaciones a este tipo de garantía, al señalar que no será aplicable a los bienes muebles sobre los que la pignoración o utilización como garantía mobiliaria esté prohibida por ley imperativa o de orden público, y que se exceptuarán de lo dispuesto en dicha ley, las garantías mobiliarias otorgadas sobre:</w:t>
        <w:cr/>
      </w:r>
    </w:p>
    <w:p>
      <w:pPr>
        <w:jc w:val="both"/>
      </w:pPr>
      <w:r>
        <w:rPr>
          <w:rFonts w:ascii="Verdana" w:hAnsi="Verdana" w:cs="Verdana" w:eastAsia="Verdana"/>
          <w:sz w:val="24"/>
        </w:rPr>
        <w:t>3.1.3.1. Bienes muebles tales como las aeronaves, motores de aeronaves, helicópteros, equipo ferroviario, los elementos espaciales y otras categorías de equipo móvil reguladas por la Ley 967 de 2005.</w:t>
        <w:cr/>
      </w:r>
    </w:p>
    <w:p>
      <w:pPr>
        <w:jc w:val="both"/>
      </w:pPr>
      <w:r>
        <w:rPr>
          <w:rFonts w:ascii="Verdana" w:hAnsi="Verdana" w:cs="Verdana" w:eastAsia="Verdana"/>
          <w:sz w:val="24"/>
        </w:rPr>
        <w:t>3.1.3.2. Valores intermediados e instrumentos financieros regulados en la Ley 964 de 2005.</w:t>
        <w:cr/>
      </w:r>
    </w:p>
    <w:p>
      <w:pPr>
        <w:jc w:val="both"/>
      </w:pPr>
      <w:r>
        <w:rPr>
          <w:rFonts w:ascii="Verdana" w:hAnsi="Verdana" w:cs="Verdana" w:eastAsia="Verdana"/>
          <w:sz w:val="24"/>
        </w:rPr>
        <w:t>3.1.3.3. Garantías sobre títulos valores, que seguirán las reglas del Código de Comercio.</w:t>
        <w:cr/>
      </w:r>
    </w:p>
    <w:p>
      <w:pPr>
        <w:jc w:val="both"/>
      </w:pPr>
      <w:r>
        <w:rPr>
          <w:rFonts w:ascii="Verdana" w:hAnsi="Verdana" w:cs="Verdana" w:eastAsia="Verdana"/>
          <w:sz w:val="24"/>
        </w:rPr>
        <w:t>3.1.3.4. Depósito de dinero en garantía, cuando el depositario es el acreedor.</w:t>
        <w:cr/>
      </w:r>
    </w:p>
    <w:p>
      <w:pPr>
        <w:jc w:val="left"/>
      </w:pPr>
      <w:r>
        <w:rPr>
          <w:rFonts w:ascii="Verdana" w:hAnsi="Verdana" w:cs="Verdana" w:eastAsia="Verdana"/>
          <w:sz w:val="24"/>
          <w:b w:val="on"/>
        </w:rPr>
        <w:t>3.1.4. Títulos valores entregados en garantía</w:t>
      </w:r>
    </w:p>
    <w:p>
      <w:pPr>
        <w:jc w:val="both"/>
      </w:pPr>
      <w:r>
        <w:rPr>
          <w:rFonts w:ascii="Verdana" w:hAnsi="Verdana" w:cs="Verdana" w:eastAsia="Verdana"/>
          <w:sz w:val="24"/>
        </w:rPr>
        <w:t>Los títulos valores que sean considerados como garantía admisible para efectos de lo previsto en el artículo 2.1.2.1.5 del Decreto 2555 de 2010, y en consecuencia sean aceptables para efectos de la administración de riesgo de crédito deben cumplir con las siguientes condiciones:</w:t>
      </w:r>
    </w:p>
    <w:p>
      <w:pPr>
        <w:jc w:val="left"/>
      </w:pPr>
      <w:r>
        <w:rPr>
          <w:rFonts w:ascii="Verdana" w:hAnsi="Verdana" w:cs="Verdana" w:eastAsia="Verdana"/>
          <w:sz w:val="24"/>
          <w:b w:val="on"/>
        </w:rPr>
        <w:t>3.1.4.1. Menciones de los títulos valores</w:t>
      </w:r>
    </w:p>
    <w:p>
      <w:pPr>
        <w:jc w:val="both"/>
      </w:pPr>
      <w:r>
        <w:rPr>
          <w:rFonts w:ascii="Verdana" w:hAnsi="Verdana" w:cs="Verdana" w:eastAsia="Verdana"/>
          <w:sz w:val="24"/>
        </w:rPr>
        <w:t>Deben contener las menciones y requisitos que la ley señala para todos los títulos valores en general y, las particulares del que se recibe en garantía, salvo que la ley los presuma.</w:t>
        <w:cr/>
      </w:r>
    </w:p>
    <w:p>
      <w:pPr>
        <w:jc w:val="left"/>
      </w:pPr>
      <w:r>
        <w:rPr>
          <w:rFonts w:ascii="Verdana" w:hAnsi="Verdana" w:cs="Verdana" w:eastAsia="Verdana"/>
          <w:sz w:val="24"/>
          <w:b w:val="on"/>
        </w:rPr>
        <w:t>3.1.4.2. Librador</w:t>
      </w:r>
    </w:p>
    <w:p>
      <w:pPr>
        <w:jc w:val="both"/>
      </w:pPr>
      <w:r>
        <w:rPr>
          <w:rFonts w:ascii="Verdana" w:hAnsi="Verdana" w:cs="Verdana" w:eastAsia="Verdana"/>
          <w:sz w:val="24"/>
        </w:rPr>
        <w:t>Los títulos deben ser librados por persona distinta del beneficiario del préstamo, sin perjuicio de que el deudor los avale para mayor seguridad de quien concede el crédito. Para efectos de ser considerados garantía admisible, deben ser emitidos, aceptados o garantizados por entidades financieras o por entidades emisoras de valores en el mercado público de valores, de acuerdo con el artículo 2.1.2.1.5 del Decreto 2555 de 2010.</w:t>
      </w:r>
    </w:p>
    <w:p>
      <w:pPr>
        <w:jc w:val="left"/>
      </w:pPr>
      <w:r>
        <w:rPr>
          <w:rFonts w:ascii="Verdana" w:hAnsi="Verdana" w:cs="Verdana" w:eastAsia="Verdana"/>
          <w:sz w:val="24"/>
          <w:b w:val="on"/>
        </w:rPr>
        <w:t>3.1.4.3. Vencimiento</w:t>
      </w:r>
    </w:p>
    <w:p>
      <w:pPr>
        <w:jc w:val="both"/>
      </w:pPr>
      <w:r>
        <w:rPr>
          <w:rFonts w:ascii="Verdana" w:hAnsi="Verdana" w:cs="Verdana" w:eastAsia="Verdana"/>
          <w:sz w:val="24"/>
        </w:rPr>
        <w:t>Los títulos deben estar en aptitud para ser cobrados a la época del vencimiento del crédito, esto es, que las acciones cambiarias que de ellos emanan no caduquen ni prescriban durante el término en que ostentan la calidad de garantía.</w:t>
      </w:r>
    </w:p>
    <w:p>
      <w:pPr>
        <w:jc w:val="left"/>
      </w:pPr>
      <w:r>
        <w:rPr>
          <w:rFonts w:ascii="Verdana" w:hAnsi="Verdana" w:cs="Verdana" w:eastAsia="Verdana"/>
          <w:sz w:val="24"/>
          <w:b w:val="on"/>
        </w:rPr>
        <w:t>3.1.4.4. Negociación</w:t>
      </w:r>
    </w:p>
    <w:p>
      <w:pPr>
        <w:jc w:val="both"/>
      </w:pPr>
      <w:r>
        <w:rPr>
          <w:rFonts w:ascii="Verdana" w:hAnsi="Verdana" w:cs="Verdana" w:eastAsia="Verdana"/>
          <w:sz w:val="24"/>
        </w:rPr>
        <w:t>Los títulos deben negociarse en debida forma y cuando el endosante obre en calidad de representante o mandatario debe acreditar tal calidad.</w:t>
      </w:r>
    </w:p>
    <w:p>
      <w:pPr>
        <w:jc w:val="left"/>
      </w:pPr>
      <w:r>
        <w:rPr>
          <w:rFonts w:ascii="Verdana" w:hAnsi="Verdana" w:cs="Verdana" w:eastAsia="Verdana"/>
          <w:sz w:val="24"/>
          <w:b w:val="on"/>
        </w:rPr>
        <w:t>3.1.4.5. Propiedad</w:t>
      </w:r>
    </w:p>
    <w:p>
      <w:pPr>
        <w:jc w:val="both"/>
      </w:pPr>
      <w:r>
        <w:rPr>
          <w:rFonts w:ascii="Verdana" w:hAnsi="Verdana" w:cs="Verdana" w:eastAsia="Verdana"/>
          <w:sz w:val="24"/>
        </w:rPr>
        <w:t>Los títulos deben pertenecer efectivamente al deudor prendario.</w:t>
      </w:r>
    </w:p>
    <w:p>
      <w:pPr>
        <w:jc w:val="left"/>
      </w:pPr>
      <w:r>
        <w:rPr>
          <w:rFonts w:ascii="Verdana" w:hAnsi="Verdana" w:cs="Verdana" w:eastAsia="Verdana"/>
          <w:sz w:val="24"/>
          <w:b w:val="on"/>
        </w:rPr>
        <w:t>3.1.4.6. Requisitos especiales de las facturas de venta</w:t>
      </w:r>
    </w:p>
    <w:p>
      <w:pPr>
        <w:jc w:val="both"/>
      </w:pPr>
      <w:r>
        <w:rPr>
          <w:rFonts w:ascii="Verdana" w:hAnsi="Verdana" w:cs="Verdana" w:eastAsia="Verdana"/>
          <w:sz w:val="24"/>
        </w:rPr>
        <w:t>Tratándose de facturas de venta, deben cumplir con los requisitos especiales impuestos por la Ley 1231 de 2008, así como los que les sean complementarios.</w:t>
        <w:cr/>
      </w:r>
    </w:p>
    <w:p>
      <w:pPr>
        <w:jc w:val="left"/>
      </w:pPr>
      <w:r>
        <w:rPr>
          <w:rFonts w:ascii="Verdana" w:hAnsi="Verdana" w:cs="Verdana" w:eastAsia="Verdana"/>
          <w:sz w:val="24"/>
          <w:b w:val="on"/>
        </w:rPr>
        <w:t>3.1.5. Pignoración de los cánones de arrendamiento de los contratos de leasing</w:t>
      </w:r>
    </w:p>
    <w:p>
      <w:pPr>
        <w:jc w:val="both"/>
      </w:pPr>
      <w:r>
        <w:rPr>
          <w:rFonts w:ascii="Verdana" w:hAnsi="Verdana" w:cs="Verdana" w:eastAsia="Verdana"/>
          <w:sz w:val="24"/>
        </w:rPr>
        <w:t>De conformidad con lo previsto en el parágrafo 1 del artículo 2.1.2.1.4 del Decreto 2555 de 2010, se considera como admisible para los efectos de los cupos individuales de crédito, la garantía que verse sobre rentas derivadas de contratos de arrendamiento financiero o leasing, en tanto cumplan con:</w:t>
        <w:cr/>
      </w:r>
      <w:r>
        <w:rPr>
          <w:rFonts w:ascii="Verdana" w:hAnsi="Verdana" w:cs="Verdana" w:eastAsia="Verdana"/>
          <w:sz w:val="24"/>
        </w:rPr>
        <w:t/>
        <w:cr/>
      </w:r>
      <w:r>
        <w:rPr>
          <w:rFonts w:ascii="Verdana" w:hAnsi="Verdana" w:cs="Verdana" w:eastAsia="Verdana"/>
          <w:sz w:val="24"/>
        </w:rPr>
        <w:t xml:space="preserve">i. Objeto </w:t>
        <w:cr/>
      </w:r>
      <w:r>
        <w:rPr>
          <w:rFonts w:ascii="Verdana" w:hAnsi="Verdana" w:cs="Verdana" w:eastAsia="Verdana"/>
          <w:sz w:val="24"/>
        </w:rPr>
        <w:t/>
        <w:cr/>
      </w:r>
      <w:r>
        <w:rPr>
          <w:rFonts w:ascii="Verdana" w:hAnsi="Verdana" w:cs="Verdana" w:eastAsia="Verdana"/>
          <w:sz w:val="24"/>
        </w:rPr>
        <w:t>La pignoración de rentas recaiga sobre los cánones de arrendamiento que deben cancelar periódicamente los arrendatarios a favor de un establecimiento de crédito por razón de la celebración de un contrato de arrendamiento financiero.</w:t>
        <w:cr/>
      </w:r>
      <w:r>
        <w:rPr>
          <w:rFonts w:ascii="Verdana" w:hAnsi="Verdana" w:cs="Verdana" w:eastAsia="Verdana"/>
          <w:sz w:val="24"/>
        </w:rPr>
        <w:t/>
        <w:cr/>
      </w:r>
      <w:r>
        <w:rPr>
          <w:rFonts w:ascii="Verdana" w:hAnsi="Verdana" w:cs="Verdana" w:eastAsia="Verdana"/>
          <w:sz w:val="24"/>
        </w:rPr>
        <w:t>ii. Requisitos </w:t>
        <w:cr/>
      </w:r>
      <w:r>
        <w:rPr>
          <w:rFonts w:ascii="Verdana" w:hAnsi="Verdana" w:cs="Verdana" w:eastAsia="Verdana"/>
          <w:sz w:val="24"/>
        </w:rPr>
        <w:t/>
        <w:cr/>
      </w:r>
      <w:r>
        <w:rPr>
          <w:rFonts w:ascii="Verdana" w:hAnsi="Verdana" w:cs="Verdana" w:eastAsia="Verdana"/>
          <w:sz w:val="24"/>
        </w:rPr>
        <w:t>La pignoración de rentas que se constituya mediante la cesión de los derechos de crédito concretados a los cánones de arrendamiento y se surta de conformidad con el artículo 1959 del Código Civil, en armonía, con el artículo 822 del Código de Comercio, y siempre y cuando se observen los siguientes requisitos:</w:t>
        <w:cr/>
      </w:r>
      <w:r>
        <w:rPr>
          <w:rFonts w:ascii="Verdana" w:hAnsi="Verdana" w:cs="Verdana" w:eastAsia="Verdana"/>
          <w:sz w:val="24"/>
        </w:rPr>
        <w:t/>
        <w:cr/>
      </w:r>
      <w:r>
        <w:rPr>
          <w:rFonts w:ascii="Verdana" w:hAnsi="Verdana" w:cs="Verdana" w:eastAsia="Verdana"/>
          <w:sz w:val="24"/>
        </w:rPr>
        <w:t>a. Entrega del título que documente el derecho.</w:t>
        <w:cr/>
      </w:r>
      <w:r>
        <w:rPr>
          <w:rFonts w:ascii="Verdana" w:hAnsi="Verdana" w:cs="Verdana" w:eastAsia="Verdana"/>
          <w:sz w:val="24"/>
        </w:rPr>
        <w:t/>
        <w:cr/>
      </w:r>
      <w:r>
        <w:rPr>
          <w:rFonts w:ascii="Verdana" w:hAnsi="Verdana" w:cs="Verdana" w:eastAsia="Verdana"/>
          <w:sz w:val="24"/>
        </w:rPr>
        <w:t>b. Notificación del gravamen: debe producirse la notificación del gravamen al deudor del crédito dado en prenda.</w:t>
        <w:cr/>
      </w:r>
      <w:r>
        <w:rPr>
          <w:rFonts w:ascii="Verdana" w:hAnsi="Verdana" w:cs="Verdana" w:eastAsia="Verdana"/>
          <w:sz w:val="24"/>
        </w:rPr>
        <w:t/>
        <w:cr/>
      </w:r>
      <w:r>
        <w:rPr>
          <w:rFonts w:ascii="Verdana" w:hAnsi="Verdana" w:cs="Verdana" w:eastAsia="Verdana"/>
          <w:sz w:val="24"/>
        </w:rPr>
        <w:t>c. Recaudo de los cánones: no puede existir por parte del acreedor prendario delegación en la entidad para efectuar el recaudo de los cánones.</w:t>
        <w:cr/>
      </w:r>
      <w:r>
        <w:rPr>
          <w:rFonts w:ascii="Verdana" w:hAnsi="Verdana" w:cs="Verdana" w:eastAsia="Verdana"/>
          <w:sz w:val="24"/>
        </w:rPr>
        <w:t/>
        <w:cr/>
      </w:r>
      <w:r>
        <w:rPr>
          <w:rFonts w:ascii="Verdana" w:hAnsi="Verdana" w:cs="Verdana" w:eastAsia="Verdana"/>
          <w:sz w:val="24"/>
        </w:rPr>
        <w:t>d. Custodia del dinero recibido por el pago de los cánones: el acreedor prendario está obligado a mantener en custodia el dinero proveniente del pago de los cánones durante el lapso que precede al vencimiento de la obligación garantizada. Una vez vencida ésta, la suma que subroga el crédito pignorado puede ser aplicada a la satisfacción de la obligación garantizada en los términos del artículo 1173 del Código de Comercio.</w:t>
        <w:cr/>
      </w:r>
      <w:r>
        <w:rPr>
          <w:rFonts w:ascii="Verdana" w:hAnsi="Verdana" w:cs="Verdana" w:eastAsia="Verdana"/>
          <w:sz w:val="24"/>
        </w:rPr>
        <w:t/>
        <w:cr/>
      </w:r>
      <w:r>
        <w:rPr>
          <w:rFonts w:ascii="Verdana" w:hAnsi="Verdana" w:cs="Verdana" w:eastAsia="Verdana"/>
          <w:sz w:val="24"/>
        </w:rPr>
        <w:t>En el evento en que la deuda garantizada esté vencida y el acreedor prendario reciba el pago de las rentas pignoradas, la garantía prendaria se subroga en dinero y como quiera que no es posible la prenda sobre el mismo, opera la conversión del negocio jurídico que dio origen a la garantía, tornándose en depósito de dinero respecto del cual es procedente aplicar el procedimiento señalado en el artículo 1173 del Código de Comercio.</w:t>
        <w:cr/>
      </w:r>
      <w:r>
        <w:rPr>
          <w:rFonts w:ascii="Verdana" w:hAnsi="Verdana" w:cs="Verdana" w:eastAsia="Verdana"/>
          <w:sz w:val="24"/>
        </w:rPr>
        <w:t/>
        <w:cr/>
      </w:r>
      <w:r>
        <w:rPr>
          <w:rFonts w:ascii="Verdana" w:hAnsi="Verdana" w:cs="Verdana" w:eastAsia="Verdana"/>
          <w:sz w:val="24"/>
        </w:rPr>
        <w:t>En todo caso, si bien puede calificarse como garantía admisible la "pignoración de rentas" en comento, son las políticas de administración de riesgo de crédito las que deben determinar el nivel de riesgo que dichas seguridades conllevan.</w:t>
        <w:cr/>
      </w:r>
    </w:p>
    <w:p>
      <w:pPr>
        <w:jc w:val="left"/>
      </w:pPr>
      <w:r>
        <w:rPr>
          <w:rFonts w:ascii="Verdana" w:hAnsi="Verdana" w:cs="Verdana" w:eastAsia="Verdana"/>
          <w:sz w:val="24"/>
          <w:b w:val="on"/>
        </w:rPr>
        <w:t>3.1.6. Bonos de prenda</w:t>
      </w:r>
    </w:p>
    <w:p>
      <w:pPr>
        <w:jc w:val="both"/>
      </w:pPr>
      <w:r>
        <w:rPr>
          <w:rFonts w:ascii="Verdana" w:hAnsi="Verdana" w:cs="Verdana" w:eastAsia="Verdana"/>
          <w:sz w:val="24"/>
        </w:rPr>
        <w:t>De conformidad con lo previsto en el artículo 2.1.2.1.4 del Decreto 2555 de 2010, los bonos de prenda están previstos como garantías o seguridades admisibles, en tanto cumplan con las siguientes instrucciones:</w:t>
      </w:r>
      <w:r>
        <w:rPr>
          <w:rFonts w:ascii="Verdana" w:hAnsi="Verdana" w:cs="Verdana" w:eastAsia="Verdana"/>
          <w:sz w:val="24"/>
        </w:rPr>
        <w:t>En aquellos eventos en que se otorguen créditos sobre</w:t>
      </w:r>
      <w:r>
        <w:rPr>
          <w:rFonts w:ascii="Verdana" w:hAnsi="Verdana" w:cs="Verdana" w:eastAsia="Verdana"/>
          <w:sz w:val="24"/>
        </w:rPr>
        <w:t xml:space="preserve"> </w:t>
      </w:r>
      <w:r>
        <w:rPr>
          <w:rFonts w:ascii="Verdana" w:hAnsi="Verdana" w:cs="Verdana" w:eastAsia="Verdana"/>
          <w:sz w:val="24"/>
        </w:rPr>
        <w:t xml:space="preserve">mercancías depositadas en bodegas bajo el cuidado de los almacenes generales de depósito –AGD-, el establecimiento de crédito debe verificar que el valor de los préstamos concedidos sea inferior al valor de la mercancía que aparece en el certificado de depósito. </w:t>
      </w:r>
      <w:r>
        <w:rPr>
          <w:rFonts w:ascii="Verdana" w:hAnsi="Verdana" w:cs="Verdana" w:eastAsia="Verdana"/>
          <w:sz w:val="24"/>
        </w:rPr>
        <w:t>Al respecto, debe recordarse que sobre las mercancías existen derechos de retención y privilegio a favor de los AGD para hacerse pagar los derechos de almacenaje, comisiones y gastos de venta, de conformidad con lo previsto en el artículo 1188 del Código de Comercio, y en caso de tener que hacer uso del procedimiento indicado para el cobro de los bonos de prenda, se debe aplicar la prelación de que trata el artículo 798 del mismo código.</w:t>
      </w:r>
      <w:r>
        <w:rPr>
          <w:rFonts w:ascii="Verdana" w:hAnsi="Verdana" w:cs="Verdana" w:eastAsia="Verdana"/>
          <w:sz w:val="24"/>
        </w:rPr>
        <w:t>De otra parte, debe tenerse en cuenta el caso de las mercancías importadas que soportan gravámenes fiscales por no estar nacionalizadas, que tienen prelación según lo previsto en el Estatuto Aduanero y el artículo 798 del Código de Comercio.</w:t>
      </w:r>
      <w:r>
        <w:rPr>
          <w:rFonts w:ascii="Verdana" w:hAnsi="Verdana" w:cs="Verdana" w:eastAsia="Verdana"/>
          <w:sz w:val="24"/>
        </w:rPr>
        <w:t>Los anteriores elementos, así como el avalúo que el depositante y el AGD les han dado a las mercancías depositadas, deben ser tenidos en cuenta al realizar operaciones de descuento de los bonos de prenda.</w:t>
      </w:r>
    </w:p>
    <w:p>
      <w:pPr>
        <w:jc w:val="left"/>
      </w:pPr>
      <w:r>
        <w:rPr>
          <w:rFonts w:ascii="Verdana" w:hAnsi="Verdana" w:cs="Verdana" w:eastAsia="Verdana"/>
          <w:sz w:val="24"/>
          <w:b w:val="on"/>
        </w:rPr>
        <w:t>3.2. Garantías no admisibles</w:t>
      </w:r>
    </w:p>
    <w:p>
      <w:pPr>
        <w:jc w:val="both"/>
      </w:pPr>
      <w:r>
        <w:rPr>
          <w:rFonts w:ascii="Verdana" w:hAnsi="Verdana" w:cs="Verdana" w:eastAsia="Verdana"/>
          <w:sz w:val="24"/>
        </w:rPr>
        <w:t>Las garantías no admisibles, es decir, tanto las enunciadas en el artículo 2.1.2.1.6 del Decreto 2555 de 2010 como seguridades no admisibles, como aquellas garantías no aludidas en tal norma pero que no cumplan las condiciones de los artículos 2.1.2.1.3 y 2.1.2.1.4 del mismo Decreto, aunque pueden ser aceptadas por las entidades financieras como garantía de las operaciones activas de crédito que celebren, de acuerdo con sus políticas de administración de riesgo de crédito, no pueden ser aceptadas en el otorgamiento de aquellos créditos que superen los límites de los cupos individuales de crédito, puesto que la categoría de inadmisible de las garantías o seguridades establecida en las normas comentadas implica única y exclusivamente que estas no son idóneas para ampliar el límite básico del 10% del patrimonio técnico.</w:t>
        <w:cr/>
      </w:r>
    </w:p>
    <w:p>
      <w:pPr>
        <w:jc w:val="left"/>
      </w:pPr>
      <w:r>
        <w:rPr>
          <w:rFonts w:ascii="Verdana" w:hAnsi="Verdana" w:cs="Verdana" w:eastAsia="Verdana"/>
          <w:sz w:val="24"/>
          <w:b w:val="on"/>
        </w:rPr>
        <w:t>4. Operaciones de redescuento</w:t>
      </w:r>
    </w:p>
    <w:p>
      <w:pPr>
        <w:jc w:val="left"/>
      </w:pPr>
      <w:r>
        <w:rPr>
          <w:rFonts w:ascii="Verdana" w:hAnsi="Verdana" w:cs="Verdana" w:eastAsia="Verdana"/>
          <w:sz w:val="24"/>
          <w:b w:val="on"/>
        </w:rPr>
        <w:t>4.1. Información a FINAGRO</w:t>
      </w:r>
    </w:p>
    <w:p>
      <w:pPr>
        <w:jc w:val="both"/>
      </w:pPr>
      <w:r>
        <w:rPr>
          <w:rFonts w:ascii="Verdana" w:hAnsi="Verdana" w:cs="Verdana" w:eastAsia="Verdana"/>
          <w:sz w:val="24"/>
        </w:rPr>
        <w:t>Los establecimientos de crédito que han solicitado redescuento de bonos de prenda, deben informar al Fondo para el Financiamiento del Sector Agropecuario –FINAGRO- sobre las novedades ocurridas a las mercancías que se encuentran respaldando los citados bonos.</w:t>
        <w:cr/>
      </w:r>
      <w:r>
        <w:rPr>
          <w:rFonts w:ascii="Verdana" w:hAnsi="Verdana" w:cs="Verdana" w:eastAsia="Verdana"/>
          <w:sz w:val="24"/>
        </w:rPr>
        <w:t/>
        <w:cr/>
      </w:r>
      <w:r>
        <w:rPr>
          <w:rFonts w:ascii="Verdana" w:hAnsi="Verdana" w:cs="Verdana" w:eastAsia="Verdana"/>
          <w:sz w:val="24"/>
        </w:rPr>
        <w:t>Con base en lo anterior, se debe comunicar cualquier operación a FINAGRO, que se haga con la mercancía sobre la cual se ha expedido un bono de prenda y ha sido redescontado por el establecimiento de crédito correspondiente.</w:t>
        <w:cr/>
      </w:r>
    </w:p>
    <w:p>
      <w:pPr>
        <w:jc w:val="left"/>
      </w:pPr>
      <w:r>
        <w:rPr>
          <w:rFonts w:ascii="Verdana" w:hAnsi="Verdana" w:cs="Verdana" w:eastAsia="Verdana"/>
          <w:sz w:val="24"/>
          <w:b w:val="on"/>
        </w:rPr>
        <w:t>4.2. Retención de los créditos redescontados</w:t>
      </w:r>
    </w:p>
    <w:p>
      <w:pPr>
        <w:jc w:val="both"/>
      </w:pPr>
      <w:r>
        <w:rPr>
          <w:rFonts w:ascii="Verdana" w:hAnsi="Verdana" w:cs="Verdana" w:eastAsia="Verdana"/>
          <w:sz w:val="24"/>
        </w:rPr>
        <w:t>No es aceptable que los establecimientos de crédito avalen ante las entidades de redescuento créditos sin el perfeccionamiento de garantías por parte de los deudores, para posteriormente, una vez producidos los desembolsos, retener el total o parte del neto de cada préstamo, ocasionando parálisis en la ejecución de los proyectos de inversión financiados y encareciendo con la retención los costos financieros del crédito.</w:t>
        <w:cr/>
      </w:r>
      <w:r>
        <w:rPr>
          <w:rFonts w:ascii="Verdana" w:hAnsi="Verdana" w:cs="Verdana" w:eastAsia="Verdana"/>
          <w:sz w:val="24"/>
        </w:rPr>
        <w:t/>
        <w:cr/>
      </w:r>
      <w:r>
        <w:rPr>
          <w:rFonts w:ascii="Verdana" w:hAnsi="Verdana" w:cs="Verdana" w:eastAsia="Verdana"/>
          <w:sz w:val="24"/>
        </w:rPr>
        <w:t>Por lo anterior, la entidad de redescuento debe exigir como requisito para aceptar los avales que el intermediario financiero le certifique la existencia legal de las contragarantías relativas al crédito garantizado.</w:t>
        <w:cr/>
      </w:r>
    </w:p>
    <w:p>
      <w:pPr>
        <w:jc w:val="left"/>
      </w:pPr>
      <w:r>
        <w:rPr>
          <w:rFonts w:ascii="Verdana" w:hAnsi="Verdana" w:cs="Verdana" w:eastAsia="Verdana"/>
          <w:sz w:val="24"/>
          <w:b w:val="on"/>
        </w:rPr>
        <w:t>4.3. Desviación de recursos de créditos de fomento</w:t>
      </w:r>
    </w:p>
    <w:p>
      <w:pPr>
        <w:jc w:val="both"/>
      </w:pPr>
      <w:r>
        <w:rPr>
          <w:rFonts w:ascii="Verdana" w:hAnsi="Verdana" w:cs="Verdana" w:eastAsia="Verdana"/>
          <w:sz w:val="24"/>
        </w:rPr>
        <w:t>De conformidad con los artículos 23 de la Ley 5 de 1973 y 10 del Decreto 2645 de 1980, es obligación de las entidades prestamistas que participan del mecanismo de crédito para fomento agropecuario, declarar vencidas las obligaciones cuando se compruebe una destinación diferente a aquellas para la cual fueron concedidos los préstamos o en cualquier otra forma hayan incumplido los respectivos contratos.</w:t>
        <w:cr/>
      </w:r>
      <w:r>
        <w:rPr>
          <w:rFonts w:ascii="Verdana" w:hAnsi="Verdana" w:cs="Verdana" w:eastAsia="Verdana"/>
          <w:sz w:val="24"/>
        </w:rPr>
        <w:t/>
        <w:cr/>
      </w:r>
      <w:r>
        <w:rPr>
          <w:rFonts w:ascii="Verdana" w:hAnsi="Verdana" w:cs="Verdana" w:eastAsia="Verdana"/>
          <w:sz w:val="24"/>
        </w:rPr>
        <w:t>Adicionalmente, FINAGRO está facultado para cargar a la cuenta de las entidades prestamistas las sumas correspondientes a los saldos insolutos de las operaciones de crédito redescontadas dentro de dicho fondo, cuando compruebe que el beneficiario final del crédito o el intermediario financiero, han incumplido los contratos de préstamo o las demás obligaciones que se adquieran por virtud de la ley.</w:t>
        <w:cr/>
      </w:r>
      <w:r>
        <w:rPr>
          <w:rFonts w:ascii="Verdana" w:hAnsi="Verdana" w:cs="Verdana" w:eastAsia="Verdana"/>
          <w:sz w:val="24"/>
        </w:rPr>
        <w:t/>
        <w:cr/>
      </w:r>
      <w:r>
        <w:rPr>
          <w:rFonts w:ascii="Verdana" w:hAnsi="Verdana" w:cs="Verdana" w:eastAsia="Verdana"/>
          <w:sz w:val="24"/>
        </w:rPr>
        <w:t>Por otra parte, corresponde a la SFC y a la dirección del fondo, de acuerdo con lo dispuesto en el artículo 38 de la Ley 16 de 1990 la inspección y vigilancia en el cumplimiento de las obligaciones aquí indicadas.</w:t>
        <w:cr/>
      </w:r>
    </w:p>
    <w:p>
      <w:pPr>
        <w:jc w:val="left"/>
      </w:pPr>
      <w:r>
        <w:rPr>
          <w:rFonts w:ascii="Verdana" w:hAnsi="Verdana" w:cs="Verdana" w:eastAsia="Verdana"/>
          <w:sz w:val="24"/>
          <w:b w:val="on"/>
        </w:rPr>
        <w:t>4.4. Exigencia de reciprocidad en el otorgamiento de créditos de fomento</w:t>
      </w:r>
    </w:p>
    <w:p>
      <w:pPr>
        <w:jc w:val="both"/>
      </w:pPr>
      <w:r>
        <w:rPr>
          <w:rFonts w:ascii="Verdana" w:hAnsi="Verdana" w:cs="Verdana" w:eastAsia="Verdana"/>
          <w:sz w:val="24"/>
        </w:rPr>
        <w:t>En el trámite de los créditos de fomento no resulta legalmente admisible que los establecimientos de crédito efectúen exigencias a los usuarios, distintas de las contempladas en la ley o en normas reglamentarias, como son las reciprocidades consistentes en el mantenimiento de determinados promedios en constitución de depósitos a término, apertura de otras cuentas o adquisición de productos y otras análogas.</w:t>
      </w:r>
    </w:p>
    <w:p>
      <w:pPr>
        <w:jc w:val="left"/>
      </w:pPr>
      <w:r>
        <w:rPr>
          <w:rFonts w:ascii="Verdana" w:hAnsi="Verdana" w:cs="Verdana" w:eastAsia="Verdana"/>
          <w:sz w:val="24"/>
          <w:b w:val="on"/>
        </w:rPr>
        <w:t>5. Operaciones con tarjeta de crédito</w:t>
      </w:r>
    </w:p>
    <w:p>
      <w:pPr>
        <w:jc w:val="both"/>
      </w:pPr>
      <w:r>
        <w:rPr>
          <w:rFonts w:ascii="Verdana" w:hAnsi="Verdana" w:cs="Verdana" w:eastAsia="Verdana"/>
          <w:sz w:val="24"/>
        </w:rPr>
        <w:t>En las operaciones activas de crédito que realizan los establecimientos de crédito a través de los sistemas de tarjetas de crédito deben observarse las siguientes reglas:</w:t>
        <w:cr/>
      </w:r>
    </w:p>
    <w:p>
      <w:pPr>
        <w:jc w:val="left"/>
      </w:pPr>
      <w:r>
        <w:rPr>
          <w:rFonts w:ascii="Verdana" w:hAnsi="Verdana" w:cs="Verdana" w:eastAsia="Verdana"/>
          <w:sz w:val="24"/>
          <w:b w:val="on"/>
        </w:rPr>
        <w:t>5.1. Cupos de las tarjetas de crédito</w:t>
      </w:r>
    </w:p>
    <w:p>
      <w:pPr>
        <w:jc w:val="both"/>
      </w:pPr>
      <w:r>
        <w:rPr>
          <w:rFonts w:ascii="Verdana" w:hAnsi="Verdana" w:cs="Verdana" w:eastAsia="Verdana"/>
          <w:sz w:val="24"/>
        </w:rPr>
        <w:t>Los cupos de las tarjetas de crédito deben otorgarse con sujeción a la política de crédito de cada establecimiento de conformidad con lo previsto en el Capítulo XXXI (SIAR) de la CBCF o las normas que lo modifiquen o sustituyan, y con las disposiciones previstas en el Capítulo 1 del Título II del Libro 1 de la Parte 2 del Decreto 2555 de 2010. Por tal virtud, no puede anunciarse la expedición de tarjetas sin sujeción a cupo alguno y en cada extracto debe aparecer el cupo asignado por beneficiario, precisando el monto por utilizar.</w:t>
        <w:cr/>
      </w:r>
      <w:r>
        <w:rPr>
          <w:rFonts w:ascii="Verdana" w:hAnsi="Verdana" w:cs="Verdana" w:eastAsia="Verdana"/>
          <w:sz w:val="24"/>
        </w:rPr>
        <w:t>La política en materia de cupos para tarjetas de crédito debe formularse por escrito por el órgano competente y ser de amplia difusión en cada entidad.</w:t>
        <w:cr/>
      </w:r>
    </w:p>
    <w:p>
      <w:pPr>
        <w:jc w:val="left"/>
      </w:pPr>
      <w:r>
        <w:rPr>
          <w:rFonts w:ascii="Verdana" w:hAnsi="Verdana" w:cs="Verdana" w:eastAsia="Verdana"/>
          <w:sz w:val="24"/>
          <w:b w:val="on"/>
        </w:rPr>
        <w:t>5.2. Aumento de los cupos de las tarjetas de crédito</w:t>
      </w:r>
    </w:p>
    <w:p>
      <w:pPr>
        <w:jc w:val="both"/>
      </w:pPr>
      <w:r>
        <w:rPr>
          <w:rFonts w:ascii="Verdana" w:hAnsi="Verdana" w:cs="Verdana" w:eastAsia="Verdana"/>
          <w:sz w:val="24"/>
        </w:rPr>
        <w:t>Los aumentos de cupos deben corresponder a un previo estudio de la capacidad de endeudamiento de cada tarjetahabiente, salvo el caso de las tarjetas en estado activas, en las que el cupo puede modificarse hasta en un porcentaje equivalente al incremento del IPC correspondiente al año anterior.</w:t>
        <w:cr/>
      </w:r>
    </w:p>
    <w:p>
      <w:pPr>
        <w:jc w:val="left"/>
      </w:pPr>
      <w:r>
        <w:rPr>
          <w:rFonts w:ascii="Verdana" w:hAnsi="Verdana" w:cs="Verdana" w:eastAsia="Verdana"/>
          <w:sz w:val="24"/>
          <w:b w:val="on"/>
        </w:rPr>
        <w:t>5.3. Condiciones de financiación</w:t>
      </w:r>
    </w:p>
    <w:p>
      <w:pPr>
        <w:jc w:val="both"/>
      </w:pPr>
      <w:r>
        <w:rPr>
          <w:rFonts w:ascii="Verdana" w:hAnsi="Verdana" w:cs="Verdana" w:eastAsia="Verdana"/>
          <w:sz w:val="24"/>
        </w:rPr>
        <w:t>Las condiciones de financiación que una entidad determinada ofrezca al público deben ser generales, de tal manera que el acceso al crédito por parte de cualquier usuario se haga en pie de igualdad. Ello implica que la tasa efectiva en estos productos es la misma, así el plazo de financiación sea diferente.</w:t>
        <w:cr/>
      </w:r>
    </w:p>
    <w:p>
      <w:pPr>
        <w:jc w:val="left"/>
      </w:pPr>
      <w:r>
        <w:rPr>
          <w:rFonts w:ascii="Verdana" w:hAnsi="Verdana" w:cs="Verdana" w:eastAsia="Verdana"/>
          <w:sz w:val="24"/>
          <w:b w:val="on"/>
        </w:rPr>
        <w:t>5.4. Prácticas inseguras</w:t>
      </w:r>
    </w:p>
    <w:p>
      <w:pPr>
        <w:jc w:val="both"/>
      </w:pPr>
      <w:r>
        <w:rPr>
          <w:rFonts w:ascii="Verdana" w:hAnsi="Verdana" w:cs="Verdana" w:eastAsia="Verdana"/>
          <w:sz w:val="24"/>
        </w:rPr>
        <w:t>Sin perjuicio de las prácticas abusivas previstas en la Parte I, Título III, Capítulo I de la CBJ y de conformidad con las facultades otorgadas a esta Superintendencia, se califican como inseguras las siguientes prácticas:</w:t>
        <w:cr/>
      </w:r>
    </w:p>
    <w:p>
      <w:pPr>
        <w:jc w:val="both"/>
      </w:pPr>
      <w:r>
        <w:rPr>
          <w:rFonts w:ascii="Verdana" w:hAnsi="Verdana" w:cs="Verdana" w:eastAsia="Verdana"/>
          <w:sz w:val="24"/>
        </w:rPr>
        <w:t>5.4.1. El ofrecimiento de cupos de crédito a favor de grupos de personas, sin que éstas hayan formulado solicitud alguna ante las entidades y sin que por parte de las instituciones se hubiere efectuado un análisis del riesgo a través del estudio de sus condiciones económicas.</w:t>
        <w:cr/>
      </w:r>
    </w:p>
    <w:p>
      <w:pPr>
        <w:jc w:val="both"/>
      </w:pPr>
      <w:r>
        <w:rPr>
          <w:rFonts w:ascii="Verdana" w:hAnsi="Verdana" w:cs="Verdana" w:eastAsia="Verdana"/>
          <w:sz w:val="24"/>
        </w:rPr>
        <w:t>5.4.2. El exceso en los cupos máximos.</w:t>
        <w:cr/>
      </w:r>
    </w:p>
    <w:p>
      <w:pPr>
        <w:jc w:val="both"/>
      </w:pPr>
      <w:r>
        <w:rPr>
          <w:rFonts w:ascii="Verdana" w:hAnsi="Verdana" w:cs="Verdana" w:eastAsia="Verdana"/>
          <w:sz w:val="24"/>
        </w:rPr>
        <w:t>5.4.3. No adoptar las medidas apropiadas para impedir que los tarjetahabientes que han excedido los cupos máximos aprobados continúen utilizando la tarjeta.</w:t>
        <w:cr/>
      </w:r>
    </w:p>
    <w:p>
      <w:pPr>
        <w:jc w:val="both"/>
      </w:pPr>
      <w:r>
        <w:rPr>
          <w:rFonts w:ascii="Verdana" w:hAnsi="Verdana" w:cs="Verdana" w:eastAsia="Verdana"/>
          <w:sz w:val="24"/>
        </w:rPr>
        <w:t>5.4.4. No adoptar las medidas apropiadas para impedir que los tarjetahabientes que han excedido los cupos máximos aprobados continúen utilizando la tarjeta. Con el fin de prevenir la ocurrencia de estos hechos el establecimiento de crédito debe señalar las medidas que serán tomadas por la entidad, en el reglamento de uso de la tarjeta.</w:t>
        <w:cr/>
      </w:r>
    </w:p>
    <w:p>
      <w:pPr>
        <w:jc w:val="left"/>
      </w:pPr>
      <w:r>
        <w:rPr>
          <w:rFonts w:ascii="Verdana" w:hAnsi="Verdana" w:cs="Verdana" w:eastAsia="Verdana"/>
          <w:sz w:val="24"/>
          <w:b w:val="on"/>
        </w:rPr>
        <w:t>6. Operaciones interfinancieras</w:t>
      </w:r>
    </w:p>
    <w:p>
      <w:pPr>
        <w:jc w:val="both"/>
      </w:pPr>
      <w:r>
        <w:rPr>
          <w:rFonts w:ascii="Verdana" w:hAnsi="Verdana" w:cs="Verdana" w:eastAsia="Verdana"/>
          <w:sz w:val="24"/>
        </w:rPr>
        <w:t>Las operaciones interfinancieras entendidas como aquellas que sirven como mecanismo de transferencia institucional de recursos entre entidades vigiladas -a condiciones de mercado-, permitiéndoles mantener una posición activa y pasiva de manera concomitante, se rigen por las disposiciones contenidas en el Capítulo XIX de la CBCF o las normas que lo modifiquen o sustituyan y se encuentran sujetas tanto a los límites de cupos individuales de crédito establecidos en el artículo 2.1.2.1.8 del Decreto 2555 de 2010 como a los cupos globales definidos por la juntas directivas de las entidades, los cuales deben ser evaluados periódicamente y mantener los soportes de las decisiones a disposición de la SFC.</w:t>
        <w:cr/>
      </w:r>
      <w:r>
        <w:rPr>
          <w:rFonts w:ascii="Verdana" w:hAnsi="Verdana" w:cs="Verdana" w:eastAsia="Verdana"/>
          <w:sz w:val="24"/>
        </w:rPr>
        <w:t>El incumplimiento de este requisito es calificado como práctica insegura por esta Superintendencia.</w:t>
        <w:cr/>
      </w:r>
    </w:p>
    <w:p>
      <w:pPr>
        <w:jc w:val="left"/>
      </w:pPr>
      <w:r>
        <w:rPr>
          <w:rFonts w:ascii="Verdana" w:hAnsi="Verdana" w:cs="Verdana" w:eastAsia="Verdana"/>
          <w:sz w:val="24"/>
          <w:b w:val="on"/>
        </w:rPr>
        <w:t>7. Aceptaciones de títulos</w:t>
      </w:r>
    </w:p>
    <w:p>
      <w:pPr>
        <w:jc w:val="left"/>
      </w:pPr>
      <w:r>
        <w:rPr>
          <w:rFonts w:ascii="Verdana" w:hAnsi="Verdana" w:cs="Verdana" w:eastAsia="Verdana"/>
          <w:sz w:val="24"/>
          <w:b w:val="on"/>
        </w:rPr>
        <w:t>7.1. Condiciones generales para la aceptación de títulos valores</w:t>
      </w:r>
    </w:p>
    <w:p>
      <w:pPr>
        <w:jc w:val="both"/>
      </w:pPr>
      <w:r>
        <w:rPr>
          <w:rFonts w:ascii="Verdana" w:hAnsi="Verdana" w:cs="Verdana" w:eastAsia="Verdana"/>
          <w:sz w:val="24"/>
        </w:rPr>
        <w:t>De conformidad con lo previsto en los artículos 7, 12 y 24 del EOSF, los bancos, las corporaciones financieras y las compañías de financiamiento están legalmente facultadas para aceptar letras de cambio en los términos y condiciones señaladas en las normas citadas. Las corporaciones financieras, adicionalmente pueden aceptar cualquier clase de títulos emitidos a favor de las empresas con plazo mayor de un 1 año, siempre y cuando correspondan a financiación por parte del vendedor a más de un 1 año en el momento en que se efectúe la operación y se refieran a bienes distintos de automotores de servicio particular.</w:t>
        <w:cr/>
      </w:r>
      <w:r>
        <w:rPr>
          <w:rFonts w:ascii="Verdana" w:hAnsi="Verdana" w:cs="Verdana" w:eastAsia="Verdana"/>
          <w:sz w:val="24"/>
        </w:rPr>
        <w:t/>
        <w:cr/>
      </w:r>
      <w:r>
        <w:rPr>
          <w:rFonts w:ascii="Verdana" w:hAnsi="Verdana" w:cs="Verdana" w:eastAsia="Verdana"/>
          <w:sz w:val="24"/>
        </w:rPr>
        <w:t>Para tales efectos, es necesario tener en cuenta las siguientes reglas:</w:t>
        <w:cr/>
      </w:r>
    </w:p>
    <w:p>
      <w:pPr>
        <w:jc w:val="left"/>
      </w:pPr>
      <w:r>
        <w:rPr>
          <w:rFonts w:ascii="Verdana" w:hAnsi="Verdana" w:cs="Verdana" w:eastAsia="Verdana"/>
          <w:sz w:val="24"/>
          <w:b w:val="on"/>
        </w:rPr>
        <w:t>7.1.1. Compraventa como relación causal</w:t>
      </w:r>
    </w:p>
    <w:p>
      <w:pPr>
        <w:jc w:val="both"/>
      </w:pPr>
      <w:r>
        <w:rPr>
          <w:rFonts w:ascii="Verdana" w:hAnsi="Verdana" w:cs="Verdana" w:eastAsia="Verdana"/>
          <w:sz w:val="24"/>
        </w:rPr>
        <w:t>Cada aceptación debe ser el reflejo de una operación cierta de compraventa de bienes. Por tanto, los establecimientos de crédito deben adoptar todos los mecanismos indispensables para verificar la existencia de la transacción mercantil; para ello deben exigir el documento o la copia del mismo que instrumente el negocio, o la factura, el contrato de transporte, los registros de importación tratándose de las aceptaciones bancarias etc., así como cualquier documento que haga referencia a la relación causal que de origen al título valor.</w:t>
        <w:cr/>
      </w:r>
    </w:p>
    <w:p>
      <w:pPr>
        <w:jc w:val="left"/>
      </w:pPr>
      <w:r>
        <w:rPr>
          <w:rFonts w:ascii="Verdana" w:hAnsi="Verdana" w:cs="Verdana" w:eastAsia="Verdana"/>
          <w:sz w:val="24"/>
          <w:b w:val="on"/>
        </w:rPr>
        <w:t>7.1.2. Control</w:t>
      </w:r>
    </w:p>
    <w:p>
      <w:pPr>
        <w:jc w:val="both"/>
      </w:pPr>
      <w:r>
        <w:rPr>
          <w:rFonts w:ascii="Verdana" w:hAnsi="Verdana" w:cs="Verdana" w:eastAsia="Verdana"/>
          <w:sz w:val="24"/>
        </w:rPr>
        <w:t>A fin de contar con un control adecuado, los establecimientos de crédito mencionados deben tener un sistema de información eficiente que permita mantener un adecuado registro de las aceptaciones de títulos por parte de la entidad, el cual contenga:</w:t>
      </w:r>
      <w:r>
        <w:rPr>
          <w:rFonts w:ascii="Verdana" w:hAnsi="Verdana" w:cs="Verdana" w:eastAsia="Verdana"/>
          <w:sz w:val="24"/>
        </w:rPr>
        <w:t xml:space="preserve"> </w:t>
      </w:r>
      <w:r>
        <w:rPr>
          <w:rFonts w:ascii="Verdana" w:hAnsi="Verdana" w:cs="Verdana" w:eastAsia="Verdana"/>
          <w:sz w:val="24"/>
        </w:rPr>
        <w:t>i. Nombre e identificación del beneficiario o tenedor inicial.</w:t>
      </w:r>
      <w:r>
        <w:rPr>
          <w:rFonts w:ascii="Verdana" w:hAnsi="Verdana" w:cs="Verdana" w:eastAsia="Verdana"/>
          <w:sz w:val="24"/>
        </w:rPr>
        <w:t/>
        <w:cr/>
      </w:r>
      <w:r>
        <w:rPr>
          <w:rFonts w:ascii="Verdana" w:hAnsi="Verdana" w:cs="Verdana" w:eastAsia="Verdana"/>
          <w:sz w:val="24"/>
        </w:rPr>
        <w:t>ii. Si se trata de personas jurídicas, es indispensable, además que se acrediten los certificados de existencia y representación legal y los poderes de quiénes actúan como apoderados o representantes legales del girador del título.</w:t>
      </w:r>
      <w:r>
        <w:rPr>
          <w:rFonts w:ascii="Verdana" w:hAnsi="Verdana" w:cs="Verdana" w:eastAsia="Verdana"/>
          <w:sz w:val="24"/>
        </w:rPr>
        <w:t>iii. Monto de la obligación.</w:t>
      </w:r>
      <w:r>
        <w:rPr>
          <w:rFonts w:ascii="Verdana" w:hAnsi="Verdana" w:cs="Verdana" w:eastAsia="Verdana"/>
          <w:sz w:val="24"/>
        </w:rPr>
        <w:t>iv. Fecha en que la letra de cambio es aceptada, fecha de vencimiento y fecha en que se cubre la aceptación y deja de ser un pasivo.</w:t>
      </w:r>
      <w:r>
        <w:rPr>
          <w:rFonts w:ascii="Verdana" w:hAnsi="Verdana" w:cs="Verdana" w:eastAsia="Verdana"/>
          <w:sz w:val="24"/>
        </w:rPr>
        <w:t>v. Indicación de la sucursal o agencia del establecimiento de crédito que efectuará el pago conforme al tenor literal del título.</w:t>
      </w:r>
      <w:r>
        <w:rPr>
          <w:rFonts w:ascii="Verdana" w:hAnsi="Verdana" w:cs="Verdana" w:eastAsia="Verdana"/>
          <w:sz w:val="24"/>
        </w:rPr>
        <w:t>vi.Número o serie de la aceptación.</w:t>
      </w:r>
      <w:r>
        <w:rPr>
          <w:rFonts w:ascii="Verdana" w:hAnsi="Verdana" w:cs="Verdana" w:eastAsia="Verdana"/>
          <w:sz w:val="24"/>
        </w:rPr>
        <w:t xml:space="preserve">vii. Documentos que deben presentarse y requisitos que deben cumplirse para la aceptación de la letra por parte del establecimiento de crédito. </w:t>
      </w:r>
      <w:r>
        <w:rPr>
          <w:rFonts w:ascii="Verdana" w:hAnsi="Verdana" w:cs="Verdana" w:eastAsia="Verdana"/>
          <w:sz w:val="24"/>
        </w:rPr>
        <w:t>viii. Nombre de identificación de la persona a quien se le hace el pago.</w:t>
        <w:cr/>
      </w:r>
    </w:p>
    <w:p>
      <w:pPr>
        <w:jc w:val="left"/>
      </w:pPr>
      <w:r>
        <w:rPr>
          <w:rFonts w:ascii="Verdana" w:hAnsi="Verdana" w:cs="Verdana" w:eastAsia="Verdana"/>
          <w:sz w:val="24"/>
          <w:b w:val="on"/>
        </w:rPr>
        <w:t>7.2. Condiciones de seguridad de los títulos</w:t>
      </w:r>
    </w:p>
    <w:p>
      <w:pPr>
        <w:jc w:val="both"/>
      </w:pPr>
      <w:r>
        <w:rPr>
          <w:rFonts w:ascii="Verdana" w:hAnsi="Verdana" w:cs="Verdana" w:eastAsia="Verdana"/>
          <w:sz w:val="24"/>
        </w:rPr>
        <w:t>Las compañías de financiamiento, los bancos y las corporaciones financieras deben velar por expresar su aceptación en documentos que reúnan óptimas condiciones de seguridad con el fin de preservar su integridad. Dichos documentos deben contener, por lo menos, la siguiente información:</w:t>
        <w:cr/>
      </w:r>
    </w:p>
    <w:p>
      <w:pPr>
        <w:jc w:val="left"/>
      </w:pPr>
      <w:r>
        <w:rPr>
          <w:rFonts w:ascii="Verdana" w:hAnsi="Verdana" w:cs="Verdana" w:eastAsia="Verdana"/>
          <w:sz w:val="24"/>
          <w:b w:val="on"/>
        </w:rPr>
        <w:t>7.2.1. Contenido de los documentos</w:t>
      </w:r>
    </w:p>
    <w:p>
      <w:pPr>
        <w:jc w:val="both"/>
      </w:pPr>
      <w:r>
        <w:rPr>
          <w:rFonts w:ascii="Verdana" w:hAnsi="Verdana" w:cs="Verdana" w:eastAsia="Verdana"/>
          <w:sz w:val="24"/>
        </w:rPr>
        <w:t>i. Serie o número de identificación, según sea el sistema que escoja el establecimiento, a fin de permitir su fácil identificación en el sistema de información a que se refiere el punto anterior.</w:t>
        <w:cr/>
      </w:r>
      <w:r>
        <w:rPr>
          <w:rFonts w:ascii="Verdana" w:hAnsi="Verdana" w:cs="Verdana" w:eastAsia="Verdana"/>
          <w:sz w:val="24"/>
        </w:rPr>
        <w:t/>
        <w:cr/>
      </w:r>
      <w:r>
        <w:rPr>
          <w:rFonts w:ascii="Verdana" w:hAnsi="Verdana" w:cs="Verdana" w:eastAsia="Verdana"/>
          <w:sz w:val="24"/>
        </w:rPr>
        <w:t>ii. Indicación de la sucursal o agencia del establecimiento que efectuará el pago.</w:t>
        <w:cr/>
      </w:r>
      <w:r>
        <w:rPr>
          <w:rFonts w:ascii="Verdana" w:hAnsi="Verdana" w:cs="Verdana" w:eastAsia="Verdana"/>
          <w:sz w:val="24"/>
        </w:rPr>
        <w:t/>
        <w:cr/>
      </w:r>
      <w:r>
        <w:rPr>
          <w:rFonts w:ascii="Verdana" w:hAnsi="Verdana" w:cs="Verdana" w:eastAsia="Verdana"/>
          <w:sz w:val="24"/>
        </w:rPr>
        <w:t>iii. Fecha de la aceptación y fecha de vencimiento.</w:t>
        <w:cr/>
      </w:r>
    </w:p>
    <w:p>
      <w:pPr>
        <w:jc w:val="left"/>
      </w:pPr>
      <w:r>
        <w:rPr>
          <w:rFonts w:ascii="Verdana" w:hAnsi="Verdana" w:cs="Verdana" w:eastAsia="Verdana"/>
          <w:sz w:val="24"/>
          <w:b w:val="on"/>
        </w:rPr>
        <w:t>7.3. Condiciones para la aceptación de letras de cambio</w:t>
      </w:r>
    </w:p>
    <w:p>
      <w:pPr>
        <w:jc w:val="left"/>
      </w:pPr>
      <w:r>
        <w:rPr>
          <w:rFonts w:ascii="Verdana" w:hAnsi="Verdana" w:cs="Verdana" w:eastAsia="Verdana"/>
          <w:sz w:val="24"/>
          <w:b w:val="on"/>
        </w:rPr>
        <w:t>7.3.1. Compañías de financiamiento</w:t>
      </w:r>
    </w:p>
    <w:p>
      <w:pPr>
        <w:jc w:val="both"/>
      </w:pPr>
      <w:r>
        <w:rPr>
          <w:rFonts w:ascii="Verdana" w:hAnsi="Verdana" w:cs="Verdana" w:eastAsia="Verdana"/>
          <w:sz w:val="24"/>
        </w:rPr>
        <w:t>De conformidad con lo previsto en el artículo 24 literal f. del EOSF las letras de cambio que acepten las compañías de financiamiento son libremente negociables, no renovables y solo pueden originarse en transacciones de compraventa de bienes en el interior del país. Sin embargo, en virtud de lo dispuesto en el numeral 1 del artículo 8 de la Resolución 1 de 2018 expedida por la JDBR, aquellas entidades que reúnan los requisitos exigidos por dicha norma pueden aceptar letras de cambio que se originen en operaciones de compraventa de bienes en el exterior.</w:t>
        <w:cr/>
      </w:r>
    </w:p>
    <w:p>
      <w:pPr>
        <w:jc w:val="left"/>
      </w:pPr>
      <w:r>
        <w:rPr>
          <w:rFonts w:ascii="Verdana" w:hAnsi="Verdana" w:cs="Verdana" w:eastAsia="Verdana"/>
          <w:sz w:val="24"/>
          <w:b w:val="on"/>
        </w:rPr>
        <w:t>7.3.2. Corporaciones financieras</w:t>
      </w:r>
    </w:p>
    <w:p>
      <w:pPr>
        <w:jc w:val="both"/>
      </w:pPr>
      <w:r>
        <w:rPr>
          <w:rFonts w:ascii="Verdana" w:hAnsi="Verdana" w:cs="Verdana" w:eastAsia="Verdana"/>
          <w:sz w:val="24"/>
        </w:rPr>
        <w:t>De acuerdo con lo establecido en el artículo 12 literal h. del EOSF, las corporaciones financieras pueden aceptar letras de cambio cuando tales títulos han sido emitidos a favor de las empresas de que trata el artículo 11 ibídem, siempre y cuando correspondan a financiación otorgada por el vendedor a más de 1 año en el momento en el que se efectúe la operación y se refiera a bienes distintos a automotores; y realizar operaciones de factoring con títulos cuyo plazo sea inferior al plazo señalado o que correspondan a financiación por parte del vendedor a menos de 1 año en el momento en que se efectúe la operación.</w:t>
        <w:cr/>
      </w:r>
    </w:p>
    <w:p>
      <w:pPr>
        <w:jc w:val="left"/>
      </w:pPr>
      <w:r>
        <w:rPr>
          <w:rFonts w:ascii="Verdana" w:hAnsi="Verdana" w:cs="Verdana" w:eastAsia="Verdana"/>
          <w:sz w:val="24"/>
          <w:b w:val="on"/>
        </w:rPr>
        <w:t>7.3.3. Establecimientos bancarios</w:t>
      </w:r>
    </w:p>
    <w:p>
      <w:pPr>
        <w:jc w:val="both"/>
      </w:pPr>
      <w:r>
        <w:rPr>
          <w:rFonts w:ascii="Verdana" w:hAnsi="Verdana" w:cs="Verdana" w:eastAsia="Verdana"/>
          <w:sz w:val="24"/>
        </w:rPr>
        <w:t>Las letras de cambio que acepten los establecimientos bancarios pueden originarse en transacciones de bienes correspondientes a compraventas nacionales e internacionales según lo dispone el artículo 7 literal f. del EOSF. Toda aceptación debe ser girada a la orden y a un día cierto y determinado. Entre la fecha de aceptación y la fecha de vencimiento no podrá mediar más de 1 año. En ningún caso las letras aceptadas pueden ser objeto de renovación o prórroga.</w:t>
        <w:cr/>
      </w:r>
    </w:p>
    <w:p>
      <w:pPr>
        <w:jc w:val="left"/>
      </w:pPr>
      <w:r>
        <w:rPr>
          <w:rFonts w:ascii="Verdana" w:hAnsi="Verdana" w:cs="Verdana" w:eastAsia="Verdana"/>
          <w:sz w:val="24"/>
          <w:b w:val="on"/>
        </w:rPr>
        <w:t>7.3.4. Cómputo para cupo individual de crédito</w:t>
      </w:r>
    </w:p>
    <w:p>
      <w:pPr>
        <w:jc w:val="both"/>
      </w:pPr>
      <w:r>
        <w:rPr>
          <w:rFonts w:ascii="Verdana" w:hAnsi="Verdana" w:cs="Verdana" w:eastAsia="Verdana"/>
          <w:sz w:val="24"/>
        </w:rPr>
        <w:t>Como parte de las operaciones activas de crédito autorizadas a los establecimientos de crédito, las aceptaciones de letras, así como los avales y demás garantías otorgadas por las entidades vigiladas computan para los efectos de determinar el cupo individual de crédito del girador en los términos del Decreto 2555 de 2010 y en consonancia con lo señalado en el numeral 3 del presente Capítulo.</w:t>
        <w:cr/>
      </w:r>
    </w:p>
    <w:p>
      <w:pPr>
        <w:jc w:val="left"/>
      </w:pPr>
      <w:r>
        <w:rPr>
          <w:rFonts w:ascii="Verdana" w:hAnsi="Verdana" w:cs="Verdana" w:eastAsia="Verdana"/>
          <w:sz w:val="24"/>
          <w:b w:val="on"/>
        </w:rPr>
        <w:t>7.3.5. Pago de la letra de cambio</w:t>
      </w:r>
    </w:p>
    <w:p>
      <w:pPr>
        <w:jc w:val="both"/>
      </w:pPr>
      <w:r>
        <w:rPr>
          <w:rFonts w:ascii="Verdana" w:hAnsi="Verdana" w:cs="Verdana" w:eastAsia="Verdana"/>
          <w:sz w:val="24"/>
        </w:rPr>
        <w:t>Los establecimientos de crédito a que se ha hecho referencia deben pagar la letra de cambio a su tenedor, para lo cual deben dejar constancia de tal evento, y mantener la información correspondiente, indicándose el nombre completo y los documentos de identidad, tratándose de personas naturales; y de los poderes y certificados de representación de aquellas personas que actúen en calidad de apoderados o representantes legales de personas jurídicas.</w:t>
        <w:cr/>
      </w:r>
    </w:p>
    <w:p>
      <w:pPr>
        <w:jc w:val="left"/>
      </w:pPr>
      <w:r>
        <w:rPr>
          <w:rFonts w:ascii="Verdana" w:hAnsi="Verdana" w:cs="Verdana" w:eastAsia="Verdana"/>
          <w:sz w:val="24"/>
          <w:b w:val="on"/>
        </w:rPr>
        <w:t>7.3.6. Prescripción de la acción cambiaria</w:t>
      </w:r>
    </w:p>
    <w:p>
      <w:pPr>
        <w:jc w:val="both"/>
      </w:pPr>
      <w:r>
        <w:rPr>
          <w:rFonts w:ascii="Verdana" w:hAnsi="Verdana" w:cs="Verdana" w:eastAsia="Verdana"/>
          <w:sz w:val="24"/>
        </w:rPr>
        <w:t>En el caso de que una letra no sea presentada para su pago y se cause la prescripción de la acción cambiaria a favor de la institución aceptante, ésta debe adoptar las medidas necesarias, de acuerdo con las circunstancias, para restituirle a su cliente la disponibilidad absoluta sobre la provisión en el caso en que ella se hubiere constituido, salvo el evento previsto en el artículo 696 del Código de Comercio.</w:t>
        <w:cr/>
      </w:r>
    </w:p>
    <w:p>
      <w:pPr>
        <w:jc w:val="left"/>
      </w:pPr>
      <w:r>
        <w:rPr>
          <w:rFonts w:ascii="Verdana" w:hAnsi="Verdana" w:cs="Verdana" w:eastAsia="Verdana"/>
          <w:sz w:val="24"/>
          <w:b w:val="on"/>
        </w:rPr>
        <w:t>7.3.7. Régimen aplicable</w:t>
      </w:r>
    </w:p>
    <w:p>
      <w:pPr>
        <w:jc w:val="both"/>
      </w:pPr>
      <w:r>
        <w:rPr>
          <w:rFonts w:ascii="Verdana" w:hAnsi="Verdana" w:cs="Verdana" w:eastAsia="Verdana"/>
          <w:sz w:val="24"/>
        </w:rPr>
        <w:t>En todo lo relacionado con la creación de la letra de cambio, aceptación, pago, protesto, reposición, cancelación y reivindicación, los establecimientos de crédito deben dar cumplimiento a lo previsto en el Título lll del Libro Tercero del Código de Comercio.</w:t>
        <w:cr/>
      </w:r>
    </w:p>
    <w:p>
      <w:pPr>
        <w:jc w:val="left"/>
      </w:pPr>
      <w:r>
        <w:rPr>
          <w:rFonts w:ascii="Verdana" w:hAnsi="Verdana" w:cs="Verdana" w:eastAsia="Verdana"/>
          <w:sz w:val="24"/>
          <w:b w:val="on"/>
        </w:rPr>
        <w:t>7.3.8. Evaluación de solvencia del ordenante</w:t>
      </w:r>
    </w:p>
    <w:p>
      <w:pPr>
        <w:jc w:val="both"/>
      </w:pPr>
      <w:r>
        <w:rPr>
          <w:rFonts w:ascii="Verdana" w:hAnsi="Verdana" w:cs="Verdana" w:eastAsia="Verdana"/>
          <w:sz w:val="24"/>
        </w:rPr>
        <w:t>Los establecimientos de crédito deben realizar el análisis que conlleva cualquier operación activa para verificar la solvencia del ordenante, el nivel de endeudamiento, su capacidad de pago y todos aquellos otros elementos que permitan determinar la viabilidad de la expedición de la respectiva aceptación con el propósito de evaluar en cada caso los riesgos que asume la institución.</w:t>
      </w:r>
      <w:r>
        <w:rPr>
          <w:rFonts w:ascii="Verdana" w:hAnsi="Verdana" w:cs="Verdana" w:eastAsia="Verdana"/>
          <w:sz w:val="24"/>
        </w:rPr>
        <w:t/>
        <w:cr/>
      </w:r>
      <w:r>
        <w:rPr>
          <w:rFonts w:ascii="Verdana" w:hAnsi="Verdana" w:cs="Verdana" w:eastAsia="Verdana"/>
          <w:sz w:val="24"/>
        </w:rPr>
        <w:t>En consecuencia, los establecimientos de crédito deben abstenerse de otorgar aceptaciones que no reúnan los requisitos exigidos en las instrucciones contenidas en este numeral como los referentes al estudio de la situación financiera del solicitante en los términos descritos, por constituir dicha conducta una práctica no autorizada e insegura.</w:t>
        <w:cr/>
      </w:r>
    </w:p>
    <w:p>
      <w:pPr>
        <w:jc w:val="left"/>
      </w:pPr>
      <w:r>
        <w:rPr>
          <w:rFonts w:ascii="Verdana" w:hAnsi="Verdana" w:cs="Verdana" w:eastAsia="Verdana"/>
          <w:sz w:val="24"/>
          <w:b w:val="on"/>
        </w:rPr>
        <w:t>8. Crédito documentario</w:t>
      </w:r>
    </w:p>
    <w:p>
      <w:pPr>
        <w:jc w:val="both"/>
      </w:pPr>
      <w:r>
        <w:rPr>
          <w:rFonts w:ascii="Verdana" w:hAnsi="Verdana" w:cs="Verdana" w:eastAsia="Verdana"/>
          <w:sz w:val="24"/>
        </w:rPr>
        <w:t>Constituye una operación activa de los bancos, corporaciones financieras y compañías de financiamiento, de acuerdo con su régimen legal, el otorgamiento de crédito documentario en los términos definidos por el artículo 1408 del Código de Comercio. En tal virtud, los mencionados establecimientos de crédito pueden emitir cartas de crédito tradicionales, es decir como instrumento de pago o financiación y cartas de crédito stand-by, como garantía del pago de una obligación, según instrucciones recibidas de su cliente.</w:t>
      </w:r>
    </w:p>
    <w:p>
      <w:pPr>
        <w:jc w:val="left"/>
      </w:pPr>
      <w:r>
        <w:rPr>
          <w:rFonts w:ascii="Verdana" w:hAnsi="Verdana" w:cs="Verdana" w:eastAsia="Verdana"/>
          <w:sz w:val="24"/>
          <w:b w:val="on"/>
        </w:rPr>
        <w:t>8.1. Características de la carta de crédito</w:t>
      </w:r>
    </w:p>
    <w:p>
      <w:pPr>
        <w:jc w:val="left"/>
      </w:pPr>
      <w:r>
        <w:rPr>
          <w:rFonts w:ascii="Verdana" w:hAnsi="Verdana" w:cs="Verdana" w:eastAsia="Verdana"/>
          <w:sz w:val="24"/>
          <w:b w:val="on"/>
        </w:rPr>
        <w:t>8.1.1. Autonomía</w:t>
      </w:r>
    </w:p>
    <w:p>
      <w:pPr>
        <w:jc w:val="both"/>
      </w:pPr>
      <w:r>
        <w:rPr>
          <w:rFonts w:ascii="Verdana" w:hAnsi="Verdana" w:cs="Verdana" w:eastAsia="Verdana"/>
          <w:sz w:val="24"/>
        </w:rPr>
        <w:t>El principio de autonomía es aplicable a las cartas de crédito, en cuanto que las relaciones entre comprador y vendedor generan unas consecuencias que no son oponibles a las relaciones entre el establecimiento de crédito como pagador y el beneficiario y, que a su turno, las relaciones entre ordenante y el emisor son independientes a las que existen entre ordenante y beneficiario y entre pagador y beneficiario.</w:t>
        <w:cr/>
      </w:r>
      <w:r>
        <w:rPr>
          <w:rFonts w:ascii="Verdana" w:hAnsi="Verdana" w:cs="Verdana" w:eastAsia="Verdana"/>
          <w:sz w:val="24"/>
        </w:rPr>
        <w:t/>
        <w:cr/>
      </w:r>
      <w:r>
        <w:rPr>
          <w:rFonts w:ascii="Verdana" w:hAnsi="Verdana" w:cs="Verdana" w:eastAsia="Verdana"/>
          <w:sz w:val="24"/>
        </w:rPr>
        <w:t>Cada relación entre las partes las vincula en forma exclusiva y los demás son terceros respecto de dicha relación, de tal manera que no resultan afectados directamente por el desarrollo de la misma. Una vez otorgada la carta de crédito el establecimiento asume un compromiso directo de pagar al beneficiario, siempre y cuando éste cumpla con las condiciones y requisitos pactados en el crédito. La obligación que asume el establecimiento de crédito frente al beneficiario es una obligación condicionada a que éste último le acredite el cumplimiento de su obligación para con el ordenante mediante la presentación de los documentos exigidos en la carta de crédito.</w:t>
        <w:cr/>
      </w:r>
    </w:p>
    <w:p>
      <w:pPr>
        <w:jc w:val="left"/>
      </w:pPr>
      <w:r>
        <w:rPr>
          <w:rFonts w:ascii="Verdana" w:hAnsi="Verdana" w:cs="Verdana" w:eastAsia="Verdana"/>
          <w:sz w:val="24"/>
          <w:b w:val="on"/>
        </w:rPr>
        <w:t>8.1.2. Literalidad</w:t>
      </w:r>
    </w:p>
    <w:p>
      <w:pPr>
        <w:jc w:val="both"/>
      </w:pPr>
      <w:r>
        <w:rPr>
          <w:rFonts w:ascii="Verdana" w:hAnsi="Verdana" w:cs="Verdana" w:eastAsia="Verdana"/>
          <w:sz w:val="24"/>
        </w:rPr>
        <w:t>Las partes intervinientes en la carta solo pueden tener como valederas y exigibles las instrucciones, órdenes, condiciones y requisitos que aparezcan debida y expresamente señalados en el texto mismo de ella.</w:t>
        <w:cr/>
      </w:r>
    </w:p>
    <w:p>
      <w:pPr>
        <w:jc w:val="left"/>
      </w:pPr>
      <w:r>
        <w:rPr>
          <w:rFonts w:ascii="Verdana" w:hAnsi="Verdana" w:cs="Verdana" w:eastAsia="Verdana"/>
          <w:sz w:val="24"/>
          <w:b w:val="on"/>
        </w:rPr>
        <w:t>8.1.3. Formalidad</w:t>
      </w:r>
    </w:p>
    <w:p>
      <w:pPr>
        <w:jc w:val="both"/>
      </w:pPr>
      <w:r>
        <w:rPr>
          <w:rFonts w:ascii="Verdana" w:hAnsi="Verdana" w:cs="Verdana" w:eastAsia="Verdana"/>
          <w:sz w:val="24"/>
        </w:rPr>
        <w:t>Hace referencia a los documentos que acompañan la carta de crédito y en virtud de la cual se presume que el vendedor ha satisfecho su obligación con el ordenante, cuando presenta al establecimiento de crédito los documentos formalmente correctos. Esta característica surge de las reglas y usos uniformes expedidas por la Cámara Internacional de Comercio, cuando afirman que los bancos deben proceder al examen cuidadoso de los papeles y documentos presentados, para cerciorarse de que exteriormente están de acuerdo con las condiciones del crédito. Es decir, se trata de una verificación formal y por esta razón no puede el ordenante obligarlos a responder por las condiciones intrínsecas de los mismos.</w:t>
        <w:cr/>
      </w:r>
      <w:r>
        <w:rPr>
          <w:rFonts w:ascii="Verdana" w:hAnsi="Verdana" w:cs="Verdana" w:eastAsia="Verdana"/>
          <w:sz w:val="24"/>
        </w:rPr>
        <w:t/>
        <w:cr/>
      </w:r>
      <w:r>
        <w:rPr>
          <w:rFonts w:ascii="Verdana" w:hAnsi="Verdana" w:cs="Verdana" w:eastAsia="Verdana"/>
          <w:sz w:val="24"/>
        </w:rPr>
        <w:t>Así es como, el establecimiento de crédito puede ser responsable de la presentación defectuosa de los documentos que debe verificar, así como de las alteraciones o enmendaduras de los mismos, que de un examen diligente sean identificables y puedan derivar en invalidez o falsificación de ellos.</w:t>
      </w:r>
    </w:p>
    <w:p>
      <w:pPr>
        <w:jc w:val="left"/>
      </w:pPr>
      <w:r>
        <w:rPr>
          <w:rFonts w:ascii="Verdana" w:hAnsi="Verdana" w:cs="Verdana" w:eastAsia="Verdana"/>
          <w:sz w:val="24"/>
          <w:b w:val="on"/>
        </w:rPr>
        <w:t>8.2. Transferencia de la carta de crédito</w:t>
      </w:r>
    </w:p>
    <w:p>
      <w:pPr>
        <w:jc w:val="both"/>
      </w:pPr>
      <w:r>
        <w:rPr>
          <w:rFonts w:ascii="Verdana" w:hAnsi="Verdana" w:cs="Verdana" w:eastAsia="Verdana"/>
          <w:sz w:val="24"/>
        </w:rPr>
        <w:t>De conformidad con lo dispuesto en el artículo 1413 del Código de Comercio, las cartas de crédito son en principio intransferibles salvo que en ellas se haga constar expresamente su transferencia. En este caso, quedará el beneficiario facultado para que el crédito abierto a su favor pueda ser transferido a favor de uno o más beneficiarios, bien sea por la totalidad de su valor o por una parte, siempre que instruya al establecimiento encargado de hacer el pago o las aceptaciones.</w:t>
        <w:cr/>
      </w:r>
      <w:r>
        <w:rPr>
          <w:rFonts w:ascii="Verdana" w:hAnsi="Verdana" w:cs="Verdana" w:eastAsia="Verdana"/>
          <w:sz w:val="24"/>
        </w:rPr>
        <w:t/>
        <w:cr/>
      </w:r>
      <w:r>
        <w:rPr>
          <w:rFonts w:ascii="Verdana" w:hAnsi="Verdana" w:cs="Verdana" w:eastAsia="Verdana"/>
          <w:sz w:val="24"/>
        </w:rPr>
        <w:t>Sin embargo, la transferencia referida no puede realizarse mediante endoso, atendiendo lo dispuesto en el Decreto 2756 de 1976, debiendo efectuarse como una cesión de créditos personales. En consecuencia, la negociación no produce efecto contra el obligado ni contra terceros, mientras no sea notificada por el cesionario al establecimiento de crédito.</w:t>
        <w:cr/>
      </w:r>
      <w:r>
        <w:rPr>
          <w:rFonts w:ascii="Verdana" w:hAnsi="Verdana" w:cs="Verdana" w:eastAsia="Verdana"/>
          <w:sz w:val="24"/>
        </w:rPr>
        <w:t/>
        <w:cr/>
      </w:r>
      <w:r>
        <w:rPr>
          <w:rFonts w:ascii="Verdana" w:hAnsi="Verdana" w:cs="Verdana" w:eastAsia="Verdana"/>
          <w:sz w:val="24"/>
        </w:rPr>
        <w:t>Si se cumple con el requisito de la notificación contemplado en los artículos 1959 a 1966 del Código Civil, no le será viable al establecimiento de crédito oponerse al pago.</w:t>
        <w:cr/>
      </w:r>
    </w:p>
    <w:p>
      <w:pPr>
        <w:jc w:val="left"/>
      </w:pPr>
      <w:r>
        <w:rPr>
          <w:rFonts w:ascii="Verdana" w:hAnsi="Verdana" w:cs="Verdana" w:eastAsia="Verdana"/>
          <w:sz w:val="24"/>
          <w:b w:val="on"/>
        </w:rPr>
        <w:t xml:space="preserve">8.3. Régimen de insolvencia empresarial del ordenante </w:t>
      </w:r>
    </w:p>
    <w:p>
      <w:pPr>
        <w:jc w:val="both"/>
      </w:pPr>
      <w:r>
        <w:rPr>
          <w:rFonts w:ascii="Verdana" w:hAnsi="Verdana" w:cs="Verdana" w:eastAsia="Verdana"/>
          <w:sz w:val="24"/>
        </w:rPr>
        <w:t xml:space="preserve">El compromiso que asume el establecimiento de crédito de pagar una suma de dinero o de aceptar o negociar títulos valores girados por el beneficiario siempre que los documentos se presenten en debida forma por el mismo dentro de la oportunidad señalada para el efecto, es una obligación condicional que tan sólo depende del cumplimiento de tales requisitos por parte del deudor. </w:t>
        <w:cr/>
      </w:r>
      <w:r>
        <w:rPr>
          <w:rFonts w:ascii="Verdana" w:hAnsi="Verdana" w:cs="Verdana" w:eastAsia="Verdana"/>
          <w:sz w:val="24"/>
        </w:rPr>
        <w:t/>
        <w:cr/>
      </w:r>
      <w:r>
        <w:rPr>
          <w:rFonts w:ascii="Verdana" w:hAnsi="Verdana" w:cs="Verdana" w:eastAsia="Verdana"/>
          <w:sz w:val="24"/>
        </w:rPr>
        <w:t>Por consiguiente, no podrá oponer el establecimiento de crédito al beneficiario como excepción al pago que le corresponde, el hecho de que el ordenante esté en proceso de reorganización empresarial o de liquidación judicial, pues no puede resultar el beneficiario afectado por la relación existente entre el emisor y el ordenante.</w:t>
        <w:cr/>
      </w:r>
    </w:p>
    <w:p>
      <w:pPr>
        <w:jc w:val="left"/>
      </w:pPr>
      <w:r>
        <w:rPr>
          <w:rFonts w:ascii="Verdana" w:hAnsi="Verdana" w:cs="Verdana" w:eastAsia="Verdana"/>
          <w:sz w:val="24"/>
          <w:b w:val="on"/>
        </w:rPr>
        <w:t>8.4. Apertura de créditos documentarios con recursos de líneas de crédito directas</w:t>
      </w:r>
    </w:p>
    <w:p>
      <w:pPr>
        <w:jc w:val="both"/>
      </w:pPr>
      <w:r>
        <w:rPr>
          <w:rFonts w:ascii="Verdana" w:hAnsi="Verdana" w:cs="Verdana" w:eastAsia="Verdana"/>
          <w:sz w:val="24"/>
        </w:rPr>
        <w:t>Resulta válido establecer cartas de crédito utilizables con los recursos provenientes de líneas de crédito directas, con lo cual dichas cartas sirven sólo como instrumentos de pago y, en consecuencia, no conllevan una financiación de la operación por parte de la entidad emisora de las mismas.</w:t>
      </w:r>
      <w:r>
        <w:rPr>
          <w:rFonts w:ascii="Verdana" w:hAnsi="Verdana" w:cs="Verdana" w:eastAsia="Verdana"/>
          <w:sz w:val="24"/>
        </w:rPr>
        <w:t>En el documento en el cual conste la solicitud de apertura de la carta de crédito debe quedar constancia explícita sobre la vinculación existente entre la misma como instrumento de pago y la línea de crédito directa. Así mismo, debe existir evidencia documental de la conformidad emitida por la entidad otorgante de la línea de crédito, en el sentido de que el banco emisor proceda a expedir la carta de crédito bajo el compromiso de pago del valor equivalente a las utilizaciones efectuadas, en los términos del acuerdo celebrado, cuyas condiciones deben constar por escrito, toda vez que obrar en sentido diverso entrañaría una práctica insegura.</w:t>
      </w:r>
      <w:r>
        <w:rPr>
          <w:rFonts w:ascii="Verdana" w:hAnsi="Verdana" w:cs="Verdana" w:eastAsia="Verdana"/>
          <w:sz w:val="24"/>
        </w:rPr>
        <w:t>Considerando las características de la operación, específicamente los compromisos que se adquieran frente al beneficiario de la carta de crédito y frente a los bancos corresponsales que obren como confirmantes, la entidad debe establecer parámetros objetivos para evaluar el riesgo derivado de su celebración, en cuanto al análisis de la solidez financiera de la entidad otorgante de la línea de crédito directa.</w:t>
      </w:r>
    </w:p>
    <w:p>
      <w:pPr>
        <w:jc w:val="left"/>
      </w:pPr>
      <w:r>
        <w:rPr>
          <w:rFonts w:ascii="Verdana" w:hAnsi="Verdana" w:cs="Verdana" w:eastAsia="Verdana"/>
          <w:sz w:val="24"/>
          <w:b w:val="on"/>
        </w:rPr>
        <w:t>9. Operaciones con títulos valores en blanco</w:t>
      </w:r>
    </w:p>
    <w:p>
      <w:pPr>
        <w:jc w:val="both"/>
      </w:pPr>
      <w:r>
        <w:rPr>
          <w:rFonts w:ascii="Verdana" w:hAnsi="Verdana" w:cs="Verdana" w:eastAsia="Verdana"/>
          <w:sz w:val="24"/>
        </w:rPr>
        <w:t>Las operaciones activas de los establecimientos de crédito que soporten su garantía, total o parcialmente en títulos valores en blanco deben atender las disposiciones contenidas en el artículo 622 del Código de Comercio. En cumplimiento de lo anterior, además de las instrucciones que los clientes consideren necesario introducir, la carta de instrucciones debe contener:­</w:t>
      </w:r>
    </w:p>
    <w:p>
      <w:pPr>
        <w:jc w:val="both"/>
      </w:pPr>
      <w:r>
        <w:rPr>
          <w:rFonts w:ascii="Verdana" w:hAnsi="Verdana" w:cs="Verdana" w:eastAsia="Verdana"/>
          <w:sz w:val="24"/>
        </w:rPr>
        <w:t>9.1. Clase de título valor.</w:t>
        <w:cr/>
      </w:r>
    </w:p>
    <w:p>
      <w:pPr>
        <w:jc w:val="both"/>
      </w:pPr>
      <w:r>
        <w:rPr>
          <w:rFonts w:ascii="Verdana" w:hAnsi="Verdana" w:cs="Verdana" w:eastAsia="Verdana"/>
          <w:sz w:val="24"/>
        </w:rPr>
        <w:t>9.2. Identificación plena del título sobre el cual recaen las instrucciones.</w:t>
      </w:r>
    </w:p>
    <w:p>
      <w:pPr>
        <w:jc w:val="both"/>
      </w:pPr>
      <w:r>
        <w:rPr>
          <w:rFonts w:ascii="Verdana" w:hAnsi="Verdana" w:cs="Verdana" w:eastAsia="Verdana"/>
          <w:sz w:val="24"/>
        </w:rPr>
        <w:t>9.3. Elementos generales y particulares del título, que no consten en éste, y para el cual se dan las instrucciones.</w:t>
      </w:r>
    </w:p>
    <w:p>
      <w:pPr>
        <w:jc w:val="both"/>
      </w:pPr>
      <w:r>
        <w:rPr>
          <w:rFonts w:ascii="Verdana" w:hAnsi="Verdana" w:cs="Verdana" w:eastAsia="Verdana"/>
          <w:sz w:val="24"/>
        </w:rPr>
        <w:t>9.4. Eventos y circunstancias que facultan al tenedor legítimo para llenar el título valor.</w:t>
      </w:r>
    </w:p>
    <w:p>
      <w:pPr>
        <w:jc w:val="both"/>
      </w:pPr>
      <w:r>
        <w:rPr>
          <w:rFonts w:ascii="Verdana" w:hAnsi="Verdana" w:cs="Verdana" w:eastAsia="Verdana"/>
          <w:sz w:val="24"/>
        </w:rPr>
        <w:t>9.5. Copia de las instrucciones que debe quedar en poder de quien las otorga.</w:t>
        <w:cr/>
      </w:r>
      <w:r>
        <w:rPr>
          <w:rFonts w:ascii="Verdana" w:hAnsi="Verdana" w:cs="Verdana" w:eastAsia="Verdana"/>
          <w:sz w:val="24"/>
        </w:rPr>
        <w:t/>
        <w:cr/>
      </w:r>
      <w:r>
        <w:rPr>
          <w:rFonts w:ascii="Verdana" w:hAnsi="Verdana" w:cs="Verdana" w:eastAsia="Verdana"/>
          <w:sz w:val="24"/>
        </w:rPr>
        <w:t>Esta Superintendencia considera práctica insegura y no autorizada la inobservancia de las instrucciones impartidas anteriormente.</w:t>
        <w:cr/>
      </w:r>
    </w:p>
    <w:sectPr>
      <w:headerReference w:type="default" r:id="rId2"/>
      <w:footerReference w:type="default" r:id="rId3"/>
    </w:sectPr>
  </w:body>
</w:document>
</file>

<file path=word/footer1.xml><?xml version="1.0" encoding="utf-8"?>
<w:ftr xmlns:w="http://schemas.openxmlformats.org/wordprocessingml/2006/main">
  <w:p>
    <w:pPr>
      <w:jc w:val="right"/>
    </w:pPr>
    <w:r>
      <w:rPr>
        <w:rFonts w:ascii="Verdana" w:hAnsi="Verdana" w:cs="Verdana" w:eastAsia="Verdana"/>
        <w:sz w:val="20"/>
      </w:rPr>
      <w:t>Versión descargada el 3-jul-25</w:t>
      <w:br/>
      <w:t>Parte II. Título I. Capítulo I: Disposiciones especiales aplicables a operaciones activas de crédito</w:t>
    </w:r>
  </w:p>
</w:ftr>
</file>

<file path=word/header1.xml><?xml version="1.0" encoding="utf-8"?>
<w:hdr xmlns:w="http://schemas.openxmlformats.org/wordprocessingml/2006/main" xmlns:wp="http://schemas.openxmlformats.org/drawingml/2006/wordprocessingDrawing" xmlns:r="http://schemas.openxmlformats.org/officeDocument/2006/relationships">
  <w:p>
    <w:pPr>
      <w:jc w:val="center"/>
    </w:pPr>
    <w:r>
      <w:rPr>
        <w:sz w:val="24"/>
      </w:rPr>
      <w:drawing>
        <wp:inline distT="0" distR="0" distB="0" distL="0">
          <wp:extent cx="2006600" cy="863600"/>
          <wp:docPr id="0" name="Drawing 0" descr="logoSFC.png"/>
          <a:graphic xmlns:a="http://schemas.openxmlformats.org/drawingml/2006/main">
            <a:graphicData uri="http://schemas.openxmlformats.org/drawingml/2006/picture">
              <pic:pic xmlns:pic="http://schemas.openxmlformats.org/drawingml/2006/picture">
                <pic:nvPicPr>
                  <pic:cNvPr id="0" name="Picture 0" descr="logoSFC.png"/>
                  <pic:cNvPicPr>
                    <a:picLocks noChangeAspect="true"/>
                  </pic:cNvPicPr>
                </pic:nvPicPr>
                <pic:blipFill>
                  <a:blip r:embed="rId1"/>
                  <a:stretch>
                    <a:fillRect/>
                  </a:stretch>
                </pic:blipFill>
                <pic:spPr>
                  <a:xfrm>
                    <a:off x="0" y="0"/>
                    <a:ext cx="2006600" cy="863600"/>
                  </a:xfrm>
                  <a:prstGeom prst="rect">
                    <a:avLst/>
                  </a:prstGeom>
                </pic:spPr>
              </pic:pic>
            </a:graphicData>
          </a:graphic>
        </wp:inline>
      </w:drawing>
    </w:r>
  </w:p>
</w:hdr>
</file>

<file path=word/settings.xml><?xml version="1.0" encoding="utf-8"?>
<w:settings xmlns:w="http://schemas.openxmlformats.org/wordprocessingml/2006/main"/>
</file>

<file path=word/_rels/document.xml.rels><?xml version="1.0" encoding="UTF-8" standalone="no"?><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word/_rels/header1.xml.rels><?xml version="1.0" encoding="UTF-8" standalone="no"?><Relationships xmlns="http://schemas.openxmlformats.org/package/2006/relationships"><Relationship Id="rId1" Target="media/image1.png" Type="http://schemas.openxmlformats.org/officeDocument/2006/relationships/image"/></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2025-07-03T14:27:04Z</dcterms:created>
  <dc:creator>Apache POI</dc:creator>
</cp:coreProperties>
</file>