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454E0" w14:textId="77777777" w:rsidR="00E951D2" w:rsidRPr="00671556" w:rsidRDefault="00E951D2" w:rsidP="00E951D2">
      <w:pPr>
        <w:pBdr>
          <w:left w:val="single" w:sz="4" w:space="1" w:color="auto"/>
        </w:pBdr>
        <w:rPr>
          <w:rFonts w:cs="Arial"/>
          <w:b/>
          <w:sz w:val="16"/>
          <w:szCs w:val="16"/>
          <w:lang w:val="es-CO"/>
        </w:rPr>
      </w:pPr>
    </w:p>
    <w:p w14:paraId="0450F4E0" w14:textId="5B01D3EA" w:rsidR="00B442F4" w:rsidRDefault="00E951D2" w:rsidP="00AA257A">
      <w:pPr>
        <w:pBdr>
          <w:left w:val="single" w:sz="4" w:space="1" w:color="auto"/>
        </w:pBdr>
        <w:rPr>
          <w:rFonts w:cs="Arial"/>
          <w:b/>
          <w:bCs/>
          <w:sz w:val="16"/>
          <w:szCs w:val="16"/>
          <w:lang w:val="es-CO"/>
        </w:rPr>
      </w:pPr>
      <w:r w:rsidRPr="00555A25">
        <w:rPr>
          <w:rFonts w:cs="Arial"/>
          <w:sz w:val="16"/>
          <w:szCs w:val="16"/>
          <w:lang w:val="es-CO"/>
        </w:rPr>
        <w:t xml:space="preserve">El componente de referencia para cada uno de los tipos de fondos de pensiones obligatorias </w:t>
      </w:r>
      <w:r w:rsidRPr="00AA257A">
        <w:rPr>
          <w:rFonts w:cs="Arial"/>
          <w:sz w:val="16"/>
          <w:szCs w:val="16"/>
          <w:lang w:val="es-CO"/>
        </w:rPr>
        <w:t>de la etapa de acumulación</w:t>
      </w:r>
      <w:r w:rsidRPr="00555A25">
        <w:rPr>
          <w:rFonts w:cs="Arial"/>
          <w:sz w:val="16"/>
          <w:szCs w:val="16"/>
          <w:lang w:val="es-CO"/>
        </w:rPr>
        <w:t xml:space="preserve"> debe conformarse por la suma ponderada de las rentabilidades de los índices del mercado mencionados. Para el efecto, las citadas rentabilidades deben ponderar</w:t>
      </w:r>
      <w:r w:rsidRPr="00AA257A">
        <w:rPr>
          <w:rFonts w:cs="Arial"/>
          <w:b/>
          <w:bCs/>
          <w:sz w:val="16"/>
          <w:szCs w:val="16"/>
          <w:lang w:val="es-CO"/>
        </w:rPr>
        <w:t xml:space="preserve"> </w:t>
      </w:r>
      <w:r w:rsidR="00D00D2C" w:rsidRPr="00AA257A">
        <w:rPr>
          <w:rFonts w:cs="Arial"/>
          <w:b/>
          <w:bCs/>
          <w:sz w:val="16"/>
          <w:szCs w:val="16"/>
          <w:lang w:val="es-CO"/>
        </w:rPr>
        <w:t>así</w:t>
      </w:r>
      <w:r w:rsidRPr="00AA257A">
        <w:rPr>
          <w:rFonts w:cs="Arial"/>
          <w:b/>
          <w:bCs/>
          <w:sz w:val="16"/>
          <w:szCs w:val="16"/>
          <w:lang w:val="es-CO"/>
        </w:rPr>
        <w:t>:</w:t>
      </w:r>
    </w:p>
    <w:p w14:paraId="1EF5FD49" w14:textId="1FDF79FB" w:rsidR="0087409B" w:rsidRDefault="006F105B" w:rsidP="00AA257A">
      <w:pPr>
        <w:pBdr>
          <w:left w:val="single" w:sz="4" w:space="1" w:color="auto"/>
        </w:pBdr>
        <w:rPr>
          <w:rFonts w:cs="Arial"/>
          <w:b/>
          <w:bCs/>
          <w:sz w:val="16"/>
          <w:szCs w:val="16"/>
          <w:lang w:val="es-CO"/>
        </w:rPr>
      </w:pPr>
      <w:r>
        <w:rPr>
          <w:rFonts w:cs="Arial"/>
          <w:b/>
          <w:bCs/>
          <w:noProof/>
          <w:sz w:val="16"/>
          <w:szCs w:val="16"/>
          <w:lang w:val="es-CO"/>
        </w:rPr>
        <mc:AlternateContent>
          <mc:Choice Requires="wps">
            <w:drawing>
              <wp:anchor distT="0" distB="0" distL="114300" distR="114300" simplePos="0" relativeHeight="251658240" behindDoc="0" locked="0" layoutInCell="1" allowOverlap="1" wp14:anchorId="5B575099" wp14:editId="75F937C3">
                <wp:simplePos x="0" y="0"/>
                <wp:positionH relativeFrom="column">
                  <wp:posOffset>-33348</wp:posOffset>
                </wp:positionH>
                <wp:positionV relativeFrom="paragraph">
                  <wp:posOffset>113030</wp:posOffset>
                </wp:positionV>
                <wp:extent cx="0" cy="5730516"/>
                <wp:effectExtent l="0" t="0" r="38100" b="22860"/>
                <wp:wrapNone/>
                <wp:docPr id="636214576" name="Conector recto 1"/>
                <wp:cNvGraphicFramePr/>
                <a:graphic xmlns:a="http://schemas.openxmlformats.org/drawingml/2006/main">
                  <a:graphicData uri="http://schemas.microsoft.com/office/word/2010/wordprocessingShape">
                    <wps:wsp>
                      <wps:cNvCnPr/>
                      <wps:spPr>
                        <a:xfrm flipH="1">
                          <a:off x="0" y="0"/>
                          <a:ext cx="0" cy="5730516"/>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24FC2D" id="Conector recto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8.9pt" to="-2.65pt,4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" strokecolor="black [3040]" strokeweight=".25pt"/>
            </w:pict>
          </mc:Fallback>
        </mc:AlternateContent>
      </w:r>
    </w:p>
    <w:tbl>
      <w:tblPr>
        <w:tblW w:w="8446" w:type="dxa"/>
        <w:jc w:val="center"/>
        <w:tblCellMar>
          <w:left w:w="70" w:type="dxa"/>
          <w:right w:w="70" w:type="dxa"/>
        </w:tblCellMar>
        <w:tblLook w:val="04A0" w:firstRow="1" w:lastRow="0" w:firstColumn="1" w:lastColumn="0" w:noHBand="0" w:noVBand="1"/>
      </w:tblPr>
      <w:tblGrid>
        <w:gridCol w:w="2369"/>
        <w:gridCol w:w="6077"/>
      </w:tblGrid>
      <w:tr w:rsidR="00F10336" w:rsidRPr="002D2B89" w14:paraId="75C59991" w14:textId="77777777" w:rsidTr="004662DC">
        <w:trPr>
          <w:trHeight w:val="303"/>
          <w:jc w:val="center"/>
        </w:trPr>
        <w:tc>
          <w:tcPr>
            <w:tcW w:w="236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C5DDB0" w14:textId="77777777" w:rsidR="002D2B89" w:rsidRPr="002D2B89" w:rsidRDefault="002D2B89" w:rsidP="002D2B89">
            <w:pPr>
              <w:jc w:val="center"/>
              <w:rPr>
                <w:rFonts w:cs="Arial"/>
                <w:b/>
                <w:bCs/>
                <w:color w:val="000000"/>
                <w:sz w:val="16"/>
                <w:szCs w:val="16"/>
                <w:lang w:val="es-CO"/>
              </w:rPr>
            </w:pPr>
            <w:r w:rsidRPr="002D2B89">
              <w:rPr>
                <w:rFonts w:cs="Arial"/>
                <w:b/>
                <w:bCs/>
                <w:color w:val="000000"/>
                <w:sz w:val="16"/>
                <w:szCs w:val="16"/>
                <w:lang w:val="es-419"/>
              </w:rPr>
              <w:t>Rentabilidad</w:t>
            </w:r>
          </w:p>
        </w:tc>
        <w:tc>
          <w:tcPr>
            <w:tcW w:w="6077" w:type="dxa"/>
            <w:tcBorders>
              <w:top w:val="single" w:sz="8" w:space="0" w:color="auto"/>
              <w:left w:val="nil"/>
              <w:bottom w:val="single" w:sz="8" w:space="0" w:color="auto"/>
              <w:right w:val="single" w:sz="8" w:space="0" w:color="auto"/>
            </w:tcBorders>
            <w:shd w:val="clear" w:color="auto" w:fill="auto"/>
            <w:vAlign w:val="center"/>
            <w:hideMark/>
          </w:tcPr>
          <w:p w14:paraId="39D68553" w14:textId="77777777" w:rsidR="002D2B89" w:rsidRPr="002D2B89" w:rsidRDefault="002D2B89" w:rsidP="002D2B89">
            <w:pPr>
              <w:jc w:val="center"/>
              <w:rPr>
                <w:rFonts w:cs="Arial"/>
                <w:b/>
                <w:bCs/>
                <w:color w:val="000000"/>
                <w:sz w:val="16"/>
                <w:szCs w:val="16"/>
                <w:lang w:val="es-CO"/>
              </w:rPr>
            </w:pPr>
            <w:r w:rsidRPr="002D2B89">
              <w:rPr>
                <w:rFonts w:cs="Arial"/>
                <w:b/>
                <w:bCs/>
                <w:color w:val="000000"/>
                <w:sz w:val="16"/>
                <w:szCs w:val="16"/>
                <w:lang w:val="es-419"/>
              </w:rPr>
              <w:t xml:space="preserve">Descripción </w:t>
            </w:r>
          </w:p>
        </w:tc>
      </w:tr>
      <w:tr w:rsidR="00F10336" w:rsidRPr="002D2B89" w14:paraId="6CD29E94" w14:textId="77777777" w:rsidTr="004662DC">
        <w:trPr>
          <w:trHeight w:val="1400"/>
          <w:jc w:val="center"/>
        </w:trPr>
        <w:tc>
          <w:tcPr>
            <w:tcW w:w="2369" w:type="dxa"/>
            <w:tcBorders>
              <w:top w:val="nil"/>
              <w:left w:val="single" w:sz="8" w:space="0" w:color="auto"/>
              <w:bottom w:val="single" w:sz="4" w:space="0" w:color="auto"/>
              <w:right w:val="single" w:sz="8" w:space="0" w:color="auto"/>
            </w:tcBorders>
            <w:shd w:val="clear" w:color="auto" w:fill="auto"/>
            <w:vAlign w:val="center"/>
            <w:hideMark/>
          </w:tcPr>
          <w:p w14:paraId="38A13667" w14:textId="77777777" w:rsidR="002D2B89" w:rsidRPr="002D2B89" w:rsidRDefault="002D2B89" w:rsidP="002D2B89">
            <w:pPr>
              <w:rPr>
                <w:rFonts w:cs="Arial"/>
                <w:b/>
                <w:bCs/>
                <w:color w:val="000000"/>
                <w:sz w:val="16"/>
                <w:szCs w:val="16"/>
                <w:lang w:val="es-CO"/>
              </w:rPr>
            </w:pPr>
            <w:r w:rsidRPr="002D2B89">
              <w:rPr>
                <w:rFonts w:cs="Arial"/>
                <w:b/>
                <w:bCs/>
                <w:color w:val="000000"/>
                <w:sz w:val="16"/>
                <w:szCs w:val="16"/>
                <w:lang w:val="es-CO"/>
              </w:rPr>
              <w:t>Índice para renta variable local: Índice Agregado de Renta Variable Local (IARVL)</w:t>
            </w:r>
          </w:p>
        </w:tc>
        <w:tc>
          <w:tcPr>
            <w:tcW w:w="6077" w:type="dxa"/>
            <w:tcBorders>
              <w:top w:val="nil"/>
              <w:left w:val="nil"/>
              <w:bottom w:val="single" w:sz="4" w:space="0" w:color="auto"/>
              <w:right w:val="single" w:sz="8" w:space="0" w:color="auto"/>
            </w:tcBorders>
            <w:shd w:val="clear" w:color="auto" w:fill="auto"/>
            <w:vAlign w:val="center"/>
            <w:hideMark/>
          </w:tcPr>
          <w:p w14:paraId="623E72BC" w14:textId="77777777" w:rsidR="00AF1B98" w:rsidRDefault="002D2B89" w:rsidP="006C04BB">
            <w:pPr>
              <w:rPr>
                <w:rFonts w:cs="Arial"/>
                <w:b/>
                <w:bCs/>
                <w:color w:val="000000"/>
                <w:sz w:val="16"/>
                <w:szCs w:val="16"/>
              </w:rPr>
            </w:pPr>
            <w:r w:rsidRPr="002D2B89">
              <w:rPr>
                <w:rFonts w:cs="Arial"/>
                <w:b/>
                <w:bCs/>
                <w:color w:val="000000"/>
                <w:sz w:val="16"/>
                <w:szCs w:val="16"/>
              </w:rPr>
              <w:t>%IARVL: Corresponde al porcentaje de participación en renta variable local, cuya ponderación se determina con base en la participación de las inversiones en acciones de emisores nacionales y fondos de inversión colectiva representativos de índices accionarios locales</w:t>
            </w:r>
            <w:r w:rsidR="00AF1B98">
              <w:rPr>
                <w:rFonts w:cs="Arial"/>
                <w:b/>
                <w:bCs/>
                <w:color w:val="000000"/>
                <w:sz w:val="16"/>
                <w:szCs w:val="16"/>
              </w:rPr>
              <w:t>.</w:t>
            </w:r>
          </w:p>
          <w:p w14:paraId="1BB0E875" w14:textId="10C49288" w:rsidR="002D2B89" w:rsidRPr="002D2B89" w:rsidRDefault="002D2B89" w:rsidP="004662DC">
            <w:pPr>
              <w:jc w:val="center"/>
              <w:rPr>
                <w:rFonts w:cs="Arial"/>
                <w:b/>
                <w:bCs/>
                <w:color w:val="000000"/>
                <w:sz w:val="16"/>
                <w:szCs w:val="16"/>
                <w:lang w:val="es-CO"/>
              </w:rPr>
            </w:pPr>
            <w:r w:rsidRPr="002D2B89">
              <w:rPr>
                <w:rFonts w:cs="Arial"/>
                <w:b/>
                <w:bCs/>
                <w:color w:val="000000"/>
                <w:sz w:val="16"/>
                <w:szCs w:val="16"/>
              </w:rPr>
              <w:br/>
              <w:t>%IARVL: ‘participación renta variable local’</w:t>
            </w:r>
          </w:p>
        </w:tc>
      </w:tr>
      <w:tr w:rsidR="00F10336" w:rsidRPr="002D5A0C" w14:paraId="0C1CFF5C" w14:textId="77777777" w:rsidTr="004662DC">
        <w:trPr>
          <w:trHeight w:val="1400"/>
          <w:jc w:val="center"/>
        </w:trPr>
        <w:tc>
          <w:tcPr>
            <w:tcW w:w="2369" w:type="dxa"/>
            <w:vMerge w:val="restart"/>
            <w:tcBorders>
              <w:top w:val="nil"/>
              <w:left w:val="single" w:sz="8" w:space="0" w:color="auto"/>
              <w:bottom w:val="single" w:sz="4" w:space="0" w:color="auto"/>
              <w:right w:val="single" w:sz="8" w:space="0" w:color="auto"/>
            </w:tcBorders>
            <w:shd w:val="clear" w:color="auto" w:fill="auto"/>
            <w:vAlign w:val="center"/>
            <w:hideMark/>
          </w:tcPr>
          <w:p w14:paraId="671A77F1" w14:textId="77777777" w:rsidR="002D2B89" w:rsidRPr="002D2B89" w:rsidRDefault="002D2B89" w:rsidP="002D2B89">
            <w:pPr>
              <w:rPr>
                <w:rFonts w:cs="Arial"/>
                <w:b/>
                <w:bCs/>
                <w:color w:val="000000"/>
                <w:sz w:val="16"/>
                <w:szCs w:val="16"/>
                <w:lang w:val="es-CO"/>
              </w:rPr>
            </w:pPr>
            <w:r w:rsidRPr="002D2B89">
              <w:rPr>
                <w:rFonts w:cs="Arial"/>
                <w:b/>
                <w:bCs/>
                <w:color w:val="000000"/>
                <w:sz w:val="16"/>
                <w:szCs w:val="16"/>
                <w:lang w:val="es-CO"/>
              </w:rPr>
              <w:t>Índice para renta variable internacional:</w:t>
            </w:r>
            <w:r w:rsidRPr="002D2B89">
              <w:rPr>
                <w:rFonts w:cs="Arial"/>
                <w:b/>
                <w:bCs/>
                <w:i/>
                <w:iCs/>
                <w:color w:val="000000"/>
                <w:sz w:val="16"/>
                <w:szCs w:val="16"/>
                <w:lang w:val="es-CO"/>
              </w:rPr>
              <w:t xml:space="preserve"> Morgan Stanley Capital International </w:t>
            </w:r>
            <w:proofErr w:type="spellStart"/>
            <w:r w:rsidRPr="002D2B89">
              <w:rPr>
                <w:rFonts w:cs="Arial"/>
                <w:b/>
                <w:bCs/>
                <w:i/>
                <w:iCs/>
                <w:color w:val="000000"/>
                <w:sz w:val="16"/>
                <w:szCs w:val="16"/>
                <w:lang w:val="es-CO"/>
              </w:rPr>
              <w:t>All</w:t>
            </w:r>
            <w:proofErr w:type="spellEnd"/>
            <w:r w:rsidRPr="002D2B89">
              <w:rPr>
                <w:rFonts w:cs="Arial"/>
                <w:b/>
                <w:bCs/>
                <w:i/>
                <w:iCs/>
                <w:color w:val="000000"/>
                <w:sz w:val="16"/>
                <w:szCs w:val="16"/>
                <w:lang w:val="es-CO"/>
              </w:rPr>
              <w:t xml:space="preserve"> Country </w:t>
            </w:r>
            <w:proofErr w:type="spellStart"/>
            <w:r w:rsidRPr="002D2B89">
              <w:rPr>
                <w:rFonts w:cs="Arial"/>
                <w:b/>
                <w:bCs/>
                <w:i/>
                <w:iCs/>
                <w:color w:val="000000"/>
                <w:sz w:val="16"/>
                <w:szCs w:val="16"/>
                <w:lang w:val="es-CO"/>
              </w:rPr>
              <w:t>World</w:t>
            </w:r>
            <w:proofErr w:type="spellEnd"/>
            <w:r w:rsidRPr="002D2B89">
              <w:rPr>
                <w:rFonts w:cs="Arial"/>
                <w:b/>
                <w:bCs/>
                <w:i/>
                <w:iCs/>
                <w:color w:val="000000"/>
                <w:sz w:val="16"/>
                <w:szCs w:val="16"/>
                <w:lang w:val="es-CO"/>
              </w:rPr>
              <w:t xml:space="preserve"> </w:t>
            </w:r>
            <w:proofErr w:type="spellStart"/>
            <w:r w:rsidRPr="002D2B89">
              <w:rPr>
                <w:rFonts w:cs="Arial"/>
                <w:b/>
                <w:bCs/>
                <w:i/>
                <w:iCs/>
                <w:color w:val="000000"/>
                <w:sz w:val="16"/>
                <w:szCs w:val="16"/>
                <w:lang w:val="es-CO"/>
              </w:rPr>
              <w:t>Index</w:t>
            </w:r>
            <w:proofErr w:type="spellEnd"/>
            <w:r w:rsidRPr="002D2B89">
              <w:rPr>
                <w:rFonts w:cs="Arial"/>
                <w:b/>
                <w:bCs/>
                <w:i/>
                <w:iCs/>
                <w:color w:val="000000"/>
                <w:sz w:val="16"/>
                <w:szCs w:val="16"/>
                <w:lang w:val="es-CO"/>
              </w:rPr>
              <w:t xml:space="preserve"> (MSCI ACWI)</w:t>
            </w:r>
          </w:p>
        </w:tc>
        <w:tc>
          <w:tcPr>
            <w:tcW w:w="6077" w:type="dxa"/>
            <w:tcBorders>
              <w:top w:val="nil"/>
              <w:left w:val="nil"/>
              <w:bottom w:val="single" w:sz="4" w:space="0" w:color="auto"/>
              <w:right w:val="single" w:sz="8" w:space="0" w:color="auto"/>
            </w:tcBorders>
            <w:shd w:val="clear" w:color="auto" w:fill="auto"/>
            <w:vAlign w:val="center"/>
            <w:hideMark/>
          </w:tcPr>
          <w:p w14:paraId="1A1416A5" w14:textId="77777777" w:rsidR="00AF1B98" w:rsidRDefault="002D2B89" w:rsidP="002D2B89">
            <w:pPr>
              <w:rPr>
                <w:rFonts w:cs="Arial"/>
                <w:b/>
                <w:bCs/>
                <w:color w:val="000000"/>
                <w:sz w:val="16"/>
                <w:szCs w:val="16"/>
              </w:rPr>
            </w:pPr>
            <w:r w:rsidRPr="002D2B89">
              <w:rPr>
                <w:rFonts w:cs="Arial"/>
                <w:b/>
                <w:bCs/>
                <w:color w:val="000000"/>
                <w:sz w:val="16"/>
                <w:szCs w:val="16"/>
              </w:rPr>
              <w:t>%ACWI COP: Corresponde al porcentaje de participación en renta variable internacional sin cobertura cambiaria y con rentabilidad en COP</w:t>
            </w:r>
            <w:r w:rsidR="00AF1B98">
              <w:rPr>
                <w:rFonts w:cs="Arial"/>
                <w:b/>
                <w:bCs/>
                <w:color w:val="000000"/>
                <w:sz w:val="16"/>
                <w:szCs w:val="16"/>
              </w:rPr>
              <w:t>.</w:t>
            </w:r>
          </w:p>
          <w:p w14:paraId="7D785334" w14:textId="0FB56F77" w:rsidR="002D2B89" w:rsidRPr="004662DC" w:rsidRDefault="002D2B89" w:rsidP="004662DC">
            <w:pPr>
              <w:jc w:val="center"/>
              <w:rPr>
                <w:rFonts w:cs="Arial"/>
                <w:b/>
                <w:bCs/>
                <w:color w:val="000000"/>
                <w:sz w:val="16"/>
                <w:szCs w:val="16"/>
                <w:lang w:val="en-US"/>
              </w:rPr>
            </w:pPr>
            <w:r w:rsidRPr="004662DC">
              <w:rPr>
                <w:rFonts w:cs="Arial"/>
                <w:b/>
                <w:bCs/>
                <w:color w:val="000000"/>
                <w:sz w:val="16"/>
                <w:szCs w:val="16"/>
                <w:lang w:val="en-US"/>
              </w:rPr>
              <w:br/>
              <w:t>%ACWI COP = [[MIN (A);(B);(C) ] / (A)]*(D)</w:t>
            </w:r>
          </w:p>
        </w:tc>
      </w:tr>
      <w:tr w:rsidR="00F10336" w:rsidRPr="002D2B89" w14:paraId="216C29F6" w14:textId="77777777" w:rsidTr="004662DC">
        <w:trPr>
          <w:trHeight w:val="1570"/>
          <w:jc w:val="center"/>
        </w:trPr>
        <w:tc>
          <w:tcPr>
            <w:tcW w:w="2369" w:type="dxa"/>
            <w:vMerge/>
            <w:tcBorders>
              <w:top w:val="nil"/>
              <w:left w:val="single" w:sz="8" w:space="0" w:color="auto"/>
              <w:bottom w:val="single" w:sz="4" w:space="0" w:color="auto"/>
              <w:right w:val="single" w:sz="8" w:space="0" w:color="auto"/>
            </w:tcBorders>
            <w:vAlign w:val="center"/>
            <w:hideMark/>
          </w:tcPr>
          <w:p w14:paraId="4F7D1D80" w14:textId="77777777" w:rsidR="002D2B89" w:rsidRPr="004662DC" w:rsidRDefault="002D2B89" w:rsidP="002D2B89">
            <w:pPr>
              <w:jc w:val="left"/>
              <w:rPr>
                <w:rFonts w:cs="Arial"/>
                <w:b/>
                <w:bCs/>
                <w:color w:val="000000"/>
                <w:sz w:val="16"/>
                <w:szCs w:val="16"/>
                <w:lang w:val="en-US"/>
              </w:rPr>
            </w:pPr>
          </w:p>
        </w:tc>
        <w:tc>
          <w:tcPr>
            <w:tcW w:w="6077" w:type="dxa"/>
            <w:tcBorders>
              <w:top w:val="nil"/>
              <w:left w:val="nil"/>
              <w:bottom w:val="single" w:sz="4" w:space="0" w:color="auto"/>
              <w:right w:val="single" w:sz="8" w:space="0" w:color="auto"/>
            </w:tcBorders>
            <w:shd w:val="clear" w:color="auto" w:fill="auto"/>
            <w:vAlign w:val="center"/>
            <w:hideMark/>
          </w:tcPr>
          <w:p w14:paraId="2AB35938" w14:textId="77777777" w:rsidR="0075760E" w:rsidRDefault="002D2B89" w:rsidP="002D2B89">
            <w:pPr>
              <w:rPr>
                <w:rFonts w:cs="Arial"/>
                <w:b/>
                <w:bCs/>
                <w:color w:val="000000"/>
                <w:sz w:val="16"/>
                <w:szCs w:val="16"/>
              </w:rPr>
            </w:pPr>
            <w:r w:rsidRPr="002D2B89">
              <w:rPr>
                <w:rFonts w:cs="Arial"/>
                <w:b/>
                <w:bCs/>
                <w:color w:val="000000"/>
                <w:sz w:val="16"/>
                <w:szCs w:val="16"/>
              </w:rPr>
              <w:t>%ACWI USD: Corresponde al porcentaje de participación en renta variable internacional con cobertura cambiaria y con rentabilidad en USD</w:t>
            </w:r>
            <w:r w:rsidR="0075760E">
              <w:rPr>
                <w:rFonts w:cs="Arial"/>
                <w:b/>
                <w:bCs/>
                <w:color w:val="000000"/>
                <w:sz w:val="16"/>
                <w:szCs w:val="16"/>
              </w:rPr>
              <w:t>.</w:t>
            </w:r>
          </w:p>
          <w:p w14:paraId="0D02BC22" w14:textId="77777777" w:rsidR="0075760E" w:rsidRDefault="0075760E" w:rsidP="002D2B89">
            <w:pPr>
              <w:rPr>
                <w:rFonts w:cs="Arial"/>
                <w:b/>
                <w:bCs/>
                <w:color w:val="000000"/>
                <w:sz w:val="16"/>
                <w:szCs w:val="16"/>
              </w:rPr>
            </w:pPr>
          </w:p>
          <w:p w14:paraId="0DE1905E" w14:textId="66E22718" w:rsidR="002D2B89" w:rsidRPr="004662DC" w:rsidRDefault="002D2B89" w:rsidP="004662DC">
            <w:pPr>
              <w:jc w:val="center"/>
              <w:rPr>
                <w:rFonts w:cs="Arial"/>
                <w:b/>
                <w:bCs/>
                <w:color w:val="000000"/>
                <w:sz w:val="16"/>
                <w:szCs w:val="16"/>
              </w:rPr>
            </w:pPr>
            <w:r w:rsidRPr="002D2B89">
              <w:rPr>
                <w:rFonts w:cs="Arial"/>
                <w:b/>
                <w:bCs/>
                <w:color w:val="000000"/>
                <w:sz w:val="16"/>
                <w:szCs w:val="16"/>
              </w:rPr>
              <w:br/>
              <w:t>%ACWI USD = [1-[[MIN (A);(B);(C) ] / (A)]]*(D)</w:t>
            </w:r>
          </w:p>
        </w:tc>
      </w:tr>
      <w:tr w:rsidR="00F10336" w:rsidRPr="002D5A0C" w14:paraId="5F2B07ED" w14:textId="77777777" w:rsidTr="004662DC">
        <w:trPr>
          <w:trHeight w:val="1424"/>
          <w:jc w:val="center"/>
        </w:trPr>
        <w:tc>
          <w:tcPr>
            <w:tcW w:w="2369" w:type="dxa"/>
            <w:vMerge w:val="restart"/>
            <w:tcBorders>
              <w:top w:val="nil"/>
              <w:left w:val="single" w:sz="8" w:space="0" w:color="auto"/>
              <w:bottom w:val="single" w:sz="4" w:space="0" w:color="auto"/>
              <w:right w:val="single" w:sz="8" w:space="0" w:color="auto"/>
            </w:tcBorders>
            <w:shd w:val="clear" w:color="auto" w:fill="auto"/>
            <w:vAlign w:val="center"/>
            <w:hideMark/>
          </w:tcPr>
          <w:p w14:paraId="4D92849A" w14:textId="77777777" w:rsidR="002D2B89" w:rsidRPr="002D2B89" w:rsidRDefault="002D2B89" w:rsidP="002D2B89">
            <w:pPr>
              <w:rPr>
                <w:rFonts w:cs="Arial"/>
                <w:b/>
                <w:bCs/>
                <w:color w:val="000000"/>
                <w:sz w:val="16"/>
                <w:szCs w:val="16"/>
                <w:lang w:val="es-CO"/>
              </w:rPr>
            </w:pPr>
            <w:r w:rsidRPr="002D2B89">
              <w:rPr>
                <w:rFonts w:cs="Arial"/>
                <w:b/>
                <w:bCs/>
                <w:color w:val="000000"/>
                <w:sz w:val="16"/>
                <w:szCs w:val="16"/>
                <w:lang w:val="es-CO"/>
              </w:rPr>
              <w:t xml:space="preserve">Índice para renta fija internacional: </w:t>
            </w:r>
            <w:r w:rsidRPr="002D2B89">
              <w:rPr>
                <w:rFonts w:cs="Arial"/>
                <w:b/>
                <w:bCs/>
                <w:i/>
                <w:iCs/>
                <w:color w:val="000000"/>
                <w:sz w:val="16"/>
                <w:szCs w:val="16"/>
                <w:lang w:val="es-CO"/>
              </w:rPr>
              <w:t xml:space="preserve">Barclays Capital Global </w:t>
            </w:r>
            <w:proofErr w:type="spellStart"/>
            <w:r w:rsidRPr="002D2B89">
              <w:rPr>
                <w:rFonts w:cs="Arial"/>
                <w:b/>
                <w:bCs/>
                <w:i/>
                <w:iCs/>
                <w:color w:val="000000"/>
                <w:sz w:val="16"/>
                <w:szCs w:val="16"/>
                <w:lang w:val="es-CO"/>
              </w:rPr>
              <w:t>Aggregate</w:t>
            </w:r>
            <w:proofErr w:type="spellEnd"/>
            <w:r w:rsidRPr="002D2B89">
              <w:rPr>
                <w:rFonts w:cs="Arial"/>
                <w:b/>
                <w:bCs/>
                <w:i/>
                <w:iCs/>
                <w:color w:val="000000"/>
                <w:sz w:val="16"/>
                <w:szCs w:val="16"/>
                <w:lang w:val="es-CO"/>
              </w:rPr>
              <w:t xml:space="preserve"> Bond </w:t>
            </w:r>
            <w:proofErr w:type="spellStart"/>
            <w:r w:rsidRPr="002D2B89">
              <w:rPr>
                <w:rFonts w:cs="Arial"/>
                <w:b/>
                <w:bCs/>
                <w:i/>
                <w:iCs/>
                <w:color w:val="000000"/>
                <w:sz w:val="16"/>
                <w:szCs w:val="16"/>
                <w:lang w:val="es-CO"/>
              </w:rPr>
              <w:t>Index</w:t>
            </w:r>
            <w:proofErr w:type="spellEnd"/>
          </w:p>
        </w:tc>
        <w:tc>
          <w:tcPr>
            <w:tcW w:w="6077" w:type="dxa"/>
            <w:tcBorders>
              <w:top w:val="nil"/>
              <w:left w:val="nil"/>
              <w:bottom w:val="single" w:sz="4" w:space="0" w:color="auto"/>
              <w:right w:val="single" w:sz="8" w:space="0" w:color="auto"/>
            </w:tcBorders>
            <w:shd w:val="clear" w:color="auto" w:fill="auto"/>
            <w:vAlign w:val="center"/>
            <w:hideMark/>
          </w:tcPr>
          <w:p w14:paraId="3E92B7FF" w14:textId="77777777" w:rsidR="0075760E" w:rsidRDefault="002D2B89" w:rsidP="002D2B89">
            <w:pPr>
              <w:rPr>
                <w:rFonts w:cs="Arial"/>
                <w:b/>
                <w:bCs/>
                <w:color w:val="000000"/>
                <w:sz w:val="16"/>
                <w:szCs w:val="16"/>
              </w:rPr>
            </w:pPr>
            <w:r w:rsidRPr="002D2B89">
              <w:rPr>
                <w:rFonts w:cs="Arial"/>
                <w:b/>
                <w:bCs/>
                <w:color w:val="000000"/>
                <w:sz w:val="16"/>
                <w:szCs w:val="16"/>
              </w:rPr>
              <w:t xml:space="preserve">%Barclays Capital Global </w:t>
            </w:r>
            <w:proofErr w:type="spellStart"/>
            <w:r w:rsidRPr="002D2B89">
              <w:rPr>
                <w:rFonts w:cs="Arial"/>
                <w:b/>
                <w:bCs/>
                <w:color w:val="000000"/>
                <w:sz w:val="16"/>
                <w:szCs w:val="16"/>
              </w:rPr>
              <w:t>Aggregate</w:t>
            </w:r>
            <w:proofErr w:type="spellEnd"/>
            <w:r w:rsidRPr="002D2B89">
              <w:rPr>
                <w:rFonts w:cs="Arial"/>
                <w:b/>
                <w:bCs/>
                <w:color w:val="000000"/>
                <w:sz w:val="16"/>
                <w:szCs w:val="16"/>
              </w:rPr>
              <w:t xml:space="preserve"> Bond </w:t>
            </w:r>
            <w:proofErr w:type="spellStart"/>
            <w:r w:rsidRPr="002D2B89">
              <w:rPr>
                <w:rFonts w:cs="Arial"/>
                <w:b/>
                <w:bCs/>
                <w:color w:val="000000"/>
                <w:sz w:val="16"/>
                <w:szCs w:val="16"/>
              </w:rPr>
              <w:t>Index</w:t>
            </w:r>
            <w:proofErr w:type="spellEnd"/>
            <w:r w:rsidRPr="002D2B89">
              <w:rPr>
                <w:rFonts w:cs="Arial"/>
                <w:b/>
                <w:bCs/>
                <w:color w:val="000000"/>
                <w:sz w:val="16"/>
                <w:szCs w:val="16"/>
              </w:rPr>
              <w:t xml:space="preserve"> COP: Corresponde a la participación en renta fija internacional sin cobertura cambiaria y con rentabilidad en COP</w:t>
            </w:r>
            <w:r w:rsidR="0075760E">
              <w:rPr>
                <w:rFonts w:cs="Arial"/>
                <w:b/>
                <w:bCs/>
                <w:color w:val="000000"/>
                <w:sz w:val="16"/>
                <w:szCs w:val="16"/>
              </w:rPr>
              <w:t>.</w:t>
            </w:r>
          </w:p>
          <w:p w14:paraId="08F5F7AB" w14:textId="0B2B8B8B" w:rsidR="002D2B89" w:rsidRPr="004662DC" w:rsidRDefault="002D2B89" w:rsidP="004662DC">
            <w:pPr>
              <w:jc w:val="center"/>
              <w:rPr>
                <w:rFonts w:cs="Arial"/>
                <w:b/>
                <w:bCs/>
                <w:color w:val="000000"/>
                <w:sz w:val="16"/>
                <w:szCs w:val="16"/>
                <w:lang w:val="en-US"/>
              </w:rPr>
            </w:pPr>
            <w:r w:rsidRPr="004662DC">
              <w:rPr>
                <w:rFonts w:cs="Arial"/>
                <w:b/>
                <w:bCs/>
                <w:color w:val="000000"/>
                <w:sz w:val="16"/>
                <w:szCs w:val="16"/>
                <w:lang w:val="en-US"/>
              </w:rPr>
              <w:br/>
              <w:t>%Barclays Capital Global Aggregate Bond Index COP = [[MIN (A);(B);(C) ] / (A)]*</w:t>
            </w:r>
            <w:r w:rsidR="00AA0CCC">
              <w:rPr>
                <w:rFonts w:cs="Arial"/>
                <w:b/>
                <w:bCs/>
                <w:color w:val="000000"/>
                <w:sz w:val="16"/>
                <w:szCs w:val="16"/>
                <w:lang w:val="en-US"/>
              </w:rPr>
              <w:t>(E )</w:t>
            </w:r>
          </w:p>
        </w:tc>
      </w:tr>
      <w:tr w:rsidR="00F10336" w:rsidRPr="002D5A0C" w14:paraId="63FF2A8A" w14:textId="77777777" w:rsidTr="004662DC">
        <w:trPr>
          <w:trHeight w:val="1424"/>
          <w:jc w:val="center"/>
        </w:trPr>
        <w:tc>
          <w:tcPr>
            <w:tcW w:w="2369" w:type="dxa"/>
            <w:vMerge/>
            <w:tcBorders>
              <w:top w:val="nil"/>
              <w:left w:val="single" w:sz="8" w:space="0" w:color="auto"/>
              <w:bottom w:val="single" w:sz="4" w:space="0" w:color="auto"/>
              <w:right w:val="single" w:sz="8" w:space="0" w:color="auto"/>
            </w:tcBorders>
            <w:vAlign w:val="center"/>
            <w:hideMark/>
          </w:tcPr>
          <w:p w14:paraId="10DC00C4" w14:textId="77777777" w:rsidR="002D2B89" w:rsidRPr="004662DC" w:rsidRDefault="002D2B89" w:rsidP="002D2B89">
            <w:pPr>
              <w:jc w:val="left"/>
              <w:rPr>
                <w:rFonts w:cs="Arial"/>
                <w:b/>
                <w:bCs/>
                <w:color w:val="000000"/>
                <w:sz w:val="16"/>
                <w:szCs w:val="16"/>
                <w:lang w:val="en-US"/>
              </w:rPr>
            </w:pPr>
          </w:p>
        </w:tc>
        <w:tc>
          <w:tcPr>
            <w:tcW w:w="6077" w:type="dxa"/>
            <w:tcBorders>
              <w:top w:val="nil"/>
              <w:left w:val="nil"/>
              <w:bottom w:val="single" w:sz="4" w:space="0" w:color="auto"/>
              <w:right w:val="single" w:sz="8" w:space="0" w:color="auto"/>
            </w:tcBorders>
            <w:shd w:val="clear" w:color="auto" w:fill="auto"/>
            <w:vAlign w:val="center"/>
            <w:hideMark/>
          </w:tcPr>
          <w:p w14:paraId="0A45E4D7" w14:textId="77777777" w:rsidR="0075760E" w:rsidRDefault="002D2B89" w:rsidP="002D2B89">
            <w:pPr>
              <w:rPr>
                <w:rFonts w:cs="Arial"/>
                <w:b/>
                <w:bCs/>
                <w:color w:val="000000"/>
                <w:sz w:val="16"/>
                <w:szCs w:val="16"/>
              </w:rPr>
            </w:pPr>
            <w:r w:rsidRPr="002D2B89">
              <w:rPr>
                <w:rFonts w:cs="Arial"/>
                <w:b/>
                <w:bCs/>
                <w:color w:val="000000"/>
                <w:sz w:val="16"/>
                <w:szCs w:val="16"/>
              </w:rPr>
              <w:t xml:space="preserve">%Barclays Capital Global </w:t>
            </w:r>
            <w:proofErr w:type="spellStart"/>
            <w:r w:rsidRPr="002D2B89">
              <w:rPr>
                <w:rFonts w:cs="Arial"/>
                <w:b/>
                <w:bCs/>
                <w:color w:val="000000"/>
                <w:sz w:val="16"/>
                <w:szCs w:val="16"/>
              </w:rPr>
              <w:t>Aggregate</w:t>
            </w:r>
            <w:proofErr w:type="spellEnd"/>
            <w:r w:rsidRPr="002D2B89">
              <w:rPr>
                <w:rFonts w:cs="Arial"/>
                <w:b/>
                <w:bCs/>
                <w:color w:val="000000"/>
                <w:sz w:val="16"/>
                <w:szCs w:val="16"/>
              </w:rPr>
              <w:t xml:space="preserve"> Bond </w:t>
            </w:r>
            <w:proofErr w:type="spellStart"/>
            <w:r w:rsidRPr="002D2B89">
              <w:rPr>
                <w:rFonts w:cs="Arial"/>
                <w:b/>
                <w:bCs/>
                <w:color w:val="000000"/>
                <w:sz w:val="16"/>
                <w:szCs w:val="16"/>
              </w:rPr>
              <w:t>Index</w:t>
            </w:r>
            <w:proofErr w:type="spellEnd"/>
            <w:r w:rsidRPr="002D2B89">
              <w:rPr>
                <w:rFonts w:cs="Arial"/>
                <w:b/>
                <w:bCs/>
                <w:color w:val="000000"/>
                <w:sz w:val="16"/>
                <w:szCs w:val="16"/>
              </w:rPr>
              <w:t xml:space="preserve"> USD: Corresponde a la participación en renta fija internacional con cobertura cambiaria y con rentabilidad en USD</w:t>
            </w:r>
            <w:r w:rsidR="0075760E">
              <w:rPr>
                <w:rFonts w:cs="Arial"/>
                <w:b/>
                <w:bCs/>
                <w:color w:val="000000"/>
                <w:sz w:val="16"/>
                <w:szCs w:val="16"/>
              </w:rPr>
              <w:t>.</w:t>
            </w:r>
          </w:p>
          <w:p w14:paraId="631627BB" w14:textId="2094F7B0" w:rsidR="002D2B89" w:rsidRPr="004662DC" w:rsidRDefault="002D2B89" w:rsidP="004662DC">
            <w:pPr>
              <w:jc w:val="center"/>
              <w:rPr>
                <w:rFonts w:cs="Arial"/>
                <w:b/>
                <w:bCs/>
                <w:color w:val="000000"/>
                <w:sz w:val="16"/>
                <w:szCs w:val="16"/>
                <w:lang w:val="en-US"/>
              </w:rPr>
            </w:pPr>
            <w:r w:rsidRPr="004662DC">
              <w:rPr>
                <w:rFonts w:cs="Arial"/>
                <w:b/>
                <w:bCs/>
                <w:color w:val="000000"/>
                <w:sz w:val="16"/>
                <w:szCs w:val="16"/>
                <w:lang w:val="en-US"/>
              </w:rPr>
              <w:br/>
              <w:t>%Barclays Capital Global Aggregate Bond Index USD = [1-[MIN (A);(B);(C) ] / (A)]*</w:t>
            </w:r>
            <w:r w:rsidR="00AA0CCC">
              <w:rPr>
                <w:rFonts w:cs="Arial"/>
                <w:b/>
                <w:bCs/>
                <w:color w:val="000000"/>
                <w:sz w:val="16"/>
                <w:szCs w:val="16"/>
                <w:lang w:val="en-US"/>
              </w:rPr>
              <w:t>(E )</w:t>
            </w:r>
          </w:p>
        </w:tc>
      </w:tr>
      <w:tr w:rsidR="00F10336" w:rsidRPr="002D2B89" w14:paraId="2A29F771" w14:textId="77777777" w:rsidTr="004662DC">
        <w:trPr>
          <w:trHeight w:val="1322"/>
          <w:jc w:val="center"/>
        </w:trPr>
        <w:tc>
          <w:tcPr>
            <w:tcW w:w="2369" w:type="dxa"/>
            <w:tcBorders>
              <w:top w:val="nil"/>
              <w:left w:val="single" w:sz="8" w:space="0" w:color="auto"/>
              <w:bottom w:val="single" w:sz="8" w:space="0" w:color="auto"/>
              <w:right w:val="single" w:sz="8" w:space="0" w:color="auto"/>
            </w:tcBorders>
            <w:shd w:val="clear" w:color="auto" w:fill="auto"/>
            <w:vAlign w:val="center"/>
            <w:hideMark/>
          </w:tcPr>
          <w:p w14:paraId="4F0FE8C4" w14:textId="77777777" w:rsidR="002D2B89" w:rsidRPr="002D2B89" w:rsidRDefault="002D2B89" w:rsidP="002D2B89">
            <w:pPr>
              <w:rPr>
                <w:rFonts w:cs="Arial"/>
                <w:b/>
                <w:bCs/>
                <w:color w:val="000000"/>
                <w:sz w:val="16"/>
                <w:szCs w:val="16"/>
                <w:lang w:val="es-CO"/>
              </w:rPr>
            </w:pPr>
            <w:r w:rsidRPr="002D2B89">
              <w:rPr>
                <w:rFonts w:cs="Arial"/>
                <w:b/>
                <w:bCs/>
                <w:color w:val="000000"/>
                <w:sz w:val="16"/>
                <w:szCs w:val="16"/>
                <w:lang w:val="es-CO"/>
              </w:rPr>
              <w:t xml:space="preserve">Índice para renta fija local: Ponderación indicada en el </w:t>
            </w:r>
            <w:proofErr w:type="spellStart"/>
            <w:r w:rsidRPr="002D2B89">
              <w:rPr>
                <w:rFonts w:cs="Arial"/>
                <w:b/>
                <w:bCs/>
                <w:color w:val="000000"/>
                <w:sz w:val="16"/>
                <w:szCs w:val="16"/>
                <w:lang w:val="es-CO"/>
              </w:rPr>
              <w:t>subnumeral</w:t>
            </w:r>
            <w:proofErr w:type="spellEnd"/>
            <w:r w:rsidRPr="002D2B89">
              <w:rPr>
                <w:rFonts w:cs="Arial"/>
                <w:b/>
                <w:bCs/>
                <w:color w:val="000000"/>
                <w:sz w:val="16"/>
                <w:szCs w:val="16"/>
                <w:lang w:val="es-CO"/>
              </w:rPr>
              <w:t xml:space="preserve"> 2.5.1.4. del presente Capítulo, según el tipo de fondo</w:t>
            </w:r>
          </w:p>
        </w:tc>
        <w:tc>
          <w:tcPr>
            <w:tcW w:w="6077" w:type="dxa"/>
            <w:tcBorders>
              <w:top w:val="nil"/>
              <w:left w:val="nil"/>
              <w:bottom w:val="single" w:sz="8" w:space="0" w:color="auto"/>
              <w:right w:val="single" w:sz="8" w:space="0" w:color="auto"/>
            </w:tcBorders>
            <w:shd w:val="clear" w:color="auto" w:fill="auto"/>
            <w:vAlign w:val="center"/>
            <w:hideMark/>
          </w:tcPr>
          <w:p w14:paraId="3CA9658B" w14:textId="77777777" w:rsidR="0075760E" w:rsidRDefault="002D2B89" w:rsidP="002D2B89">
            <w:pPr>
              <w:rPr>
                <w:rFonts w:cs="Arial"/>
                <w:b/>
                <w:bCs/>
                <w:color w:val="000000"/>
                <w:sz w:val="16"/>
                <w:szCs w:val="16"/>
              </w:rPr>
            </w:pPr>
            <w:r w:rsidRPr="002D2B89">
              <w:rPr>
                <w:rFonts w:cs="Arial"/>
                <w:b/>
                <w:bCs/>
                <w:color w:val="000000"/>
                <w:sz w:val="16"/>
                <w:szCs w:val="16"/>
              </w:rPr>
              <w:t>%Índice para renta fija local: Corresponde a la participación en renta fija local</w:t>
            </w:r>
            <w:r w:rsidR="0075760E">
              <w:rPr>
                <w:rFonts w:cs="Arial"/>
                <w:b/>
                <w:bCs/>
                <w:color w:val="000000"/>
                <w:sz w:val="16"/>
                <w:szCs w:val="16"/>
              </w:rPr>
              <w:t>.</w:t>
            </w:r>
          </w:p>
          <w:p w14:paraId="306191FA" w14:textId="49A94C4E" w:rsidR="002D2B89" w:rsidRPr="002D2B89" w:rsidRDefault="002D2B89" w:rsidP="004662DC">
            <w:pPr>
              <w:jc w:val="center"/>
              <w:rPr>
                <w:rFonts w:cs="Arial"/>
                <w:b/>
                <w:bCs/>
                <w:color w:val="000000"/>
                <w:sz w:val="16"/>
                <w:szCs w:val="16"/>
                <w:lang w:val="es-CO"/>
              </w:rPr>
            </w:pPr>
            <w:r w:rsidRPr="002D2B89">
              <w:rPr>
                <w:rFonts w:cs="Arial"/>
                <w:b/>
                <w:bCs/>
                <w:color w:val="000000"/>
                <w:sz w:val="16"/>
                <w:szCs w:val="16"/>
              </w:rPr>
              <w:br/>
              <w:t xml:space="preserve">%Índice para renta fija local = 100% - %IARVL - %ACWI COP - %ACWI USD - %Barclays Capital Global </w:t>
            </w:r>
            <w:proofErr w:type="spellStart"/>
            <w:r w:rsidRPr="002D2B89">
              <w:rPr>
                <w:rFonts w:cs="Arial"/>
                <w:b/>
                <w:bCs/>
                <w:color w:val="000000"/>
                <w:sz w:val="16"/>
                <w:szCs w:val="16"/>
              </w:rPr>
              <w:t>Aggregate</w:t>
            </w:r>
            <w:proofErr w:type="spellEnd"/>
            <w:r w:rsidRPr="002D2B89">
              <w:rPr>
                <w:rFonts w:cs="Arial"/>
                <w:b/>
                <w:bCs/>
                <w:color w:val="000000"/>
                <w:sz w:val="16"/>
                <w:szCs w:val="16"/>
              </w:rPr>
              <w:t xml:space="preserve"> Bond </w:t>
            </w:r>
            <w:proofErr w:type="spellStart"/>
            <w:r w:rsidRPr="002D2B89">
              <w:rPr>
                <w:rFonts w:cs="Arial"/>
                <w:b/>
                <w:bCs/>
                <w:color w:val="000000"/>
                <w:sz w:val="16"/>
                <w:szCs w:val="16"/>
              </w:rPr>
              <w:t>Index</w:t>
            </w:r>
            <w:proofErr w:type="spellEnd"/>
            <w:r w:rsidRPr="002D2B89">
              <w:rPr>
                <w:rFonts w:cs="Arial"/>
                <w:b/>
                <w:bCs/>
                <w:color w:val="000000"/>
                <w:sz w:val="16"/>
                <w:szCs w:val="16"/>
              </w:rPr>
              <w:t xml:space="preserve"> COP - %Barclays Capital Global </w:t>
            </w:r>
            <w:proofErr w:type="spellStart"/>
            <w:r w:rsidRPr="002D2B89">
              <w:rPr>
                <w:rFonts w:cs="Arial"/>
                <w:b/>
                <w:bCs/>
                <w:color w:val="000000"/>
                <w:sz w:val="16"/>
                <w:szCs w:val="16"/>
              </w:rPr>
              <w:t>Aggregate</w:t>
            </w:r>
            <w:proofErr w:type="spellEnd"/>
            <w:r w:rsidRPr="002D2B89">
              <w:rPr>
                <w:rFonts w:cs="Arial"/>
                <w:b/>
                <w:bCs/>
                <w:color w:val="000000"/>
                <w:sz w:val="16"/>
                <w:szCs w:val="16"/>
              </w:rPr>
              <w:t xml:space="preserve"> Bond </w:t>
            </w:r>
            <w:proofErr w:type="spellStart"/>
            <w:r w:rsidRPr="002D2B89">
              <w:rPr>
                <w:rFonts w:cs="Arial"/>
                <w:b/>
                <w:bCs/>
                <w:color w:val="000000"/>
                <w:sz w:val="16"/>
                <w:szCs w:val="16"/>
              </w:rPr>
              <w:t>Index</w:t>
            </w:r>
            <w:proofErr w:type="spellEnd"/>
            <w:r w:rsidRPr="002D2B89">
              <w:rPr>
                <w:rFonts w:cs="Arial"/>
                <w:b/>
                <w:bCs/>
                <w:color w:val="000000"/>
                <w:sz w:val="16"/>
                <w:szCs w:val="16"/>
              </w:rPr>
              <w:t xml:space="preserve"> USD</w:t>
            </w:r>
          </w:p>
        </w:tc>
      </w:tr>
    </w:tbl>
    <w:p w14:paraId="5C2F3ABD" w14:textId="77777777" w:rsidR="00B442F4" w:rsidRPr="00AA257A" w:rsidRDefault="00B442F4" w:rsidP="00AA257A">
      <w:pPr>
        <w:pBdr>
          <w:left w:val="single" w:sz="4" w:space="1" w:color="auto"/>
        </w:pBdr>
        <w:rPr>
          <w:rFonts w:cs="Arial"/>
          <w:b/>
          <w:bCs/>
          <w:sz w:val="16"/>
          <w:szCs w:val="16"/>
          <w:lang w:val="es-419"/>
        </w:rPr>
      </w:pPr>
    </w:p>
    <w:p w14:paraId="2B0F66D4" w14:textId="77777777" w:rsidR="0047181C" w:rsidRDefault="0047181C" w:rsidP="00AA257A">
      <w:pPr>
        <w:pBdr>
          <w:left w:val="single" w:sz="4" w:space="1" w:color="auto"/>
        </w:pBdr>
        <w:rPr>
          <w:rFonts w:cs="Arial"/>
          <w:b/>
          <w:bCs/>
          <w:sz w:val="16"/>
          <w:szCs w:val="16"/>
          <w:lang w:val="es-419"/>
        </w:rPr>
      </w:pPr>
    </w:p>
    <w:p w14:paraId="6CD38601" w14:textId="6587F002" w:rsidR="00B442F4" w:rsidRPr="00AA257A" w:rsidRDefault="00B442F4" w:rsidP="00AA257A">
      <w:pPr>
        <w:pBdr>
          <w:left w:val="single" w:sz="4" w:space="1" w:color="auto"/>
        </w:pBdr>
        <w:rPr>
          <w:rFonts w:cs="Arial"/>
          <w:b/>
          <w:bCs/>
          <w:sz w:val="16"/>
          <w:szCs w:val="16"/>
          <w:lang w:val="es-419"/>
        </w:rPr>
      </w:pPr>
      <w:r w:rsidRPr="00AA257A">
        <w:rPr>
          <w:rFonts w:cs="Arial"/>
          <w:b/>
          <w:bCs/>
          <w:sz w:val="16"/>
          <w:szCs w:val="16"/>
          <w:lang w:val="es-419"/>
        </w:rPr>
        <w:t>Siendo:</w:t>
      </w:r>
    </w:p>
    <w:p w14:paraId="7F212E6E" w14:textId="77777777" w:rsidR="00B442F4" w:rsidRPr="00AA257A" w:rsidRDefault="00B442F4" w:rsidP="00AA257A">
      <w:pPr>
        <w:pBdr>
          <w:left w:val="single" w:sz="4" w:space="1" w:color="auto"/>
        </w:pBdr>
        <w:rPr>
          <w:rFonts w:cs="Arial"/>
          <w:b/>
          <w:bCs/>
          <w:sz w:val="16"/>
          <w:szCs w:val="16"/>
          <w:lang w:val="es-419"/>
        </w:rPr>
      </w:pPr>
    </w:p>
    <w:p w14:paraId="42A79AD4" w14:textId="2BBEB19E" w:rsidR="00B442F4" w:rsidRPr="00AA257A" w:rsidRDefault="00B442F4" w:rsidP="00AA257A">
      <w:pPr>
        <w:pBdr>
          <w:left w:val="single" w:sz="4" w:space="1" w:color="auto"/>
        </w:pBdr>
        <w:rPr>
          <w:b/>
          <w:bCs/>
          <w:sz w:val="16"/>
          <w:szCs w:val="16"/>
        </w:rPr>
      </w:pPr>
      <w:r w:rsidRPr="00AA257A">
        <w:rPr>
          <w:b/>
          <w:bCs/>
          <w:sz w:val="16"/>
          <w:szCs w:val="16"/>
        </w:rPr>
        <w:t xml:space="preserve">(A): </w:t>
      </w:r>
      <w:r w:rsidR="00744F9A">
        <w:rPr>
          <w:b/>
          <w:bCs/>
          <w:sz w:val="16"/>
          <w:szCs w:val="16"/>
        </w:rPr>
        <w:t>Porcentaje de</w:t>
      </w:r>
      <w:r w:rsidR="00CB446D">
        <w:rPr>
          <w:b/>
          <w:bCs/>
          <w:sz w:val="16"/>
          <w:szCs w:val="16"/>
        </w:rPr>
        <w:t xml:space="preserve"> la</w:t>
      </w:r>
      <w:r w:rsidRPr="00AA257A">
        <w:rPr>
          <w:b/>
          <w:bCs/>
          <w:sz w:val="16"/>
          <w:szCs w:val="16"/>
        </w:rPr>
        <w:t xml:space="preserve"> inversión en títulos en moneda extranjera en el portafolio del tipo de fondo</w:t>
      </w:r>
      <w:r w:rsidR="003D560B">
        <w:rPr>
          <w:b/>
          <w:bCs/>
          <w:sz w:val="16"/>
          <w:szCs w:val="16"/>
        </w:rPr>
        <w:t xml:space="preserve"> </w:t>
      </w:r>
      <w:r w:rsidR="003D560B" w:rsidRPr="00AA257A">
        <w:rPr>
          <w:b/>
          <w:bCs/>
          <w:sz w:val="16"/>
          <w:szCs w:val="16"/>
        </w:rPr>
        <w:t>(</w:t>
      </w:r>
      <w:r w:rsidR="00A36447" w:rsidRPr="00A36447">
        <w:rPr>
          <w:b/>
          <w:bCs/>
          <w:sz w:val="16"/>
          <w:szCs w:val="16"/>
        </w:rPr>
        <w:t xml:space="preserve">promedio diario de acuerdo con el periodo de rentabilidad mínima </w:t>
      </w:r>
      <w:r w:rsidR="003D560B" w:rsidRPr="00AA257A">
        <w:rPr>
          <w:b/>
          <w:bCs/>
          <w:sz w:val="16"/>
          <w:szCs w:val="16"/>
        </w:rPr>
        <w:t xml:space="preserve">de cada </w:t>
      </w:r>
      <w:r w:rsidR="00B602EA">
        <w:rPr>
          <w:b/>
          <w:bCs/>
          <w:sz w:val="16"/>
          <w:szCs w:val="16"/>
        </w:rPr>
        <w:t>tipo de fondo</w:t>
      </w:r>
      <w:r w:rsidR="003D560B" w:rsidRPr="00AA257A">
        <w:rPr>
          <w:b/>
          <w:bCs/>
          <w:sz w:val="16"/>
          <w:szCs w:val="16"/>
        </w:rPr>
        <w:t>)</w:t>
      </w:r>
    </w:p>
    <w:p w14:paraId="7E9BBB8D" w14:textId="18E6DF1A" w:rsidR="00B442F4" w:rsidRPr="00AA257A" w:rsidRDefault="00B442F4" w:rsidP="00AA257A">
      <w:pPr>
        <w:pBdr>
          <w:left w:val="single" w:sz="4" w:space="1" w:color="auto"/>
        </w:pBdr>
        <w:rPr>
          <w:b/>
          <w:bCs/>
          <w:sz w:val="16"/>
          <w:szCs w:val="16"/>
        </w:rPr>
      </w:pPr>
      <w:r w:rsidRPr="00AA257A">
        <w:rPr>
          <w:b/>
          <w:bCs/>
          <w:sz w:val="16"/>
          <w:szCs w:val="16"/>
        </w:rPr>
        <w:t xml:space="preserve">(B): </w:t>
      </w:r>
      <w:r w:rsidRPr="00EC030C">
        <w:rPr>
          <w:b/>
          <w:bCs/>
          <w:sz w:val="16"/>
          <w:szCs w:val="16"/>
        </w:rPr>
        <w:t xml:space="preserve">Porcentaje del fondo sin cobertura cambiaria en títulos en </w:t>
      </w:r>
      <w:r w:rsidR="00EC030C" w:rsidRPr="004662DC">
        <w:rPr>
          <w:b/>
          <w:bCs/>
          <w:sz w:val="16"/>
          <w:szCs w:val="16"/>
        </w:rPr>
        <w:t>dólar estadounidense (</w:t>
      </w:r>
      <w:r w:rsidR="00390282" w:rsidRPr="004662DC">
        <w:rPr>
          <w:b/>
          <w:bCs/>
          <w:sz w:val="16"/>
          <w:szCs w:val="16"/>
        </w:rPr>
        <w:t>USD</w:t>
      </w:r>
      <w:r w:rsidR="00EC030C" w:rsidRPr="004662DC">
        <w:rPr>
          <w:b/>
          <w:bCs/>
          <w:sz w:val="16"/>
          <w:szCs w:val="16"/>
        </w:rPr>
        <w:t>)</w:t>
      </w:r>
      <w:r w:rsidRPr="00EC030C">
        <w:rPr>
          <w:b/>
          <w:bCs/>
          <w:sz w:val="16"/>
          <w:szCs w:val="16"/>
        </w:rPr>
        <w:t xml:space="preserve"> (promedio mensual sobre el período de rentabilidad mínima de cada </w:t>
      </w:r>
      <w:r w:rsidR="00B602EA" w:rsidRPr="00EC030C">
        <w:rPr>
          <w:b/>
          <w:bCs/>
          <w:sz w:val="16"/>
          <w:szCs w:val="16"/>
        </w:rPr>
        <w:t>tipo de fondo</w:t>
      </w:r>
      <w:r w:rsidRPr="00EC030C">
        <w:rPr>
          <w:b/>
          <w:bCs/>
          <w:sz w:val="16"/>
          <w:szCs w:val="16"/>
        </w:rPr>
        <w:t xml:space="preserve">) </w:t>
      </w:r>
    </w:p>
    <w:p w14:paraId="50DABF8C" w14:textId="73E028A5" w:rsidR="00B442F4" w:rsidRPr="00AA257A" w:rsidRDefault="00B442F4" w:rsidP="00AA257A">
      <w:pPr>
        <w:pBdr>
          <w:left w:val="single" w:sz="4" w:space="1" w:color="auto"/>
        </w:pBdr>
        <w:rPr>
          <w:b/>
          <w:bCs/>
          <w:sz w:val="16"/>
          <w:szCs w:val="16"/>
        </w:rPr>
      </w:pPr>
      <w:r w:rsidRPr="00AA257A">
        <w:rPr>
          <w:b/>
          <w:bCs/>
          <w:sz w:val="16"/>
          <w:szCs w:val="16"/>
        </w:rPr>
        <w:t>(C): Límite de inversión en moneda extranjera sin cobertura para el tipo de fondo, según lo definido en el régimen de inversiones</w:t>
      </w:r>
    </w:p>
    <w:p w14:paraId="51580883" w14:textId="6C099C25" w:rsidR="00B442F4" w:rsidRPr="00AA257A" w:rsidRDefault="00B442F4" w:rsidP="00AA257A">
      <w:pPr>
        <w:pBdr>
          <w:left w:val="single" w:sz="4" w:space="1" w:color="auto"/>
        </w:pBdr>
        <w:rPr>
          <w:b/>
          <w:bCs/>
          <w:sz w:val="16"/>
          <w:szCs w:val="16"/>
        </w:rPr>
      </w:pPr>
      <w:r w:rsidRPr="00AA257A">
        <w:rPr>
          <w:b/>
          <w:bCs/>
          <w:sz w:val="16"/>
          <w:szCs w:val="16"/>
        </w:rPr>
        <w:t xml:space="preserve">(D): </w:t>
      </w:r>
      <w:r w:rsidR="001B2037">
        <w:rPr>
          <w:b/>
          <w:bCs/>
          <w:sz w:val="16"/>
          <w:szCs w:val="16"/>
        </w:rPr>
        <w:t>Porcentaje de</w:t>
      </w:r>
      <w:r w:rsidR="001B2037" w:rsidRPr="00AA257A">
        <w:rPr>
          <w:b/>
          <w:bCs/>
          <w:sz w:val="16"/>
          <w:szCs w:val="16"/>
        </w:rPr>
        <w:t xml:space="preserve"> </w:t>
      </w:r>
      <w:r w:rsidRPr="00AA257A">
        <w:rPr>
          <w:b/>
          <w:bCs/>
          <w:sz w:val="16"/>
          <w:szCs w:val="16"/>
        </w:rPr>
        <w:t>la inversión en títulos de renta variable del exterior en el portafolio del tipo de fondo</w:t>
      </w:r>
      <w:r w:rsidR="00B602EA">
        <w:rPr>
          <w:b/>
          <w:bCs/>
          <w:sz w:val="16"/>
          <w:szCs w:val="16"/>
        </w:rPr>
        <w:t xml:space="preserve"> </w:t>
      </w:r>
      <w:r w:rsidR="00B602EA" w:rsidRPr="00AA257A">
        <w:rPr>
          <w:b/>
          <w:bCs/>
          <w:sz w:val="16"/>
          <w:szCs w:val="16"/>
        </w:rPr>
        <w:t>(</w:t>
      </w:r>
      <w:r w:rsidR="00B602EA" w:rsidRPr="00A36447">
        <w:rPr>
          <w:b/>
          <w:bCs/>
          <w:sz w:val="16"/>
          <w:szCs w:val="16"/>
        </w:rPr>
        <w:t xml:space="preserve">promedio diario de acuerdo con el periodo de rentabilidad mínima </w:t>
      </w:r>
      <w:r w:rsidR="00B602EA" w:rsidRPr="00AA257A">
        <w:rPr>
          <w:b/>
          <w:bCs/>
          <w:sz w:val="16"/>
          <w:szCs w:val="16"/>
        </w:rPr>
        <w:t xml:space="preserve">de cada </w:t>
      </w:r>
      <w:r w:rsidR="00B602EA">
        <w:rPr>
          <w:b/>
          <w:bCs/>
          <w:sz w:val="16"/>
          <w:szCs w:val="16"/>
        </w:rPr>
        <w:t>tipo de fondo</w:t>
      </w:r>
      <w:r w:rsidR="00B602EA" w:rsidRPr="00AA257A">
        <w:rPr>
          <w:b/>
          <w:bCs/>
          <w:sz w:val="16"/>
          <w:szCs w:val="16"/>
        </w:rPr>
        <w:t>)</w:t>
      </w:r>
      <w:r w:rsidR="00B602EA">
        <w:rPr>
          <w:b/>
          <w:bCs/>
          <w:sz w:val="16"/>
          <w:szCs w:val="16"/>
        </w:rPr>
        <w:t xml:space="preserve"> </w:t>
      </w:r>
    </w:p>
    <w:p w14:paraId="038C6694" w14:textId="47B81E05" w:rsidR="00B602EA" w:rsidRPr="00AA257A" w:rsidRDefault="00B442F4" w:rsidP="00B602EA">
      <w:pPr>
        <w:pBdr>
          <w:left w:val="single" w:sz="4" w:space="1" w:color="auto"/>
        </w:pBdr>
        <w:rPr>
          <w:b/>
          <w:bCs/>
          <w:sz w:val="16"/>
          <w:szCs w:val="16"/>
        </w:rPr>
      </w:pPr>
      <w:r w:rsidRPr="00AA257A">
        <w:rPr>
          <w:b/>
          <w:bCs/>
          <w:sz w:val="16"/>
          <w:szCs w:val="16"/>
        </w:rPr>
        <w:t xml:space="preserve">(E): </w:t>
      </w:r>
      <w:r w:rsidR="001B2037">
        <w:rPr>
          <w:b/>
          <w:bCs/>
          <w:sz w:val="16"/>
          <w:szCs w:val="16"/>
        </w:rPr>
        <w:t>Porcentaje de</w:t>
      </w:r>
      <w:r w:rsidR="001B2037" w:rsidRPr="00AA257A">
        <w:rPr>
          <w:b/>
          <w:bCs/>
          <w:sz w:val="16"/>
          <w:szCs w:val="16"/>
        </w:rPr>
        <w:t xml:space="preserve"> </w:t>
      </w:r>
      <w:r w:rsidRPr="00AA257A">
        <w:rPr>
          <w:b/>
          <w:bCs/>
          <w:sz w:val="16"/>
          <w:szCs w:val="16"/>
        </w:rPr>
        <w:t>la inversión en títulos de deuda del exterior en el portafolio del tipo de fondo</w:t>
      </w:r>
      <w:r w:rsidR="00B602EA">
        <w:rPr>
          <w:b/>
          <w:bCs/>
          <w:sz w:val="16"/>
          <w:szCs w:val="16"/>
        </w:rPr>
        <w:t xml:space="preserve"> </w:t>
      </w:r>
      <w:r w:rsidR="00B602EA" w:rsidRPr="00AA257A">
        <w:rPr>
          <w:b/>
          <w:bCs/>
          <w:sz w:val="16"/>
          <w:szCs w:val="16"/>
        </w:rPr>
        <w:t>(</w:t>
      </w:r>
      <w:r w:rsidR="00B602EA" w:rsidRPr="00A36447">
        <w:rPr>
          <w:b/>
          <w:bCs/>
          <w:sz w:val="16"/>
          <w:szCs w:val="16"/>
        </w:rPr>
        <w:t xml:space="preserve">promedio diario de acuerdo con el periodo de rentabilidad mínima </w:t>
      </w:r>
      <w:r w:rsidR="00B602EA" w:rsidRPr="00AA257A">
        <w:rPr>
          <w:b/>
          <w:bCs/>
          <w:sz w:val="16"/>
          <w:szCs w:val="16"/>
        </w:rPr>
        <w:t xml:space="preserve">de cada </w:t>
      </w:r>
      <w:r w:rsidR="00B602EA">
        <w:rPr>
          <w:b/>
          <w:bCs/>
          <w:sz w:val="16"/>
          <w:szCs w:val="16"/>
        </w:rPr>
        <w:t>tipo de fondo</w:t>
      </w:r>
      <w:r w:rsidR="00B602EA" w:rsidRPr="00AA257A">
        <w:rPr>
          <w:b/>
          <w:bCs/>
          <w:sz w:val="16"/>
          <w:szCs w:val="16"/>
        </w:rPr>
        <w:t>)</w:t>
      </w:r>
    </w:p>
    <w:p w14:paraId="5CA753FE" w14:textId="77777777" w:rsidR="0047181C" w:rsidRDefault="0047181C" w:rsidP="00AA257A">
      <w:pPr>
        <w:pStyle w:val="Ttulo2"/>
        <w:spacing w:before="0" w:after="0"/>
        <w:rPr>
          <w:b w:val="0"/>
          <w:bCs w:val="0"/>
          <w:lang w:val="es-ES"/>
        </w:rPr>
      </w:pPr>
      <w:bookmarkStart w:id="0" w:name="_Hlk532217609"/>
    </w:p>
    <w:p w14:paraId="44A4E126" w14:textId="77777777" w:rsidR="0047181C" w:rsidRDefault="0047181C" w:rsidP="00AA257A">
      <w:pPr>
        <w:pStyle w:val="Ttulo2"/>
        <w:spacing w:before="0" w:after="0"/>
        <w:rPr>
          <w:b w:val="0"/>
          <w:bCs w:val="0"/>
          <w:lang w:val="es-ES"/>
        </w:rPr>
      </w:pPr>
    </w:p>
    <w:p w14:paraId="2A13BA1B" w14:textId="045E4BF2" w:rsidR="00E951D2" w:rsidRPr="00AA257A" w:rsidRDefault="00E951D2" w:rsidP="00AA257A">
      <w:pPr>
        <w:pStyle w:val="Ttulo2"/>
        <w:spacing w:before="0" w:after="0"/>
        <w:rPr>
          <w:b w:val="0"/>
          <w:bCs w:val="0"/>
          <w:lang w:val="es-ES"/>
        </w:rPr>
      </w:pPr>
      <w:r w:rsidRPr="00AA257A">
        <w:rPr>
          <w:b w:val="0"/>
          <w:bCs w:val="0"/>
          <w:lang w:val="es-ES"/>
        </w:rPr>
        <w:t>2.6. Rentabilidad mínima obligatoria para el fondo especial de retiro programado.</w:t>
      </w:r>
    </w:p>
    <w:p w14:paraId="51D75554" w14:textId="77777777" w:rsidR="00E951D2" w:rsidRPr="00AA257A" w:rsidRDefault="00E951D2" w:rsidP="00AA257A">
      <w:pPr>
        <w:rPr>
          <w:rFonts w:cs="Arial"/>
          <w:sz w:val="16"/>
          <w:szCs w:val="16"/>
          <w:lang w:val="es-CO"/>
        </w:rPr>
      </w:pPr>
    </w:p>
    <w:p w14:paraId="4CF16835" w14:textId="77777777" w:rsidR="00E951D2" w:rsidRPr="00AA257A" w:rsidRDefault="00E951D2" w:rsidP="00AA257A">
      <w:pPr>
        <w:rPr>
          <w:rFonts w:cs="Arial"/>
          <w:sz w:val="16"/>
          <w:szCs w:val="16"/>
          <w:lang w:val="es-CO"/>
        </w:rPr>
      </w:pPr>
      <w:r w:rsidRPr="00AA257A">
        <w:rPr>
          <w:rFonts w:cs="Arial"/>
          <w:sz w:val="16"/>
          <w:szCs w:val="16"/>
          <w:lang w:val="es-CO"/>
        </w:rPr>
        <w:t>2.6.1. Índices del mercado</w:t>
      </w:r>
    </w:p>
    <w:p w14:paraId="64379A49" w14:textId="77777777" w:rsidR="00E951D2" w:rsidRPr="005F743D" w:rsidRDefault="00E951D2" w:rsidP="00AA257A">
      <w:pPr>
        <w:rPr>
          <w:rFonts w:cs="Arial"/>
          <w:sz w:val="16"/>
          <w:szCs w:val="16"/>
          <w:lang w:val="es-CO"/>
        </w:rPr>
      </w:pPr>
    </w:p>
    <w:p w14:paraId="4426C4FA" w14:textId="77777777" w:rsidR="00E951D2" w:rsidRPr="00AA257A" w:rsidRDefault="00E951D2" w:rsidP="00AA257A">
      <w:pPr>
        <w:rPr>
          <w:rFonts w:cs="Arial"/>
          <w:sz w:val="16"/>
          <w:szCs w:val="16"/>
          <w:lang w:val="es-CO"/>
        </w:rPr>
      </w:pPr>
      <w:r w:rsidRPr="00AA257A">
        <w:rPr>
          <w:rFonts w:cs="Arial"/>
          <w:sz w:val="16"/>
          <w:szCs w:val="16"/>
          <w:lang w:val="es-CO"/>
        </w:rPr>
        <w:t>La rentabilidad mínima obligatoria para el fondo especial de retiro programado será determinada de acuerdo con la suma ponderada de las rentabilidades que presenten los siguientes índices.</w:t>
      </w:r>
    </w:p>
    <w:p w14:paraId="1E5F7839" w14:textId="77777777" w:rsidR="00E951D2" w:rsidRPr="005F743D" w:rsidRDefault="00E951D2" w:rsidP="00AA257A">
      <w:pPr>
        <w:rPr>
          <w:rFonts w:cs="Arial"/>
          <w:sz w:val="16"/>
          <w:szCs w:val="16"/>
          <w:lang w:val="es-CO"/>
        </w:rPr>
      </w:pPr>
    </w:p>
    <w:p w14:paraId="4F93EE89" w14:textId="77777777" w:rsidR="00E951D2" w:rsidRPr="00AA257A" w:rsidRDefault="00E951D2" w:rsidP="00AA257A">
      <w:pPr>
        <w:rPr>
          <w:rFonts w:cs="Arial"/>
          <w:sz w:val="16"/>
          <w:szCs w:val="16"/>
          <w:lang w:val="es-CO"/>
        </w:rPr>
      </w:pPr>
      <w:r w:rsidRPr="00AA257A">
        <w:rPr>
          <w:rFonts w:cs="Arial"/>
          <w:sz w:val="16"/>
          <w:szCs w:val="16"/>
          <w:lang w:val="es-CO"/>
        </w:rPr>
        <w:t xml:space="preserve">2.6.1.1. Índice representativo del mercado de renta variable local: Índice Agregado de Renta Variable Local (IARVL) establecido en el </w:t>
      </w:r>
      <w:proofErr w:type="spellStart"/>
      <w:r w:rsidRPr="00AA257A">
        <w:rPr>
          <w:rFonts w:cs="Arial"/>
          <w:sz w:val="16"/>
          <w:szCs w:val="16"/>
          <w:lang w:val="es-CO"/>
        </w:rPr>
        <w:t>subnumeral</w:t>
      </w:r>
      <w:proofErr w:type="spellEnd"/>
      <w:r w:rsidRPr="00AA257A">
        <w:rPr>
          <w:rFonts w:cs="Arial"/>
          <w:sz w:val="16"/>
          <w:szCs w:val="16"/>
          <w:lang w:val="es-CO"/>
        </w:rPr>
        <w:t xml:space="preserve"> 1.10.2.3. del Capítulo III Título III Parte II de la presente Circular.</w:t>
      </w:r>
    </w:p>
    <w:p w14:paraId="7932D0B6" w14:textId="77777777" w:rsidR="00E951D2" w:rsidRDefault="00E951D2" w:rsidP="00AA257A">
      <w:pPr>
        <w:rPr>
          <w:rFonts w:cs="Arial"/>
          <w:b/>
          <w:sz w:val="16"/>
          <w:szCs w:val="16"/>
          <w:lang w:val="es-CO"/>
        </w:rPr>
      </w:pPr>
    </w:p>
    <w:p w14:paraId="2D7DD93E" w14:textId="77777777" w:rsidR="00E951D2" w:rsidRPr="00AA257A" w:rsidRDefault="00E951D2" w:rsidP="00AA257A">
      <w:pPr>
        <w:rPr>
          <w:rFonts w:cs="Arial"/>
          <w:bCs/>
          <w:sz w:val="16"/>
          <w:szCs w:val="16"/>
          <w:lang w:val="es-CO"/>
        </w:rPr>
      </w:pPr>
      <w:r w:rsidRPr="00AA257A">
        <w:rPr>
          <w:rFonts w:cs="Arial"/>
          <w:bCs/>
          <w:sz w:val="16"/>
          <w:szCs w:val="16"/>
          <w:lang w:val="es-CO"/>
        </w:rPr>
        <w:t xml:space="preserve">2.6.1.2. Índice representativo del mercado accionario del exterior: Morgan Stanley Capital International </w:t>
      </w:r>
      <w:proofErr w:type="spellStart"/>
      <w:r w:rsidRPr="00AA257A">
        <w:rPr>
          <w:rFonts w:cs="Arial"/>
          <w:bCs/>
          <w:sz w:val="16"/>
          <w:szCs w:val="16"/>
          <w:lang w:val="es-CO"/>
        </w:rPr>
        <w:t>All</w:t>
      </w:r>
      <w:proofErr w:type="spellEnd"/>
      <w:r w:rsidRPr="00AA257A">
        <w:rPr>
          <w:rFonts w:cs="Arial"/>
          <w:bCs/>
          <w:sz w:val="16"/>
          <w:szCs w:val="16"/>
          <w:lang w:val="es-CO"/>
        </w:rPr>
        <w:t xml:space="preserve"> Country </w:t>
      </w:r>
      <w:proofErr w:type="spellStart"/>
      <w:r w:rsidRPr="00AA257A">
        <w:rPr>
          <w:rFonts w:cs="Arial"/>
          <w:bCs/>
          <w:sz w:val="16"/>
          <w:szCs w:val="16"/>
          <w:lang w:val="es-CO"/>
        </w:rPr>
        <w:t>World</w:t>
      </w:r>
      <w:proofErr w:type="spellEnd"/>
      <w:r w:rsidRPr="00AA257A">
        <w:rPr>
          <w:rFonts w:cs="Arial"/>
          <w:bCs/>
          <w:sz w:val="16"/>
          <w:szCs w:val="16"/>
          <w:lang w:val="es-CO"/>
        </w:rPr>
        <w:t xml:space="preserve"> </w:t>
      </w:r>
      <w:proofErr w:type="spellStart"/>
      <w:r w:rsidRPr="00AA257A">
        <w:rPr>
          <w:rFonts w:cs="Arial"/>
          <w:bCs/>
          <w:sz w:val="16"/>
          <w:szCs w:val="16"/>
          <w:lang w:val="es-CO"/>
        </w:rPr>
        <w:t>Index</w:t>
      </w:r>
      <w:proofErr w:type="spellEnd"/>
      <w:r w:rsidRPr="00AA257A">
        <w:rPr>
          <w:rFonts w:cs="Arial"/>
          <w:bCs/>
          <w:sz w:val="16"/>
          <w:szCs w:val="16"/>
          <w:lang w:val="es-CO"/>
        </w:rPr>
        <w:t xml:space="preserve"> (MSCI ACWI).</w:t>
      </w:r>
    </w:p>
    <w:p w14:paraId="5003F491" w14:textId="77777777" w:rsidR="00E951D2" w:rsidRPr="00AA257A" w:rsidRDefault="00E951D2" w:rsidP="00AA257A">
      <w:pPr>
        <w:rPr>
          <w:rFonts w:cs="Arial"/>
          <w:bCs/>
          <w:sz w:val="16"/>
          <w:szCs w:val="16"/>
          <w:lang w:val="es-CO"/>
        </w:rPr>
      </w:pPr>
    </w:p>
    <w:p w14:paraId="050EF39D" w14:textId="41BD3017" w:rsidR="0047181C" w:rsidRDefault="00E951D2" w:rsidP="00AA257A">
      <w:pPr>
        <w:rPr>
          <w:rFonts w:cs="Arial"/>
          <w:bCs/>
          <w:sz w:val="16"/>
          <w:szCs w:val="16"/>
          <w:lang w:val="es-CO"/>
        </w:rPr>
      </w:pPr>
      <w:r w:rsidRPr="00AA257A">
        <w:rPr>
          <w:rFonts w:cs="Arial"/>
          <w:bCs/>
          <w:sz w:val="16"/>
          <w:szCs w:val="16"/>
          <w:lang w:val="es-CO"/>
        </w:rPr>
        <w:t xml:space="preserve">2.6.1.3. Índice representativo del mercado de TES en UVR: Índice de Deuda </w:t>
      </w:r>
      <w:r w:rsidR="0060027C" w:rsidRPr="00AA257A">
        <w:rPr>
          <w:rFonts w:cs="Arial"/>
          <w:bCs/>
          <w:sz w:val="16"/>
          <w:szCs w:val="16"/>
          <w:lang w:val="es-CO"/>
        </w:rPr>
        <w:t>Pública</w:t>
      </w:r>
      <w:r w:rsidRPr="00AA257A">
        <w:rPr>
          <w:rFonts w:cs="Arial"/>
          <w:bCs/>
          <w:sz w:val="16"/>
          <w:szCs w:val="16"/>
          <w:lang w:val="es-CO"/>
        </w:rPr>
        <w:t xml:space="preserve"> COLTES UVR.</w:t>
      </w:r>
    </w:p>
    <w:p w14:paraId="520561ED" w14:textId="77777777" w:rsidR="002D5A0C" w:rsidRDefault="002D5A0C" w:rsidP="00AA257A">
      <w:pPr>
        <w:rPr>
          <w:rFonts w:cs="Arial"/>
          <w:bCs/>
          <w:sz w:val="16"/>
          <w:szCs w:val="16"/>
          <w:lang w:val="es-CO"/>
        </w:rPr>
        <w:sectPr w:rsidR="002D5A0C" w:rsidSect="00E951D2">
          <w:footerReference w:type="default" r:id="rId11"/>
          <w:pgSz w:w="12240" w:h="18720" w:code="14"/>
          <w:pgMar w:top="1418" w:right="1701" w:bottom="1418" w:left="1701" w:header="1134" w:footer="1134" w:gutter="0"/>
          <w:pgNumType w:start="3"/>
          <w:cols w:space="708"/>
          <w:docGrid w:linePitch="360"/>
        </w:sectPr>
      </w:pPr>
    </w:p>
    <w:p w14:paraId="25E41D74" w14:textId="77777777" w:rsidR="0047181C" w:rsidRDefault="0047181C" w:rsidP="00AA257A">
      <w:pPr>
        <w:rPr>
          <w:rFonts w:cs="Arial"/>
          <w:bCs/>
          <w:sz w:val="16"/>
          <w:szCs w:val="16"/>
          <w:lang w:val="es-CO"/>
        </w:rPr>
      </w:pPr>
    </w:p>
    <w:p w14:paraId="3E23267A" w14:textId="77777777" w:rsidR="0047181C" w:rsidRDefault="0047181C" w:rsidP="00AA257A">
      <w:pPr>
        <w:rPr>
          <w:rFonts w:cs="Arial"/>
          <w:bCs/>
          <w:sz w:val="16"/>
          <w:szCs w:val="16"/>
          <w:lang w:val="es-CO"/>
        </w:rPr>
      </w:pPr>
    </w:p>
    <w:p w14:paraId="11A4B571" w14:textId="3B4AC2E2" w:rsidR="00E951D2" w:rsidRPr="00AA257A" w:rsidRDefault="00E951D2" w:rsidP="00AA257A">
      <w:pPr>
        <w:rPr>
          <w:rFonts w:cs="Arial"/>
          <w:bCs/>
          <w:sz w:val="16"/>
          <w:szCs w:val="16"/>
          <w:lang w:val="es-CO"/>
        </w:rPr>
      </w:pPr>
      <w:r w:rsidRPr="00AA257A">
        <w:rPr>
          <w:rFonts w:cs="Arial"/>
          <w:bCs/>
          <w:sz w:val="16"/>
          <w:szCs w:val="16"/>
          <w:lang w:val="es-CO"/>
        </w:rPr>
        <w:t>2.6.2. Porcentajes de ponderación para las rentabilidades de los índices de mercado.</w:t>
      </w:r>
    </w:p>
    <w:p w14:paraId="76D17701" w14:textId="77777777" w:rsidR="00E951D2" w:rsidRPr="00AA257A" w:rsidRDefault="00E951D2" w:rsidP="00AA257A">
      <w:pPr>
        <w:rPr>
          <w:rFonts w:cs="Arial"/>
          <w:bCs/>
          <w:sz w:val="16"/>
          <w:szCs w:val="16"/>
          <w:lang w:val="es-CO"/>
        </w:rPr>
      </w:pPr>
    </w:p>
    <w:p w14:paraId="5CCF6217" w14:textId="77777777" w:rsidR="00E951D2" w:rsidRPr="00AA257A" w:rsidRDefault="00E951D2" w:rsidP="00AA257A">
      <w:pPr>
        <w:rPr>
          <w:rFonts w:cs="Arial"/>
          <w:bCs/>
          <w:sz w:val="16"/>
          <w:szCs w:val="16"/>
          <w:lang w:val="es-CO"/>
        </w:rPr>
      </w:pPr>
      <w:r w:rsidRPr="00AA257A">
        <w:rPr>
          <w:rFonts w:cs="Arial"/>
          <w:bCs/>
          <w:sz w:val="16"/>
          <w:szCs w:val="16"/>
          <w:lang w:val="es-CO"/>
        </w:rPr>
        <w:t xml:space="preserve">La SFC calculará los porcentajes de ponderación de las rentabilidades de los índices de mercado como el promedio simple, calculado a la fecha de cierre de los doce (12) meses anteriores, de las participaciones de las inversiones en los tipos de activos descritos en el presente </w:t>
      </w:r>
      <w:proofErr w:type="spellStart"/>
      <w:r w:rsidRPr="00AA257A">
        <w:rPr>
          <w:rFonts w:cs="Arial"/>
          <w:bCs/>
          <w:sz w:val="16"/>
          <w:szCs w:val="16"/>
          <w:lang w:val="es-CO"/>
        </w:rPr>
        <w:t>subnumeral</w:t>
      </w:r>
      <w:proofErr w:type="spellEnd"/>
      <w:r w:rsidRPr="00AA257A">
        <w:rPr>
          <w:rFonts w:cs="Arial"/>
          <w:bCs/>
          <w:sz w:val="16"/>
          <w:szCs w:val="16"/>
          <w:lang w:val="es-CO"/>
        </w:rPr>
        <w:t>.</w:t>
      </w:r>
    </w:p>
    <w:p w14:paraId="1AF2E898" w14:textId="77777777" w:rsidR="00E951D2" w:rsidRPr="00AA257A" w:rsidRDefault="00E951D2" w:rsidP="00AA257A">
      <w:pPr>
        <w:rPr>
          <w:rFonts w:cs="Arial"/>
          <w:bCs/>
          <w:sz w:val="16"/>
          <w:szCs w:val="16"/>
          <w:lang w:val="es-CO"/>
        </w:rPr>
      </w:pPr>
    </w:p>
    <w:p w14:paraId="73D1D9B2" w14:textId="77777777" w:rsidR="00E951D2" w:rsidRPr="00AA257A" w:rsidRDefault="00E951D2" w:rsidP="00AA257A">
      <w:pPr>
        <w:rPr>
          <w:rFonts w:cs="Arial"/>
          <w:bCs/>
          <w:sz w:val="16"/>
          <w:szCs w:val="16"/>
          <w:lang w:val="es-CO"/>
        </w:rPr>
      </w:pPr>
      <w:r w:rsidRPr="00AA257A">
        <w:rPr>
          <w:rFonts w:cs="Arial"/>
          <w:bCs/>
          <w:sz w:val="16"/>
          <w:szCs w:val="16"/>
          <w:lang w:val="es-CO"/>
        </w:rPr>
        <w:t>Los porcentajes de ponderación de las rentabilidades de los índices de mercado serán informados por la SFC dentro de los 10 días hábiles del mes de julio de cada año, y se tendrán en cuenta para el cálculo de la rentabilidad mínima obligatoria de los siguientes 12 meses, desde el mes de julio del año de la publicación hasta el mes de junio del año siguiente.</w:t>
      </w:r>
    </w:p>
    <w:p w14:paraId="549970A2" w14:textId="77777777" w:rsidR="00E951D2" w:rsidRPr="00AA257A" w:rsidRDefault="00E951D2" w:rsidP="00AA257A">
      <w:pPr>
        <w:rPr>
          <w:rFonts w:cs="Arial"/>
          <w:bCs/>
          <w:sz w:val="16"/>
          <w:szCs w:val="16"/>
          <w:lang w:val="es-CO"/>
        </w:rPr>
      </w:pPr>
    </w:p>
    <w:p w14:paraId="1D82D125" w14:textId="77777777" w:rsidR="00E951D2" w:rsidRPr="00AA257A" w:rsidRDefault="00E951D2" w:rsidP="00AA257A">
      <w:pPr>
        <w:rPr>
          <w:rFonts w:cs="Arial"/>
          <w:bCs/>
          <w:sz w:val="16"/>
          <w:szCs w:val="16"/>
          <w:lang w:val="es-CO"/>
        </w:rPr>
      </w:pPr>
      <w:r w:rsidRPr="00AA257A">
        <w:rPr>
          <w:rFonts w:cs="Arial"/>
          <w:bCs/>
          <w:sz w:val="16"/>
          <w:szCs w:val="16"/>
          <w:lang w:val="es-CO"/>
        </w:rPr>
        <w:t>2.6.2.1. El porcentaje de ponderación del índice IARVL será calculado con base en la participación de las inversiones en acciones de emisores nacionales y fondos de inversión colectiva representativos de índices accionarios locales.</w:t>
      </w:r>
    </w:p>
    <w:p w14:paraId="3E9E2732" w14:textId="77777777" w:rsidR="00E951D2" w:rsidRPr="00AA257A" w:rsidRDefault="00E951D2" w:rsidP="00AA257A">
      <w:pPr>
        <w:rPr>
          <w:rFonts w:cs="Arial"/>
          <w:bCs/>
          <w:sz w:val="16"/>
          <w:szCs w:val="16"/>
          <w:lang w:val="es-CO"/>
        </w:rPr>
      </w:pPr>
    </w:p>
    <w:p w14:paraId="54529031" w14:textId="77777777" w:rsidR="00E951D2" w:rsidRDefault="00E951D2" w:rsidP="00AA257A">
      <w:pPr>
        <w:jc w:val="center"/>
        <w:rPr>
          <w:rFonts w:cs="Arial"/>
          <w:bCs/>
          <w:sz w:val="16"/>
          <w:szCs w:val="16"/>
          <w:lang w:val="es-CO"/>
        </w:rPr>
      </w:pPr>
      <w:r w:rsidRPr="00AA257A">
        <w:rPr>
          <w:rFonts w:cs="Arial"/>
          <w:bCs/>
          <w:sz w:val="16"/>
          <w:szCs w:val="16"/>
          <w:lang w:val="es-CO"/>
        </w:rPr>
        <w:t>%IARVL = ‘participación renta variable local’</w:t>
      </w:r>
    </w:p>
    <w:p w14:paraId="7E727845" w14:textId="77777777" w:rsidR="00E951D2" w:rsidRPr="00AA257A" w:rsidRDefault="00E951D2" w:rsidP="00AA257A">
      <w:pPr>
        <w:rPr>
          <w:rFonts w:cs="Arial"/>
          <w:bCs/>
          <w:sz w:val="16"/>
          <w:szCs w:val="16"/>
          <w:lang w:val="es-CO"/>
        </w:rPr>
      </w:pPr>
    </w:p>
    <w:p w14:paraId="087CF26B" w14:textId="77777777" w:rsidR="00E951D2" w:rsidRPr="00AA257A" w:rsidRDefault="00E951D2" w:rsidP="00AA257A">
      <w:pPr>
        <w:rPr>
          <w:rFonts w:cs="Arial"/>
          <w:bCs/>
          <w:sz w:val="16"/>
          <w:szCs w:val="16"/>
          <w:lang w:val="es-CO"/>
        </w:rPr>
      </w:pPr>
      <w:r w:rsidRPr="00AA257A">
        <w:rPr>
          <w:rFonts w:cs="Arial"/>
          <w:bCs/>
          <w:sz w:val="16"/>
          <w:szCs w:val="16"/>
          <w:lang w:val="es-CO"/>
        </w:rPr>
        <w:t xml:space="preserve">2.6.2.2. Las rentabilidades del índice MSCI ACWI serán calculadas tanto en dólares estadounidenses como en pesos colombianos, las cuales serán ponderadas de acuerdo con los criterios establecidos a continuación. </w:t>
      </w:r>
    </w:p>
    <w:p w14:paraId="3C6CB662" w14:textId="77777777" w:rsidR="00E951D2" w:rsidRPr="00AA257A" w:rsidRDefault="00E951D2" w:rsidP="00AA257A">
      <w:pPr>
        <w:rPr>
          <w:rFonts w:cs="Arial"/>
          <w:bCs/>
          <w:sz w:val="16"/>
          <w:szCs w:val="16"/>
          <w:lang w:val="es-CO"/>
        </w:rPr>
      </w:pPr>
    </w:p>
    <w:p w14:paraId="319D9A54" w14:textId="77777777" w:rsidR="00E951D2" w:rsidRPr="00AA257A" w:rsidRDefault="00E951D2" w:rsidP="00AA257A">
      <w:pPr>
        <w:rPr>
          <w:rFonts w:cs="Arial"/>
          <w:bCs/>
          <w:sz w:val="16"/>
          <w:szCs w:val="16"/>
          <w:lang w:val="es-CO"/>
        </w:rPr>
      </w:pPr>
      <w:r w:rsidRPr="00AA257A">
        <w:rPr>
          <w:rFonts w:cs="Arial"/>
          <w:bCs/>
          <w:sz w:val="16"/>
          <w:szCs w:val="16"/>
          <w:lang w:val="es-CO"/>
        </w:rPr>
        <w:t>2.6.2.2.1 El porcentaje de ponderación de la rentabilidad calculada en dólares estadounidenses del índice MSCI ACWI será el mínimo entre el límite establecido en el régimen de inversión para las inversiones en moneda extranjera sin cobertura cambiaria y la participación de las inversiones en moneda extranjera sin cobertura cambiaria en acciones de emisores extranjeros, fondos de inversión internacionales representativos de índices accionarios y activos alternativos del exterior.</w:t>
      </w:r>
    </w:p>
    <w:p w14:paraId="0636625C" w14:textId="77777777" w:rsidR="00E951D2" w:rsidRPr="00AA257A" w:rsidRDefault="00E951D2" w:rsidP="00AA257A">
      <w:pPr>
        <w:rPr>
          <w:rFonts w:cs="Arial"/>
          <w:bCs/>
          <w:sz w:val="16"/>
          <w:szCs w:val="16"/>
          <w:lang w:val="es-CO"/>
        </w:rPr>
      </w:pPr>
    </w:p>
    <w:p w14:paraId="6F680EBA" w14:textId="77777777" w:rsidR="00E951D2" w:rsidRPr="00AA257A" w:rsidRDefault="00E951D2" w:rsidP="00AA257A">
      <w:pPr>
        <w:ind w:left="567" w:right="616" w:hanging="567"/>
        <w:jc w:val="center"/>
        <w:rPr>
          <w:rFonts w:cs="Arial"/>
          <w:bCs/>
          <w:sz w:val="16"/>
          <w:szCs w:val="16"/>
          <w:lang w:val="es-CO"/>
        </w:rPr>
      </w:pPr>
      <w:bookmarkStart w:id="1" w:name="_Hlk532290986"/>
      <w:r w:rsidRPr="00AA257A">
        <w:rPr>
          <w:rFonts w:cs="Arial"/>
          <w:bCs/>
          <w:sz w:val="16"/>
          <w:szCs w:val="16"/>
          <w:lang w:val="es-CO"/>
        </w:rPr>
        <w:tab/>
        <w:t xml:space="preserve">%ACWI </w:t>
      </w:r>
      <w:r w:rsidRPr="00AA257A">
        <w:rPr>
          <w:rFonts w:cs="Arial"/>
          <w:bCs/>
          <w:sz w:val="16"/>
          <w:szCs w:val="16"/>
          <w:vertAlign w:val="subscript"/>
          <w:lang w:val="es-CO"/>
        </w:rPr>
        <w:t>USD</w:t>
      </w:r>
      <w:r w:rsidRPr="00AA257A">
        <w:rPr>
          <w:rFonts w:cs="Arial"/>
          <w:bCs/>
          <w:sz w:val="16"/>
          <w:szCs w:val="16"/>
          <w:lang w:val="es-CO"/>
        </w:rPr>
        <w:t xml:space="preserve"> = min (‘participación renta variable y activos alternativos del exterior sin cobertura </w:t>
      </w:r>
      <w:r w:rsidRPr="00AA257A">
        <w:rPr>
          <w:rFonts w:cs="Arial"/>
          <w:bCs/>
          <w:sz w:val="16"/>
          <w:szCs w:val="16"/>
          <w:lang w:val="es-CO"/>
        </w:rPr>
        <w:tab/>
        <w:t>cambiaria’, ‘límite de inversiones en moneda extranjera sin cobertura cambiaria’)</w:t>
      </w:r>
      <w:bookmarkEnd w:id="1"/>
    </w:p>
    <w:p w14:paraId="0609F554" w14:textId="77777777" w:rsidR="00E951D2" w:rsidRPr="00AA257A" w:rsidRDefault="00E951D2" w:rsidP="00AA257A">
      <w:pPr>
        <w:rPr>
          <w:rFonts w:cs="Arial"/>
          <w:bCs/>
          <w:sz w:val="16"/>
          <w:szCs w:val="16"/>
          <w:lang w:val="es-CO"/>
        </w:rPr>
      </w:pPr>
    </w:p>
    <w:p w14:paraId="47153F74" w14:textId="77777777" w:rsidR="00E951D2" w:rsidRPr="00AA257A" w:rsidRDefault="00E951D2" w:rsidP="00AA257A">
      <w:pPr>
        <w:rPr>
          <w:rFonts w:cs="Arial"/>
          <w:bCs/>
          <w:sz w:val="16"/>
          <w:szCs w:val="16"/>
          <w:lang w:val="es-CO"/>
        </w:rPr>
      </w:pPr>
      <w:r w:rsidRPr="00AA257A">
        <w:rPr>
          <w:rFonts w:cs="Arial"/>
          <w:bCs/>
          <w:sz w:val="16"/>
          <w:szCs w:val="16"/>
          <w:lang w:val="es-CO"/>
        </w:rPr>
        <w:t xml:space="preserve">2.6.2.2.2 El porcentaje de ponderación de la rentabilidad calculada en pesos colombianos del índice MSCI ACWI será </w:t>
      </w:r>
    </w:p>
    <w:p w14:paraId="153017DD" w14:textId="77777777" w:rsidR="00E951D2" w:rsidRPr="00AA257A" w:rsidRDefault="00E951D2" w:rsidP="00AA257A">
      <w:pPr>
        <w:rPr>
          <w:rFonts w:cs="Arial"/>
          <w:bCs/>
          <w:sz w:val="16"/>
          <w:szCs w:val="16"/>
          <w:lang w:val="es-CO"/>
        </w:rPr>
      </w:pPr>
      <w:r w:rsidRPr="00AA257A">
        <w:rPr>
          <w:rFonts w:cs="Arial"/>
          <w:bCs/>
          <w:sz w:val="16"/>
          <w:szCs w:val="16"/>
          <w:lang w:val="es-CO"/>
        </w:rPr>
        <w:t xml:space="preserve">el resultado de tomar el mínimo entre el límite establecido en el régimen de inversión para las inversiones en títulos y/o valores participativos y la participación de las inversiones en acciones de emisores extranjeros, fondos de inversión internacionales representativos de índices accionarios y activos alternativos del exterior, y restar a este valor el porcentaje de ponderación obtenido en el </w:t>
      </w:r>
      <w:proofErr w:type="spellStart"/>
      <w:r w:rsidRPr="00AA257A">
        <w:rPr>
          <w:rFonts w:cs="Arial"/>
          <w:bCs/>
          <w:sz w:val="16"/>
          <w:szCs w:val="16"/>
          <w:lang w:val="es-CO"/>
        </w:rPr>
        <w:t>subnumeral</w:t>
      </w:r>
      <w:proofErr w:type="spellEnd"/>
      <w:r w:rsidRPr="00AA257A">
        <w:rPr>
          <w:rFonts w:cs="Arial"/>
          <w:bCs/>
          <w:sz w:val="16"/>
          <w:szCs w:val="16"/>
          <w:lang w:val="es-CO"/>
        </w:rPr>
        <w:t xml:space="preserve"> 2.6.2.2.1.</w:t>
      </w:r>
    </w:p>
    <w:p w14:paraId="71104124" w14:textId="77777777" w:rsidR="00E951D2" w:rsidRPr="00AA257A" w:rsidRDefault="00E951D2" w:rsidP="00AA257A">
      <w:pPr>
        <w:rPr>
          <w:rFonts w:cs="Arial"/>
          <w:bCs/>
          <w:sz w:val="16"/>
          <w:szCs w:val="16"/>
          <w:lang w:val="es-CO"/>
        </w:rPr>
      </w:pPr>
    </w:p>
    <w:p w14:paraId="179FE356" w14:textId="77777777" w:rsidR="00E951D2" w:rsidRPr="00AA257A" w:rsidRDefault="00E951D2" w:rsidP="00AA257A">
      <w:pPr>
        <w:ind w:left="567" w:right="616" w:hanging="567"/>
        <w:jc w:val="center"/>
        <w:rPr>
          <w:rFonts w:cs="Arial"/>
          <w:bCs/>
          <w:sz w:val="16"/>
          <w:szCs w:val="16"/>
          <w:lang w:val="es-CO"/>
        </w:rPr>
      </w:pPr>
      <w:r w:rsidRPr="00AA257A">
        <w:rPr>
          <w:rFonts w:cs="Arial"/>
          <w:bCs/>
          <w:sz w:val="16"/>
          <w:szCs w:val="16"/>
          <w:lang w:val="es-CO"/>
        </w:rPr>
        <w:tab/>
        <w:t xml:space="preserve">%ACWI </w:t>
      </w:r>
      <w:r w:rsidRPr="00AA257A">
        <w:rPr>
          <w:rFonts w:cs="Arial"/>
          <w:bCs/>
          <w:sz w:val="16"/>
          <w:szCs w:val="16"/>
          <w:vertAlign w:val="subscript"/>
          <w:lang w:val="es-CO"/>
        </w:rPr>
        <w:t>COP</w:t>
      </w:r>
      <w:r w:rsidRPr="00AA257A">
        <w:rPr>
          <w:rFonts w:cs="Arial"/>
          <w:bCs/>
          <w:sz w:val="16"/>
          <w:szCs w:val="16"/>
          <w:lang w:val="es-CO"/>
        </w:rPr>
        <w:t xml:space="preserve"> = min (‘participación renta variable y activos alternativos del exterior’, ‘límite de inversiones en títulos y/o valores participativos’) - %ACWI </w:t>
      </w:r>
      <w:r w:rsidRPr="00AA257A">
        <w:rPr>
          <w:rFonts w:cs="Arial"/>
          <w:bCs/>
          <w:sz w:val="16"/>
          <w:szCs w:val="16"/>
          <w:vertAlign w:val="subscript"/>
          <w:lang w:val="es-CO"/>
        </w:rPr>
        <w:t>USD</w:t>
      </w:r>
    </w:p>
    <w:p w14:paraId="6BE12B63" w14:textId="77777777" w:rsidR="00E951D2" w:rsidRPr="00AA257A" w:rsidRDefault="00E951D2" w:rsidP="00AA257A">
      <w:pPr>
        <w:rPr>
          <w:rFonts w:cs="Arial"/>
          <w:bCs/>
          <w:sz w:val="16"/>
          <w:szCs w:val="16"/>
          <w:lang w:val="es-CO"/>
        </w:rPr>
      </w:pPr>
    </w:p>
    <w:p w14:paraId="384A6A4E" w14:textId="77777777" w:rsidR="00E951D2" w:rsidRPr="00AA257A" w:rsidRDefault="00E951D2" w:rsidP="00AA257A">
      <w:pPr>
        <w:rPr>
          <w:rFonts w:cs="Arial"/>
          <w:bCs/>
          <w:sz w:val="16"/>
          <w:szCs w:val="16"/>
          <w:lang w:val="es-CO"/>
        </w:rPr>
      </w:pPr>
      <w:r w:rsidRPr="00AA257A">
        <w:rPr>
          <w:rFonts w:cs="Arial"/>
          <w:bCs/>
          <w:sz w:val="16"/>
          <w:szCs w:val="16"/>
          <w:lang w:val="es-CO"/>
        </w:rPr>
        <w:t xml:space="preserve">2.6.2.3. El porcentaje de ponderación de la rentabilidad del índice COLTES UVR para las demás inversiones admisibles, será el resultado de restar al 100% los porcentajes obtenidos en los </w:t>
      </w:r>
      <w:proofErr w:type="spellStart"/>
      <w:r w:rsidRPr="00AA257A">
        <w:rPr>
          <w:rFonts w:cs="Arial"/>
          <w:bCs/>
          <w:sz w:val="16"/>
          <w:szCs w:val="16"/>
          <w:lang w:val="es-CO"/>
        </w:rPr>
        <w:t>subnumerales</w:t>
      </w:r>
      <w:proofErr w:type="spellEnd"/>
      <w:r w:rsidRPr="00AA257A">
        <w:rPr>
          <w:rFonts w:cs="Arial"/>
          <w:bCs/>
          <w:sz w:val="16"/>
          <w:szCs w:val="16"/>
          <w:lang w:val="es-CO"/>
        </w:rPr>
        <w:t xml:space="preserve"> de ponderación obtenidos en los </w:t>
      </w:r>
      <w:proofErr w:type="spellStart"/>
      <w:r w:rsidRPr="00AA257A">
        <w:rPr>
          <w:rFonts w:cs="Arial"/>
          <w:bCs/>
          <w:sz w:val="16"/>
          <w:szCs w:val="16"/>
          <w:lang w:val="es-CO"/>
        </w:rPr>
        <w:t>subnumerales</w:t>
      </w:r>
      <w:proofErr w:type="spellEnd"/>
      <w:r w:rsidRPr="00AA257A">
        <w:rPr>
          <w:rFonts w:cs="Arial"/>
          <w:bCs/>
          <w:sz w:val="16"/>
          <w:szCs w:val="16"/>
          <w:lang w:val="es-CO"/>
        </w:rPr>
        <w:t xml:space="preserve"> 2.6.2.1, 2.6.2.2.1, y 2.6.2.2.2.</w:t>
      </w:r>
    </w:p>
    <w:p w14:paraId="19DCF733" w14:textId="77777777" w:rsidR="00E951D2" w:rsidRPr="00AA257A" w:rsidRDefault="00E951D2" w:rsidP="00AA257A">
      <w:pPr>
        <w:jc w:val="left"/>
        <w:rPr>
          <w:rFonts w:cs="Arial"/>
          <w:bCs/>
          <w:sz w:val="16"/>
          <w:szCs w:val="16"/>
          <w:lang w:val="es-CO"/>
        </w:rPr>
      </w:pPr>
    </w:p>
    <w:p w14:paraId="5DF6ABC2" w14:textId="648807F7" w:rsidR="00E951D2" w:rsidRPr="00AA257A" w:rsidRDefault="00E951D2" w:rsidP="00637929">
      <w:pPr>
        <w:jc w:val="center"/>
        <w:rPr>
          <w:rFonts w:cs="Arial"/>
          <w:bCs/>
          <w:sz w:val="16"/>
          <w:szCs w:val="16"/>
          <w:lang w:val="en-US"/>
        </w:rPr>
      </w:pPr>
      <w:r w:rsidRPr="00AA257A">
        <w:rPr>
          <w:rFonts w:cs="Arial"/>
          <w:bCs/>
          <w:sz w:val="16"/>
          <w:szCs w:val="16"/>
          <w:lang w:val="en-US"/>
        </w:rPr>
        <w:t xml:space="preserve">%COLTES UVR = 100% - %IARVL - %ACWI </w:t>
      </w:r>
      <w:r w:rsidRPr="00AA257A">
        <w:rPr>
          <w:rFonts w:cs="Arial"/>
          <w:bCs/>
          <w:sz w:val="16"/>
          <w:szCs w:val="16"/>
          <w:vertAlign w:val="subscript"/>
          <w:lang w:val="en-US"/>
        </w:rPr>
        <w:t xml:space="preserve">USD - </w:t>
      </w:r>
      <w:r w:rsidRPr="00AA257A">
        <w:rPr>
          <w:rFonts w:cs="Arial"/>
          <w:bCs/>
          <w:sz w:val="16"/>
          <w:szCs w:val="16"/>
          <w:lang w:val="en-US"/>
        </w:rPr>
        <w:t xml:space="preserve">%ACWI </w:t>
      </w:r>
      <w:r w:rsidRPr="00AA257A">
        <w:rPr>
          <w:rFonts w:cs="Arial"/>
          <w:bCs/>
          <w:sz w:val="16"/>
          <w:szCs w:val="16"/>
          <w:vertAlign w:val="subscript"/>
          <w:lang w:val="en-US"/>
        </w:rPr>
        <w:t>COP</w:t>
      </w:r>
      <w:bookmarkEnd w:id="0"/>
    </w:p>
    <w:p w14:paraId="5B28198D" w14:textId="77777777" w:rsidR="00E951D2" w:rsidRPr="00EA0E36" w:rsidRDefault="00E951D2" w:rsidP="00637929">
      <w:pPr>
        <w:rPr>
          <w:rFonts w:cs="Arial"/>
          <w:sz w:val="16"/>
          <w:szCs w:val="16"/>
          <w:lang w:val="en-US"/>
        </w:rPr>
      </w:pPr>
    </w:p>
    <w:p w14:paraId="554BBB1E" w14:textId="77777777" w:rsidR="007A632F" w:rsidRDefault="007A632F" w:rsidP="00E951D2">
      <w:pPr>
        <w:rPr>
          <w:rFonts w:cs="Arial"/>
          <w:b/>
          <w:sz w:val="16"/>
          <w:szCs w:val="16"/>
          <w:lang w:val="en-US"/>
        </w:rPr>
        <w:sectPr w:rsidR="007A632F" w:rsidSect="00E951D2">
          <w:footerReference w:type="default" r:id="rId12"/>
          <w:pgSz w:w="12240" w:h="18720" w:code="14"/>
          <w:pgMar w:top="1418" w:right="1701" w:bottom="1418" w:left="1701" w:header="1134" w:footer="1134" w:gutter="0"/>
          <w:pgNumType w:start="3"/>
          <w:cols w:space="708"/>
          <w:docGrid w:linePitch="360"/>
        </w:sectPr>
      </w:pPr>
    </w:p>
    <w:p w14:paraId="711EDF61" w14:textId="77777777" w:rsidR="003A0226" w:rsidRPr="00BB39B1" w:rsidRDefault="003A0226" w:rsidP="00E951D2">
      <w:pPr>
        <w:pStyle w:val="Ttulo1"/>
        <w:spacing w:before="0" w:after="0"/>
        <w:rPr>
          <w:lang w:val="en-GB"/>
        </w:rPr>
      </w:pPr>
      <w:bookmarkStart w:id="2" w:name="_Toc267211144"/>
    </w:p>
    <w:p w14:paraId="5751D3B2" w14:textId="3C7BB6C1" w:rsidR="00E951D2" w:rsidRPr="008A54B5" w:rsidRDefault="00E951D2" w:rsidP="00E951D2">
      <w:pPr>
        <w:pStyle w:val="Ttulo1"/>
        <w:spacing w:before="0" w:after="0"/>
        <w:rPr>
          <w:lang w:val="es-CO"/>
        </w:rPr>
      </w:pPr>
      <w:r w:rsidRPr="0075232D">
        <w:t>3.</w:t>
      </w:r>
      <w:r w:rsidRPr="00EA0415">
        <w:rPr>
          <w:lang w:val="es-CO"/>
        </w:rPr>
        <w:t xml:space="preserve"> </w:t>
      </w:r>
      <w:r w:rsidRPr="0075232D">
        <w:rPr>
          <w:caps/>
        </w:rPr>
        <w:t xml:space="preserve">LÍMITE DE LA NEGOCIACIÓN DE COMPRA Y VENTA DE COP/USD BAJO LA MODALIDAD </w:t>
      </w:r>
      <w:r w:rsidRPr="0075232D">
        <w:rPr>
          <w:i/>
          <w:caps/>
        </w:rPr>
        <w:t xml:space="preserve">SPOT </w:t>
      </w:r>
      <w:r w:rsidRPr="0075232D">
        <w:rPr>
          <w:caps/>
        </w:rPr>
        <w:t>(CONTADO) O A TRAVÉS DE INSTRUMENTOS FINANCIEROS DERIVADOS</w:t>
      </w:r>
      <w:bookmarkEnd w:id="2"/>
      <w:r>
        <w:rPr>
          <w:caps/>
        </w:rPr>
        <w:t xml:space="preserve">  </w:t>
      </w:r>
    </w:p>
    <w:p w14:paraId="793342B4" w14:textId="77777777" w:rsidR="00E951D2" w:rsidRPr="00B724B3" w:rsidRDefault="00E951D2" w:rsidP="00E951D2">
      <w:pPr>
        <w:rPr>
          <w:rFonts w:cs="Arial"/>
          <w:b/>
          <w:sz w:val="16"/>
          <w:szCs w:val="16"/>
          <w:lang w:val="es-CO"/>
        </w:rPr>
      </w:pPr>
    </w:p>
    <w:p w14:paraId="3E92FAF0" w14:textId="77777777" w:rsidR="00E951D2" w:rsidRPr="009B2C3F" w:rsidRDefault="00E951D2" w:rsidP="21043C90">
      <w:pPr>
        <w:rPr>
          <w:rFonts w:cs="Arial"/>
          <w:sz w:val="16"/>
          <w:szCs w:val="16"/>
          <w:lang w:val="es-ES"/>
        </w:rPr>
      </w:pPr>
      <w:r w:rsidRPr="21043C90">
        <w:rPr>
          <w:rFonts w:cs="Arial"/>
          <w:sz w:val="16"/>
          <w:szCs w:val="16"/>
          <w:lang w:val="es-ES"/>
        </w:rPr>
        <w:t>3.1. Para efectos del cálculo del límite de la negociación en divisas a que se refiere el numeral 5 del art. 2.6.12.1.11 del Decreto 2555 de 2010, se debe tener como valor del fondo, el correspondiente al valor promedio de cada tipo de fondo, establecido de conformidad con lo dispuesto en el art. 2.6.12.1.16 del Decreto 2555 de 2010, de los 5 días hábiles anteriores a la fecha de cálculo del límite.</w:t>
      </w:r>
    </w:p>
    <w:p w14:paraId="27B1934B" w14:textId="77777777" w:rsidR="00E951D2" w:rsidRPr="009B2C3F" w:rsidRDefault="00E951D2" w:rsidP="00E951D2">
      <w:pPr>
        <w:rPr>
          <w:rFonts w:cs="Arial"/>
          <w:sz w:val="16"/>
          <w:szCs w:val="16"/>
        </w:rPr>
      </w:pPr>
    </w:p>
    <w:p w14:paraId="626C705F" w14:textId="77777777" w:rsidR="00E951D2" w:rsidRPr="009B2C3F" w:rsidRDefault="00E951D2" w:rsidP="00E951D2">
      <w:pPr>
        <w:rPr>
          <w:rFonts w:cs="Arial"/>
          <w:sz w:val="16"/>
          <w:szCs w:val="16"/>
        </w:rPr>
      </w:pPr>
      <w:r>
        <w:rPr>
          <w:rFonts w:cs="Arial"/>
          <w:sz w:val="16"/>
          <w:szCs w:val="16"/>
        </w:rPr>
        <w:t>3</w:t>
      </w:r>
      <w:r w:rsidRPr="009B2C3F">
        <w:rPr>
          <w:rFonts w:cs="Arial"/>
          <w:sz w:val="16"/>
          <w:szCs w:val="16"/>
        </w:rPr>
        <w:t>.2. Se ent</w:t>
      </w:r>
      <w:r>
        <w:rPr>
          <w:rFonts w:cs="Arial"/>
          <w:sz w:val="16"/>
          <w:szCs w:val="16"/>
        </w:rPr>
        <w:t>iende</w:t>
      </w:r>
      <w:r w:rsidRPr="009B2C3F">
        <w:rPr>
          <w:rFonts w:cs="Arial"/>
          <w:sz w:val="16"/>
          <w:szCs w:val="16"/>
        </w:rPr>
        <w:t xml:space="preserve"> como renovación o ampliación del plazo sobre instrumentos financieros derivados, con la misma u otra contraparte, </w:t>
      </w:r>
      <w:r w:rsidRPr="006A722E">
        <w:rPr>
          <w:rFonts w:cs="Arial"/>
          <w:sz w:val="16"/>
          <w:szCs w:val="16"/>
        </w:rPr>
        <w:t>de conformidad con lo previsto en el literal c del numeral 5, art. 2.6.12.1.11.del Decreto 2555 de 2010 ya mencionado, lo siguiente</w:t>
      </w:r>
      <w:r w:rsidRPr="009B2C3F">
        <w:rPr>
          <w:rFonts w:cs="Arial"/>
          <w:sz w:val="16"/>
          <w:szCs w:val="16"/>
        </w:rPr>
        <w:t xml:space="preserve">: </w:t>
      </w:r>
    </w:p>
    <w:p w14:paraId="751FDB54" w14:textId="77777777" w:rsidR="00E951D2" w:rsidRPr="009B2C3F" w:rsidRDefault="00E951D2" w:rsidP="00E951D2">
      <w:pPr>
        <w:rPr>
          <w:rFonts w:cs="Arial"/>
          <w:sz w:val="16"/>
          <w:szCs w:val="16"/>
        </w:rPr>
      </w:pPr>
    </w:p>
    <w:p w14:paraId="622E1827" w14:textId="77777777" w:rsidR="00E951D2" w:rsidRPr="009B2C3F" w:rsidRDefault="00E951D2" w:rsidP="00E951D2">
      <w:pPr>
        <w:contextualSpacing/>
        <w:rPr>
          <w:rFonts w:cs="Arial"/>
          <w:sz w:val="16"/>
          <w:szCs w:val="16"/>
        </w:rPr>
      </w:pPr>
      <w:r>
        <w:rPr>
          <w:rFonts w:cs="Arial"/>
          <w:sz w:val="16"/>
          <w:szCs w:val="16"/>
        </w:rPr>
        <w:t xml:space="preserve">3.2.1. </w:t>
      </w:r>
      <w:r w:rsidRPr="009B2C3F">
        <w:rPr>
          <w:rFonts w:cs="Arial"/>
          <w:sz w:val="16"/>
          <w:szCs w:val="16"/>
        </w:rPr>
        <w:t xml:space="preserve">El valor nominal en dólares de los Estados Unidos de Norteamérica de las negociaciones de venta, hasta el monto nominal en dólares de los Estados Unidos de Norteamérica de los vencimientos de venta del mismo día, y </w:t>
      </w:r>
    </w:p>
    <w:p w14:paraId="1D618D13" w14:textId="77777777" w:rsidR="00E951D2" w:rsidRPr="009B2C3F" w:rsidRDefault="00E951D2" w:rsidP="00E951D2">
      <w:pPr>
        <w:rPr>
          <w:rFonts w:cs="Arial"/>
          <w:sz w:val="16"/>
          <w:szCs w:val="16"/>
        </w:rPr>
      </w:pPr>
    </w:p>
    <w:p w14:paraId="426DE3E0" w14:textId="77777777" w:rsidR="00E951D2" w:rsidRPr="009B2C3F" w:rsidRDefault="00E951D2" w:rsidP="00E951D2">
      <w:pPr>
        <w:tabs>
          <w:tab w:val="left" w:pos="142"/>
        </w:tabs>
        <w:contextualSpacing/>
        <w:rPr>
          <w:rFonts w:cs="Arial"/>
          <w:sz w:val="16"/>
          <w:szCs w:val="16"/>
        </w:rPr>
      </w:pPr>
      <w:r>
        <w:rPr>
          <w:rFonts w:cs="Arial"/>
          <w:sz w:val="16"/>
          <w:szCs w:val="16"/>
        </w:rPr>
        <w:t xml:space="preserve">3.2.2. </w:t>
      </w:r>
      <w:r w:rsidRPr="009B2C3F">
        <w:rPr>
          <w:rFonts w:cs="Arial"/>
          <w:sz w:val="16"/>
          <w:szCs w:val="16"/>
        </w:rPr>
        <w:t>El valor nominal en dólares de los Estados Unidos de Norteamérica de las negociaciones de compra, hasta el monto nominal en dólares de los Estados Unidos de Norteamérica de los vencimientos de compra del mismo día.</w:t>
      </w:r>
    </w:p>
    <w:p w14:paraId="0CCBD747" w14:textId="77777777" w:rsidR="00E951D2" w:rsidRPr="009B2C3F" w:rsidRDefault="00E951D2" w:rsidP="00E951D2">
      <w:pPr>
        <w:rPr>
          <w:rFonts w:cs="Arial"/>
          <w:sz w:val="16"/>
          <w:szCs w:val="16"/>
        </w:rPr>
      </w:pPr>
    </w:p>
    <w:p w14:paraId="030E7C8A" w14:textId="77777777" w:rsidR="00E951D2" w:rsidRPr="009B2C3F" w:rsidRDefault="00E951D2" w:rsidP="00E951D2">
      <w:pPr>
        <w:tabs>
          <w:tab w:val="left" w:pos="142"/>
        </w:tabs>
        <w:contextualSpacing/>
        <w:rPr>
          <w:rFonts w:cs="Arial"/>
          <w:sz w:val="16"/>
          <w:szCs w:val="16"/>
        </w:rPr>
      </w:pPr>
      <w:r w:rsidRPr="009B2C3F">
        <w:rPr>
          <w:rFonts w:cs="Arial"/>
          <w:sz w:val="16"/>
          <w:szCs w:val="16"/>
        </w:rPr>
        <w:t>En consecuencia, para efectos de establecer el límite de operaciones en divisas, tratándose de las negociaciones y vencimientos de los instrumentos financieros derivados de que trata el primer literal b</w:t>
      </w:r>
      <w:r>
        <w:rPr>
          <w:rFonts w:cs="Arial"/>
          <w:sz w:val="16"/>
          <w:szCs w:val="16"/>
        </w:rPr>
        <w:t>)</w:t>
      </w:r>
      <w:r w:rsidRPr="009B2C3F">
        <w:rPr>
          <w:rFonts w:cs="Arial"/>
          <w:sz w:val="16"/>
          <w:szCs w:val="16"/>
        </w:rPr>
        <w:t xml:space="preserve"> del numeral 5 d</w:t>
      </w:r>
      <w:r w:rsidRPr="009B2C3F">
        <w:rPr>
          <w:rFonts w:cs="Arial"/>
          <w:snapToGrid w:val="0"/>
          <w:sz w:val="16"/>
          <w:szCs w:val="16"/>
        </w:rPr>
        <w:t>el art. 2.6.12.1.11 del Decreto 2555 de 2010</w:t>
      </w:r>
      <w:r w:rsidRPr="009B2C3F">
        <w:rPr>
          <w:rFonts w:cs="Arial"/>
          <w:sz w:val="16"/>
          <w:szCs w:val="16"/>
        </w:rPr>
        <w:t xml:space="preserve">, se </w:t>
      </w:r>
      <w:r>
        <w:rPr>
          <w:rFonts w:cs="Arial"/>
          <w:sz w:val="16"/>
          <w:szCs w:val="16"/>
        </w:rPr>
        <w:t xml:space="preserve">debe </w:t>
      </w:r>
      <w:r w:rsidRPr="009B2C3F">
        <w:rPr>
          <w:rFonts w:cs="Arial"/>
          <w:sz w:val="16"/>
          <w:szCs w:val="16"/>
        </w:rPr>
        <w:t>ten</w:t>
      </w:r>
      <w:r>
        <w:rPr>
          <w:rFonts w:cs="Arial"/>
          <w:sz w:val="16"/>
          <w:szCs w:val="16"/>
        </w:rPr>
        <w:t>er</w:t>
      </w:r>
      <w:r w:rsidRPr="009B2C3F">
        <w:rPr>
          <w:rFonts w:cs="Arial"/>
          <w:sz w:val="16"/>
          <w:szCs w:val="16"/>
        </w:rPr>
        <w:t xml:space="preserve"> en cuenta el valor que resulte de aplicar para cada día</w:t>
      </w:r>
      <w:r>
        <w:rPr>
          <w:rFonts w:cs="Arial"/>
          <w:sz w:val="16"/>
          <w:szCs w:val="16"/>
        </w:rPr>
        <w:t>,</w:t>
      </w:r>
      <w:r w:rsidRPr="009B2C3F">
        <w:rPr>
          <w:rFonts w:cs="Arial"/>
          <w:sz w:val="16"/>
          <w:szCs w:val="16"/>
        </w:rPr>
        <w:t xml:space="preserve"> la siguiente fórmula:</w:t>
      </w:r>
    </w:p>
    <w:p w14:paraId="5DCC6105" w14:textId="77777777" w:rsidR="00E951D2" w:rsidRPr="009B2C3F" w:rsidRDefault="00E951D2" w:rsidP="00E951D2">
      <w:pPr>
        <w:ind w:right="51"/>
        <w:rPr>
          <w:rFonts w:cs="Arial"/>
          <w:i/>
          <w:sz w:val="16"/>
          <w:szCs w:val="16"/>
        </w:rPr>
      </w:pPr>
    </w:p>
    <w:p w14:paraId="04B2E114" w14:textId="77777777" w:rsidR="00E951D2" w:rsidRPr="009B2C3F" w:rsidRDefault="00E951D2" w:rsidP="00E951D2">
      <w:pPr>
        <w:ind w:right="51"/>
        <w:rPr>
          <w:rFonts w:cs="Arial"/>
          <w:i/>
          <w:sz w:val="16"/>
          <w:szCs w:val="16"/>
        </w:rPr>
      </w:pPr>
      <w:r w:rsidRPr="009B2C3F">
        <w:rPr>
          <w:rFonts w:cs="Arial"/>
          <w:i/>
          <w:sz w:val="16"/>
          <w:szCs w:val="16"/>
        </w:rPr>
        <w:t xml:space="preserve">{Valor absoluto (Valor nominal en USD de las negociaciones de venta – Valor nominal en USD de los vencimientos de venta) + Valor absoluto (Valor nominal en USD de las negociaciones de compra – Valor nominal en USD de los vencimientos de compra)}. </w:t>
      </w:r>
    </w:p>
    <w:p w14:paraId="5D7161BA" w14:textId="77777777" w:rsidR="00E951D2" w:rsidRPr="009B2C3F" w:rsidRDefault="00E951D2" w:rsidP="00E951D2">
      <w:pPr>
        <w:ind w:right="51"/>
        <w:rPr>
          <w:rFonts w:cs="Arial"/>
          <w:i/>
          <w:sz w:val="16"/>
          <w:szCs w:val="16"/>
        </w:rPr>
      </w:pPr>
    </w:p>
    <w:p w14:paraId="61BF15E1" w14:textId="77777777" w:rsidR="00E951D2" w:rsidRDefault="00E951D2" w:rsidP="00E951D2">
      <w:r w:rsidRPr="21043C90">
        <w:rPr>
          <w:rFonts w:cs="Arial"/>
          <w:sz w:val="16"/>
          <w:szCs w:val="16"/>
          <w:lang w:val="es-ES"/>
        </w:rPr>
        <w:t>Los valores expresados en dólares de los Estados Unidos de Norteamérica se deben convertir a pesos colombianos con base en la tasa representativa del mercado –TRM- calculada y certificada por la SFC en cada uno de los días a tener en cuenta en el cálculo.</w:t>
      </w:r>
    </w:p>
    <w:p w14:paraId="7AB7357F" w14:textId="77777777" w:rsidR="00E951D2" w:rsidRDefault="00E951D2" w:rsidP="00E951D2">
      <w:pPr>
        <w:pStyle w:val="Ttulo1"/>
        <w:spacing w:before="0" w:after="0"/>
      </w:pPr>
    </w:p>
    <w:p w14:paraId="618C4464" w14:textId="77777777" w:rsidR="00E951D2" w:rsidRPr="001F5024" w:rsidRDefault="00E951D2" w:rsidP="00E951D2"/>
    <w:p w14:paraId="5D28A8E3" w14:textId="77777777" w:rsidR="00E951D2" w:rsidRPr="0075232D" w:rsidRDefault="00E951D2" w:rsidP="00E951D2">
      <w:pPr>
        <w:pStyle w:val="Ttulo1"/>
        <w:spacing w:before="0" w:after="0"/>
      </w:pPr>
      <w:bookmarkStart w:id="3" w:name="_Toc267211145"/>
      <w:r>
        <w:t xml:space="preserve">4. </w:t>
      </w:r>
      <w:r w:rsidRPr="0075232D">
        <w:t>DISPOSICIONES RELACIONADAS CON NUEVAS MODALIDADES DE PENSIÓN</w:t>
      </w:r>
      <w:bookmarkEnd w:id="3"/>
    </w:p>
    <w:p w14:paraId="7BE3F044" w14:textId="77777777" w:rsidR="00E951D2" w:rsidRPr="0075232D" w:rsidRDefault="00E951D2" w:rsidP="00E951D2">
      <w:pPr>
        <w:rPr>
          <w:rFonts w:cs="Arial"/>
          <w:b/>
          <w:bCs/>
          <w:color w:val="000000"/>
          <w:sz w:val="16"/>
          <w:szCs w:val="16"/>
        </w:rPr>
      </w:pPr>
    </w:p>
    <w:p w14:paraId="72855ECE" w14:textId="77777777" w:rsidR="00E951D2" w:rsidRPr="00A927F5" w:rsidRDefault="00E951D2" w:rsidP="00E951D2">
      <w:pPr>
        <w:rPr>
          <w:rFonts w:cs="Arial"/>
          <w:sz w:val="16"/>
          <w:szCs w:val="16"/>
          <w:lang w:val="es-CO"/>
        </w:rPr>
      </w:pPr>
      <w:r w:rsidRPr="00A927F5">
        <w:rPr>
          <w:rFonts w:cs="Arial"/>
          <w:sz w:val="16"/>
          <w:szCs w:val="16"/>
          <w:lang w:val="es-CO"/>
        </w:rPr>
        <w:t>De conformidad con lo establecido en el literal d) del art. 79 de la Ley 100 de 1993, esta Superintendencia autoriza</w:t>
      </w:r>
      <w:r>
        <w:rPr>
          <w:rFonts w:cs="Arial"/>
          <w:sz w:val="16"/>
          <w:szCs w:val="16"/>
          <w:lang w:val="es-CO"/>
        </w:rPr>
        <w:t>,</w:t>
      </w:r>
      <w:r w:rsidRPr="00A927F5">
        <w:rPr>
          <w:rFonts w:cs="Arial"/>
          <w:sz w:val="16"/>
          <w:szCs w:val="16"/>
          <w:lang w:val="es-CO"/>
        </w:rPr>
        <w:t xml:space="preserve"> de manera general</w:t>
      </w:r>
      <w:r>
        <w:rPr>
          <w:rFonts w:cs="Arial"/>
          <w:sz w:val="16"/>
          <w:szCs w:val="16"/>
          <w:lang w:val="es-CO"/>
        </w:rPr>
        <w:t>,</w:t>
      </w:r>
      <w:r w:rsidRPr="00A927F5">
        <w:rPr>
          <w:rFonts w:cs="Arial"/>
          <w:sz w:val="16"/>
          <w:szCs w:val="16"/>
          <w:lang w:val="es-CO"/>
        </w:rPr>
        <w:t xml:space="preserve"> las </w:t>
      </w:r>
      <w:r>
        <w:rPr>
          <w:rFonts w:cs="Arial"/>
          <w:sz w:val="16"/>
          <w:szCs w:val="16"/>
          <w:lang w:val="es-CO"/>
        </w:rPr>
        <w:t xml:space="preserve">siguientes </w:t>
      </w:r>
      <w:r w:rsidRPr="00A927F5">
        <w:rPr>
          <w:rFonts w:cs="Arial"/>
          <w:sz w:val="16"/>
          <w:szCs w:val="16"/>
          <w:lang w:val="es-CO"/>
        </w:rPr>
        <w:t>modalidades de pensión, las cuales deben ser ofrecidas a sus afiliados por las entidades administradoras del RAIS</w:t>
      </w:r>
      <w:r>
        <w:rPr>
          <w:rFonts w:cs="Arial"/>
          <w:sz w:val="16"/>
          <w:szCs w:val="16"/>
          <w:lang w:val="es-CO"/>
        </w:rPr>
        <w:t>,</w:t>
      </w:r>
      <w:r w:rsidRPr="00A927F5">
        <w:rPr>
          <w:rFonts w:cs="Arial"/>
          <w:sz w:val="16"/>
          <w:szCs w:val="16"/>
          <w:lang w:val="es-CO"/>
        </w:rPr>
        <w:t xml:space="preserve"> atendiendo las siguientes instrucciones:</w:t>
      </w:r>
    </w:p>
    <w:p w14:paraId="0192F9A7" w14:textId="77777777" w:rsidR="00E951D2" w:rsidRPr="0075232D" w:rsidRDefault="00E951D2" w:rsidP="00E951D2">
      <w:pPr>
        <w:rPr>
          <w:rFonts w:cs="Arial"/>
          <w:b/>
          <w:sz w:val="16"/>
          <w:szCs w:val="16"/>
          <w:lang w:val="es-CO"/>
        </w:rPr>
      </w:pPr>
    </w:p>
    <w:p w14:paraId="7E803609" w14:textId="77777777" w:rsidR="00E951D2" w:rsidRPr="0075232D" w:rsidRDefault="00E951D2" w:rsidP="00E951D2">
      <w:pPr>
        <w:pStyle w:val="Ttulo2"/>
        <w:spacing w:before="0" w:after="0"/>
        <w:rPr>
          <w:lang w:val="es-CO"/>
        </w:rPr>
      </w:pPr>
      <w:bookmarkStart w:id="4" w:name="_Toc267211146"/>
      <w:r>
        <w:rPr>
          <w:lang w:val="es-CO"/>
        </w:rPr>
        <w:t xml:space="preserve">4.1. </w:t>
      </w:r>
      <w:r w:rsidRPr="0075232D">
        <w:rPr>
          <w:lang w:val="es-CO"/>
        </w:rPr>
        <w:t>Definiciones generales</w:t>
      </w:r>
      <w:bookmarkEnd w:id="4"/>
    </w:p>
    <w:p w14:paraId="17A5E438" w14:textId="77777777" w:rsidR="00E951D2" w:rsidRPr="0075232D" w:rsidRDefault="00E951D2" w:rsidP="00E951D2">
      <w:pPr>
        <w:rPr>
          <w:rFonts w:cs="Arial"/>
          <w:b/>
          <w:sz w:val="16"/>
          <w:szCs w:val="16"/>
          <w:lang w:val="es-CO"/>
        </w:rPr>
      </w:pPr>
    </w:p>
    <w:p w14:paraId="5230FB67" w14:textId="77777777" w:rsidR="00E951D2" w:rsidRPr="0068117E" w:rsidRDefault="00E951D2" w:rsidP="00E951D2">
      <w:pPr>
        <w:rPr>
          <w:sz w:val="16"/>
          <w:szCs w:val="16"/>
          <w:lang w:val="es-CO"/>
        </w:rPr>
      </w:pPr>
      <w:r w:rsidRPr="0068117E">
        <w:rPr>
          <w:sz w:val="16"/>
          <w:szCs w:val="16"/>
          <w:lang w:val="es-CO"/>
        </w:rPr>
        <w:t xml:space="preserve">Para efectos de lo establecido en este </w:t>
      </w:r>
      <w:proofErr w:type="spellStart"/>
      <w:r w:rsidRPr="0068117E">
        <w:rPr>
          <w:sz w:val="16"/>
          <w:szCs w:val="16"/>
          <w:lang w:val="es-CO"/>
        </w:rPr>
        <w:t>subnumeral</w:t>
      </w:r>
      <w:proofErr w:type="spellEnd"/>
      <w:r w:rsidRPr="0068117E">
        <w:rPr>
          <w:sz w:val="16"/>
          <w:szCs w:val="16"/>
          <w:lang w:val="es-CO"/>
        </w:rPr>
        <w:t xml:space="preserve"> se </w:t>
      </w:r>
      <w:r>
        <w:rPr>
          <w:sz w:val="16"/>
          <w:szCs w:val="16"/>
          <w:lang w:val="es-CO"/>
        </w:rPr>
        <w:t>deben tener</w:t>
      </w:r>
      <w:r w:rsidRPr="0068117E">
        <w:rPr>
          <w:sz w:val="16"/>
          <w:szCs w:val="16"/>
          <w:lang w:val="es-CO"/>
        </w:rPr>
        <w:t xml:space="preserve"> en cuenta las siguientes definiciones:</w:t>
      </w:r>
    </w:p>
    <w:p w14:paraId="3C298E10" w14:textId="77777777" w:rsidR="00E951D2" w:rsidRPr="00E56082" w:rsidRDefault="00E951D2" w:rsidP="00E951D2">
      <w:pPr>
        <w:rPr>
          <w:rFonts w:cs="Arial"/>
          <w:sz w:val="16"/>
          <w:szCs w:val="16"/>
          <w:lang w:val="es-CO"/>
        </w:rPr>
      </w:pPr>
    </w:p>
    <w:p w14:paraId="213BC804" w14:textId="77777777" w:rsidR="00E951D2" w:rsidRPr="00E56082" w:rsidRDefault="00E951D2" w:rsidP="00E951D2">
      <w:pPr>
        <w:rPr>
          <w:rFonts w:cs="Arial"/>
          <w:sz w:val="16"/>
          <w:szCs w:val="16"/>
        </w:rPr>
      </w:pPr>
      <w:r>
        <w:rPr>
          <w:rFonts w:cs="Arial"/>
          <w:sz w:val="16"/>
          <w:szCs w:val="16"/>
        </w:rPr>
        <w:t xml:space="preserve">4.1.1. </w:t>
      </w:r>
      <w:r w:rsidRPr="00E56082">
        <w:rPr>
          <w:rFonts w:cs="Arial"/>
          <w:sz w:val="16"/>
          <w:szCs w:val="16"/>
        </w:rPr>
        <w:t>Afiliado: Es la persona que hace parte del SGP en los términos del art. 15 de la Ley 100 de 1993, mediante su afiliación a una sociedad que administre fondos de pensiones.</w:t>
      </w:r>
    </w:p>
    <w:p w14:paraId="0D7510E1" w14:textId="77777777" w:rsidR="00E951D2" w:rsidRPr="00E56082" w:rsidRDefault="00E951D2" w:rsidP="00E951D2">
      <w:pPr>
        <w:ind w:left="360"/>
        <w:rPr>
          <w:rFonts w:cs="Arial"/>
          <w:sz w:val="16"/>
          <w:szCs w:val="16"/>
        </w:rPr>
      </w:pPr>
    </w:p>
    <w:p w14:paraId="5F154FE5" w14:textId="77777777" w:rsidR="00E951D2" w:rsidRPr="00E56082" w:rsidRDefault="00E951D2" w:rsidP="00E951D2">
      <w:pPr>
        <w:rPr>
          <w:rFonts w:cs="Arial"/>
          <w:sz w:val="16"/>
          <w:szCs w:val="16"/>
        </w:rPr>
      </w:pPr>
      <w:r>
        <w:rPr>
          <w:rFonts w:cs="Arial"/>
          <w:sz w:val="16"/>
          <w:szCs w:val="16"/>
        </w:rPr>
        <w:t xml:space="preserve">4.1.2. </w:t>
      </w:r>
      <w:r w:rsidRPr="00E56082">
        <w:rPr>
          <w:rFonts w:cs="Arial"/>
          <w:sz w:val="16"/>
          <w:szCs w:val="16"/>
        </w:rPr>
        <w:t>Pensionado: Es la persona que ha cumplido los requisitos para acceder a una pensión de vejez o invalidez en el RAIS.</w:t>
      </w:r>
    </w:p>
    <w:p w14:paraId="4FA6DAF5" w14:textId="77777777" w:rsidR="00E951D2" w:rsidRPr="00E56082" w:rsidRDefault="00E951D2" w:rsidP="00E951D2">
      <w:pPr>
        <w:ind w:left="360"/>
        <w:rPr>
          <w:rFonts w:cs="Arial"/>
          <w:sz w:val="16"/>
          <w:szCs w:val="16"/>
        </w:rPr>
      </w:pPr>
    </w:p>
    <w:p w14:paraId="4F2ACFE1" w14:textId="77777777" w:rsidR="00E951D2" w:rsidRPr="00E56082" w:rsidRDefault="00E951D2" w:rsidP="00E951D2">
      <w:pPr>
        <w:rPr>
          <w:rFonts w:cs="Arial"/>
          <w:sz w:val="16"/>
          <w:szCs w:val="16"/>
        </w:rPr>
      </w:pPr>
      <w:r>
        <w:rPr>
          <w:rFonts w:cs="Arial"/>
          <w:sz w:val="16"/>
          <w:szCs w:val="16"/>
        </w:rPr>
        <w:t xml:space="preserve">4.1.3. </w:t>
      </w:r>
      <w:r w:rsidRPr="00E56082">
        <w:rPr>
          <w:rFonts w:cs="Arial"/>
          <w:sz w:val="16"/>
          <w:szCs w:val="16"/>
        </w:rPr>
        <w:t>Mesada pensional: Corresponde al pago mensual que efectúa la administradora o aseguradora, según el caso, con ocasión del reconocimiento de una pensión por causa de vejez, invalidez o sobrevivencia. Dicho pago se efectúa de manera vencida.</w:t>
      </w:r>
    </w:p>
    <w:p w14:paraId="3875D3A4" w14:textId="77777777" w:rsidR="00E951D2" w:rsidRPr="00E56082" w:rsidRDefault="00E951D2" w:rsidP="00E951D2">
      <w:pPr>
        <w:pStyle w:val="ColorfulList-Accent11"/>
        <w:rPr>
          <w:rFonts w:cs="Arial"/>
          <w:sz w:val="16"/>
          <w:szCs w:val="16"/>
        </w:rPr>
      </w:pPr>
    </w:p>
    <w:p w14:paraId="1B44F972" w14:textId="77777777" w:rsidR="00E951D2" w:rsidRPr="00E56082" w:rsidRDefault="00E951D2" w:rsidP="00E951D2">
      <w:pPr>
        <w:rPr>
          <w:sz w:val="16"/>
          <w:szCs w:val="16"/>
        </w:rPr>
      </w:pPr>
      <w:r>
        <w:rPr>
          <w:rFonts w:cs="Arial"/>
          <w:sz w:val="16"/>
          <w:szCs w:val="16"/>
        </w:rPr>
        <w:t xml:space="preserve">4.1.4. </w:t>
      </w:r>
      <w:r w:rsidRPr="00E56082">
        <w:rPr>
          <w:rFonts w:cs="Arial"/>
          <w:sz w:val="16"/>
          <w:szCs w:val="16"/>
        </w:rPr>
        <w:t>Mesada adicional: Pago adicional a las 12 mesadas anuales a que tienen derecho los pensionados del SGP, de acuerdo con lo establecido en el Acto Legislativo 1 de 2005.</w:t>
      </w:r>
    </w:p>
    <w:p w14:paraId="40224D1A" w14:textId="77777777" w:rsidR="00E951D2" w:rsidRPr="00E56082" w:rsidRDefault="00E951D2" w:rsidP="00E951D2">
      <w:pPr>
        <w:ind w:left="360"/>
        <w:rPr>
          <w:rFonts w:cs="Arial"/>
          <w:sz w:val="16"/>
          <w:szCs w:val="16"/>
          <w:lang w:val="es-CO"/>
        </w:rPr>
      </w:pPr>
    </w:p>
    <w:p w14:paraId="7EF4AB3E" w14:textId="77777777" w:rsidR="00E951D2" w:rsidRPr="00E56082" w:rsidRDefault="00E951D2" w:rsidP="00E951D2">
      <w:pPr>
        <w:rPr>
          <w:rFonts w:cs="Arial"/>
          <w:sz w:val="16"/>
          <w:szCs w:val="16"/>
        </w:rPr>
      </w:pPr>
      <w:r>
        <w:rPr>
          <w:rFonts w:cs="Arial"/>
          <w:sz w:val="16"/>
          <w:szCs w:val="16"/>
          <w:lang w:val="es-CO"/>
        </w:rPr>
        <w:t xml:space="preserve">4.1.5. </w:t>
      </w:r>
      <w:r w:rsidRPr="00E56082">
        <w:rPr>
          <w:rFonts w:cs="Arial"/>
          <w:sz w:val="16"/>
          <w:szCs w:val="16"/>
          <w:lang w:val="es-CO"/>
        </w:rPr>
        <w:t xml:space="preserve">Auxilio </w:t>
      </w:r>
      <w:r>
        <w:rPr>
          <w:rFonts w:cs="Arial"/>
          <w:sz w:val="16"/>
          <w:szCs w:val="16"/>
          <w:lang w:val="es-CO"/>
        </w:rPr>
        <w:t>f</w:t>
      </w:r>
      <w:r w:rsidRPr="00E56082">
        <w:rPr>
          <w:rFonts w:cs="Arial"/>
          <w:sz w:val="16"/>
          <w:szCs w:val="16"/>
          <w:lang w:val="es-CO"/>
        </w:rPr>
        <w:t>unerario:</w:t>
      </w:r>
      <w:r w:rsidRPr="00E56082">
        <w:rPr>
          <w:rFonts w:cs="Arial"/>
          <w:sz w:val="16"/>
          <w:szCs w:val="16"/>
        </w:rPr>
        <w:t xml:space="preserve"> Es el pago que debe efectuar la aseguradora o administradora que tiene a su cargo el pago de la pensión de vejez o invalidez, por causa del fallecimiento del pensionado, a la persona que demuestre haber sufragado los gastos de entierro del pensionado, equivalente al valor correspondiente a la última mesada pensional recibida, el cual no debe ser inferior a 5 salarios mínimos legales mensuales vigentes, ni superior a 10 veces dicho salario.</w:t>
      </w:r>
    </w:p>
    <w:p w14:paraId="0B5A70B3" w14:textId="77777777" w:rsidR="00E951D2" w:rsidRPr="00E56082" w:rsidRDefault="00E951D2" w:rsidP="00E951D2">
      <w:pPr>
        <w:ind w:left="360"/>
        <w:rPr>
          <w:rFonts w:cs="Arial"/>
          <w:sz w:val="16"/>
          <w:szCs w:val="16"/>
        </w:rPr>
      </w:pPr>
    </w:p>
    <w:p w14:paraId="27A22A37" w14:textId="77777777" w:rsidR="00E951D2" w:rsidRPr="00E56082" w:rsidRDefault="00E951D2" w:rsidP="00E951D2">
      <w:pPr>
        <w:rPr>
          <w:rFonts w:cs="Arial"/>
          <w:sz w:val="16"/>
          <w:szCs w:val="16"/>
        </w:rPr>
      </w:pPr>
      <w:r>
        <w:rPr>
          <w:rFonts w:cs="Arial"/>
          <w:sz w:val="16"/>
          <w:szCs w:val="16"/>
        </w:rPr>
        <w:t xml:space="preserve">4.1.6. </w:t>
      </w:r>
      <w:r w:rsidRPr="00E56082">
        <w:rPr>
          <w:rFonts w:cs="Arial"/>
          <w:sz w:val="16"/>
          <w:szCs w:val="16"/>
        </w:rPr>
        <w:t xml:space="preserve">Renta </w:t>
      </w:r>
      <w:r>
        <w:rPr>
          <w:rFonts w:cs="Arial"/>
          <w:sz w:val="16"/>
          <w:szCs w:val="16"/>
        </w:rPr>
        <w:t>v</w:t>
      </w:r>
      <w:r w:rsidRPr="00E56082">
        <w:rPr>
          <w:rFonts w:cs="Arial"/>
          <w:sz w:val="16"/>
          <w:szCs w:val="16"/>
        </w:rPr>
        <w:t xml:space="preserve">italicia </w:t>
      </w:r>
      <w:r>
        <w:rPr>
          <w:rFonts w:cs="Arial"/>
          <w:sz w:val="16"/>
          <w:szCs w:val="16"/>
        </w:rPr>
        <w:t>d</w:t>
      </w:r>
      <w:r w:rsidRPr="00E56082">
        <w:rPr>
          <w:rFonts w:cs="Arial"/>
          <w:sz w:val="16"/>
          <w:szCs w:val="16"/>
        </w:rPr>
        <w:t>iferida: Corresponde a</w:t>
      </w:r>
      <w:r>
        <w:rPr>
          <w:rFonts w:cs="Arial"/>
          <w:sz w:val="16"/>
          <w:szCs w:val="16"/>
        </w:rPr>
        <w:t xml:space="preserve"> los</w:t>
      </w:r>
      <w:r w:rsidRPr="00E56082">
        <w:rPr>
          <w:rFonts w:cs="Arial"/>
          <w:sz w:val="16"/>
          <w:szCs w:val="16"/>
        </w:rPr>
        <w:t xml:space="preserve"> pagos de mesadas pensionales a partir del mes siguiente a aquel en que termina el periodo de diferimiento y hasta la pérdida del derecho del pensionado y del último de los beneficiarios de ley, momento en el cual cesa la obligación. Si dicha pérdida se presenta durante el periodo de diferimiento no habría lugar a la devolución del capital correspondiente a la renta vitalicia diferida. </w:t>
      </w:r>
    </w:p>
    <w:p w14:paraId="133A59BF" w14:textId="77777777" w:rsidR="00E951D2" w:rsidRPr="00E56082" w:rsidRDefault="00E951D2" w:rsidP="00E951D2">
      <w:pPr>
        <w:ind w:left="708"/>
        <w:rPr>
          <w:rFonts w:cs="Arial"/>
          <w:sz w:val="16"/>
          <w:szCs w:val="16"/>
          <w:highlight w:val="yellow"/>
        </w:rPr>
      </w:pPr>
    </w:p>
    <w:p w14:paraId="4091BF17" w14:textId="77777777" w:rsidR="00E951D2" w:rsidRPr="00E56082" w:rsidRDefault="00E951D2" w:rsidP="21043C90">
      <w:pPr>
        <w:rPr>
          <w:rFonts w:cs="Arial"/>
          <w:sz w:val="16"/>
          <w:szCs w:val="16"/>
          <w:lang w:val="es-ES"/>
        </w:rPr>
      </w:pPr>
      <w:r w:rsidRPr="21043C90">
        <w:rPr>
          <w:rFonts w:cs="Arial"/>
          <w:sz w:val="16"/>
          <w:szCs w:val="16"/>
          <w:lang w:val="es-ES"/>
        </w:rPr>
        <w:t xml:space="preserve">A la renta vitalicia diferida le son aplicables, en lo pertinente, las previsiones contenidas en el </w:t>
      </w:r>
      <w:proofErr w:type="spellStart"/>
      <w:r w:rsidRPr="21043C90">
        <w:rPr>
          <w:rFonts w:cs="Arial"/>
          <w:sz w:val="16"/>
          <w:szCs w:val="16"/>
          <w:lang w:val="es-ES"/>
        </w:rPr>
        <w:t>subnumeral</w:t>
      </w:r>
      <w:proofErr w:type="spellEnd"/>
      <w:r w:rsidRPr="21043C90">
        <w:rPr>
          <w:rFonts w:cs="Arial"/>
          <w:sz w:val="16"/>
          <w:szCs w:val="16"/>
          <w:lang w:val="es-ES"/>
        </w:rPr>
        <w:t xml:space="preserve"> 3.3.2.2.2 del Capítulo II, Título IV de la Parte II de esta Circular.</w:t>
      </w:r>
    </w:p>
    <w:p w14:paraId="325CB2DE" w14:textId="77777777" w:rsidR="00E951D2" w:rsidRPr="00E56082" w:rsidRDefault="00E951D2" w:rsidP="00E951D2">
      <w:pPr>
        <w:ind w:left="360"/>
        <w:rPr>
          <w:rFonts w:cs="Arial"/>
          <w:sz w:val="16"/>
          <w:szCs w:val="16"/>
        </w:rPr>
      </w:pPr>
    </w:p>
    <w:p w14:paraId="463433D4" w14:textId="2D552B00" w:rsidR="007222F6" w:rsidRDefault="00E951D2" w:rsidP="00430088">
      <w:r>
        <w:rPr>
          <w:rFonts w:cs="Arial"/>
          <w:sz w:val="16"/>
          <w:szCs w:val="16"/>
        </w:rPr>
        <w:t xml:space="preserve">4.1.7. </w:t>
      </w:r>
      <w:r w:rsidRPr="00E56082">
        <w:rPr>
          <w:rFonts w:cs="Arial"/>
          <w:sz w:val="16"/>
          <w:szCs w:val="16"/>
        </w:rPr>
        <w:t>Tomador: Persona que celebra el contrato de seguro con la compañía de seguros seleccionada y que corresponde al pensionado en el caso de pensiones de vejez o invalidez y</w:t>
      </w:r>
      <w:r>
        <w:rPr>
          <w:rFonts w:cs="Arial"/>
          <w:sz w:val="16"/>
          <w:szCs w:val="16"/>
        </w:rPr>
        <w:t>,</w:t>
      </w:r>
      <w:r w:rsidRPr="00E56082">
        <w:rPr>
          <w:rFonts w:cs="Arial"/>
          <w:sz w:val="16"/>
          <w:szCs w:val="16"/>
        </w:rPr>
        <w:t xml:space="preserve"> a los beneficiarios de ley en el caso</w:t>
      </w:r>
      <w:r>
        <w:rPr>
          <w:rFonts w:cs="Arial"/>
          <w:sz w:val="16"/>
          <w:szCs w:val="16"/>
        </w:rPr>
        <w:t xml:space="preserve"> de pensiones de sobrevivientes</w:t>
      </w:r>
      <w:r w:rsidR="00991034">
        <w:rPr>
          <w:rFonts w:cs="Arial"/>
          <w:sz w:val="16"/>
          <w:szCs w:val="16"/>
        </w:rPr>
        <w:t>.</w:t>
      </w:r>
    </w:p>
    <w:sectPr w:rsidR="007222F6" w:rsidSect="00E951D2">
      <w:headerReference w:type="default" r:id="rId13"/>
      <w:footerReference w:type="default" r:id="rId14"/>
      <w:pgSz w:w="12240" w:h="18720" w:code="14"/>
      <w:pgMar w:top="1418" w:right="1701" w:bottom="1418" w:left="1701" w:header="1134" w:footer="1134"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8EA13" w14:textId="77777777" w:rsidR="009B36D7" w:rsidRDefault="009B36D7" w:rsidP="0068117E">
      <w:r>
        <w:separator/>
      </w:r>
    </w:p>
  </w:endnote>
  <w:endnote w:type="continuationSeparator" w:id="0">
    <w:p w14:paraId="2B091874" w14:textId="77777777" w:rsidR="009B36D7" w:rsidRDefault="009B36D7" w:rsidP="0068117E">
      <w:r>
        <w:continuationSeparator/>
      </w:r>
    </w:p>
  </w:endnote>
  <w:endnote w:type="continuationNotice" w:id="1">
    <w:p w14:paraId="57FD1630" w14:textId="77777777" w:rsidR="009B36D7" w:rsidRDefault="009B3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DB3B" w14:textId="77777777" w:rsidR="007A632F" w:rsidRDefault="007A632F" w:rsidP="00E951D2">
    <w:pPr>
      <w:pStyle w:val="Piedepgina"/>
    </w:pPr>
  </w:p>
  <w:p w14:paraId="40B01BC8" w14:textId="11EABC33" w:rsidR="007A632F" w:rsidRPr="009E03CC" w:rsidRDefault="007A632F" w:rsidP="00E951D2">
    <w:pPr>
      <w:pStyle w:val="Piedepgina"/>
      <w:framePr w:wrap="around" w:vAnchor="text" w:hAnchor="page" w:x="10401" w:y="1"/>
      <w:rPr>
        <w:rStyle w:val="Nmerodepgina"/>
        <w:rFonts w:cs="Arial"/>
        <w:b/>
        <w:szCs w:val="18"/>
      </w:rPr>
    </w:pPr>
    <w:r>
      <w:rPr>
        <w:rStyle w:val="Nmerodepgina"/>
        <w:rFonts w:cs="Arial"/>
        <w:b/>
        <w:szCs w:val="18"/>
      </w:rPr>
      <w:t>6</w:t>
    </w:r>
  </w:p>
  <w:p w14:paraId="3F26AE15" w14:textId="77777777" w:rsidR="007A632F" w:rsidRDefault="007A632F" w:rsidP="00E951D2">
    <w:pPr>
      <w:pStyle w:val="Piedepgina"/>
      <w:jc w:val="left"/>
      <w:rPr>
        <w:b/>
        <w:lang w:val="pt-BR"/>
      </w:rPr>
    </w:pPr>
    <w:r w:rsidRPr="00741C76">
      <w:rPr>
        <w:b/>
        <w:lang w:val="pt-BR"/>
      </w:rPr>
      <w:t>PARTE II – TÍTULO III – CAPÍTULO II</w:t>
    </w:r>
    <w:r>
      <w:rPr>
        <w:b/>
        <w:lang w:val="pt-BR"/>
      </w:rPr>
      <w:t xml:space="preserve">                                                                                                </w:t>
    </w:r>
    <w:r w:rsidRPr="00741C76">
      <w:rPr>
        <w:b/>
        <w:lang w:val="pt-BR"/>
      </w:rPr>
      <w:t>PÁGINA</w:t>
    </w:r>
  </w:p>
  <w:p w14:paraId="49F14115" w14:textId="17613A22" w:rsidR="007A632F" w:rsidRPr="004F01B4" w:rsidRDefault="007A632F" w:rsidP="00E951D2">
    <w:pPr>
      <w:pStyle w:val="Piedepgina"/>
      <w:rPr>
        <w:b/>
        <w:lang w:val="es-CO"/>
      </w:rPr>
    </w:pPr>
    <w:r>
      <w:rPr>
        <w:b/>
        <w:lang w:val="pt-BR"/>
      </w:rPr>
      <w:t xml:space="preserve">Circular Externa XX  de 2024                                                                                                    </w:t>
    </w:r>
    <w:r w:rsidR="003A57FA">
      <w:rPr>
        <w:b/>
        <w:lang w:val="pt-BR"/>
      </w:rPr>
      <w:t xml:space="preserve">Agosto </w:t>
    </w:r>
    <w:r>
      <w:rPr>
        <w:rFonts w:cs="Arial"/>
        <w:b/>
        <w:szCs w:val="18"/>
        <w:lang w:val="es-CO"/>
      </w:rPr>
      <w:t>de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C6F94" w14:textId="77777777" w:rsidR="002D5A0C" w:rsidRDefault="002D5A0C" w:rsidP="00E951D2">
    <w:pPr>
      <w:pStyle w:val="Piedepgina"/>
    </w:pPr>
  </w:p>
  <w:p w14:paraId="6E316431" w14:textId="77777777" w:rsidR="002D5A0C" w:rsidRPr="009E03CC" w:rsidRDefault="002D5A0C" w:rsidP="00E951D2">
    <w:pPr>
      <w:pStyle w:val="Piedepgina"/>
      <w:framePr w:wrap="around" w:vAnchor="text" w:hAnchor="page" w:x="10401" w:y="1"/>
      <w:rPr>
        <w:rStyle w:val="Nmerodepgina"/>
        <w:rFonts w:cs="Arial"/>
        <w:b/>
        <w:szCs w:val="18"/>
      </w:rPr>
    </w:pPr>
    <w:r>
      <w:rPr>
        <w:rStyle w:val="Nmerodepgina"/>
        <w:rFonts w:cs="Arial"/>
        <w:b/>
        <w:szCs w:val="18"/>
      </w:rPr>
      <w:t>6-1</w:t>
    </w:r>
  </w:p>
  <w:p w14:paraId="77DDAD6C" w14:textId="77777777" w:rsidR="002D5A0C" w:rsidRDefault="002D5A0C" w:rsidP="00E951D2">
    <w:pPr>
      <w:pStyle w:val="Piedepgina"/>
      <w:jc w:val="left"/>
      <w:rPr>
        <w:b/>
        <w:lang w:val="pt-BR"/>
      </w:rPr>
    </w:pPr>
    <w:r w:rsidRPr="00741C76">
      <w:rPr>
        <w:b/>
        <w:lang w:val="pt-BR"/>
      </w:rPr>
      <w:t>PARTE II – TÍTULO III – CAPÍTULO II</w:t>
    </w:r>
    <w:r>
      <w:rPr>
        <w:b/>
        <w:lang w:val="pt-BR"/>
      </w:rPr>
      <w:t xml:space="preserve">                                                                                                </w:t>
    </w:r>
    <w:r w:rsidRPr="00741C76">
      <w:rPr>
        <w:b/>
        <w:lang w:val="pt-BR"/>
      </w:rPr>
      <w:t>PÁGINA</w:t>
    </w:r>
  </w:p>
  <w:p w14:paraId="0E5311BB" w14:textId="01F2F165" w:rsidR="002D5A0C" w:rsidRPr="004F01B4" w:rsidRDefault="002D5A0C" w:rsidP="00E951D2">
    <w:pPr>
      <w:pStyle w:val="Piedepgina"/>
      <w:rPr>
        <w:b/>
        <w:lang w:val="es-CO"/>
      </w:rPr>
    </w:pPr>
    <w:r>
      <w:rPr>
        <w:b/>
        <w:lang w:val="pt-BR"/>
      </w:rPr>
      <w:t xml:space="preserve">Circular Externa XX  de 2024                                                                                                     </w:t>
    </w:r>
    <w:r w:rsidR="003A57FA">
      <w:rPr>
        <w:b/>
        <w:lang w:val="pt-BR"/>
      </w:rPr>
      <w:t xml:space="preserve">Agosto </w:t>
    </w:r>
    <w:r>
      <w:rPr>
        <w:rFonts w:cs="Arial"/>
        <w:b/>
        <w:szCs w:val="18"/>
        <w:lang w:val="es-CO"/>
      </w:rPr>
      <w:t>de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4E623" w14:textId="544C9F1E" w:rsidR="00DB5014" w:rsidRDefault="00DB5014" w:rsidP="00DB5014">
    <w:pPr>
      <w:pStyle w:val="Piedepgina"/>
      <w:jc w:val="left"/>
      <w:rPr>
        <w:b/>
        <w:lang w:val="pt-BR"/>
      </w:rPr>
    </w:pPr>
    <w:r w:rsidRPr="00741C76">
      <w:rPr>
        <w:b/>
        <w:lang w:val="pt-BR"/>
      </w:rPr>
      <w:t>PARTE II – TÍTULO III – CAPÍTULO II</w:t>
    </w:r>
    <w:r>
      <w:rPr>
        <w:b/>
        <w:lang w:val="pt-BR"/>
      </w:rPr>
      <w:t xml:space="preserve">                                                                                                </w:t>
    </w:r>
    <w:r w:rsidRPr="00741C76">
      <w:rPr>
        <w:b/>
        <w:lang w:val="pt-BR"/>
      </w:rPr>
      <w:t>PÁGINA</w:t>
    </w:r>
    <w:r>
      <w:rPr>
        <w:b/>
        <w:lang w:val="pt-BR"/>
      </w:rPr>
      <w:t xml:space="preserve"> 7</w:t>
    </w:r>
  </w:p>
  <w:p w14:paraId="143DBD43" w14:textId="45EE5955" w:rsidR="00DB5014" w:rsidRPr="004F01B4" w:rsidRDefault="00DB5014" w:rsidP="00DB5014">
    <w:pPr>
      <w:pStyle w:val="Piedepgina"/>
      <w:rPr>
        <w:b/>
        <w:lang w:val="es-CO"/>
      </w:rPr>
    </w:pPr>
    <w:r>
      <w:rPr>
        <w:b/>
        <w:lang w:val="pt-BR"/>
      </w:rPr>
      <w:t xml:space="preserve">Circular Externa XX  de 2024                                                                                                        </w:t>
    </w:r>
    <w:r w:rsidR="003A57FA">
      <w:rPr>
        <w:b/>
        <w:lang w:val="pt-BR"/>
      </w:rPr>
      <w:t xml:space="preserve">Agosto </w:t>
    </w:r>
    <w:r>
      <w:rPr>
        <w:rFonts w:cs="Arial"/>
        <w:b/>
        <w:szCs w:val="18"/>
        <w:lang w:val="es-CO"/>
      </w:rPr>
      <w:t>de 2024</w:t>
    </w:r>
  </w:p>
  <w:p w14:paraId="4557177E" w14:textId="085BA121" w:rsidR="007A446C" w:rsidRPr="004F01B4" w:rsidRDefault="007A446C" w:rsidP="00E951D2">
    <w:pPr>
      <w:pStyle w:val="Piedepgina"/>
      <w:rPr>
        <w:b/>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7EEED" w14:textId="77777777" w:rsidR="009B36D7" w:rsidRDefault="009B36D7" w:rsidP="0068117E">
      <w:r>
        <w:separator/>
      </w:r>
    </w:p>
  </w:footnote>
  <w:footnote w:type="continuationSeparator" w:id="0">
    <w:p w14:paraId="0C9EEA2C" w14:textId="77777777" w:rsidR="009B36D7" w:rsidRDefault="009B36D7" w:rsidP="0068117E">
      <w:r>
        <w:continuationSeparator/>
      </w:r>
    </w:p>
  </w:footnote>
  <w:footnote w:type="continuationNotice" w:id="1">
    <w:p w14:paraId="214BA836" w14:textId="77777777" w:rsidR="009B36D7" w:rsidRDefault="009B36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0D04A" w14:textId="77777777" w:rsidR="00430088" w:rsidRDefault="00430088" w:rsidP="00430088">
    <w:pPr>
      <w:pStyle w:val="Encabezado"/>
      <w:jc w:val="center"/>
      <w:rPr>
        <w:b/>
        <w:sz w:val="24"/>
        <w:szCs w:val="24"/>
      </w:rPr>
    </w:pPr>
    <w:r w:rsidRPr="0068117E">
      <w:rPr>
        <w:b/>
        <w:sz w:val="24"/>
        <w:szCs w:val="24"/>
      </w:rPr>
      <w:t>SUPERINTENDENCIA FINANCIERA DE COLOMBIA</w:t>
    </w:r>
  </w:p>
  <w:p w14:paraId="6D366B8A" w14:textId="77777777" w:rsidR="00E951D2" w:rsidRPr="0068117E" w:rsidRDefault="00E951D2" w:rsidP="0068117E">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60EC1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10A01"/>
    <w:multiLevelType w:val="multilevel"/>
    <w:tmpl w:val="8D0695E4"/>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 w15:restartNumberingAfterBreak="0">
    <w:nsid w:val="1FCD272A"/>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16cid:durableId="1429543975">
    <w:abstractNumId w:val="3"/>
  </w:num>
  <w:num w:numId="2" w16cid:durableId="627468626">
    <w:abstractNumId w:val="2"/>
  </w:num>
  <w:num w:numId="3" w16cid:durableId="633871624">
    <w:abstractNumId w:val="0"/>
  </w:num>
  <w:num w:numId="4" w16cid:durableId="7537414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2F6"/>
    <w:rsid w:val="00004784"/>
    <w:rsid w:val="00007CDF"/>
    <w:rsid w:val="00010762"/>
    <w:rsid w:val="00011423"/>
    <w:rsid w:val="000117E4"/>
    <w:rsid w:val="00015AC7"/>
    <w:rsid w:val="00016EF1"/>
    <w:rsid w:val="00017705"/>
    <w:rsid w:val="000207AD"/>
    <w:rsid w:val="00024029"/>
    <w:rsid w:val="00025ED1"/>
    <w:rsid w:val="00031D93"/>
    <w:rsid w:val="00033499"/>
    <w:rsid w:val="000361FC"/>
    <w:rsid w:val="00036B11"/>
    <w:rsid w:val="00040D1F"/>
    <w:rsid w:val="00041ABF"/>
    <w:rsid w:val="0004355F"/>
    <w:rsid w:val="00043928"/>
    <w:rsid w:val="00052DD8"/>
    <w:rsid w:val="00067AAA"/>
    <w:rsid w:val="0007052C"/>
    <w:rsid w:val="00083896"/>
    <w:rsid w:val="000907EC"/>
    <w:rsid w:val="00097263"/>
    <w:rsid w:val="000A3EAF"/>
    <w:rsid w:val="000A5BD5"/>
    <w:rsid w:val="000A7224"/>
    <w:rsid w:val="000B576E"/>
    <w:rsid w:val="000C456B"/>
    <w:rsid w:val="000C4980"/>
    <w:rsid w:val="000D2BB7"/>
    <w:rsid w:val="000D337D"/>
    <w:rsid w:val="000E1073"/>
    <w:rsid w:val="000E1157"/>
    <w:rsid w:val="000E679F"/>
    <w:rsid w:val="000F01B7"/>
    <w:rsid w:val="000F15A2"/>
    <w:rsid w:val="00104B0E"/>
    <w:rsid w:val="001121A3"/>
    <w:rsid w:val="0011571F"/>
    <w:rsid w:val="00120B69"/>
    <w:rsid w:val="001225D3"/>
    <w:rsid w:val="001261DE"/>
    <w:rsid w:val="00127FFB"/>
    <w:rsid w:val="00132493"/>
    <w:rsid w:val="001430C2"/>
    <w:rsid w:val="00144AD9"/>
    <w:rsid w:val="0015174D"/>
    <w:rsid w:val="001547CE"/>
    <w:rsid w:val="00155D1A"/>
    <w:rsid w:val="001602C9"/>
    <w:rsid w:val="0016470F"/>
    <w:rsid w:val="001712EC"/>
    <w:rsid w:val="00182ADC"/>
    <w:rsid w:val="0018661A"/>
    <w:rsid w:val="00186FA6"/>
    <w:rsid w:val="0019030E"/>
    <w:rsid w:val="0019563D"/>
    <w:rsid w:val="001975DB"/>
    <w:rsid w:val="001A3D7C"/>
    <w:rsid w:val="001B072B"/>
    <w:rsid w:val="001B2037"/>
    <w:rsid w:val="001B4B4F"/>
    <w:rsid w:val="001D44F5"/>
    <w:rsid w:val="001E4246"/>
    <w:rsid w:val="001E748F"/>
    <w:rsid w:val="001E79FA"/>
    <w:rsid w:val="001F2D59"/>
    <w:rsid w:val="001F5024"/>
    <w:rsid w:val="001F59CB"/>
    <w:rsid w:val="001F60F3"/>
    <w:rsid w:val="002000F8"/>
    <w:rsid w:val="00202737"/>
    <w:rsid w:val="00203CA9"/>
    <w:rsid w:val="00204F0A"/>
    <w:rsid w:val="002051C1"/>
    <w:rsid w:val="00234E65"/>
    <w:rsid w:val="0024185F"/>
    <w:rsid w:val="00243AC3"/>
    <w:rsid w:val="00250976"/>
    <w:rsid w:val="00256ECA"/>
    <w:rsid w:val="00260BA2"/>
    <w:rsid w:val="00262098"/>
    <w:rsid w:val="00273ECD"/>
    <w:rsid w:val="00274294"/>
    <w:rsid w:val="00287100"/>
    <w:rsid w:val="0028712A"/>
    <w:rsid w:val="0028774E"/>
    <w:rsid w:val="00293225"/>
    <w:rsid w:val="002947BB"/>
    <w:rsid w:val="00297428"/>
    <w:rsid w:val="002B1704"/>
    <w:rsid w:val="002B66B3"/>
    <w:rsid w:val="002B70C0"/>
    <w:rsid w:val="002C3579"/>
    <w:rsid w:val="002C39E5"/>
    <w:rsid w:val="002C4C5D"/>
    <w:rsid w:val="002D02CC"/>
    <w:rsid w:val="002D04B1"/>
    <w:rsid w:val="002D06E6"/>
    <w:rsid w:val="002D1B65"/>
    <w:rsid w:val="002D2B89"/>
    <w:rsid w:val="002D5A0C"/>
    <w:rsid w:val="002F7C9D"/>
    <w:rsid w:val="00302E27"/>
    <w:rsid w:val="00303A92"/>
    <w:rsid w:val="00310388"/>
    <w:rsid w:val="00324359"/>
    <w:rsid w:val="00344D90"/>
    <w:rsid w:val="00345E1E"/>
    <w:rsid w:val="00355C11"/>
    <w:rsid w:val="003560DF"/>
    <w:rsid w:val="00356DE0"/>
    <w:rsid w:val="003572CF"/>
    <w:rsid w:val="0035735F"/>
    <w:rsid w:val="00361F3F"/>
    <w:rsid w:val="00362C49"/>
    <w:rsid w:val="003659C8"/>
    <w:rsid w:val="00366B4F"/>
    <w:rsid w:val="00370760"/>
    <w:rsid w:val="0037118E"/>
    <w:rsid w:val="00373E98"/>
    <w:rsid w:val="00374071"/>
    <w:rsid w:val="0037526F"/>
    <w:rsid w:val="00377531"/>
    <w:rsid w:val="003813FD"/>
    <w:rsid w:val="00385C85"/>
    <w:rsid w:val="00390282"/>
    <w:rsid w:val="00394D71"/>
    <w:rsid w:val="003A0226"/>
    <w:rsid w:val="003A2A73"/>
    <w:rsid w:val="003A57FA"/>
    <w:rsid w:val="003A67DF"/>
    <w:rsid w:val="003C1149"/>
    <w:rsid w:val="003C291A"/>
    <w:rsid w:val="003C4A6B"/>
    <w:rsid w:val="003C4A97"/>
    <w:rsid w:val="003D0440"/>
    <w:rsid w:val="003D483B"/>
    <w:rsid w:val="003D560B"/>
    <w:rsid w:val="003E3727"/>
    <w:rsid w:val="003E44D8"/>
    <w:rsid w:val="003E7993"/>
    <w:rsid w:val="003F15A6"/>
    <w:rsid w:val="003F2149"/>
    <w:rsid w:val="003F2742"/>
    <w:rsid w:val="0040207A"/>
    <w:rsid w:val="00403867"/>
    <w:rsid w:val="004131D5"/>
    <w:rsid w:val="0042204E"/>
    <w:rsid w:val="00425AA5"/>
    <w:rsid w:val="00430088"/>
    <w:rsid w:val="00442F61"/>
    <w:rsid w:val="00443712"/>
    <w:rsid w:val="004442D4"/>
    <w:rsid w:val="004448B5"/>
    <w:rsid w:val="00447E70"/>
    <w:rsid w:val="004518A5"/>
    <w:rsid w:val="004570D8"/>
    <w:rsid w:val="004643D9"/>
    <w:rsid w:val="00466018"/>
    <w:rsid w:val="004662DC"/>
    <w:rsid w:val="0046683D"/>
    <w:rsid w:val="00467813"/>
    <w:rsid w:val="0047181C"/>
    <w:rsid w:val="00473A27"/>
    <w:rsid w:val="00474C42"/>
    <w:rsid w:val="0048479B"/>
    <w:rsid w:val="00486D4B"/>
    <w:rsid w:val="00486E25"/>
    <w:rsid w:val="00487BF5"/>
    <w:rsid w:val="0049106E"/>
    <w:rsid w:val="00493542"/>
    <w:rsid w:val="004A3F38"/>
    <w:rsid w:val="004A5182"/>
    <w:rsid w:val="004B253C"/>
    <w:rsid w:val="004C2C83"/>
    <w:rsid w:val="004C63D5"/>
    <w:rsid w:val="004D4322"/>
    <w:rsid w:val="004D5C31"/>
    <w:rsid w:val="004D732E"/>
    <w:rsid w:val="004D7744"/>
    <w:rsid w:val="004E099B"/>
    <w:rsid w:val="004E257C"/>
    <w:rsid w:val="004E3181"/>
    <w:rsid w:val="004F7113"/>
    <w:rsid w:val="005023DA"/>
    <w:rsid w:val="0052041F"/>
    <w:rsid w:val="005324B5"/>
    <w:rsid w:val="005353C7"/>
    <w:rsid w:val="00542BD5"/>
    <w:rsid w:val="00552C10"/>
    <w:rsid w:val="00555A25"/>
    <w:rsid w:val="005638A6"/>
    <w:rsid w:val="0056674E"/>
    <w:rsid w:val="005769E1"/>
    <w:rsid w:val="00577BFE"/>
    <w:rsid w:val="00580551"/>
    <w:rsid w:val="00581356"/>
    <w:rsid w:val="005818DB"/>
    <w:rsid w:val="00581FA0"/>
    <w:rsid w:val="0059309E"/>
    <w:rsid w:val="005930B3"/>
    <w:rsid w:val="005B01D0"/>
    <w:rsid w:val="005B342F"/>
    <w:rsid w:val="005B4CC3"/>
    <w:rsid w:val="005B6596"/>
    <w:rsid w:val="005C2F49"/>
    <w:rsid w:val="005C5577"/>
    <w:rsid w:val="005D2ECB"/>
    <w:rsid w:val="005D356A"/>
    <w:rsid w:val="005D79FC"/>
    <w:rsid w:val="005F10D5"/>
    <w:rsid w:val="005F138F"/>
    <w:rsid w:val="005F51CB"/>
    <w:rsid w:val="005F743D"/>
    <w:rsid w:val="006000C1"/>
    <w:rsid w:val="0060027C"/>
    <w:rsid w:val="00604186"/>
    <w:rsid w:val="0060572C"/>
    <w:rsid w:val="00606706"/>
    <w:rsid w:val="00607DAF"/>
    <w:rsid w:val="00612202"/>
    <w:rsid w:val="006135EE"/>
    <w:rsid w:val="00613BAD"/>
    <w:rsid w:val="00614070"/>
    <w:rsid w:val="006210EB"/>
    <w:rsid w:val="006225F3"/>
    <w:rsid w:val="00625E8B"/>
    <w:rsid w:val="006304AB"/>
    <w:rsid w:val="006334DA"/>
    <w:rsid w:val="00637929"/>
    <w:rsid w:val="006507E3"/>
    <w:rsid w:val="00655913"/>
    <w:rsid w:val="00660021"/>
    <w:rsid w:val="00673EFE"/>
    <w:rsid w:val="006804B8"/>
    <w:rsid w:val="0068117E"/>
    <w:rsid w:val="0068296A"/>
    <w:rsid w:val="006841F1"/>
    <w:rsid w:val="006846C2"/>
    <w:rsid w:val="00685F89"/>
    <w:rsid w:val="006865E0"/>
    <w:rsid w:val="00694573"/>
    <w:rsid w:val="00695B4D"/>
    <w:rsid w:val="006A2B9E"/>
    <w:rsid w:val="006A3418"/>
    <w:rsid w:val="006A4912"/>
    <w:rsid w:val="006A722E"/>
    <w:rsid w:val="006B1AC1"/>
    <w:rsid w:val="006B5F41"/>
    <w:rsid w:val="006C04BB"/>
    <w:rsid w:val="006D6435"/>
    <w:rsid w:val="006E1279"/>
    <w:rsid w:val="006E3F7E"/>
    <w:rsid w:val="006F105B"/>
    <w:rsid w:val="006F2AF3"/>
    <w:rsid w:val="00705BAC"/>
    <w:rsid w:val="00710FA0"/>
    <w:rsid w:val="00712FA3"/>
    <w:rsid w:val="007201DC"/>
    <w:rsid w:val="007222F6"/>
    <w:rsid w:val="00741C76"/>
    <w:rsid w:val="00743897"/>
    <w:rsid w:val="00744F9A"/>
    <w:rsid w:val="00756ECD"/>
    <w:rsid w:val="0075760E"/>
    <w:rsid w:val="00765B9B"/>
    <w:rsid w:val="00766314"/>
    <w:rsid w:val="00766AD7"/>
    <w:rsid w:val="00782301"/>
    <w:rsid w:val="00784319"/>
    <w:rsid w:val="00791FD8"/>
    <w:rsid w:val="007A446C"/>
    <w:rsid w:val="007A632F"/>
    <w:rsid w:val="007B0AE5"/>
    <w:rsid w:val="007B1F05"/>
    <w:rsid w:val="007B3892"/>
    <w:rsid w:val="007B4BAD"/>
    <w:rsid w:val="007C0D67"/>
    <w:rsid w:val="007C1B56"/>
    <w:rsid w:val="007C1DE5"/>
    <w:rsid w:val="007C6E6E"/>
    <w:rsid w:val="007D262E"/>
    <w:rsid w:val="007D5BF5"/>
    <w:rsid w:val="007E6D1A"/>
    <w:rsid w:val="007F78DF"/>
    <w:rsid w:val="00810397"/>
    <w:rsid w:val="0081475C"/>
    <w:rsid w:val="008164F3"/>
    <w:rsid w:val="00817599"/>
    <w:rsid w:val="008232BE"/>
    <w:rsid w:val="008246A1"/>
    <w:rsid w:val="008258CB"/>
    <w:rsid w:val="00827162"/>
    <w:rsid w:val="00830969"/>
    <w:rsid w:val="00850DC5"/>
    <w:rsid w:val="00851BEE"/>
    <w:rsid w:val="00870618"/>
    <w:rsid w:val="0087409B"/>
    <w:rsid w:val="00880461"/>
    <w:rsid w:val="008870EC"/>
    <w:rsid w:val="008900EF"/>
    <w:rsid w:val="00893349"/>
    <w:rsid w:val="0089777A"/>
    <w:rsid w:val="00897FC8"/>
    <w:rsid w:val="008A7BCA"/>
    <w:rsid w:val="008B211F"/>
    <w:rsid w:val="008B3007"/>
    <w:rsid w:val="008D25B0"/>
    <w:rsid w:val="008E2A40"/>
    <w:rsid w:val="008E305B"/>
    <w:rsid w:val="008E40A9"/>
    <w:rsid w:val="008E6DC7"/>
    <w:rsid w:val="008F1CDE"/>
    <w:rsid w:val="008F510D"/>
    <w:rsid w:val="008F541A"/>
    <w:rsid w:val="008F5B9B"/>
    <w:rsid w:val="008F639D"/>
    <w:rsid w:val="00901623"/>
    <w:rsid w:val="00904025"/>
    <w:rsid w:val="009141C5"/>
    <w:rsid w:val="00921018"/>
    <w:rsid w:val="0092144D"/>
    <w:rsid w:val="009228EE"/>
    <w:rsid w:val="00934108"/>
    <w:rsid w:val="00935466"/>
    <w:rsid w:val="00936926"/>
    <w:rsid w:val="00940B45"/>
    <w:rsid w:val="0094237D"/>
    <w:rsid w:val="00943076"/>
    <w:rsid w:val="00954222"/>
    <w:rsid w:val="0095604F"/>
    <w:rsid w:val="00956F1F"/>
    <w:rsid w:val="009817D1"/>
    <w:rsid w:val="0098189A"/>
    <w:rsid w:val="00990958"/>
    <w:rsid w:val="00991034"/>
    <w:rsid w:val="009939CD"/>
    <w:rsid w:val="0099510E"/>
    <w:rsid w:val="00995A4E"/>
    <w:rsid w:val="009A08D5"/>
    <w:rsid w:val="009A7B44"/>
    <w:rsid w:val="009B36D7"/>
    <w:rsid w:val="009B47CA"/>
    <w:rsid w:val="009B7C8D"/>
    <w:rsid w:val="009C2A9A"/>
    <w:rsid w:val="009C2FB4"/>
    <w:rsid w:val="009D009F"/>
    <w:rsid w:val="009D4222"/>
    <w:rsid w:val="009D4262"/>
    <w:rsid w:val="009D6366"/>
    <w:rsid w:val="009F1A38"/>
    <w:rsid w:val="009F2AFF"/>
    <w:rsid w:val="009F2D73"/>
    <w:rsid w:val="00A02046"/>
    <w:rsid w:val="00A0227A"/>
    <w:rsid w:val="00A02F70"/>
    <w:rsid w:val="00A16C10"/>
    <w:rsid w:val="00A2369F"/>
    <w:rsid w:val="00A328D9"/>
    <w:rsid w:val="00A334BC"/>
    <w:rsid w:val="00A36447"/>
    <w:rsid w:val="00A45BE1"/>
    <w:rsid w:val="00A637B5"/>
    <w:rsid w:val="00A72442"/>
    <w:rsid w:val="00A72786"/>
    <w:rsid w:val="00A80737"/>
    <w:rsid w:val="00A80F70"/>
    <w:rsid w:val="00A8555C"/>
    <w:rsid w:val="00A8660F"/>
    <w:rsid w:val="00A917B3"/>
    <w:rsid w:val="00A96804"/>
    <w:rsid w:val="00AA0CCC"/>
    <w:rsid w:val="00AA1F14"/>
    <w:rsid w:val="00AA257A"/>
    <w:rsid w:val="00AA7B57"/>
    <w:rsid w:val="00AB0460"/>
    <w:rsid w:val="00AC1440"/>
    <w:rsid w:val="00AC20A7"/>
    <w:rsid w:val="00AC4154"/>
    <w:rsid w:val="00AC54BB"/>
    <w:rsid w:val="00AD1CEB"/>
    <w:rsid w:val="00AD2F85"/>
    <w:rsid w:val="00AE10AD"/>
    <w:rsid w:val="00AE47F6"/>
    <w:rsid w:val="00AF1B98"/>
    <w:rsid w:val="00AF53FB"/>
    <w:rsid w:val="00B02023"/>
    <w:rsid w:val="00B1134B"/>
    <w:rsid w:val="00B14946"/>
    <w:rsid w:val="00B17AE1"/>
    <w:rsid w:val="00B222A9"/>
    <w:rsid w:val="00B224C7"/>
    <w:rsid w:val="00B24AC7"/>
    <w:rsid w:val="00B359D7"/>
    <w:rsid w:val="00B442F4"/>
    <w:rsid w:val="00B51619"/>
    <w:rsid w:val="00B517E7"/>
    <w:rsid w:val="00B52106"/>
    <w:rsid w:val="00B5341D"/>
    <w:rsid w:val="00B602EA"/>
    <w:rsid w:val="00B61496"/>
    <w:rsid w:val="00B71D84"/>
    <w:rsid w:val="00B724B3"/>
    <w:rsid w:val="00B773A5"/>
    <w:rsid w:val="00B821F0"/>
    <w:rsid w:val="00B85889"/>
    <w:rsid w:val="00B90836"/>
    <w:rsid w:val="00B92694"/>
    <w:rsid w:val="00B9567A"/>
    <w:rsid w:val="00BB39B1"/>
    <w:rsid w:val="00BC1886"/>
    <w:rsid w:val="00BC30DC"/>
    <w:rsid w:val="00BC526D"/>
    <w:rsid w:val="00BC6B32"/>
    <w:rsid w:val="00BD118F"/>
    <w:rsid w:val="00BE2DBD"/>
    <w:rsid w:val="00BE751C"/>
    <w:rsid w:val="00C079FD"/>
    <w:rsid w:val="00C11754"/>
    <w:rsid w:val="00C17585"/>
    <w:rsid w:val="00C178D2"/>
    <w:rsid w:val="00C20955"/>
    <w:rsid w:val="00C21697"/>
    <w:rsid w:val="00C219FE"/>
    <w:rsid w:val="00C22BB7"/>
    <w:rsid w:val="00C464F1"/>
    <w:rsid w:val="00C474FB"/>
    <w:rsid w:val="00C47E59"/>
    <w:rsid w:val="00C51B8E"/>
    <w:rsid w:val="00C53147"/>
    <w:rsid w:val="00C55B8A"/>
    <w:rsid w:val="00C617C9"/>
    <w:rsid w:val="00C61887"/>
    <w:rsid w:val="00C630EC"/>
    <w:rsid w:val="00C632CD"/>
    <w:rsid w:val="00C65C44"/>
    <w:rsid w:val="00C67E90"/>
    <w:rsid w:val="00C77F10"/>
    <w:rsid w:val="00CA7139"/>
    <w:rsid w:val="00CB112F"/>
    <w:rsid w:val="00CB3858"/>
    <w:rsid w:val="00CB446D"/>
    <w:rsid w:val="00CB56FF"/>
    <w:rsid w:val="00CC1C36"/>
    <w:rsid w:val="00CC1F85"/>
    <w:rsid w:val="00CC6781"/>
    <w:rsid w:val="00CD15F1"/>
    <w:rsid w:val="00CD505C"/>
    <w:rsid w:val="00CD7259"/>
    <w:rsid w:val="00CE320F"/>
    <w:rsid w:val="00CF7BE0"/>
    <w:rsid w:val="00D00D2C"/>
    <w:rsid w:val="00D028B0"/>
    <w:rsid w:val="00D06E68"/>
    <w:rsid w:val="00D206D4"/>
    <w:rsid w:val="00D2614F"/>
    <w:rsid w:val="00D34528"/>
    <w:rsid w:val="00D41422"/>
    <w:rsid w:val="00D472B3"/>
    <w:rsid w:val="00D54D75"/>
    <w:rsid w:val="00D55E2B"/>
    <w:rsid w:val="00D67749"/>
    <w:rsid w:val="00D83575"/>
    <w:rsid w:val="00D856EC"/>
    <w:rsid w:val="00D926F7"/>
    <w:rsid w:val="00D94300"/>
    <w:rsid w:val="00D9552F"/>
    <w:rsid w:val="00D958C6"/>
    <w:rsid w:val="00DA16B5"/>
    <w:rsid w:val="00DA798E"/>
    <w:rsid w:val="00DA7C0B"/>
    <w:rsid w:val="00DB12F0"/>
    <w:rsid w:val="00DB481C"/>
    <w:rsid w:val="00DB5014"/>
    <w:rsid w:val="00DC2228"/>
    <w:rsid w:val="00DC6125"/>
    <w:rsid w:val="00DD7F87"/>
    <w:rsid w:val="00DE7D59"/>
    <w:rsid w:val="00DF72B1"/>
    <w:rsid w:val="00E11A97"/>
    <w:rsid w:val="00E14398"/>
    <w:rsid w:val="00E171A5"/>
    <w:rsid w:val="00E365D9"/>
    <w:rsid w:val="00E408D9"/>
    <w:rsid w:val="00E430F3"/>
    <w:rsid w:val="00E456FF"/>
    <w:rsid w:val="00E46272"/>
    <w:rsid w:val="00E51874"/>
    <w:rsid w:val="00E53A55"/>
    <w:rsid w:val="00E60D50"/>
    <w:rsid w:val="00E62691"/>
    <w:rsid w:val="00E641F6"/>
    <w:rsid w:val="00E71E2F"/>
    <w:rsid w:val="00E72834"/>
    <w:rsid w:val="00E7346E"/>
    <w:rsid w:val="00E74960"/>
    <w:rsid w:val="00E7578D"/>
    <w:rsid w:val="00E77B3E"/>
    <w:rsid w:val="00E77E7B"/>
    <w:rsid w:val="00E87212"/>
    <w:rsid w:val="00E941EA"/>
    <w:rsid w:val="00E951D2"/>
    <w:rsid w:val="00EA0415"/>
    <w:rsid w:val="00EA3140"/>
    <w:rsid w:val="00EA7BB3"/>
    <w:rsid w:val="00EB2EE4"/>
    <w:rsid w:val="00EB3E08"/>
    <w:rsid w:val="00EB5EBE"/>
    <w:rsid w:val="00EB6E04"/>
    <w:rsid w:val="00EC030C"/>
    <w:rsid w:val="00EC1275"/>
    <w:rsid w:val="00EC54A1"/>
    <w:rsid w:val="00ED2349"/>
    <w:rsid w:val="00EF2640"/>
    <w:rsid w:val="00F014AF"/>
    <w:rsid w:val="00F04335"/>
    <w:rsid w:val="00F0507D"/>
    <w:rsid w:val="00F07129"/>
    <w:rsid w:val="00F10336"/>
    <w:rsid w:val="00F111D4"/>
    <w:rsid w:val="00F119DC"/>
    <w:rsid w:val="00F13317"/>
    <w:rsid w:val="00F137D7"/>
    <w:rsid w:val="00F17E39"/>
    <w:rsid w:val="00F23D63"/>
    <w:rsid w:val="00F3218A"/>
    <w:rsid w:val="00F332AF"/>
    <w:rsid w:val="00F369AF"/>
    <w:rsid w:val="00F36D4B"/>
    <w:rsid w:val="00F4236D"/>
    <w:rsid w:val="00F43CA8"/>
    <w:rsid w:val="00F45120"/>
    <w:rsid w:val="00F47911"/>
    <w:rsid w:val="00F5198F"/>
    <w:rsid w:val="00F528C8"/>
    <w:rsid w:val="00F56D51"/>
    <w:rsid w:val="00F60992"/>
    <w:rsid w:val="00F668D5"/>
    <w:rsid w:val="00F67306"/>
    <w:rsid w:val="00F761BA"/>
    <w:rsid w:val="00F81532"/>
    <w:rsid w:val="00F87936"/>
    <w:rsid w:val="00F87952"/>
    <w:rsid w:val="00F9079A"/>
    <w:rsid w:val="00FA3702"/>
    <w:rsid w:val="00FA51A0"/>
    <w:rsid w:val="00FA7F67"/>
    <w:rsid w:val="00FB3181"/>
    <w:rsid w:val="00FB357E"/>
    <w:rsid w:val="00FC5293"/>
    <w:rsid w:val="00FD4776"/>
    <w:rsid w:val="00FD79EA"/>
    <w:rsid w:val="00FE0D03"/>
    <w:rsid w:val="00FF246C"/>
    <w:rsid w:val="21043C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FB968A"/>
  <w15:docId w15:val="{C8A0C1E4-6AA0-4E40-9762-DDD94637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2F6"/>
    <w:pPr>
      <w:jc w:val="both"/>
    </w:pPr>
    <w:rPr>
      <w:rFonts w:ascii="Arial" w:hAnsi="Arial"/>
      <w:sz w:val="18"/>
      <w:lang w:val="es-ES_tradnl"/>
    </w:rPr>
  </w:style>
  <w:style w:type="paragraph" w:styleId="Ttulo1">
    <w:name w:val="heading 1"/>
    <w:basedOn w:val="Normal"/>
    <w:next w:val="Normal"/>
    <w:link w:val="Ttulo1Car"/>
    <w:qFormat/>
    <w:rsid w:val="007222F6"/>
    <w:pPr>
      <w:keepNext/>
      <w:spacing w:before="240" w:after="60"/>
      <w:outlineLvl w:val="0"/>
    </w:pPr>
    <w:rPr>
      <w:b/>
      <w:bCs/>
      <w:kern w:val="32"/>
      <w:sz w:val="16"/>
      <w:szCs w:val="32"/>
    </w:rPr>
  </w:style>
  <w:style w:type="paragraph" w:styleId="Ttulo2">
    <w:name w:val="heading 2"/>
    <w:basedOn w:val="Normal"/>
    <w:next w:val="Normal"/>
    <w:link w:val="Ttulo2Car"/>
    <w:qFormat/>
    <w:rsid w:val="007222F6"/>
    <w:pPr>
      <w:keepNext/>
      <w:spacing w:before="240" w:after="60"/>
      <w:outlineLvl w:val="1"/>
    </w:pPr>
    <w:rPr>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 w:val="24"/>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 w:val="24"/>
      <w:szCs w:val="24"/>
    </w:rPr>
  </w:style>
  <w:style w:type="paragraph" w:styleId="Ttulo9">
    <w:name w:val="heading 9"/>
    <w:basedOn w:val="Normal"/>
    <w:next w:val="Normal"/>
    <w:link w:val="Ttulo9Car"/>
    <w:qFormat/>
    <w:rsid w:val="00AB0460"/>
    <w:pPr>
      <w:numPr>
        <w:ilvl w:val="8"/>
        <w:numId w:val="1"/>
      </w:numPr>
      <w:spacing w:before="240" w:after="60"/>
      <w:outlineLvl w:val="8"/>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222F6"/>
    <w:rPr>
      <w:rFonts w:ascii="Arial" w:hAnsi="Arial" w:cs="Arial"/>
      <w:b/>
      <w:bCs/>
      <w:kern w:val="32"/>
      <w:sz w:val="16"/>
      <w:szCs w:val="32"/>
      <w:lang w:val="es-ES_tradnl" w:eastAsia="es-CO"/>
    </w:rPr>
  </w:style>
  <w:style w:type="character" w:customStyle="1" w:styleId="Ttulo2Car">
    <w:name w:val="Título 2 Car"/>
    <w:link w:val="Ttulo2"/>
    <w:rsid w:val="007222F6"/>
    <w:rPr>
      <w:rFonts w:ascii="Arial" w:hAnsi="Arial" w:cs="Arial"/>
      <w:b/>
      <w:bCs/>
      <w:iCs/>
      <w:sz w:val="16"/>
      <w:szCs w:val="28"/>
      <w:lang w:val="es-ES_tradnl" w:eastAsia="es-CO"/>
    </w:rPr>
  </w:style>
  <w:style w:type="character" w:customStyle="1" w:styleId="Ttulo3Car">
    <w:name w:val="Título 3 Car"/>
    <w:link w:val="Ttulo3"/>
    <w:rsid w:val="00AB0460"/>
    <w:rPr>
      <w:rFonts w:ascii="Arial" w:hAnsi="Arial" w:cs="Arial"/>
      <w:b/>
      <w:bCs/>
      <w:sz w:val="18"/>
      <w:szCs w:val="26"/>
      <w:lang w:val="es-ES_tradnl"/>
    </w:rPr>
  </w:style>
  <w:style w:type="character" w:customStyle="1" w:styleId="Ttulo4Car">
    <w:name w:val="Título 4 Car"/>
    <w:link w:val="Ttulo4"/>
    <w:rsid w:val="00AB0460"/>
    <w:rPr>
      <w:rFonts w:ascii="Arial" w:hAnsi="Arial"/>
      <w:bCs/>
      <w:sz w:val="18"/>
      <w:szCs w:val="28"/>
      <w:lang w:val="es-ES_tradnl"/>
    </w:rPr>
  </w:style>
  <w:style w:type="character" w:customStyle="1" w:styleId="Ttulo5Car">
    <w:name w:val="Título 5 Car"/>
    <w:link w:val="Ttulo5"/>
    <w:rsid w:val="00AB0460"/>
    <w:rPr>
      <w:rFonts w:ascii="Arial" w:hAnsi="Arial"/>
      <w:b/>
      <w:bCs/>
      <w:iCs/>
      <w:sz w:val="18"/>
      <w:szCs w:val="26"/>
      <w:u w:val="single"/>
      <w:lang w:val="es-ES_tradnl"/>
    </w:rPr>
  </w:style>
  <w:style w:type="character" w:customStyle="1" w:styleId="Ttulo6Car">
    <w:name w:val="Título 6 Car"/>
    <w:link w:val="Ttulo6"/>
    <w:rsid w:val="00AB0460"/>
    <w:rPr>
      <w:rFonts w:ascii="Arial" w:hAnsi="Arial"/>
      <w:b/>
      <w:bCs/>
      <w:sz w:val="15"/>
      <w:szCs w:val="15"/>
      <w:lang w:val="es-ES_tradnl"/>
    </w:rPr>
  </w:style>
  <w:style w:type="character" w:customStyle="1" w:styleId="Ttulo7Car">
    <w:name w:val="Título 7 Car"/>
    <w:link w:val="Ttulo7"/>
    <w:rsid w:val="00AB0460"/>
    <w:rPr>
      <w:rFonts w:ascii="Arial" w:hAnsi="Arial"/>
      <w:sz w:val="24"/>
      <w:szCs w:val="24"/>
      <w:lang w:val="es-ES_tradnl"/>
    </w:rPr>
  </w:style>
  <w:style w:type="character" w:customStyle="1" w:styleId="Ttulo8Car">
    <w:name w:val="Título 8 Car"/>
    <w:link w:val="Ttulo8"/>
    <w:rsid w:val="00AB0460"/>
    <w:rPr>
      <w:rFonts w:ascii="Arial" w:hAnsi="Arial"/>
      <w:i/>
      <w:iCs/>
      <w:sz w:val="24"/>
      <w:szCs w:val="24"/>
      <w:lang w:val="es-ES_tradnl"/>
    </w:rPr>
  </w:style>
  <w:style w:type="character" w:customStyle="1" w:styleId="Ttulo9Car">
    <w:name w:val="Título 9 Car"/>
    <w:link w:val="Ttulo9"/>
    <w:rsid w:val="00AB0460"/>
    <w:rPr>
      <w:rFonts w:ascii="Arial" w:hAnsi="Arial" w:cs="Arial"/>
      <w:sz w:val="22"/>
      <w:szCs w:val="22"/>
      <w:lang w:val="es-ES_tradnl"/>
    </w:rPr>
  </w:style>
  <w:style w:type="paragraph" w:styleId="Encabezado">
    <w:name w:val="header"/>
    <w:basedOn w:val="Normal"/>
    <w:link w:val="EncabezadoCar"/>
    <w:uiPriority w:val="99"/>
    <w:rsid w:val="007222F6"/>
    <w:pPr>
      <w:tabs>
        <w:tab w:val="center" w:pos="4252"/>
        <w:tab w:val="right" w:pos="8504"/>
      </w:tabs>
    </w:pPr>
  </w:style>
  <w:style w:type="character" w:customStyle="1" w:styleId="EncabezadoCar">
    <w:name w:val="Encabezado Car"/>
    <w:link w:val="Encabezado"/>
    <w:uiPriority w:val="99"/>
    <w:rsid w:val="007222F6"/>
    <w:rPr>
      <w:rFonts w:ascii="Arial" w:hAnsi="Arial"/>
      <w:sz w:val="18"/>
      <w:lang w:val="es-ES_tradnl" w:eastAsia="es-CO"/>
    </w:rPr>
  </w:style>
  <w:style w:type="character" w:styleId="Nmerodepgina">
    <w:name w:val="page number"/>
    <w:uiPriority w:val="99"/>
    <w:rsid w:val="007222F6"/>
  </w:style>
  <w:style w:type="numbering" w:styleId="1ai">
    <w:name w:val="Outline List 1"/>
    <w:basedOn w:val="Sinlista"/>
    <w:uiPriority w:val="99"/>
    <w:rsid w:val="007222F6"/>
    <w:pPr>
      <w:numPr>
        <w:numId w:val="2"/>
      </w:numPr>
    </w:pPr>
  </w:style>
  <w:style w:type="paragraph" w:styleId="Piedepgina">
    <w:name w:val="footer"/>
    <w:basedOn w:val="Normal"/>
    <w:link w:val="PiedepginaCar"/>
    <w:uiPriority w:val="99"/>
    <w:rsid w:val="007222F6"/>
    <w:pPr>
      <w:tabs>
        <w:tab w:val="center" w:pos="4252"/>
        <w:tab w:val="right" w:pos="8504"/>
      </w:tabs>
    </w:pPr>
  </w:style>
  <w:style w:type="character" w:customStyle="1" w:styleId="PiedepginaCar">
    <w:name w:val="Pie de página Car"/>
    <w:link w:val="Piedepgina"/>
    <w:uiPriority w:val="99"/>
    <w:rsid w:val="007222F6"/>
    <w:rPr>
      <w:rFonts w:ascii="Arial" w:hAnsi="Arial"/>
      <w:sz w:val="18"/>
      <w:lang w:val="es-ES_tradnl"/>
    </w:rPr>
  </w:style>
  <w:style w:type="paragraph" w:styleId="Textodeglobo">
    <w:name w:val="Balloon Text"/>
    <w:basedOn w:val="Normal"/>
    <w:link w:val="TextodegloboCar"/>
    <w:semiHidden/>
    <w:rsid w:val="007222F6"/>
    <w:rPr>
      <w:rFonts w:ascii="Tahoma" w:hAnsi="Tahoma"/>
      <w:sz w:val="16"/>
      <w:szCs w:val="16"/>
    </w:rPr>
  </w:style>
  <w:style w:type="character" w:customStyle="1" w:styleId="TextodegloboCar">
    <w:name w:val="Texto de globo Car"/>
    <w:link w:val="Textodeglobo"/>
    <w:semiHidden/>
    <w:rsid w:val="007222F6"/>
    <w:rPr>
      <w:rFonts w:ascii="Tahoma" w:hAnsi="Tahoma" w:cs="Tahoma"/>
      <w:sz w:val="16"/>
      <w:szCs w:val="16"/>
      <w:lang w:val="es-ES_tradnl" w:eastAsia="es-CO"/>
    </w:rPr>
  </w:style>
  <w:style w:type="paragraph" w:styleId="Textoindependiente2">
    <w:name w:val="Body Text 2"/>
    <w:basedOn w:val="Normal"/>
    <w:link w:val="Textoindependiente2Car"/>
    <w:rsid w:val="007222F6"/>
    <w:pPr>
      <w:jc w:val="left"/>
    </w:pPr>
    <w:rPr>
      <w:rFonts w:ascii="Times New Roman" w:hAnsi="Times New Roman"/>
      <w:color w:val="0000FF"/>
      <w:sz w:val="20"/>
      <w:szCs w:val="24"/>
      <w:lang w:val="es-ES" w:eastAsia="es-ES"/>
    </w:rPr>
  </w:style>
  <w:style w:type="character" w:customStyle="1" w:styleId="Textoindependiente2Car">
    <w:name w:val="Texto independiente 2 Car"/>
    <w:link w:val="Textoindependiente2"/>
    <w:rsid w:val="007222F6"/>
    <w:rPr>
      <w:color w:val="0000FF"/>
      <w:szCs w:val="24"/>
      <w:lang w:val="es-ES" w:eastAsia="es-ES"/>
    </w:rPr>
  </w:style>
  <w:style w:type="paragraph" w:styleId="Textoindependiente3">
    <w:name w:val="Body Text 3"/>
    <w:basedOn w:val="Normal"/>
    <w:link w:val="Textoindependiente3Car"/>
    <w:rsid w:val="007222F6"/>
    <w:rPr>
      <w:rFonts w:ascii="Times New Roman" w:hAnsi="Times New Roman"/>
      <w:i/>
      <w:iCs/>
      <w:color w:val="0000FF"/>
      <w:sz w:val="26"/>
      <w:szCs w:val="24"/>
      <w:lang w:val="es-ES" w:eastAsia="es-ES"/>
    </w:rPr>
  </w:style>
  <w:style w:type="character" w:customStyle="1" w:styleId="Textoindependiente3Car">
    <w:name w:val="Texto independiente 3 Car"/>
    <w:link w:val="Textoindependiente3"/>
    <w:rsid w:val="007222F6"/>
    <w:rPr>
      <w:i/>
      <w:iCs/>
      <w:color w:val="0000FF"/>
      <w:sz w:val="26"/>
      <w:szCs w:val="24"/>
      <w:lang w:val="es-ES" w:eastAsia="es-ES"/>
    </w:rPr>
  </w:style>
  <w:style w:type="paragraph" w:styleId="Textoindependiente">
    <w:name w:val="Body Text"/>
    <w:basedOn w:val="Normal"/>
    <w:link w:val="TextoindependienteCar"/>
    <w:uiPriority w:val="99"/>
    <w:rsid w:val="007222F6"/>
    <w:pPr>
      <w:spacing w:after="120"/>
    </w:pPr>
  </w:style>
  <w:style w:type="character" w:customStyle="1" w:styleId="TextoindependienteCar">
    <w:name w:val="Texto independiente Car"/>
    <w:link w:val="Textoindependiente"/>
    <w:uiPriority w:val="99"/>
    <w:rsid w:val="007222F6"/>
    <w:rPr>
      <w:rFonts w:ascii="Arial" w:hAnsi="Arial"/>
      <w:sz w:val="18"/>
      <w:lang w:val="es-ES_tradnl" w:eastAsia="es-CO"/>
    </w:rPr>
  </w:style>
  <w:style w:type="character" w:styleId="Hipervnculo">
    <w:name w:val="Hyperlink"/>
    <w:uiPriority w:val="99"/>
    <w:rsid w:val="007222F6"/>
    <w:rPr>
      <w:color w:val="6633CC"/>
      <w:u w:val="single"/>
    </w:rPr>
  </w:style>
  <w:style w:type="table" w:styleId="Tablaconcuadrcula">
    <w:name w:val="Table Grid"/>
    <w:basedOn w:val="Tablanormal"/>
    <w:rsid w:val="00722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7222F6"/>
  </w:style>
  <w:style w:type="paragraph" w:customStyle="1" w:styleId="BodyText22">
    <w:name w:val="Body Text 22"/>
    <w:basedOn w:val="Normal"/>
    <w:rsid w:val="007222F6"/>
    <w:rPr>
      <w:spacing w:val="20"/>
      <w:sz w:val="16"/>
    </w:rPr>
  </w:style>
  <w:style w:type="paragraph" w:styleId="Sangradetextonormal">
    <w:name w:val="Body Text Indent"/>
    <w:basedOn w:val="Normal"/>
    <w:link w:val="SangradetextonormalCar"/>
    <w:rsid w:val="007222F6"/>
    <w:pPr>
      <w:tabs>
        <w:tab w:val="left" w:pos="851"/>
      </w:tabs>
    </w:pPr>
    <w:rPr>
      <w:lang w:eastAsia="es-ES"/>
    </w:rPr>
  </w:style>
  <w:style w:type="character" w:customStyle="1" w:styleId="SangradetextonormalCar">
    <w:name w:val="Sangría de texto normal Car"/>
    <w:link w:val="Sangradetextonormal"/>
    <w:rsid w:val="007222F6"/>
    <w:rPr>
      <w:rFonts w:ascii="Arial" w:hAnsi="Arial"/>
      <w:sz w:val="18"/>
      <w:lang w:val="es-ES_tradnl" w:eastAsia="es-ES"/>
    </w:rPr>
  </w:style>
  <w:style w:type="paragraph" w:customStyle="1" w:styleId="BodyText31">
    <w:name w:val="Body Text 31"/>
    <w:basedOn w:val="Normal"/>
    <w:rsid w:val="007222F6"/>
    <w:pPr>
      <w:pBdr>
        <w:left w:val="single" w:sz="6" w:space="4" w:color="auto"/>
      </w:pBdr>
    </w:pPr>
    <w:rPr>
      <w:b/>
      <w:spacing w:val="20"/>
      <w:sz w:val="16"/>
    </w:rPr>
  </w:style>
  <w:style w:type="paragraph" w:styleId="Ttulo">
    <w:name w:val="Title"/>
    <w:basedOn w:val="Normal"/>
    <w:link w:val="TtuloCar"/>
    <w:qFormat/>
    <w:rsid w:val="007222F6"/>
    <w:pPr>
      <w:tabs>
        <w:tab w:val="left" w:pos="8505"/>
      </w:tabs>
      <w:ind w:right="51"/>
      <w:jc w:val="center"/>
    </w:pPr>
    <w:rPr>
      <w:rFonts w:ascii="AvantGarde Bk BT" w:hAnsi="AvantGarde Bk BT"/>
      <w:sz w:val="28"/>
    </w:rPr>
  </w:style>
  <w:style w:type="character" w:customStyle="1" w:styleId="TtuloCar">
    <w:name w:val="Título Car"/>
    <w:link w:val="Ttulo"/>
    <w:rsid w:val="007222F6"/>
    <w:rPr>
      <w:rFonts w:ascii="AvantGarde Bk BT" w:hAnsi="AvantGarde Bk BT"/>
      <w:sz w:val="28"/>
      <w:lang w:eastAsia="es-CO"/>
    </w:rPr>
  </w:style>
  <w:style w:type="paragraph" w:customStyle="1" w:styleId="cuerpodetexto">
    <w:name w:val="cuerpodetexto"/>
    <w:basedOn w:val="Normal"/>
    <w:rsid w:val="007222F6"/>
    <w:pPr>
      <w:spacing w:before="100" w:beforeAutospacing="1" w:after="100" w:afterAutospacing="1"/>
      <w:jc w:val="left"/>
    </w:pPr>
    <w:rPr>
      <w:rFonts w:ascii="Times New Roman" w:hAnsi="Times New Roman"/>
      <w:sz w:val="24"/>
      <w:szCs w:val="24"/>
      <w:lang w:val="es-ES" w:eastAsia="es-ES"/>
    </w:rPr>
  </w:style>
  <w:style w:type="paragraph" w:styleId="Textocomentario">
    <w:name w:val="annotation text"/>
    <w:basedOn w:val="Normal"/>
    <w:link w:val="TextocomentarioCar"/>
    <w:semiHidden/>
    <w:rsid w:val="007222F6"/>
    <w:rPr>
      <w:sz w:val="20"/>
    </w:rPr>
  </w:style>
  <w:style w:type="character" w:customStyle="1" w:styleId="TextocomentarioCar">
    <w:name w:val="Texto comentario Car"/>
    <w:link w:val="Textocomentario"/>
    <w:semiHidden/>
    <w:rsid w:val="007222F6"/>
    <w:rPr>
      <w:rFonts w:ascii="Arial" w:hAnsi="Arial"/>
      <w:lang w:val="es-ES_tradnl"/>
    </w:rPr>
  </w:style>
  <w:style w:type="paragraph" w:customStyle="1" w:styleId="ColorfulList-Accent11">
    <w:name w:val="Colorful List - Accent 11"/>
    <w:basedOn w:val="Normal"/>
    <w:uiPriority w:val="99"/>
    <w:qFormat/>
    <w:rsid w:val="007222F6"/>
    <w:pPr>
      <w:ind w:left="708"/>
    </w:pPr>
  </w:style>
  <w:style w:type="paragraph" w:styleId="Textonotapie">
    <w:name w:val="footnote text"/>
    <w:basedOn w:val="Normal"/>
    <w:link w:val="TextonotapieCar"/>
    <w:uiPriority w:val="99"/>
    <w:rsid w:val="007222F6"/>
    <w:pPr>
      <w:autoSpaceDE w:val="0"/>
      <w:autoSpaceDN w:val="0"/>
      <w:jc w:val="left"/>
    </w:pPr>
    <w:rPr>
      <w:rFonts w:ascii="Arial (W1)" w:hAnsi="Arial (W1)"/>
      <w:sz w:val="20"/>
      <w:lang w:val="es-ES"/>
    </w:rPr>
  </w:style>
  <w:style w:type="character" w:customStyle="1" w:styleId="TextonotapieCar">
    <w:name w:val="Texto nota pie Car"/>
    <w:link w:val="Textonotapie"/>
    <w:uiPriority w:val="99"/>
    <w:rsid w:val="007222F6"/>
    <w:rPr>
      <w:rFonts w:ascii="Arial (W1)" w:hAnsi="Arial (W1)"/>
      <w:lang w:val="es-ES"/>
    </w:rPr>
  </w:style>
  <w:style w:type="character" w:styleId="Refdenotaalpie">
    <w:name w:val="footnote reference"/>
    <w:uiPriority w:val="99"/>
    <w:rsid w:val="007222F6"/>
    <w:rPr>
      <w:rFonts w:cs="Times New Roman"/>
      <w:vertAlign w:val="superscript"/>
    </w:rPr>
  </w:style>
  <w:style w:type="paragraph" w:styleId="NormalWeb">
    <w:name w:val="Normal (Web)"/>
    <w:basedOn w:val="Normal"/>
    <w:rsid w:val="007222F6"/>
    <w:pPr>
      <w:spacing w:before="100" w:beforeAutospacing="1" w:after="100" w:afterAutospacing="1"/>
      <w:jc w:val="left"/>
    </w:pPr>
    <w:rPr>
      <w:rFonts w:ascii="Times New Roman" w:hAnsi="Times New Roman"/>
      <w:color w:val="663300"/>
      <w:sz w:val="24"/>
      <w:szCs w:val="24"/>
      <w:lang w:val="es-CO"/>
    </w:rPr>
  </w:style>
  <w:style w:type="paragraph" w:customStyle="1" w:styleId="ListParagraph1">
    <w:name w:val="List Paragraph1"/>
    <w:basedOn w:val="Normal"/>
    <w:uiPriority w:val="99"/>
    <w:rsid w:val="007222F6"/>
    <w:pPr>
      <w:ind w:left="720"/>
      <w:contextualSpacing/>
      <w:jc w:val="left"/>
    </w:pPr>
    <w:rPr>
      <w:rFonts w:ascii="Times New Roman" w:hAnsi="Times New Roman"/>
      <w:sz w:val="24"/>
      <w:szCs w:val="24"/>
      <w:lang w:val="es-ES" w:eastAsia="es-ES"/>
    </w:rPr>
  </w:style>
  <w:style w:type="character" w:styleId="Refdecomentario">
    <w:name w:val="annotation reference"/>
    <w:uiPriority w:val="99"/>
    <w:rsid w:val="007222F6"/>
    <w:rPr>
      <w:rFonts w:cs="Times New Roman"/>
      <w:sz w:val="16"/>
      <w:szCs w:val="16"/>
    </w:rPr>
  </w:style>
  <w:style w:type="paragraph" w:styleId="Mapadeldocumento">
    <w:name w:val="Document Map"/>
    <w:basedOn w:val="Normal"/>
    <w:link w:val="MapadeldocumentoCar"/>
    <w:rsid w:val="007222F6"/>
    <w:rPr>
      <w:rFonts w:ascii="Lucida Grande" w:hAnsi="Lucida Grande"/>
      <w:sz w:val="24"/>
      <w:szCs w:val="24"/>
    </w:rPr>
  </w:style>
  <w:style w:type="character" w:customStyle="1" w:styleId="MapadeldocumentoCar">
    <w:name w:val="Mapa del documento Car"/>
    <w:link w:val="Mapadeldocumento"/>
    <w:rsid w:val="007222F6"/>
    <w:rPr>
      <w:rFonts w:ascii="Lucida Grande" w:hAnsi="Lucida Grande"/>
      <w:sz w:val="24"/>
      <w:szCs w:val="24"/>
      <w:lang w:eastAsia="es-CO"/>
    </w:rPr>
  </w:style>
  <w:style w:type="paragraph" w:customStyle="1" w:styleId="ColorfulShading-Accent11">
    <w:name w:val="Colorful Shading - Accent 11"/>
    <w:hidden/>
    <w:uiPriority w:val="71"/>
    <w:rsid w:val="007222F6"/>
    <w:rPr>
      <w:rFonts w:ascii="Arial" w:hAnsi="Arial"/>
      <w:sz w:val="18"/>
      <w:lang w:val="es-ES_tradnl"/>
    </w:rPr>
  </w:style>
  <w:style w:type="paragraph" w:styleId="Asuntodelcomentario">
    <w:name w:val="annotation subject"/>
    <w:basedOn w:val="Textocomentario"/>
    <w:next w:val="Textocomentario"/>
    <w:link w:val="AsuntodelcomentarioCar"/>
    <w:rsid w:val="007222F6"/>
    <w:rPr>
      <w:b/>
      <w:bCs/>
    </w:rPr>
  </w:style>
  <w:style w:type="character" w:customStyle="1" w:styleId="AsuntodelcomentarioCar">
    <w:name w:val="Asunto del comentario Car"/>
    <w:link w:val="Asuntodelcomentario"/>
    <w:rsid w:val="007222F6"/>
    <w:rPr>
      <w:rFonts w:ascii="Arial" w:hAnsi="Arial"/>
      <w:b/>
      <w:bCs/>
      <w:lang w:val="es-ES_tradnl" w:eastAsia="es-CO"/>
    </w:rPr>
  </w:style>
  <w:style w:type="paragraph" w:customStyle="1" w:styleId="Prrafodelista1">
    <w:name w:val="Párrafo de lista1"/>
    <w:basedOn w:val="Normal"/>
    <w:uiPriority w:val="99"/>
    <w:rsid w:val="007222F6"/>
    <w:pPr>
      <w:ind w:left="720"/>
      <w:contextualSpacing/>
      <w:jc w:val="left"/>
    </w:pPr>
    <w:rPr>
      <w:rFonts w:ascii="Times New Roman" w:hAnsi="Times New Roman"/>
      <w:sz w:val="20"/>
      <w:lang w:eastAsia="es-ES"/>
    </w:rPr>
  </w:style>
  <w:style w:type="paragraph" w:customStyle="1" w:styleId="Encabezadodetabladecontenido">
    <w:name w:val="Encabezado de tabla de contenido"/>
    <w:basedOn w:val="Ttulo1"/>
    <w:next w:val="Normal"/>
    <w:uiPriority w:val="39"/>
    <w:qFormat/>
    <w:rsid w:val="0068117E"/>
    <w:pPr>
      <w:keepLines/>
      <w:spacing w:before="480" w:after="0" w:line="276" w:lineRule="auto"/>
      <w:jc w:val="left"/>
      <w:outlineLvl w:val="9"/>
    </w:pPr>
    <w:rPr>
      <w:rFonts w:ascii="Cambria" w:hAnsi="Cambria"/>
      <w:color w:val="365F91"/>
      <w:kern w:val="0"/>
      <w:sz w:val="28"/>
      <w:szCs w:val="28"/>
      <w:lang w:val="es-CO"/>
    </w:rPr>
  </w:style>
  <w:style w:type="paragraph" w:styleId="TDC1">
    <w:name w:val="toc 1"/>
    <w:basedOn w:val="Normal"/>
    <w:next w:val="Normal"/>
    <w:autoRedefine/>
    <w:uiPriority w:val="39"/>
    <w:unhideWhenUsed/>
    <w:rsid w:val="0068117E"/>
    <w:pPr>
      <w:spacing w:before="240" w:after="120"/>
      <w:jc w:val="left"/>
    </w:pPr>
    <w:rPr>
      <w:b/>
      <w:bCs/>
      <w:sz w:val="16"/>
    </w:rPr>
  </w:style>
  <w:style w:type="paragraph" w:styleId="TDC2">
    <w:name w:val="toc 2"/>
    <w:basedOn w:val="Normal"/>
    <w:next w:val="Normal"/>
    <w:autoRedefine/>
    <w:uiPriority w:val="39"/>
    <w:unhideWhenUsed/>
    <w:rsid w:val="0068117E"/>
    <w:pPr>
      <w:ind w:left="180"/>
      <w:jc w:val="left"/>
    </w:pPr>
    <w:rPr>
      <w:iCs/>
      <w:sz w:val="16"/>
    </w:rPr>
  </w:style>
  <w:style w:type="paragraph" w:styleId="TDC3">
    <w:name w:val="toc 3"/>
    <w:basedOn w:val="Normal"/>
    <w:next w:val="Normal"/>
    <w:autoRedefine/>
    <w:uiPriority w:val="39"/>
    <w:unhideWhenUsed/>
    <w:rsid w:val="0068117E"/>
    <w:pPr>
      <w:ind w:left="360"/>
      <w:jc w:val="left"/>
    </w:pPr>
    <w:rPr>
      <w:rFonts w:ascii="Calibri" w:hAnsi="Calibri"/>
      <w:sz w:val="20"/>
    </w:rPr>
  </w:style>
  <w:style w:type="paragraph" w:styleId="TDC4">
    <w:name w:val="toc 4"/>
    <w:basedOn w:val="Normal"/>
    <w:next w:val="Normal"/>
    <w:autoRedefine/>
    <w:uiPriority w:val="39"/>
    <w:unhideWhenUsed/>
    <w:rsid w:val="0068117E"/>
    <w:pPr>
      <w:ind w:left="540"/>
      <w:jc w:val="left"/>
    </w:pPr>
    <w:rPr>
      <w:rFonts w:ascii="Calibri" w:hAnsi="Calibri"/>
      <w:sz w:val="20"/>
    </w:rPr>
  </w:style>
  <w:style w:type="paragraph" w:styleId="TDC5">
    <w:name w:val="toc 5"/>
    <w:basedOn w:val="Normal"/>
    <w:next w:val="Normal"/>
    <w:autoRedefine/>
    <w:uiPriority w:val="39"/>
    <w:unhideWhenUsed/>
    <w:rsid w:val="0068117E"/>
    <w:pPr>
      <w:ind w:left="720"/>
      <w:jc w:val="left"/>
    </w:pPr>
    <w:rPr>
      <w:rFonts w:ascii="Calibri" w:hAnsi="Calibri"/>
      <w:sz w:val="20"/>
    </w:rPr>
  </w:style>
  <w:style w:type="paragraph" w:styleId="TDC6">
    <w:name w:val="toc 6"/>
    <w:basedOn w:val="Normal"/>
    <w:next w:val="Normal"/>
    <w:autoRedefine/>
    <w:uiPriority w:val="39"/>
    <w:unhideWhenUsed/>
    <w:rsid w:val="0068117E"/>
    <w:pPr>
      <w:ind w:left="900"/>
      <w:jc w:val="left"/>
    </w:pPr>
    <w:rPr>
      <w:rFonts w:ascii="Calibri" w:hAnsi="Calibri"/>
      <w:sz w:val="20"/>
    </w:rPr>
  </w:style>
  <w:style w:type="paragraph" w:styleId="TDC7">
    <w:name w:val="toc 7"/>
    <w:basedOn w:val="Normal"/>
    <w:next w:val="Normal"/>
    <w:autoRedefine/>
    <w:uiPriority w:val="39"/>
    <w:unhideWhenUsed/>
    <w:rsid w:val="0068117E"/>
    <w:pPr>
      <w:ind w:left="1080"/>
      <w:jc w:val="left"/>
    </w:pPr>
    <w:rPr>
      <w:rFonts w:ascii="Calibri" w:hAnsi="Calibri"/>
      <w:sz w:val="20"/>
    </w:rPr>
  </w:style>
  <w:style w:type="paragraph" w:styleId="TDC8">
    <w:name w:val="toc 8"/>
    <w:basedOn w:val="Normal"/>
    <w:next w:val="Normal"/>
    <w:autoRedefine/>
    <w:uiPriority w:val="39"/>
    <w:unhideWhenUsed/>
    <w:rsid w:val="0068117E"/>
    <w:pPr>
      <w:ind w:left="1260"/>
      <w:jc w:val="left"/>
    </w:pPr>
    <w:rPr>
      <w:rFonts w:ascii="Calibri" w:hAnsi="Calibri"/>
      <w:sz w:val="20"/>
    </w:rPr>
  </w:style>
  <w:style w:type="paragraph" w:styleId="TDC9">
    <w:name w:val="toc 9"/>
    <w:basedOn w:val="Normal"/>
    <w:next w:val="Normal"/>
    <w:autoRedefine/>
    <w:uiPriority w:val="39"/>
    <w:unhideWhenUsed/>
    <w:rsid w:val="0068117E"/>
    <w:pPr>
      <w:ind w:left="1440"/>
      <w:jc w:val="left"/>
    </w:pPr>
    <w:rPr>
      <w:rFonts w:ascii="Calibri" w:hAnsi="Calibri"/>
      <w:sz w:val="20"/>
    </w:rPr>
  </w:style>
  <w:style w:type="paragraph" w:customStyle="1" w:styleId="Listaoscura-nfasis31">
    <w:name w:val="Lista oscura - Énfasis 31"/>
    <w:hidden/>
    <w:uiPriority w:val="71"/>
    <w:rsid w:val="008B211F"/>
    <w:rPr>
      <w:rFonts w:ascii="Arial" w:hAnsi="Arial"/>
      <w:sz w:val="18"/>
      <w:lang w:val="es-ES_tradnl"/>
    </w:rPr>
  </w:style>
  <w:style w:type="paragraph" w:styleId="Prrafodelista">
    <w:name w:val="List Paragraph"/>
    <w:basedOn w:val="Normal"/>
    <w:uiPriority w:val="72"/>
    <w:qFormat/>
    <w:rsid w:val="00AA7B57"/>
    <w:pPr>
      <w:ind w:left="720"/>
      <w:contextualSpacing/>
    </w:pPr>
  </w:style>
  <w:style w:type="paragraph" w:styleId="Revisin">
    <w:name w:val="Revision"/>
    <w:hidden/>
    <w:uiPriority w:val="71"/>
    <w:rsid w:val="002C4C5D"/>
    <w:rPr>
      <w:rFonts w:ascii="Arial" w:hAnsi="Arial"/>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15817">
      <w:bodyDiv w:val="1"/>
      <w:marLeft w:val="0"/>
      <w:marRight w:val="0"/>
      <w:marTop w:val="0"/>
      <w:marBottom w:val="0"/>
      <w:divBdr>
        <w:top w:val="none" w:sz="0" w:space="0" w:color="auto"/>
        <w:left w:val="none" w:sz="0" w:space="0" w:color="auto"/>
        <w:bottom w:val="none" w:sz="0" w:space="0" w:color="auto"/>
        <w:right w:val="none" w:sz="0" w:space="0" w:color="auto"/>
      </w:divBdr>
    </w:div>
    <w:div w:id="80227009">
      <w:bodyDiv w:val="1"/>
      <w:marLeft w:val="0"/>
      <w:marRight w:val="0"/>
      <w:marTop w:val="0"/>
      <w:marBottom w:val="0"/>
      <w:divBdr>
        <w:top w:val="none" w:sz="0" w:space="0" w:color="auto"/>
        <w:left w:val="none" w:sz="0" w:space="0" w:color="auto"/>
        <w:bottom w:val="none" w:sz="0" w:space="0" w:color="auto"/>
        <w:right w:val="none" w:sz="0" w:space="0" w:color="auto"/>
      </w:divBdr>
    </w:div>
    <w:div w:id="416445380">
      <w:bodyDiv w:val="1"/>
      <w:marLeft w:val="0"/>
      <w:marRight w:val="0"/>
      <w:marTop w:val="0"/>
      <w:marBottom w:val="0"/>
      <w:divBdr>
        <w:top w:val="none" w:sz="0" w:space="0" w:color="auto"/>
        <w:left w:val="none" w:sz="0" w:space="0" w:color="auto"/>
        <w:bottom w:val="none" w:sz="0" w:space="0" w:color="auto"/>
        <w:right w:val="none" w:sz="0" w:space="0" w:color="auto"/>
      </w:divBdr>
    </w:div>
    <w:div w:id="596258514">
      <w:bodyDiv w:val="1"/>
      <w:marLeft w:val="0"/>
      <w:marRight w:val="0"/>
      <w:marTop w:val="0"/>
      <w:marBottom w:val="0"/>
      <w:divBdr>
        <w:top w:val="none" w:sz="0" w:space="0" w:color="auto"/>
        <w:left w:val="none" w:sz="0" w:space="0" w:color="auto"/>
        <w:bottom w:val="none" w:sz="0" w:space="0" w:color="auto"/>
        <w:right w:val="none" w:sz="0" w:space="0" w:color="auto"/>
      </w:divBdr>
    </w:div>
    <w:div w:id="747732226">
      <w:bodyDiv w:val="1"/>
      <w:marLeft w:val="0"/>
      <w:marRight w:val="0"/>
      <w:marTop w:val="0"/>
      <w:marBottom w:val="0"/>
      <w:divBdr>
        <w:top w:val="none" w:sz="0" w:space="0" w:color="auto"/>
        <w:left w:val="none" w:sz="0" w:space="0" w:color="auto"/>
        <w:bottom w:val="none" w:sz="0" w:space="0" w:color="auto"/>
        <w:right w:val="none" w:sz="0" w:space="0" w:color="auto"/>
      </w:divBdr>
    </w:div>
    <w:div w:id="749348562">
      <w:bodyDiv w:val="1"/>
      <w:marLeft w:val="0"/>
      <w:marRight w:val="0"/>
      <w:marTop w:val="0"/>
      <w:marBottom w:val="0"/>
      <w:divBdr>
        <w:top w:val="none" w:sz="0" w:space="0" w:color="auto"/>
        <w:left w:val="none" w:sz="0" w:space="0" w:color="auto"/>
        <w:bottom w:val="none" w:sz="0" w:space="0" w:color="auto"/>
        <w:right w:val="none" w:sz="0" w:space="0" w:color="auto"/>
      </w:divBdr>
    </w:div>
    <w:div w:id="1200165269">
      <w:bodyDiv w:val="1"/>
      <w:marLeft w:val="0"/>
      <w:marRight w:val="0"/>
      <w:marTop w:val="0"/>
      <w:marBottom w:val="0"/>
      <w:divBdr>
        <w:top w:val="none" w:sz="0" w:space="0" w:color="auto"/>
        <w:left w:val="none" w:sz="0" w:space="0" w:color="auto"/>
        <w:bottom w:val="none" w:sz="0" w:space="0" w:color="auto"/>
        <w:right w:val="none" w:sz="0" w:space="0" w:color="auto"/>
      </w:divBdr>
    </w:div>
    <w:div w:id="1271664207">
      <w:bodyDiv w:val="1"/>
      <w:marLeft w:val="0"/>
      <w:marRight w:val="0"/>
      <w:marTop w:val="0"/>
      <w:marBottom w:val="0"/>
      <w:divBdr>
        <w:top w:val="none" w:sz="0" w:space="0" w:color="auto"/>
        <w:left w:val="none" w:sz="0" w:space="0" w:color="auto"/>
        <w:bottom w:val="none" w:sz="0" w:space="0" w:color="auto"/>
        <w:right w:val="none" w:sz="0" w:space="0" w:color="auto"/>
      </w:divBdr>
    </w:div>
    <w:div w:id="20154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F63FDA3D9394A4AA5A5B57087E4B06C" ma:contentTypeVersion="4" ma:contentTypeDescription="Create a new document." ma:contentTypeScope="" ma:versionID="4b0cfa886ed3cc73dee2e287e6535830">
  <xsd:schema xmlns:xsd="http://www.w3.org/2001/XMLSchema" xmlns:xs="http://www.w3.org/2001/XMLSchema" xmlns:p="http://schemas.microsoft.com/office/2006/metadata/properties" xmlns:ns2="f061d301-c953-450a-a5ed-e69d1e23adad" targetNamespace="http://schemas.microsoft.com/office/2006/metadata/properties" ma:root="true" ma:fieldsID="5961cbda5d487dcf1a49c3e7ce4df126" ns2:_="">
    <xsd:import namespace="f061d301-c953-450a-a5ed-e69d1e23ada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1d301-c953-450a-a5ed-e69d1e23ad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B0DCA9-6E6D-4ECF-806F-3508D51A70F9}">
  <ds:schemaRefs>
    <ds:schemaRef ds:uri="http://schemas.microsoft.com/sharepoint/v3/contenttype/forms"/>
  </ds:schemaRefs>
</ds:datastoreItem>
</file>

<file path=customXml/itemProps2.xml><?xml version="1.0" encoding="utf-8"?>
<ds:datastoreItem xmlns:ds="http://schemas.openxmlformats.org/officeDocument/2006/customXml" ds:itemID="{6A594F99-B62C-4EB9-B201-C39370BBFE2B}">
  <ds:schemaRefs>
    <ds:schemaRef ds:uri="http://schemas.openxmlformats.org/officeDocument/2006/bibliography"/>
  </ds:schemaRefs>
</ds:datastoreItem>
</file>

<file path=customXml/itemProps3.xml><?xml version="1.0" encoding="utf-8"?>
<ds:datastoreItem xmlns:ds="http://schemas.openxmlformats.org/officeDocument/2006/customXml" ds:itemID="{3A28795C-9F6B-4760-84F3-9DFDDCE3FD07}">
  <ds:schemaRefs>
    <ds:schemaRef ds:uri="http://www.w3.org/XML/1998/namespace"/>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f061d301-c953-450a-a5ed-e69d1e23adad"/>
    <ds:schemaRef ds:uri="http://schemas.microsoft.com/office/2006/metadata/properties"/>
  </ds:schemaRefs>
</ds:datastoreItem>
</file>

<file path=customXml/itemProps4.xml><?xml version="1.0" encoding="utf-8"?>
<ds:datastoreItem xmlns:ds="http://schemas.openxmlformats.org/officeDocument/2006/customXml" ds:itemID="{B012943C-5ACF-43A2-A213-68219749B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1d301-c953-450a-a5ed-e69d1e23a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1761</Words>
  <Characters>9686</Characters>
  <Application>Microsoft Office Word</Application>
  <DocSecurity>0</DocSecurity>
  <Lines>80</Lines>
  <Paragraphs>22</Paragraphs>
  <ScaleCrop>false</ScaleCrop>
  <Company>Toshiba</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cp:lastModifiedBy>Luis Gerardo Ramos Marin</cp:lastModifiedBy>
  <cp:revision>9</cp:revision>
  <dcterms:created xsi:type="dcterms:W3CDTF">2024-08-06T16:44:00Z</dcterms:created>
  <dcterms:modified xsi:type="dcterms:W3CDTF">2024-08-06T18:54:00Z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0x010100CF63FDA3D9394A4AA5A5B57087E4B06C</vt:lpwstr>
  </property>
</Properties>
</file>