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FC7E4" w14:textId="30AB65B8" w:rsidR="0097597C" w:rsidRPr="00BF444A" w:rsidRDefault="0097597C" w:rsidP="0097597C">
      <w:pPr>
        <w:ind w:left="567"/>
        <w:jc w:val="both"/>
        <w:rPr>
          <w:rFonts w:cs="Arial"/>
          <w:b w:val="0"/>
          <w:sz w:val="22"/>
          <w:szCs w:val="22"/>
        </w:rPr>
      </w:pPr>
      <w:r w:rsidRPr="00010A95">
        <w:rPr>
          <w:rFonts w:cs="Arial"/>
          <w:b w:val="0"/>
          <w:sz w:val="22"/>
          <w:szCs w:val="22"/>
        </w:rPr>
        <w:t>diligente, encaminados a la búsqueda, obtención, conocimiento y evaluación de toda la información relevante disponible, de manera tal que el precio que se determine refleje los recursos que razonablemente se recibirían por su venta.</w:t>
      </w:r>
    </w:p>
    <w:p w14:paraId="5FE43AFC" w14:textId="77777777" w:rsidR="0097597C" w:rsidRPr="006925A3" w:rsidRDefault="0097597C" w:rsidP="0097597C">
      <w:pPr>
        <w:jc w:val="both"/>
        <w:rPr>
          <w:rFonts w:cs="Arial"/>
          <w:b w:val="0"/>
          <w:sz w:val="22"/>
          <w:szCs w:val="22"/>
        </w:rPr>
      </w:pPr>
    </w:p>
    <w:p w14:paraId="51B7C87C" w14:textId="77777777" w:rsidR="0097597C" w:rsidRPr="00BF444A" w:rsidRDefault="0097597C" w:rsidP="0097597C">
      <w:pPr>
        <w:pStyle w:val="Ttulo1"/>
        <w:rPr>
          <w:sz w:val="22"/>
          <w:szCs w:val="22"/>
        </w:rPr>
      </w:pPr>
      <w:bookmarkStart w:id="0" w:name="_Toc6296847"/>
      <w:bookmarkStart w:id="1" w:name="_Toc16051593"/>
      <w:r w:rsidRPr="00BF444A">
        <w:rPr>
          <w:sz w:val="22"/>
          <w:szCs w:val="22"/>
        </w:rPr>
        <w:t>3.</w:t>
      </w:r>
      <w:r w:rsidRPr="00BF444A">
        <w:rPr>
          <w:sz w:val="22"/>
          <w:szCs w:val="22"/>
        </w:rPr>
        <w:tab/>
        <w:t>CLASIFICACIÓN DE LAS INVERSIONES</w:t>
      </w:r>
      <w:bookmarkEnd w:id="0"/>
      <w:bookmarkEnd w:id="1"/>
    </w:p>
    <w:p w14:paraId="12932F51" w14:textId="77777777" w:rsidR="0097597C" w:rsidRPr="00C174E1" w:rsidRDefault="0097597C" w:rsidP="0097597C">
      <w:pPr>
        <w:jc w:val="both"/>
        <w:rPr>
          <w:rFonts w:cs="Arial"/>
          <w:b w:val="0"/>
          <w:sz w:val="20"/>
          <w:szCs w:val="22"/>
        </w:rPr>
      </w:pPr>
    </w:p>
    <w:p w14:paraId="338AE9FA" w14:textId="77777777" w:rsidR="0097597C" w:rsidRPr="00473110" w:rsidRDefault="0097597C" w:rsidP="0097597C">
      <w:pPr>
        <w:pStyle w:val="Textoindependiente"/>
        <w:rPr>
          <w:rFonts w:cs="Arial"/>
          <w:sz w:val="22"/>
          <w:szCs w:val="22"/>
        </w:rPr>
      </w:pPr>
      <w:r w:rsidRPr="00473110">
        <w:rPr>
          <w:rFonts w:cs="Arial"/>
          <w:sz w:val="22"/>
          <w:szCs w:val="22"/>
        </w:rPr>
        <w:t>Las inversiones deberán ser clasificadas de acuerdo con el modelo de negocio definido por la entidad. Para estos efectos, el modelo de negocio corresponde a la decisión estratégica adoptada por la Junta Directiva, o quien haga sus veces, sobre la forma y actividades a través de las cuales desarrollará su objeto social.</w:t>
      </w:r>
    </w:p>
    <w:p w14:paraId="733EF475" w14:textId="77777777" w:rsidR="0097597C" w:rsidRPr="00C174E1" w:rsidRDefault="0097597C" w:rsidP="0097597C">
      <w:pPr>
        <w:pStyle w:val="Textoindependiente"/>
        <w:rPr>
          <w:rFonts w:cs="Arial"/>
          <w:sz w:val="20"/>
          <w:szCs w:val="22"/>
        </w:rPr>
      </w:pPr>
    </w:p>
    <w:p w14:paraId="51352823" w14:textId="77777777" w:rsidR="0097597C" w:rsidRDefault="0097597C" w:rsidP="0097597C">
      <w:pPr>
        <w:pStyle w:val="Textoindependiente"/>
        <w:rPr>
          <w:rFonts w:cs="Arial"/>
          <w:sz w:val="22"/>
          <w:szCs w:val="22"/>
        </w:rPr>
      </w:pPr>
      <w:r w:rsidRPr="00473110">
        <w:rPr>
          <w:rFonts w:cs="Arial"/>
          <w:sz w:val="22"/>
          <w:szCs w:val="22"/>
        </w:rPr>
        <w:t>Las inversiones podrán ser clasificadas en: inversiones negociables, inversiones para mantener hasta el vencimiento e inversiones disponibles para la venta.</w:t>
      </w:r>
      <w:r w:rsidRPr="00BF444A">
        <w:rPr>
          <w:rFonts w:cs="Arial"/>
          <w:sz w:val="22"/>
          <w:szCs w:val="22"/>
        </w:rPr>
        <w:t xml:space="preserve"> </w:t>
      </w:r>
    </w:p>
    <w:p w14:paraId="7F519576" w14:textId="77777777" w:rsidR="0097597C" w:rsidRPr="00C174E1" w:rsidRDefault="0097597C" w:rsidP="0097597C">
      <w:pPr>
        <w:pStyle w:val="Textoindependiente"/>
        <w:rPr>
          <w:rFonts w:cs="Arial"/>
          <w:sz w:val="20"/>
          <w:szCs w:val="22"/>
        </w:rPr>
      </w:pPr>
    </w:p>
    <w:p w14:paraId="77DFCC65" w14:textId="77777777" w:rsidR="0097597C" w:rsidRPr="00BF444A" w:rsidRDefault="0097597C" w:rsidP="0097597C">
      <w:pPr>
        <w:pStyle w:val="Ttulo2"/>
        <w:rPr>
          <w:sz w:val="22"/>
          <w:szCs w:val="22"/>
          <w:lang w:val="es-ES"/>
        </w:rPr>
      </w:pPr>
      <w:bookmarkStart w:id="2" w:name="_Toc6296850"/>
      <w:bookmarkStart w:id="3" w:name="_Toc16051594"/>
      <w:r w:rsidRPr="00BF444A">
        <w:rPr>
          <w:sz w:val="22"/>
          <w:szCs w:val="22"/>
        </w:rPr>
        <w:t>3.1.</w:t>
      </w:r>
      <w:r w:rsidRPr="00BF444A">
        <w:rPr>
          <w:sz w:val="22"/>
          <w:szCs w:val="22"/>
        </w:rPr>
        <w:tab/>
        <w:t>Inversiones negociables</w:t>
      </w:r>
      <w:bookmarkEnd w:id="2"/>
      <w:bookmarkEnd w:id="3"/>
    </w:p>
    <w:p w14:paraId="5FB13AB2" w14:textId="77777777" w:rsidR="0097597C" w:rsidRPr="00C174E1" w:rsidRDefault="0097597C" w:rsidP="0097597C">
      <w:pPr>
        <w:jc w:val="both"/>
        <w:rPr>
          <w:rFonts w:cs="Arial"/>
          <w:b w:val="0"/>
          <w:sz w:val="20"/>
          <w:szCs w:val="22"/>
          <w:lang w:val="es-ES"/>
        </w:rPr>
      </w:pPr>
    </w:p>
    <w:p w14:paraId="2D25B02F" w14:textId="77777777" w:rsidR="0097597C" w:rsidRDefault="0097597C" w:rsidP="0097597C">
      <w:pPr>
        <w:jc w:val="both"/>
        <w:rPr>
          <w:rFonts w:cs="Arial"/>
          <w:b w:val="0"/>
          <w:sz w:val="22"/>
          <w:szCs w:val="22"/>
        </w:rPr>
      </w:pPr>
      <w:r w:rsidRPr="00BF444A">
        <w:rPr>
          <w:rFonts w:cs="Arial"/>
          <w:b w:val="0"/>
          <w:sz w:val="22"/>
          <w:szCs w:val="22"/>
        </w:rPr>
        <w:t xml:space="preserve">Se clasifican como inversiones negociables todo valor o título y, en general, cualquier tipo de inversión que ha sido adquirida con el propósito principal de obtener utilidades por las fluctuaciones a corto plazo del precio. </w:t>
      </w:r>
    </w:p>
    <w:p w14:paraId="19E4B5AC" w14:textId="77777777" w:rsidR="0097597C" w:rsidRPr="000A1416" w:rsidRDefault="0097597C" w:rsidP="0097597C">
      <w:pPr>
        <w:jc w:val="both"/>
        <w:rPr>
          <w:rFonts w:cs="Arial"/>
          <w:b w:val="0"/>
          <w:sz w:val="18"/>
          <w:szCs w:val="22"/>
        </w:rPr>
      </w:pPr>
    </w:p>
    <w:p w14:paraId="761A3C9B" w14:textId="77777777" w:rsidR="0097597C" w:rsidRPr="00BF444A" w:rsidRDefault="0097597C" w:rsidP="0097597C">
      <w:pPr>
        <w:jc w:val="both"/>
        <w:rPr>
          <w:rFonts w:cs="Arial"/>
          <w:b w:val="0"/>
          <w:sz w:val="22"/>
          <w:szCs w:val="22"/>
        </w:rPr>
      </w:pPr>
      <w:r w:rsidRPr="00BF444A">
        <w:rPr>
          <w:rFonts w:cs="Arial"/>
          <w:b w:val="0"/>
          <w:sz w:val="22"/>
          <w:szCs w:val="22"/>
        </w:rPr>
        <w:t>Forman parte de las inversiones negociables, en todo caso, las siguientes:</w:t>
      </w:r>
    </w:p>
    <w:p w14:paraId="6793FE31" w14:textId="77777777" w:rsidR="0097597C" w:rsidRPr="000A1416" w:rsidRDefault="0097597C" w:rsidP="0097597C">
      <w:pPr>
        <w:jc w:val="both"/>
        <w:rPr>
          <w:rFonts w:cs="Arial"/>
          <w:b w:val="0"/>
          <w:sz w:val="18"/>
          <w:szCs w:val="22"/>
        </w:rPr>
      </w:pPr>
    </w:p>
    <w:p w14:paraId="338B8F9E" w14:textId="77777777" w:rsidR="0097597C" w:rsidRPr="00C37F6C" w:rsidRDefault="0097597C" w:rsidP="0097597C">
      <w:pPr>
        <w:pStyle w:val="Prrafodelista"/>
        <w:numPr>
          <w:ilvl w:val="0"/>
          <w:numId w:val="34"/>
        </w:numPr>
        <w:tabs>
          <w:tab w:val="left" w:pos="567"/>
        </w:tabs>
        <w:ind w:left="567" w:hanging="567"/>
        <w:jc w:val="both"/>
        <w:rPr>
          <w:rFonts w:cs="Arial"/>
          <w:b w:val="0"/>
          <w:sz w:val="22"/>
          <w:szCs w:val="22"/>
        </w:rPr>
      </w:pPr>
      <w:r w:rsidRPr="00C37F6C">
        <w:rPr>
          <w:rFonts w:cs="Arial"/>
          <w:b w:val="0"/>
          <w:sz w:val="22"/>
          <w:szCs w:val="22"/>
        </w:rPr>
        <w:t>La totalidad de las inversiones en títulos o valores efectuadas por los fondos de inversión colectiva.</w:t>
      </w:r>
      <w:r w:rsidRPr="00C37F6C" w:rsidDel="002035EC">
        <w:rPr>
          <w:rFonts w:cs="Arial"/>
          <w:b w:val="0"/>
          <w:sz w:val="22"/>
          <w:szCs w:val="22"/>
        </w:rPr>
        <w:t xml:space="preserve"> </w:t>
      </w:r>
    </w:p>
    <w:p w14:paraId="0C1176DF" w14:textId="77777777" w:rsidR="0097597C" w:rsidRPr="000A1416" w:rsidRDefault="0097597C" w:rsidP="0097597C">
      <w:pPr>
        <w:pStyle w:val="Prrafodelista"/>
        <w:tabs>
          <w:tab w:val="left" w:pos="567"/>
        </w:tabs>
        <w:ind w:left="567"/>
        <w:jc w:val="both"/>
        <w:rPr>
          <w:rFonts w:cs="Arial"/>
          <w:b w:val="0"/>
          <w:sz w:val="18"/>
          <w:szCs w:val="22"/>
        </w:rPr>
      </w:pPr>
    </w:p>
    <w:p w14:paraId="1509EDA8" w14:textId="77777777" w:rsidR="0097597C" w:rsidRPr="00010A95" w:rsidRDefault="0097597C" w:rsidP="00010A95">
      <w:pPr>
        <w:pStyle w:val="Prrafodelista"/>
        <w:numPr>
          <w:ilvl w:val="0"/>
          <w:numId w:val="34"/>
        </w:numPr>
        <w:tabs>
          <w:tab w:val="left" w:pos="567"/>
        </w:tabs>
        <w:ind w:left="567"/>
        <w:jc w:val="both"/>
        <w:rPr>
          <w:rFonts w:cs="Arial"/>
          <w:b w:val="0"/>
          <w:sz w:val="22"/>
          <w:szCs w:val="22"/>
        </w:rPr>
      </w:pPr>
      <w:r w:rsidRPr="00010A95">
        <w:rPr>
          <w:rFonts w:cs="Arial"/>
          <w:b w:val="0"/>
          <w:sz w:val="22"/>
          <w:szCs w:val="22"/>
        </w:rPr>
        <w:t>La totalidad de las inversiones en títulos o valores efectuadas con los recursos de los fondos de pensiones obligatorias de la etapa de acumulación y de cesantías, las reservas pensionales administradas por entidades del régimen de prima media y patrimonios autónomos o encargos fiduciarios cuyo propósito sea administrar recursos de la seguridad social.</w:t>
      </w:r>
    </w:p>
    <w:p w14:paraId="38EEF2B0" w14:textId="77777777" w:rsidR="0097597C" w:rsidRPr="00010A95" w:rsidRDefault="0097597C" w:rsidP="00010A95">
      <w:pPr>
        <w:ind w:firstLine="708"/>
        <w:rPr>
          <w:rFonts w:cs="Arial"/>
          <w:b w:val="0"/>
          <w:sz w:val="16"/>
          <w:szCs w:val="22"/>
        </w:rPr>
      </w:pPr>
    </w:p>
    <w:p w14:paraId="41E12DAB" w14:textId="77777777" w:rsidR="0097597C" w:rsidRPr="00010A95" w:rsidRDefault="0097597C" w:rsidP="00010A95">
      <w:pPr>
        <w:tabs>
          <w:tab w:val="left" w:pos="567"/>
        </w:tabs>
        <w:ind w:left="567"/>
        <w:jc w:val="both"/>
        <w:rPr>
          <w:rFonts w:cs="Arial"/>
          <w:b w:val="0"/>
          <w:sz w:val="22"/>
          <w:szCs w:val="22"/>
        </w:rPr>
      </w:pPr>
      <w:r w:rsidRPr="00010A95">
        <w:rPr>
          <w:rFonts w:cs="Arial"/>
          <w:b w:val="0"/>
          <w:sz w:val="22"/>
          <w:szCs w:val="22"/>
        </w:rPr>
        <w:t>Para las inversiones del fondo especial de retiro programado, una parte no inferior al 70% del valor del fondo deberá ser clasificada como inversiones negociables. Las inversiones restantes que cumplan con los requisitos establecidos en el artículo 2.6.12.1.26 del Decreto 2555 de 2010 podrán clasificarse como inversiones para mantener hasta el vencimiento.</w:t>
      </w:r>
    </w:p>
    <w:p w14:paraId="76A1C9E4" w14:textId="77777777" w:rsidR="0097597C" w:rsidRPr="00C174E1" w:rsidRDefault="0097597C" w:rsidP="0097597C">
      <w:pPr>
        <w:jc w:val="both"/>
        <w:rPr>
          <w:rFonts w:cs="Arial"/>
          <w:b w:val="0"/>
          <w:sz w:val="20"/>
          <w:szCs w:val="22"/>
        </w:rPr>
      </w:pPr>
    </w:p>
    <w:p w14:paraId="37CB28B0" w14:textId="77777777" w:rsidR="0097597C" w:rsidRPr="00BF444A" w:rsidRDefault="0097597C" w:rsidP="0097597C">
      <w:pPr>
        <w:jc w:val="both"/>
        <w:rPr>
          <w:rFonts w:cs="Arial"/>
          <w:b w:val="0"/>
          <w:sz w:val="22"/>
          <w:szCs w:val="22"/>
        </w:rPr>
      </w:pPr>
      <w:r w:rsidRPr="00BF444A">
        <w:rPr>
          <w:rFonts w:cs="Arial"/>
          <w:b w:val="0"/>
          <w:sz w:val="22"/>
          <w:szCs w:val="22"/>
        </w:rPr>
        <w:t>No obstante, las inversiones forzosas u obligatorias suscritas en el mercado primario en los portafolios de los literales a) y b) antes mencionados, así como las que establezca el contratante o fideicomitente en los patrimonios autónomos o encargos fiduciarios cuyo propósito sea administrar recursos pensionales de la seguridad social, podrán clasificarse como inversiones para mantener hasta el vencimiento.</w:t>
      </w:r>
    </w:p>
    <w:p w14:paraId="07E4C155" w14:textId="77777777" w:rsidR="0097597C" w:rsidRPr="000A1416" w:rsidRDefault="0097597C" w:rsidP="0097597C">
      <w:pPr>
        <w:jc w:val="both"/>
        <w:rPr>
          <w:rFonts w:cs="Arial"/>
          <w:sz w:val="18"/>
          <w:szCs w:val="22"/>
        </w:rPr>
      </w:pPr>
    </w:p>
    <w:p w14:paraId="6DD981BD" w14:textId="77777777" w:rsidR="0097597C" w:rsidRPr="00BF444A" w:rsidRDefault="0097597C" w:rsidP="0097597C">
      <w:pPr>
        <w:pStyle w:val="Ttulo2"/>
        <w:rPr>
          <w:sz w:val="22"/>
          <w:szCs w:val="22"/>
        </w:rPr>
      </w:pPr>
      <w:r w:rsidRPr="00BF444A">
        <w:rPr>
          <w:sz w:val="22"/>
          <w:szCs w:val="22"/>
        </w:rPr>
        <w:t>3.2.</w:t>
      </w:r>
      <w:r w:rsidRPr="00BF444A">
        <w:rPr>
          <w:sz w:val="22"/>
          <w:szCs w:val="22"/>
        </w:rPr>
        <w:tab/>
        <w:t>Inversiones para mantener hasta el vencimiento</w:t>
      </w:r>
    </w:p>
    <w:p w14:paraId="4C5321C7" w14:textId="77777777" w:rsidR="0097597C" w:rsidRPr="000A1416" w:rsidRDefault="0097597C" w:rsidP="0097597C">
      <w:pPr>
        <w:pStyle w:val="Ttulo10"/>
        <w:keepNext w:val="0"/>
        <w:rPr>
          <w:rFonts w:cs="Arial"/>
          <w:sz w:val="18"/>
          <w:szCs w:val="22"/>
          <w:lang w:val="es-ES_tradnl"/>
        </w:rPr>
      </w:pPr>
    </w:p>
    <w:p w14:paraId="2C439B59" w14:textId="77777777" w:rsidR="0097597C" w:rsidRPr="00BF444A" w:rsidRDefault="0097597C" w:rsidP="0097597C">
      <w:pPr>
        <w:jc w:val="both"/>
        <w:rPr>
          <w:rFonts w:cs="Arial"/>
          <w:b w:val="0"/>
          <w:sz w:val="22"/>
          <w:szCs w:val="22"/>
        </w:rPr>
      </w:pPr>
      <w:r w:rsidRPr="00BF444A">
        <w:rPr>
          <w:rFonts w:cs="Arial"/>
          <w:b w:val="0"/>
          <w:sz w:val="22"/>
          <w:szCs w:val="22"/>
        </w:rPr>
        <w:t>Se clasifican como inversiones para mantener hasta el vencimiento, los valores o títulos y, en general, cualquier tipo de inversión respecto de la cual el inversionista tiene el propósito y la capacidad legal, contractual, financiera y operativa de mantenerlas hasta el vencimiento de su plazo de madura</w:t>
      </w:r>
      <w:r>
        <w:rPr>
          <w:rFonts w:cs="Arial"/>
          <w:b w:val="0"/>
          <w:sz w:val="22"/>
          <w:szCs w:val="22"/>
        </w:rPr>
        <w:t xml:space="preserve">ción o redención. El propósito </w:t>
      </w:r>
      <w:r w:rsidRPr="00BF444A">
        <w:rPr>
          <w:rFonts w:cs="Arial"/>
          <w:b w:val="0"/>
          <w:sz w:val="22"/>
          <w:szCs w:val="22"/>
        </w:rPr>
        <w:t>de mantener la inversión corresponde a la intención positiva e inequívoca de no enajenar el título o valor.</w:t>
      </w:r>
    </w:p>
    <w:p w14:paraId="38AB66D2" w14:textId="77777777" w:rsidR="0097597C" w:rsidRPr="000A1416" w:rsidRDefault="0097597C" w:rsidP="0097597C">
      <w:pPr>
        <w:jc w:val="both"/>
        <w:rPr>
          <w:rFonts w:cs="Arial"/>
          <w:b w:val="0"/>
          <w:sz w:val="18"/>
          <w:szCs w:val="22"/>
        </w:rPr>
      </w:pPr>
    </w:p>
    <w:p w14:paraId="2FCE73F5" w14:textId="139B5576" w:rsidR="003D509E" w:rsidRPr="00010A95" w:rsidRDefault="0097597C" w:rsidP="00010A95">
      <w:pPr>
        <w:pBdr>
          <w:left w:val="single" w:sz="4" w:space="4" w:color="auto"/>
        </w:pBdr>
        <w:jc w:val="both"/>
        <w:rPr>
          <w:sz w:val="22"/>
          <w:szCs w:val="22"/>
        </w:rPr>
      </w:pPr>
      <w:r w:rsidRPr="00010A95">
        <w:rPr>
          <w:rFonts w:cs="Arial"/>
          <w:b w:val="0"/>
          <w:sz w:val="22"/>
          <w:szCs w:val="22"/>
        </w:rPr>
        <w:t xml:space="preserve">Con las inversiones clasificadas en esta categoría no se pueden realizar operaciones del mercado monetario (operaciones de reporto o repo, simultáneas o de transferencia temporal de valores), </w:t>
      </w:r>
      <w:r w:rsidRPr="003E2B25">
        <w:rPr>
          <w:rFonts w:cs="Arial"/>
          <w:b w:val="0"/>
          <w:sz w:val="22"/>
          <w:szCs w:val="22"/>
        </w:rPr>
        <w:t>salvo que</w:t>
      </w:r>
      <w:r w:rsidR="003E2B25" w:rsidRPr="003E2B25">
        <w:rPr>
          <w:rFonts w:cs="Arial"/>
          <w:sz w:val="22"/>
          <w:szCs w:val="22"/>
        </w:rPr>
        <w:t xml:space="preserve"> </w:t>
      </w:r>
      <w:r w:rsidRPr="003E2B25">
        <w:rPr>
          <w:rFonts w:cs="Arial"/>
          <w:b w:val="0"/>
          <w:sz w:val="22"/>
          <w:szCs w:val="22"/>
        </w:rPr>
        <w:t xml:space="preserve">se trate de las inversiones </w:t>
      </w:r>
      <w:bookmarkStart w:id="4" w:name="_Hlk83982774"/>
      <w:r w:rsidRPr="003E2B25">
        <w:rPr>
          <w:rFonts w:cs="Arial"/>
          <w:b w:val="0"/>
          <w:sz w:val="22"/>
          <w:szCs w:val="22"/>
        </w:rPr>
        <w:t xml:space="preserve">forzosas u obligatorias </w:t>
      </w:r>
      <w:bookmarkEnd w:id="4"/>
      <w:r w:rsidRPr="003E2B25">
        <w:rPr>
          <w:rFonts w:cs="Arial"/>
          <w:b w:val="0"/>
          <w:sz w:val="22"/>
          <w:szCs w:val="22"/>
        </w:rPr>
        <w:t>suscritas en el mercado primario y siempre que la contraparte de la operación sea el Banco de la República, la Dirección General de Crédito Público y del Tesoro Nacional</w:t>
      </w:r>
      <w:r w:rsidR="00A6361B">
        <w:rPr>
          <w:rFonts w:cs="Arial"/>
          <w:sz w:val="22"/>
          <w:szCs w:val="22"/>
        </w:rPr>
        <w:t xml:space="preserve"> </w:t>
      </w:r>
      <w:r w:rsidR="00A6361B" w:rsidRPr="00A6361B">
        <w:rPr>
          <w:rFonts w:cs="Arial"/>
          <w:b w:val="0"/>
          <w:sz w:val="22"/>
          <w:szCs w:val="22"/>
        </w:rPr>
        <w:t>o</w:t>
      </w:r>
      <w:r w:rsidRPr="003E2B25">
        <w:rPr>
          <w:rFonts w:cs="Arial"/>
          <w:b w:val="0"/>
          <w:sz w:val="22"/>
          <w:szCs w:val="22"/>
        </w:rPr>
        <w:t xml:space="preserve"> las entidades vigiladas por la SFC.</w:t>
      </w:r>
      <w:r w:rsidRPr="00010A95">
        <w:rPr>
          <w:rFonts w:cs="Arial"/>
          <w:b w:val="0"/>
          <w:sz w:val="22"/>
          <w:szCs w:val="22"/>
        </w:rPr>
        <w:t xml:space="preserve"> Sin perjuicio de lo anterior, los valores clasificados como inversiones para mantener hasta el vencimiento podrán ser entregados </w:t>
      </w:r>
      <w:r w:rsidR="00DB5CDB">
        <w:rPr>
          <w:rFonts w:cs="Arial"/>
          <w:sz w:val="22"/>
          <w:szCs w:val="22"/>
        </w:rPr>
        <w:t>para instrumentar</w:t>
      </w:r>
      <w:r w:rsidR="002E19F1" w:rsidRPr="002E19F1">
        <w:rPr>
          <w:rFonts w:cs="Arial"/>
          <w:sz w:val="22"/>
          <w:szCs w:val="22"/>
        </w:rPr>
        <w:t xml:space="preserve"> los</w:t>
      </w:r>
      <w:r w:rsidR="002E19F1">
        <w:rPr>
          <w:rFonts w:cs="Arial"/>
          <w:b w:val="0"/>
          <w:sz w:val="22"/>
          <w:szCs w:val="22"/>
        </w:rPr>
        <w:t xml:space="preserve"> </w:t>
      </w:r>
      <w:r w:rsidR="003E2B25" w:rsidRPr="00A6361B">
        <w:rPr>
          <w:rFonts w:cs="Arial"/>
          <w:sz w:val="22"/>
          <w:szCs w:val="22"/>
        </w:rPr>
        <w:t>apoyos transitorios de liquidez</w:t>
      </w:r>
      <w:r w:rsidR="002E19F1">
        <w:rPr>
          <w:rFonts w:cs="Arial"/>
          <w:sz w:val="22"/>
          <w:szCs w:val="22"/>
        </w:rPr>
        <w:t>,</w:t>
      </w:r>
      <w:r w:rsidR="003E2B25" w:rsidRPr="00A6361B">
        <w:rPr>
          <w:rFonts w:cs="Arial"/>
          <w:sz w:val="22"/>
          <w:szCs w:val="22"/>
        </w:rPr>
        <w:t xml:space="preserve"> según lo defina el Banco de la República en su reglamentación de carácter general o</w:t>
      </w:r>
      <w:r w:rsidR="003E2B25">
        <w:rPr>
          <w:rFonts w:cs="Arial"/>
          <w:b w:val="0"/>
          <w:sz w:val="22"/>
          <w:szCs w:val="22"/>
        </w:rPr>
        <w:t xml:space="preserve"> </w:t>
      </w:r>
      <w:r w:rsidRPr="00010A95">
        <w:rPr>
          <w:rFonts w:cs="Arial"/>
          <w:b w:val="0"/>
          <w:sz w:val="22"/>
          <w:szCs w:val="22"/>
        </w:rPr>
        <w:t>como garantías en una cámara de riesgo central de</w:t>
      </w:r>
      <w:r w:rsidR="003D509E" w:rsidRPr="00010A95">
        <w:rPr>
          <w:rFonts w:cs="Arial"/>
          <w:b w:val="0"/>
          <w:sz w:val="22"/>
          <w:szCs w:val="22"/>
        </w:rPr>
        <w:t xml:space="preserve"> </w:t>
      </w:r>
      <w:r w:rsidR="003D509E" w:rsidRPr="00010A95">
        <w:rPr>
          <w:b w:val="0"/>
          <w:sz w:val="22"/>
          <w:szCs w:val="22"/>
        </w:rPr>
        <w:t xml:space="preserve">contraparte con el fin de respaldar el cumplimiento de las operaciones </w:t>
      </w:r>
      <w:r w:rsidR="003D509E" w:rsidRPr="00010A95">
        <w:rPr>
          <w:b w:val="0"/>
          <w:sz w:val="22"/>
          <w:szCs w:val="22"/>
        </w:rPr>
        <w:lastRenderedPageBreak/>
        <w:t>aceptadas por ésta para su compensación y liquidación</w:t>
      </w:r>
      <w:r w:rsidR="00555E23" w:rsidRPr="00010A95">
        <w:rPr>
          <w:b w:val="0"/>
          <w:sz w:val="22"/>
          <w:szCs w:val="22"/>
        </w:rPr>
        <w:t>, y/o en garantía de operaciones de mercado monetario</w:t>
      </w:r>
      <w:r w:rsidR="003D509E" w:rsidRPr="00010A95">
        <w:rPr>
          <w:b w:val="0"/>
          <w:sz w:val="22"/>
          <w:szCs w:val="22"/>
        </w:rPr>
        <w:t>.</w:t>
      </w:r>
      <w:r w:rsidR="003956AC">
        <w:rPr>
          <w:b w:val="0"/>
          <w:sz w:val="22"/>
          <w:szCs w:val="22"/>
        </w:rPr>
        <w:t xml:space="preserve"> </w:t>
      </w:r>
      <w:r w:rsidR="0093742F" w:rsidRPr="0093742F">
        <w:rPr>
          <w:bCs/>
          <w:sz w:val="22"/>
          <w:szCs w:val="22"/>
        </w:rPr>
        <w:t>Las inversiones clasificadas para mantener hasta el vencimient</w:t>
      </w:r>
      <w:r w:rsidR="0093742F">
        <w:rPr>
          <w:bCs/>
          <w:sz w:val="22"/>
          <w:szCs w:val="22"/>
        </w:rPr>
        <w:t xml:space="preserve">o que se encuentren depositadas </w:t>
      </w:r>
      <w:r w:rsidR="005C62E8" w:rsidRPr="00125BB5">
        <w:rPr>
          <w:bCs/>
          <w:sz w:val="22"/>
          <w:szCs w:val="22"/>
        </w:rPr>
        <w:t>en el Depósito Central de Valores del Banco de la República podrán</w:t>
      </w:r>
      <w:r w:rsidR="00BE6F4A">
        <w:rPr>
          <w:bCs/>
          <w:sz w:val="22"/>
          <w:szCs w:val="22"/>
        </w:rPr>
        <w:t xml:space="preserve"> ser entregadas para</w:t>
      </w:r>
      <w:r w:rsidR="005C62E8" w:rsidRPr="00125BB5">
        <w:rPr>
          <w:bCs/>
          <w:sz w:val="22"/>
          <w:szCs w:val="22"/>
        </w:rPr>
        <w:t xml:space="preserve"> instrumentar operaciones de liquidez en eventos de desastre declarados</w:t>
      </w:r>
      <w:r w:rsidR="00065A8A">
        <w:rPr>
          <w:bCs/>
          <w:sz w:val="22"/>
          <w:szCs w:val="22"/>
        </w:rPr>
        <w:t>,</w:t>
      </w:r>
      <w:r w:rsidR="005C62E8" w:rsidRPr="00125BB5">
        <w:rPr>
          <w:bCs/>
          <w:sz w:val="22"/>
          <w:szCs w:val="22"/>
        </w:rPr>
        <w:t xml:space="preserve"> de conformidad con la </w:t>
      </w:r>
      <w:r w:rsidR="00065A8A">
        <w:rPr>
          <w:bCs/>
          <w:sz w:val="22"/>
          <w:szCs w:val="22"/>
        </w:rPr>
        <w:t xml:space="preserve">reglamentación que expida la </w:t>
      </w:r>
      <w:r w:rsidR="002C5BC0">
        <w:rPr>
          <w:bCs/>
          <w:sz w:val="22"/>
          <w:szCs w:val="22"/>
        </w:rPr>
        <w:t>citada autoridad</w:t>
      </w:r>
      <w:r w:rsidR="00C77E02" w:rsidRPr="00125BB5">
        <w:rPr>
          <w:bCs/>
          <w:sz w:val="22"/>
          <w:szCs w:val="22"/>
        </w:rPr>
        <w:t>.</w:t>
      </w:r>
    </w:p>
    <w:p w14:paraId="1E434590" w14:textId="77777777" w:rsidR="003D509E" w:rsidRPr="00BF444A" w:rsidRDefault="003D509E" w:rsidP="00E1355F">
      <w:pPr>
        <w:jc w:val="both"/>
        <w:rPr>
          <w:rFonts w:cs="Arial"/>
          <w:b w:val="0"/>
          <w:sz w:val="22"/>
          <w:szCs w:val="22"/>
        </w:rPr>
      </w:pPr>
    </w:p>
    <w:p w14:paraId="15D06AB3" w14:textId="77777777" w:rsidR="003D509E" w:rsidRPr="00BF444A" w:rsidRDefault="003D509E" w:rsidP="00E1355F">
      <w:pPr>
        <w:pStyle w:val="Ttulo2"/>
        <w:rPr>
          <w:sz w:val="22"/>
          <w:szCs w:val="22"/>
        </w:rPr>
      </w:pPr>
      <w:r w:rsidRPr="00BF444A">
        <w:rPr>
          <w:sz w:val="22"/>
          <w:szCs w:val="22"/>
        </w:rPr>
        <w:t>3.3.</w:t>
      </w:r>
      <w:r w:rsidRPr="00BF444A">
        <w:rPr>
          <w:sz w:val="22"/>
          <w:szCs w:val="22"/>
        </w:rPr>
        <w:tab/>
        <w:t>Inversiones disponibles para la venta</w:t>
      </w:r>
    </w:p>
    <w:p w14:paraId="779A1025" w14:textId="77777777" w:rsidR="003D509E" w:rsidRPr="00BF444A" w:rsidRDefault="003D509E" w:rsidP="00E1355F">
      <w:pPr>
        <w:pStyle w:val="Textoindependiente"/>
        <w:rPr>
          <w:rFonts w:cs="Arial"/>
          <w:sz w:val="22"/>
          <w:szCs w:val="22"/>
        </w:rPr>
      </w:pPr>
    </w:p>
    <w:p w14:paraId="6C6A4157" w14:textId="77777777" w:rsidR="003D509E" w:rsidRPr="00BF444A" w:rsidRDefault="003D509E" w:rsidP="00E1355F">
      <w:pPr>
        <w:pStyle w:val="Textoindependiente"/>
        <w:rPr>
          <w:rFonts w:cs="Arial"/>
          <w:sz w:val="22"/>
          <w:szCs w:val="22"/>
        </w:rPr>
      </w:pPr>
      <w:r w:rsidRPr="00BF444A">
        <w:rPr>
          <w:rFonts w:cs="Arial"/>
          <w:sz w:val="22"/>
          <w:szCs w:val="22"/>
        </w:rPr>
        <w:t>Son inversiones disponibles para la venta los valores o títulos y, en general, cualquier tipo de</w:t>
      </w:r>
      <w:r w:rsidR="00315CA2" w:rsidRPr="00BF444A">
        <w:rPr>
          <w:rFonts w:cs="Arial"/>
          <w:sz w:val="22"/>
          <w:szCs w:val="22"/>
        </w:rPr>
        <w:t xml:space="preserve"> inversión</w:t>
      </w:r>
      <w:r w:rsidR="005B571D" w:rsidRPr="00BF444A">
        <w:rPr>
          <w:rFonts w:cs="Arial"/>
          <w:sz w:val="22"/>
          <w:szCs w:val="22"/>
        </w:rPr>
        <w:t>,</w:t>
      </w:r>
      <w:r w:rsidR="00315CA2" w:rsidRPr="00BF444A">
        <w:rPr>
          <w:rFonts w:cs="Arial"/>
          <w:sz w:val="22"/>
          <w:szCs w:val="22"/>
        </w:rPr>
        <w:t xml:space="preserve"> que no se clasifique</w:t>
      </w:r>
      <w:r w:rsidR="005B571D" w:rsidRPr="00BF444A">
        <w:rPr>
          <w:rFonts w:cs="Arial"/>
          <w:sz w:val="22"/>
          <w:szCs w:val="22"/>
        </w:rPr>
        <w:t>n</w:t>
      </w:r>
      <w:r w:rsidRPr="00BF444A">
        <w:rPr>
          <w:rFonts w:cs="Arial"/>
          <w:sz w:val="22"/>
          <w:szCs w:val="22"/>
        </w:rPr>
        <w:t xml:space="preserve"> como inversiones negociables o como inversiones par</w:t>
      </w:r>
      <w:r w:rsidR="00BB0D69">
        <w:rPr>
          <w:rFonts w:cs="Arial"/>
          <w:sz w:val="22"/>
          <w:szCs w:val="22"/>
        </w:rPr>
        <w:t>a mantener hasta el vencimiento.</w:t>
      </w:r>
    </w:p>
    <w:p w14:paraId="4359A802" w14:textId="77777777" w:rsidR="001A1AF5" w:rsidRPr="00BF444A" w:rsidRDefault="001A1AF5" w:rsidP="00E1355F">
      <w:pPr>
        <w:pStyle w:val="Encabezado"/>
        <w:jc w:val="both"/>
        <w:rPr>
          <w:rFonts w:cs="Arial"/>
          <w:b w:val="0"/>
          <w:sz w:val="22"/>
          <w:szCs w:val="22"/>
        </w:rPr>
      </w:pPr>
    </w:p>
    <w:p w14:paraId="618F22E0" w14:textId="77777777" w:rsidR="001A1AF5" w:rsidRPr="00BF444A" w:rsidRDefault="001A1AF5" w:rsidP="00E1355F">
      <w:pPr>
        <w:pStyle w:val="Textoindependiente"/>
        <w:rPr>
          <w:rFonts w:cs="Arial"/>
          <w:sz w:val="22"/>
          <w:szCs w:val="22"/>
        </w:rPr>
      </w:pPr>
      <w:r w:rsidRPr="00BF444A">
        <w:rPr>
          <w:rFonts w:cs="Arial"/>
          <w:sz w:val="22"/>
          <w:szCs w:val="22"/>
        </w:rPr>
        <w:t>Los valores clasificados como inversiones disponibles para la venta podrán ser entregados como garantías en una cámara de riesgo central de contraparte con el fin de respaldar el cumplimiento de las operaciones aceptadas por ésta para su compensación y liquidación. Así mismo, con estas inversiones se podrán realizar operaciones del mercado monetario (operaciones de reporto o repo (repo), simultáneas o de transferencia temporal de valores)</w:t>
      </w:r>
      <w:r w:rsidR="00C56F56" w:rsidRPr="00BF444A">
        <w:rPr>
          <w:rFonts w:cs="Arial"/>
          <w:sz w:val="22"/>
          <w:szCs w:val="22"/>
        </w:rPr>
        <w:t xml:space="preserve"> y entregar en garantía de este tipo de operaciones</w:t>
      </w:r>
      <w:r w:rsidRPr="00BF444A">
        <w:rPr>
          <w:rFonts w:cs="Arial"/>
          <w:sz w:val="22"/>
          <w:szCs w:val="22"/>
        </w:rPr>
        <w:t>.</w:t>
      </w:r>
    </w:p>
    <w:p w14:paraId="4B39D686" w14:textId="77777777" w:rsidR="009E5A39" w:rsidRPr="00BF444A" w:rsidRDefault="009E5A39" w:rsidP="00E1355F">
      <w:pPr>
        <w:pStyle w:val="Encabezado"/>
        <w:jc w:val="both"/>
        <w:rPr>
          <w:rFonts w:cs="Arial"/>
          <w:b w:val="0"/>
          <w:sz w:val="22"/>
          <w:szCs w:val="22"/>
        </w:rPr>
      </w:pPr>
    </w:p>
    <w:p w14:paraId="04E7A2C8" w14:textId="77777777" w:rsidR="00EB0B9C" w:rsidRPr="00BF444A" w:rsidRDefault="00EB0B9C" w:rsidP="00E1355F">
      <w:pPr>
        <w:pStyle w:val="Encabezado"/>
        <w:jc w:val="both"/>
        <w:rPr>
          <w:rFonts w:cs="Arial"/>
          <w:sz w:val="22"/>
          <w:szCs w:val="22"/>
        </w:rPr>
      </w:pPr>
      <w:r w:rsidRPr="00BF444A">
        <w:rPr>
          <w:rFonts w:cs="Arial"/>
          <w:sz w:val="22"/>
          <w:szCs w:val="22"/>
        </w:rPr>
        <w:t xml:space="preserve">3.3.1. Inversiones obligatorias permanentes en </w:t>
      </w:r>
      <w:r w:rsidR="00082732">
        <w:rPr>
          <w:rFonts w:cs="Arial"/>
          <w:sz w:val="22"/>
          <w:szCs w:val="22"/>
        </w:rPr>
        <w:t>valores</w:t>
      </w:r>
      <w:r w:rsidRPr="00BF444A">
        <w:rPr>
          <w:rFonts w:cs="Arial"/>
          <w:sz w:val="22"/>
          <w:szCs w:val="22"/>
        </w:rPr>
        <w:t xml:space="preserve"> participativos</w:t>
      </w:r>
    </w:p>
    <w:p w14:paraId="455C8CCD" w14:textId="77777777" w:rsidR="00EB0B9C" w:rsidRPr="00BF444A" w:rsidRDefault="00EB0B9C" w:rsidP="00E1355F">
      <w:pPr>
        <w:pStyle w:val="Encabezado"/>
        <w:jc w:val="both"/>
        <w:rPr>
          <w:rFonts w:cs="Arial"/>
          <w:b w:val="0"/>
          <w:sz w:val="22"/>
          <w:szCs w:val="22"/>
        </w:rPr>
      </w:pPr>
    </w:p>
    <w:p w14:paraId="0A926C84" w14:textId="77777777" w:rsidR="00435EF5" w:rsidRPr="00BF444A" w:rsidRDefault="003D509E" w:rsidP="00E1355F">
      <w:pPr>
        <w:pStyle w:val="Encabezado"/>
        <w:jc w:val="both"/>
        <w:rPr>
          <w:rFonts w:cs="Arial"/>
          <w:b w:val="0"/>
          <w:sz w:val="22"/>
          <w:szCs w:val="22"/>
        </w:rPr>
      </w:pPr>
      <w:r w:rsidRPr="00BF444A">
        <w:rPr>
          <w:rFonts w:cs="Arial"/>
          <w:b w:val="0"/>
          <w:sz w:val="22"/>
          <w:szCs w:val="22"/>
        </w:rPr>
        <w:t xml:space="preserve">Las inversiones </w:t>
      </w:r>
      <w:r w:rsidR="00C50964" w:rsidRPr="00BF444A">
        <w:rPr>
          <w:rFonts w:cs="Arial"/>
          <w:b w:val="0"/>
          <w:sz w:val="22"/>
          <w:szCs w:val="22"/>
        </w:rPr>
        <w:t xml:space="preserve">obligatorias </w:t>
      </w:r>
      <w:r w:rsidR="0074277E" w:rsidRPr="00BF444A">
        <w:rPr>
          <w:rFonts w:cs="Arial"/>
          <w:b w:val="0"/>
          <w:sz w:val="22"/>
          <w:szCs w:val="22"/>
        </w:rPr>
        <w:t xml:space="preserve">en </w:t>
      </w:r>
      <w:r w:rsidR="00BB0D69">
        <w:rPr>
          <w:rFonts w:cs="Arial"/>
          <w:b w:val="0"/>
          <w:sz w:val="22"/>
          <w:szCs w:val="22"/>
        </w:rPr>
        <w:t>valores</w:t>
      </w:r>
      <w:r w:rsidR="0074277E" w:rsidRPr="00BF444A">
        <w:rPr>
          <w:rFonts w:cs="Arial"/>
          <w:b w:val="0"/>
          <w:sz w:val="22"/>
          <w:szCs w:val="22"/>
        </w:rPr>
        <w:t xml:space="preserve"> participativos que deben mantener </w:t>
      </w:r>
      <w:r w:rsidRPr="00BF444A">
        <w:rPr>
          <w:rFonts w:cs="Arial"/>
          <w:b w:val="0"/>
          <w:sz w:val="22"/>
          <w:szCs w:val="22"/>
        </w:rPr>
        <w:t xml:space="preserve">las sociedades comisionistas de bolsa de valores </w:t>
      </w:r>
      <w:r w:rsidR="00C50964" w:rsidRPr="00BF444A">
        <w:rPr>
          <w:rFonts w:cs="Arial"/>
          <w:b w:val="0"/>
          <w:sz w:val="22"/>
          <w:szCs w:val="22"/>
        </w:rPr>
        <w:t xml:space="preserve">y las </w:t>
      </w:r>
      <w:r w:rsidR="00C50964" w:rsidRPr="00BF444A">
        <w:rPr>
          <w:rFonts w:cs="Arial"/>
          <w:b w:val="0"/>
          <w:bCs/>
          <w:sz w:val="22"/>
          <w:szCs w:val="22"/>
        </w:rPr>
        <w:t xml:space="preserve">de bolsa de </w:t>
      </w:r>
      <w:r w:rsidR="00F77080" w:rsidRPr="00BF444A">
        <w:rPr>
          <w:rFonts w:cs="Arial"/>
          <w:b w:val="0"/>
          <w:bCs/>
          <w:sz w:val="22"/>
          <w:szCs w:val="22"/>
        </w:rPr>
        <w:t>bienes</w:t>
      </w:r>
      <w:r w:rsidR="00C50964" w:rsidRPr="00BF444A">
        <w:rPr>
          <w:rFonts w:cs="Arial"/>
          <w:b w:val="0"/>
          <w:bCs/>
          <w:sz w:val="22"/>
          <w:szCs w:val="22"/>
        </w:rPr>
        <w:t xml:space="preserve"> y productos agropecuarios</w:t>
      </w:r>
      <w:r w:rsidR="00C50964" w:rsidRPr="00BF444A">
        <w:rPr>
          <w:rFonts w:cs="Arial"/>
          <w:b w:val="0"/>
          <w:sz w:val="22"/>
          <w:szCs w:val="22"/>
        </w:rPr>
        <w:t xml:space="preserve"> y agroindustriales o de otros commodities </w:t>
      </w:r>
      <w:r w:rsidR="0074277E" w:rsidRPr="00BF444A">
        <w:rPr>
          <w:rFonts w:cs="Arial"/>
          <w:b w:val="0"/>
          <w:sz w:val="22"/>
          <w:szCs w:val="22"/>
        </w:rPr>
        <w:t>como miembros de las respectivas bolsas</w:t>
      </w:r>
      <w:r w:rsidR="002232A8" w:rsidRPr="00BF444A">
        <w:rPr>
          <w:rFonts w:cs="Arial"/>
          <w:b w:val="0"/>
          <w:sz w:val="22"/>
          <w:szCs w:val="22"/>
        </w:rPr>
        <w:t>,</w:t>
      </w:r>
      <w:r w:rsidR="00F77080" w:rsidRPr="00BF444A">
        <w:rPr>
          <w:rFonts w:cs="Arial"/>
          <w:b w:val="0"/>
          <w:sz w:val="22"/>
          <w:szCs w:val="22"/>
        </w:rPr>
        <w:t xml:space="preserve"> deberá</w:t>
      </w:r>
      <w:r w:rsidR="00C50964" w:rsidRPr="00BF444A">
        <w:rPr>
          <w:rFonts w:cs="Arial"/>
          <w:b w:val="0"/>
          <w:sz w:val="22"/>
          <w:szCs w:val="22"/>
        </w:rPr>
        <w:t>n</w:t>
      </w:r>
      <w:r w:rsidR="00435EF5" w:rsidRPr="00BF444A">
        <w:rPr>
          <w:rFonts w:cs="Arial"/>
          <w:b w:val="0"/>
          <w:sz w:val="22"/>
          <w:szCs w:val="22"/>
        </w:rPr>
        <w:t xml:space="preserve"> clasificarse como disponibles para </w:t>
      </w:r>
      <w:r w:rsidR="00036CEF" w:rsidRPr="00BF444A">
        <w:rPr>
          <w:rFonts w:cs="Arial"/>
          <w:b w:val="0"/>
          <w:sz w:val="22"/>
          <w:szCs w:val="22"/>
        </w:rPr>
        <w:t xml:space="preserve">la </w:t>
      </w:r>
      <w:r w:rsidR="00435EF5" w:rsidRPr="00BF444A">
        <w:rPr>
          <w:rFonts w:cs="Arial"/>
          <w:b w:val="0"/>
          <w:sz w:val="22"/>
          <w:szCs w:val="22"/>
        </w:rPr>
        <w:t>venta,</w:t>
      </w:r>
      <w:r w:rsidR="00C50964" w:rsidRPr="00BF444A">
        <w:rPr>
          <w:rFonts w:cs="Arial"/>
          <w:b w:val="0"/>
          <w:sz w:val="22"/>
          <w:szCs w:val="22"/>
        </w:rPr>
        <w:t xml:space="preserve"> medir</w:t>
      </w:r>
      <w:r w:rsidR="00435EF5" w:rsidRPr="00BF444A">
        <w:rPr>
          <w:rFonts w:cs="Arial"/>
          <w:b w:val="0"/>
          <w:sz w:val="22"/>
          <w:szCs w:val="22"/>
        </w:rPr>
        <w:t>se</w:t>
      </w:r>
      <w:r w:rsidR="00C50964" w:rsidRPr="00BF444A">
        <w:rPr>
          <w:rFonts w:cs="Arial"/>
          <w:b w:val="0"/>
          <w:sz w:val="22"/>
          <w:szCs w:val="22"/>
        </w:rPr>
        <w:t xml:space="preserve"> </w:t>
      </w:r>
      <w:r w:rsidR="0074277E" w:rsidRPr="00BF444A">
        <w:rPr>
          <w:rFonts w:cs="Arial"/>
          <w:b w:val="0"/>
          <w:sz w:val="22"/>
          <w:szCs w:val="22"/>
        </w:rPr>
        <w:t>por su</w:t>
      </w:r>
      <w:r w:rsidR="00C50964" w:rsidRPr="00BF444A">
        <w:rPr>
          <w:rFonts w:cs="Arial"/>
          <w:b w:val="0"/>
          <w:sz w:val="22"/>
          <w:szCs w:val="22"/>
        </w:rPr>
        <w:t xml:space="preserve"> variación patrimonial</w:t>
      </w:r>
      <w:r w:rsidR="00435EF5" w:rsidRPr="00BF444A">
        <w:rPr>
          <w:rFonts w:cs="Arial"/>
          <w:b w:val="0"/>
          <w:sz w:val="22"/>
          <w:szCs w:val="22"/>
        </w:rPr>
        <w:t xml:space="preserve">, no podrán ser objeto de negociación </w:t>
      </w:r>
      <w:r w:rsidR="00315CA2" w:rsidRPr="00BF444A">
        <w:rPr>
          <w:rFonts w:cs="Arial"/>
          <w:b w:val="0"/>
          <w:sz w:val="22"/>
          <w:szCs w:val="22"/>
        </w:rPr>
        <w:t>en ningún momento</w:t>
      </w:r>
      <w:r w:rsidR="006F3F5A" w:rsidRPr="00BF444A">
        <w:rPr>
          <w:rFonts w:cs="Arial"/>
          <w:b w:val="0"/>
          <w:sz w:val="22"/>
          <w:szCs w:val="22"/>
        </w:rPr>
        <w:t xml:space="preserve"> </w:t>
      </w:r>
      <w:r w:rsidR="00435EF5" w:rsidRPr="00BF444A">
        <w:rPr>
          <w:rFonts w:cs="Arial"/>
          <w:b w:val="0"/>
          <w:sz w:val="22"/>
          <w:szCs w:val="22"/>
        </w:rPr>
        <w:t>dada su vocación de permanencia</w:t>
      </w:r>
      <w:r w:rsidR="006F3F5A" w:rsidRPr="00BF444A">
        <w:rPr>
          <w:rFonts w:cs="Arial"/>
          <w:b w:val="0"/>
          <w:sz w:val="22"/>
          <w:szCs w:val="22"/>
        </w:rPr>
        <w:t>,</w:t>
      </w:r>
      <w:r w:rsidR="00435EF5" w:rsidRPr="00BF444A">
        <w:rPr>
          <w:rFonts w:cs="Arial"/>
          <w:b w:val="0"/>
          <w:sz w:val="22"/>
          <w:szCs w:val="22"/>
        </w:rPr>
        <w:t xml:space="preserve"> y no podrán ser reclasificadas</w:t>
      </w:r>
      <w:r w:rsidR="0074277E" w:rsidRPr="00BF444A">
        <w:rPr>
          <w:rFonts w:cs="Arial"/>
          <w:b w:val="0"/>
          <w:sz w:val="22"/>
          <w:szCs w:val="22"/>
        </w:rPr>
        <w:t>.</w:t>
      </w:r>
      <w:r w:rsidR="006F6F2D" w:rsidRPr="00BF444A">
        <w:rPr>
          <w:rFonts w:cs="Arial"/>
          <w:b w:val="0"/>
          <w:sz w:val="22"/>
          <w:szCs w:val="22"/>
        </w:rPr>
        <w:t xml:space="preserve"> </w:t>
      </w:r>
    </w:p>
    <w:p w14:paraId="2E59C7D7" w14:textId="77777777" w:rsidR="00435EF5" w:rsidRPr="00BF444A" w:rsidRDefault="00435EF5" w:rsidP="00E1355F">
      <w:pPr>
        <w:pStyle w:val="Encabezado"/>
        <w:jc w:val="both"/>
        <w:rPr>
          <w:rFonts w:cs="Arial"/>
          <w:b w:val="0"/>
          <w:sz w:val="22"/>
          <w:szCs w:val="22"/>
        </w:rPr>
      </w:pPr>
    </w:p>
    <w:p w14:paraId="45544C4F" w14:textId="77777777" w:rsidR="00EB0B9C" w:rsidRPr="00BF444A" w:rsidRDefault="00EB0B9C" w:rsidP="00E1355F">
      <w:pPr>
        <w:pStyle w:val="Encabezado"/>
        <w:jc w:val="both"/>
        <w:rPr>
          <w:rFonts w:cs="Arial"/>
          <w:sz w:val="22"/>
          <w:szCs w:val="22"/>
        </w:rPr>
      </w:pPr>
      <w:r w:rsidRPr="00BF444A">
        <w:rPr>
          <w:rFonts w:cs="Arial"/>
          <w:sz w:val="22"/>
          <w:szCs w:val="22"/>
        </w:rPr>
        <w:t xml:space="preserve">3.3.2. Excedentes sobre </w:t>
      </w:r>
      <w:r w:rsidR="00315CA2" w:rsidRPr="00BF444A">
        <w:rPr>
          <w:rFonts w:cs="Arial"/>
          <w:sz w:val="22"/>
          <w:szCs w:val="22"/>
        </w:rPr>
        <w:t>i</w:t>
      </w:r>
      <w:r w:rsidRPr="00BF444A">
        <w:rPr>
          <w:rFonts w:cs="Arial"/>
          <w:sz w:val="22"/>
          <w:szCs w:val="22"/>
        </w:rPr>
        <w:t xml:space="preserve">nversiones obligatorias permanentes en </w:t>
      </w:r>
      <w:r w:rsidR="00082732">
        <w:rPr>
          <w:rFonts w:cs="Arial"/>
          <w:sz w:val="22"/>
          <w:szCs w:val="22"/>
        </w:rPr>
        <w:t>valores</w:t>
      </w:r>
      <w:r w:rsidRPr="00BF444A">
        <w:rPr>
          <w:rFonts w:cs="Arial"/>
          <w:sz w:val="22"/>
          <w:szCs w:val="22"/>
        </w:rPr>
        <w:t xml:space="preserve"> participativos</w:t>
      </w:r>
    </w:p>
    <w:p w14:paraId="4E005E4C" w14:textId="77777777" w:rsidR="001A1AF5" w:rsidRPr="00BF444A" w:rsidRDefault="001A1AF5" w:rsidP="00E1355F">
      <w:pPr>
        <w:pStyle w:val="Encabezado"/>
        <w:jc w:val="both"/>
        <w:rPr>
          <w:rFonts w:cs="Arial"/>
          <w:b w:val="0"/>
          <w:sz w:val="22"/>
          <w:szCs w:val="22"/>
        </w:rPr>
      </w:pPr>
    </w:p>
    <w:p w14:paraId="7F2E5D27" w14:textId="77777777" w:rsidR="003D509E" w:rsidRPr="00BF444A" w:rsidRDefault="00EB0B9C" w:rsidP="00E1355F">
      <w:pPr>
        <w:pStyle w:val="Encabezado"/>
        <w:jc w:val="both"/>
        <w:rPr>
          <w:rFonts w:cs="Arial"/>
          <w:b w:val="0"/>
          <w:sz w:val="22"/>
          <w:szCs w:val="22"/>
        </w:rPr>
      </w:pPr>
      <w:r w:rsidRPr="00BF444A">
        <w:rPr>
          <w:rFonts w:cs="Arial"/>
          <w:b w:val="0"/>
          <w:sz w:val="22"/>
          <w:szCs w:val="22"/>
        </w:rPr>
        <w:t>La</w:t>
      </w:r>
      <w:r w:rsidR="00F77080" w:rsidRPr="00BF444A">
        <w:rPr>
          <w:rFonts w:cs="Arial"/>
          <w:b w:val="0"/>
          <w:sz w:val="22"/>
          <w:szCs w:val="22"/>
        </w:rPr>
        <w:t>s</w:t>
      </w:r>
      <w:r w:rsidR="006F6F2D" w:rsidRPr="00BF444A">
        <w:rPr>
          <w:rFonts w:cs="Arial"/>
          <w:b w:val="0"/>
          <w:sz w:val="22"/>
          <w:szCs w:val="22"/>
        </w:rPr>
        <w:t xml:space="preserve"> </w:t>
      </w:r>
      <w:r w:rsidRPr="00BF444A">
        <w:rPr>
          <w:rFonts w:cs="Arial"/>
          <w:b w:val="0"/>
          <w:sz w:val="22"/>
          <w:szCs w:val="22"/>
        </w:rPr>
        <w:t xml:space="preserve">inversiones que las entidades </w:t>
      </w:r>
      <w:r w:rsidR="001A1AF5" w:rsidRPr="00BF444A">
        <w:rPr>
          <w:rFonts w:cs="Arial"/>
          <w:b w:val="0"/>
          <w:sz w:val="22"/>
          <w:szCs w:val="22"/>
        </w:rPr>
        <w:t>hayan adquirido</w:t>
      </w:r>
      <w:r w:rsidR="00F77080" w:rsidRPr="00BF444A">
        <w:rPr>
          <w:rFonts w:cs="Arial"/>
          <w:b w:val="0"/>
          <w:sz w:val="22"/>
          <w:szCs w:val="22"/>
        </w:rPr>
        <w:t xml:space="preserve"> en exceso</w:t>
      </w:r>
      <w:r w:rsidR="0074277E" w:rsidRPr="00BF444A">
        <w:rPr>
          <w:rFonts w:cs="Arial"/>
          <w:b w:val="0"/>
          <w:sz w:val="22"/>
          <w:szCs w:val="22"/>
        </w:rPr>
        <w:t xml:space="preserve"> sobre </w:t>
      </w:r>
      <w:r w:rsidRPr="00BF444A">
        <w:rPr>
          <w:rFonts w:cs="Arial"/>
          <w:b w:val="0"/>
          <w:sz w:val="22"/>
          <w:szCs w:val="22"/>
        </w:rPr>
        <w:t xml:space="preserve">las </w:t>
      </w:r>
      <w:r w:rsidR="0074277E" w:rsidRPr="00BF444A">
        <w:rPr>
          <w:rFonts w:cs="Arial"/>
          <w:b w:val="0"/>
          <w:sz w:val="22"/>
          <w:szCs w:val="22"/>
        </w:rPr>
        <w:t xml:space="preserve">inversiones </w:t>
      </w:r>
      <w:r w:rsidRPr="00BF444A">
        <w:rPr>
          <w:rFonts w:cs="Arial"/>
          <w:b w:val="0"/>
          <w:sz w:val="22"/>
          <w:szCs w:val="22"/>
        </w:rPr>
        <w:t>obligatorias señaladas en el</w:t>
      </w:r>
      <w:r w:rsidR="00522C32" w:rsidRPr="00BF444A">
        <w:rPr>
          <w:rFonts w:cs="Arial"/>
          <w:b w:val="0"/>
          <w:sz w:val="22"/>
          <w:szCs w:val="22"/>
        </w:rPr>
        <w:t xml:space="preserve"> </w:t>
      </w:r>
      <w:r w:rsidR="00522C32" w:rsidRPr="000C413E">
        <w:rPr>
          <w:rFonts w:cs="Arial"/>
          <w:b w:val="0"/>
          <w:sz w:val="22"/>
          <w:szCs w:val="22"/>
        </w:rPr>
        <w:t>numeral</w:t>
      </w:r>
      <w:r w:rsidR="00457553" w:rsidRPr="000C413E">
        <w:rPr>
          <w:rFonts w:cs="Arial"/>
          <w:b w:val="0"/>
          <w:sz w:val="22"/>
          <w:szCs w:val="22"/>
        </w:rPr>
        <w:t xml:space="preserve"> 3.3.1</w:t>
      </w:r>
      <w:r w:rsidRPr="000C413E">
        <w:rPr>
          <w:rFonts w:cs="Arial"/>
          <w:b w:val="0"/>
          <w:sz w:val="22"/>
          <w:szCs w:val="22"/>
        </w:rPr>
        <w:t xml:space="preserve"> </w:t>
      </w:r>
      <w:r w:rsidR="001A1AF5" w:rsidRPr="000C413E">
        <w:rPr>
          <w:rFonts w:cs="Arial"/>
          <w:b w:val="0"/>
          <w:sz w:val="22"/>
          <w:szCs w:val="22"/>
        </w:rPr>
        <w:t xml:space="preserve">y que </w:t>
      </w:r>
      <w:r w:rsidR="00435EF5" w:rsidRPr="000C413E">
        <w:rPr>
          <w:rFonts w:cs="Arial"/>
          <w:b w:val="0"/>
          <w:sz w:val="22"/>
          <w:szCs w:val="22"/>
        </w:rPr>
        <w:t>opten por clasificar</w:t>
      </w:r>
      <w:r w:rsidR="001A1AF5" w:rsidRPr="000C413E">
        <w:rPr>
          <w:rFonts w:cs="Arial"/>
          <w:b w:val="0"/>
          <w:sz w:val="22"/>
          <w:szCs w:val="22"/>
        </w:rPr>
        <w:t>las</w:t>
      </w:r>
      <w:r w:rsidR="00435EF5" w:rsidRPr="000C413E">
        <w:rPr>
          <w:rFonts w:cs="Arial"/>
          <w:b w:val="0"/>
          <w:sz w:val="22"/>
          <w:szCs w:val="22"/>
        </w:rPr>
        <w:t xml:space="preserve"> como disponibles para </w:t>
      </w:r>
      <w:r w:rsidRPr="000C413E">
        <w:rPr>
          <w:rFonts w:cs="Arial"/>
          <w:b w:val="0"/>
          <w:sz w:val="22"/>
          <w:szCs w:val="22"/>
        </w:rPr>
        <w:t xml:space="preserve">la </w:t>
      </w:r>
      <w:r w:rsidR="00435EF5" w:rsidRPr="000C413E">
        <w:rPr>
          <w:rFonts w:cs="Arial"/>
          <w:b w:val="0"/>
          <w:sz w:val="22"/>
          <w:szCs w:val="22"/>
        </w:rPr>
        <w:t xml:space="preserve">venta </w:t>
      </w:r>
      <w:r w:rsidR="006F6F2D" w:rsidRPr="000C413E">
        <w:rPr>
          <w:rFonts w:cs="Arial"/>
          <w:b w:val="0"/>
          <w:sz w:val="22"/>
          <w:szCs w:val="22"/>
        </w:rPr>
        <w:t>debe</w:t>
      </w:r>
      <w:r w:rsidR="00435EF5" w:rsidRPr="000C413E">
        <w:rPr>
          <w:rFonts w:cs="Arial"/>
          <w:b w:val="0"/>
          <w:sz w:val="22"/>
          <w:szCs w:val="22"/>
        </w:rPr>
        <w:t>rán</w:t>
      </w:r>
      <w:r w:rsidR="006F6F2D" w:rsidRPr="000C413E">
        <w:rPr>
          <w:rFonts w:cs="Arial"/>
          <w:b w:val="0"/>
          <w:sz w:val="22"/>
          <w:szCs w:val="22"/>
        </w:rPr>
        <w:t xml:space="preserve"> medir</w:t>
      </w:r>
      <w:r w:rsidR="00435EF5" w:rsidRPr="000C413E">
        <w:rPr>
          <w:rFonts w:cs="Arial"/>
          <w:b w:val="0"/>
          <w:sz w:val="22"/>
          <w:szCs w:val="22"/>
        </w:rPr>
        <w:t>se</w:t>
      </w:r>
      <w:r w:rsidR="006F6F2D" w:rsidRPr="000C413E">
        <w:rPr>
          <w:rFonts w:cs="Arial"/>
          <w:b w:val="0"/>
          <w:sz w:val="22"/>
          <w:szCs w:val="22"/>
        </w:rPr>
        <w:t xml:space="preserve"> a valor </w:t>
      </w:r>
      <w:r w:rsidR="00315CA2" w:rsidRPr="000C413E">
        <w:rPr>
          <w:rFonts w:cs="Arial"/>
          <w:b w:val="0"/>
          <w:sz w:val="22"/>
          <w:szCs w:val="22"/>
        </w:rPr>
        <w:t>razonable,</w:t>
      </w:r>
      <w:r w:rsidR="00922FC1" w:rsidRPr="000C413E">
        <w:rPr>
          <w:rFonts w:cs="Arial"/>
          <w:b w:val="0"/>
          <w:sz w:val="22"/>
          <w:szCs w:val="22"/>
        </w:rPr>
        <w:t xml:space="preserve"> </w:t>
      </w:r>
      <w:r w:rsidR="00457553" w:rsidRPr="000C413E">
        <w:rPr>
          <w:rFonts w:cs="Arial"/>
          <w:b w:val="0"/>
          <w:sz w:val="22"/>
          <w:szCs w:val="22"/>
        </w:rPr>
        <w:t>de acuerdo con el numeral 6.2.2</w:t>
      </w:r>
      <w:r w:rsidR="00922FC1" w:rsidRPr="000C413E">
        <w:rPr>
          <w:rFonts w:cs="Arial"/>
          <w:b w:val="0"/>
          <w:sz w:val="22"/>
          <w:szCs w:val="22"/>
        </w:rPr>
        <w:t xml:space="preserve"> del presente </w:t>
      </w:r>
      <w:r w:rsidR="00457553" w:rsidRPr="000C413E">
        <w:rPr>
          <w:rFonts w:cs="Arial"/>
          <w:b w:val="0"/>
          <w:sz w:val="22"/>
          <w:szCs w:val="22"/>
        </w:rPr>
        <w:t>C</w:t>
      </w:r>
      <w:r w:rsidR="00922FC1" w:rsidRPr="000C413E">
        <w:rPr>
          <w:rFonts w:cs="Arial"/>
          <w:b w:val="0"/>
          <w:sz w:val="22"/>
          <w:szCs w:val="22"/>
        </w:rPr>
        <w:t>apítulo</w:t>
      </w:r>
      <w:r w:rsidR="00435EF5" w:rsidRPr="000C413E">
        <w:rPr>
          <w:rFonts w:cs="Arial"/>
          <w:b w:val="0"/>
          <w:sz w:val="22"/>
          <w:szCs w:val="22"/>
        </w:rPr>
        <w:t xml:space="preserve"> y podrán reclasificarse de acuerdo con las reglas previstas en el numeral</w:t>
      </w:r>
      <w:r w:rsidR="00315CA2" w:rsidRPr="000C413E">
        <w:rPr>
          <w:rFonts w:cs="Arial"/>
          <w:b w:val="0"/>
          <w:sz w:val="22"/>
          <w:szCs w:val="22"/>
        </w:rPr>
        <w:t xml:space="preserve"> 4.2 de este Capítulo</w:t>
      </w:r>
      <w:r w:rsidR="0074277E" w:rsidRPr="00BF444A">
        <w:rPr>
          <w:rFonts w:cs="Arial"/>
          <w:b w:val="0"/>
          <w:sz w:val="22"/>
          <w:szCs w:val="22"/>
        </w:rPr>
        <w:t>.</w:t>
      </w:r>
    </w:p>
    <w:p w14:paraId="30B88F50" w14:textId="77777777" w:rsidR="00C52B15" w:rsidRPr="00BF444A" w:rsidRDefault="00C52B15" w:rsidP="00E1355F">
      <w:pPr>
        <w:pStyle w:val="Textoindependiente"/>
        <w:rPr>
          <w:rFonts w:cs="Arial"/>
          <w:b/>
          <w:sz w:val="22"/>
          <w:szCs w:val="22"/>
        </w:rPr>
      </w:pPr>
    </w:p>
    <w:p w14:paraId="335ECA81" w14:textId="77777777" w:rsidR="00BD7045" w:rsidRPr="00BF444A" w:rsidRDefault="00BD7045" w:rsidP="008708AA">
      <w:pPr>
        <w:pStyle w:val="Textoindependiente"/>
        <w:tabs>
          <w:tab w:val="left" w:pos="567"/>
        </w:tabs>
        <w:rPr>
          <w:rFonts w:cs="Arial"/>
          <w:b/>
          <w:sz w:val="22"/>
          <w:szCs w:val="22"/>
        </w:rPr>
      </w:pPr>
      <w:r w:rsidRPr="00BF444A">
        <w:rPr>
          <w:rFonts w:cs="Arial"/>
          <w:b/>
          <w:sz w:val="22"/>
          <w:szCs w:val="22"/>
        </w:rPr>
        <w:t>3.4.</w:t>
      </w:r>
      <w:r w:rsidRPr="00BF444A">
        <w:rPr>
          <w:rFonts w:cs="Arial"/>
          <w:b/>
          <w:sz w:val="22"/>
          <w:szCs w:val="22"/>
        </w:rPr>
        <w:tab/>
        <w:t>Adopción de la clasificación de las inversiones</w:t>
      </w:r>
    </w:p>
    <w:p w14:paraId="568B738E" w14:textId="77777777" w:rsidR="00BD7045" w:rsidRPr="00BF444A" w:rsidRDefault="00BD7045" w:rsidP="00E1355F">
      <w:pPr>
        <w:jc w:val="both"/>
        <w:rPr>
          <w:rFonts w:cs="Arial"/>
          <w:sz w:val="22"/>
          <w:szCs w:val="22"/>
        </w:rPr>
      </w:pPr>
    </w:p>
    <w:p w14:paraId="3EDCED5F" w14:textId="77777777" w:rsidR="00315CA2" w:rsidRPr="00BF444A" w:rsidRDefault="00C5574E" w:rsidP="006A2BC4">
      <w:pPr>
        <w:jc w:val="both"/>
        <w:rPr>
          <w:rFonts w:cs="Arial"/>
          <w:b w:val="0"/>
          <w:sz w:val="22"/>
          <w:szCs w:val="22"/>
        </w:rPr>
      </w:pPr>
      <w:bookmarkStart w:id="5" w:name="_Toc6296852"/>
      <w:r w:rsidRPr="00BF444A">
        <w:rPr>
          <w:rFonts w:cs="Arial"/>
          <w:b w:val="0"/>
          <w:sz w:val="22"/>
          <w:szCs w:val="22"/>
        </w:rPr>
        <w:t>La decisión de clasificar un</w:t>
      </w:r>
      <w:r w:rsidR="00C65F32" w:rsidRPr="00BF444A">
        <w:rPr>
          <w:rFonts w:cs="Arial"/>
          <w:b w:val="0"/>
          <w:sz w:val="22"/>
          <w:szCs w:val="22"/>
        </w:rPr>
        <w:t>a inversión</w:t>
      </w:r>
      <w:r w:rsidRPr="00BF444A">
        <w:rPr>
          <w:rFonts w:cs="Arial"/>
          <w:b w:val="0"/>
          <w:sz w:val="22"/>
          <w:szCs w:val="22"/>
        </w:rPr>
        <w:t xml:space="preserve"> en cualquiera de las tres </w:t>
      </w:r>
      <w:r w:rsidR="00A67073" w:rsidRPr="00BF444A">
        <w:rPr>
          <w:rFonts w:cs="Arial"/>
          <w:b w:val="0"/>
          <w:sz w:val="22"/>
          <w:szCs w:val="22"/>
        </w:rPr>
        <w:t xml:space="preserve">(3) </w:t>
      </w:r>
      <w:r w:rsidRPr="00BF444A">
        <w:rPr>
          <w:rFonts w:cs="Arial"/>
          <w:b w:val="0"/>
          <w:sz w:val="22"/>
          <w:szCs w:val="22"/>
        </w:rPr>
        <w:t>categorías señaladas en los numerales 3.1, 3.2 y 3.3,</w:t>
      </w:r>
      <w:r w:rsidR="00CB34AE" w:rsidRPr="00BF444A">
        <w:rPr>
          <w:rFonts w:cs="Arial"/>
          <w:b w:val="0"/>
          <w:sz w:val="22"/>
          <w:szCs w:val="22"/>
        </w:rPr>
        <w:t xml:space="preserve"> </w:t>
      </w:r>
      <w:r w:rsidRPr="00BF444A">
        <w:rPr>
          <w:rFonts w:cs="Arial"/>
          <w:b w:val="0"/>
          <w:sz w:val="22"/>
          <w:szCs w:val="22"/>
        </w:rPr>
        <w:t xml:space="preserve">debe ser adoptada por la entidad </w:t>
      </w:r>
      <w:r w:rsidR="006A2BC4" w:rsidRPr="00BF444A">
        <w:rPr>
          <w:rFonts w:cs="Arial"/>
          <w:b w:val="0"/>
          <w:sz w:val="22"/>
          <w:szCs w:val="22"/>
        </w:rPr>
        <w:t>e</w:t>
      </w:r>
      <w:r w:rsidRPr="00BF444A">
        <w:rPr>
          <w:rFonts w:cs="Arial"/>
          <w:b w:val="0"/>
          <w:sz w:val="22"/>
          <w:szCs w:val="22"/>
        </w:rPr>
        <w:t xml:space="preserve">n el momento de </w:t>
      </w:r>
      <w:r w:rsidR="006A2BC4" w:rsidRPr="00BF444A">
        <w:rPr>
          <w:rFonts w:cs="Arial"/>
          <w:b w:val="0"/>
          <w:sz w:val="22"/>
          <w:szCs w:val="22"/>
        </w:rPr>
        <w:t>la adquisición o</w:t>
      </w:r>
      <w:r w:rsidRPr="00BF444A">
        <w:rPr>
          <w:rFonts w:cs="Arial"/>
          <w:b w:val="0"/>
          <w:sz w:val="22"/>
          <w:szCs w:val="22"/>
        </w:rPr>
        <w:t xml:space="preserve"> compra de est</w:t>
      </w:r>
      <w:r w:rsidR="00C65F32" w:rsidRPr="00BF444A">
        <w:rPr>
          <w:rFonts w:cs="Arial"/>
          <w:b w:val="0"/>
          <w:sz w:val="22"/>
          <w:szCs w:val="22"/>
        </w:rPr>
        <w:t>a</w:t>
      </w:r>
      <w:r w:rsidRPr="00BF444A">
        <w:rPr>
          <w:rFonts w:cs="Arial"/>
          <w:b w:val="0"/>
          <w:sz w:val="22"/>
          <w:szCs w:val="22"/>
        </w:rPr>
        <w:t xml:space="preserve">s </w:t>
      </w:r>
      <w:r w:rsidR="00C65F32" w:rsidRPr="00BF444A">
        <w:rPr>
          <w:rFonts w:cs="Arial"/>
          <w:b w:val="0"/>
          <w:sz w:val="22"/>
          <w:szCs w:val="22"/>
        </w:rPr>
        <w:t>inversiones</w:t>
      </w:r>
      <w:r w:rsidR="006A2BC4" w:rsidRPr="00BF444A">
        <w:rPr>
          <w:rFonts w:cs="Arial"/>
          <w:b w:val="0"/>
          <w:sz w:val="22"/>
          <w:szCs w:val="22"/>
        </w:rPr>
        <w:t>.</w:t>
      </w:r>
    </w:p>
    <w:p w14:paraId="3C8B26BC" w14:textId="77777777" w:rsidR="00315CA2" w:rsidRPr="00BF444A" w:rsidRDefault="00315CA2" w:rsidP="00315CA2">
      <w:pPr>
        <w:pStyle w:val="Prrafodelista"/>
        <w:rPr>
          <w:rFonts w:cs="Arial"/>
          <w:b w:val="0"/>
          <w:sz w:val="22"/>
          <w:szCs w:val="22"/>
        </w:rPr>
      </w:pPr>
    </w:p>
    <w:p w14:paraId="4159D03D" w14:textId="70F24CE5" w:rsidR="00315CA2" w:rsidRPr="00BF444A" w:rsidRDefault="00315CA2" w:rsidP="00315CA2">
      <w:pPr>
        <w:jc w:val="both"/>
        <w:rPr>
          <w:rFonts w:cs="Arial"/>
          <w:b w:val="0"/>
          <w:sz w:val="22"/>
          <w:szCs w:val="22"/>
        </w:rPr>
      </w:pPr>
      <w:r w:rsidRPr="00BF444A">
        <w:rPr>
          <w:rFonts w:cs="Arial"/>
          <w:b w:val="0"/>
          <w:sz w:val="22"/>
          <w:szCs w:val="22"/>
        </w:rPr>
        <w:t xml:space="preserve">En todos los casos, la clasificación debe ser adoptada por la instancia interna con atribuciones para ello y tiene que consultar </w:t>
      </w:r>
      <w:r w:rsidR="00010A95" w:rsidRPr="00BF444A">
        <w:rPr>
          <w:rFonts w:cs="Arial"/>
          <w:b w:val="0"/>
          <w:sz w:val="22"/>
          <w:szCs w:val="22"/>
        </w:rPr>
        <w:t>el modelo</w:t>
      </w:r>
      <w:r w:rsidRPr="00BF444A">
        <w:rPr>
          <w:rFonts w:cs="Arial"/>
          <w:b w:val="0"/>
          <w:sz w:val="22"/>
          <w:szCs w:val="22"/>
        </w:rPr>
        <w:t xml:space="preserve"> de negocio de la entidad.</w:t>
      </w:r>
    </w:p>
    <w:p w14:paraId="2D969B1D" w14:textId="77777777" w:rsidR="00C5574E" w:rsidRPr="00BF444A" w:rsidRDefault="00C5574E" w:rsidP="00E1355F">
      <w:pPr>
        <w:jc w:val="both"/>
        <w:rPr>
          <w:rFonts w:cs="Arial"/>
          <w:b w:val="0"/>
          <w:sz w:val="22"/>
          <w:szCs w:val="22"/>
        </w:rPr>
      </w:pPr>
    </w:p>
    <w:p w14:paraId="05C9710B" w14:textId="77777777" w:rsidR="00C5574E" w:rsidRPr="00BF444A" w:rsidRDefault="00C5574E" w:rsidP="00315CA2">
      <w:pPr>
        <w:jc w:val="both"/>
        <w:rPr>
          <w:rFonts w:cs="Arial"/>
          <w:b w:val="0"/>
          <w:sz w:val="22"/>
          <w:szCs w:val="22"/>
        </w:rPr>
      </w:pPr>
      <w:r w:rsidRPr="00BF444A">
        <w:rPr>
          <w:rFonts w:cs="Arial"/>
          <w:b w:val="0"/>
          <w:sz w:val="22"/>
          <w:szCs w:val="22"/>
        </w:rPr>
        <w:t xml:space="preserve">Se debe documentar y mantener a disposición de la </w:t>
      </w:r>
      <w:r w:rsidR="00C30E01" w:rsidRPr="00BF444A">
        <w:rPr>
          <w:rFonts w:cs="Arial"/>
          <w:b w:val="0"/>
          <w:sz w:val="22"/>
          <w:szCs w:val="22"/>
        </w:rPr>
        <w:t>SFC</w:t>
      </w:r>
      <w:r w:rsidRPr="00BF444A">
        <w:rPr>
          <w:rFonts w:cs="Arial"/>
          <w:b w:val="0"/>
          <w:sz w:val="22"/>
          <w:szCs w:val="22"/>
        </w:rPr>
        <w:t xml:space="preserve">, los estudios, evaluaciones, análisis y, en general, toda la información que se haya tenido en cuenta o a raíz de la cual se hubiere adoptado la decisión de clasificar un </w:t>
      </w:r>
      <w:r w:rsidR="009E5A39" w:rsidRPr="00BF444A">
        <w:rPr>
          <w:rFonts w:cs="Arial"/>
          <w:b w:val="0"/>
          <w:sz w:val="22"/>
          <w:szCs w:val="22"/>
        </w:rPr>
        <w:t xml:space="preserve">título o </w:t>
      </w:r>
      <w:r w:rsidRPr="00BF444A">
        <w:rPr>
          <w:rFonts w:cs="Arial"/>
          <w:b w:val="0"/>
          <w:sz w:val="22"/>
          <w:szCs w:val="22"/>
        </w:rPr>
        <w:t>valor como inversiones para mantener hasta el vencimiento o inversiones disponibles para la venta.</w:t>
      </w:r>
    </w:p>
    <w:p w14:paraId="1C026DBE" w14:textId="77777777" w:rsidR="00E1355F" w:rsidRPr="00BF444A" w:rsidRDefault="00E1355F" w:rsidP="00E1355F">
      <w:pPr>
        <w:jc w:val="both"/>
        <w:rPr>
          <w:rFonts w:cs="Arial"/>
          <w:b w:val="0"/>
          <w:sz w:val="22"/>
          <w:szCs w:val="22"/>
        </w:rPr>
      </w:pPr>
    </w:p>
    <w:p w14:paraId="2438D516" w14:textId="77777777" w:rsidR="006A2BC4" w:rsidRPr="00BF444A" w:rsidRDefault="006A2BC4" w:rsidP="00E1355F">
      <w:pPr>
        <w:jc w:val="both"/>
        <w:rPr>
          <w:rFonts w:cs="Arial"/>
          <w:b w:val="0"/>
          <w:sz w:val="22"/>
          <w:szCs w:val="22"/>
        </w:rPr>
      </w:pPr>
    </w:p>
    <w:p w14:paraId="33537646" w14:textId="77777777" w:rsidR="00C5574E" w:rsidRPr="00BF444A" w:rsidRDefault="00C5574E" w:rsidP="00E1355F">
      <w:pPr>
        <w:pStyle w:val="Ttulo1"/>
        <w:rPr>
          <w:sz w:val="22"/>
          <w:szCs w:val="22"/>
        </w:rPr>
      </w:pPr>
      <w:bookmarkStart w:id="6" w:name="_Toc6296851"/>
      <w:bookmarkStart w:id="7" w:name="_Toc16051598"/>
      <w:r w:rsidRPr="00BF444A">
        <w:rPr>
          <w:sz w:val="22"/>
          <w:szCs w:val="22"/>
        </w:rPr>
        <w:t>4.</w:t>
      </w:r>
      <w:r w:rsidRPr="00BF444A">
        <w:rPr>
          <w:sz w:val="22"/>
          <w:szCs w:val="22"/>
        </w:rPr>
        <w:tab/>
        <w:t>RECLASIFICACIÓN DE LAS INVERSIONES</w:t>
      </w:r>
      <w:bookmarkEnd w:id="6"/>
      <w:bookmarkEnd w:id="7"/>
    </w:p>
    <w:p w14:paraId="23ED27A2" w14:textId="77777777" w:rsidR="00C5574E" w:rsidRPr="00BF444A" w:rsidRDefault="00C5574E" w:rsidP="00E1355F">
      <w:pPr>
        <w:pStyle w:val="Textoindependiente"/>
        <w:rPr>
          <w:rFonts w:cs="Arial"/>
          <w:sz w:val="22"/>
          <w:szCs w:val="22"/>
        </w:rPr>
      </w:pPr>
    </w:p>
    <w:p w14:paraId="5CD308F3" w14:textId="7F26E60B" w:rsidR="00C5574E" w:rsidRPr="00BF444A" w:rsidRDefault="00636CF7" w:rsidP="00E1355F">
      <w:pPr>
        <w:pStyle w:val="Textoindependiente"/>
        <w:rPr>
          <w:rFonts w:cs="Arial"/>
          <w:sz w:val="22"/>
          <w:szCs w:val="22"/>
        </w:rPr>
      </w:pPr>
      <w:r w:rsidRPr="00010A95">
        <w:rPr>
          <w:rFonts w:cs="Arial"/>
          <w:sz w:val="22"/>
          <w:szCs w:val="22"/>
        </w:rPr>
        <w:t>L</w:t>
      </w:r>
      <w:r w:rsidR="00C5574E" w:rsidRPr="00010A95">
        <w:rPr>
          <w:rFonts w:cs="Arial"/>
          <w:sz w:val="22"/>
          <w:szCs w:val="22"/>
        </w:rPr>
        <w:t>as entidades vigiladas pueden reclasificar sus inversiones</w:t>
      </w:r>
      <w:r w:rsidR="0036533C" w:rsidRPr="00010A95">
        <w:rPr>
          <w:rFonts w:cs="Arial"/>
          <w:sz w:val="22"/>
          <w:szCs w:val="22"/>
        </w:rPr>
        <w:t xml:space="preserve"> únicamente</w:t>
      </w:r>
      <w:r w:rsidR="006A2BC4" w:rsidRPr="00010A95">
        <w:rPr>
          <w:rFonts w:cs="Arial"/>
          <w:sz w:val="22"/>
          <w:szCs w:val="22"/>
        </w:rPr>
        <w:t xml:space="preserve"> de conformidad con las </w:t>
      </w:r>
      <w:r w:rsidR="00C5574E" w:rsidRPr="00010A95">
        <w:rPr>
          <w:rFonts w:cs="Arial"/>
          <w:sz w:val="22"/>
          <w:szCs w:val="22"/>
        </w:rPr>
        <w:t>siguientes disposiciones:</w:t>
      </w:r>
    </w:p>
    <w:p w14:paraId="1082AAC7" w14:textId="31232353" w:rsidR="00D34A3E" w:rsidRPr="00E1355F" w:rsidRDefault="00D34A3E" w:rsidP="00010A95">
      <w:pPr>
        <w:pStyle w:val="Ttulo2"/>
        <w:ind w:left="0" w:firstLine="0"/>
        <w:rPr>
          <w:sz w:val="22"/>
          <w:szCs w:val="22"/>
        </w:rPr>
      </w:pPr>
      <w:bookmarkStart w:id="8" w:name="_Toc16051599"/>
      <w:bookmarkStart w:id="9" w:name="_Toc6296853"/>
      <w:bookmarkEnd w:id="5"/>
      <w:bookmarkEnd w:id="8"/>
      <w:bookmarkEnd w:id="9"/>
    </w:p>
    <w:sectPr w:rsidR="00D34A3E" w:rsidRPr="00E1355F" w:rsidSect="002D7DED">
      <w:headerReference w:type="default" r:id="rId11"/>
      <w:footerReference w:type="default" r:id="rId12"/>
      <w:headerReference w:type="first" r:id="rId13"/>
      <w:footerReference w:type="first" r:id="rId14"/>
      <w:pgSz w:w="12242" w:h="18722" w:code="148"/>
      <w:pgMar w:top="1418" w:right="1134" w:bottom="1928" w:left="1701" w:header="851" w:footer="1304" w:gutter="0"/>
      <w:pgNumType w:start="3"/>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03D2" w14:textId="77777777" w:rsidR="007804AA" w:rsidRDefault="007804AA">
      <w:r>
        <w:separator/>
      </w:r>
    </w:p>
  </w:endnote>
  <w:endnote w:type="continuationSeparator" w:id="0">
    <w:p w14:paraId="44DB0066" w14:textId="77777777" w:rsidR="007804AA" w:rsidRDefault="0078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C241C" w14:textId="77777777" w:rsidR="002D7DED" w:rsidRDefault="002D7DED" w:rsidP="00010A95">
    <w:pPr>
      <w:pStyle w:val="Piedepgina"/>
      <w:tabs>
        <w:tab w:val="clear" w:pos="8504"/>
        <w:tab w:val="right" w:pos="9214"/>
      </w:tabs>
      <w:rPr>
        <w:sz w:val="18"/>
        <w:szCs w:val="18"/>
      </w:rPr>
    </w:pPr>
  </w:p>
  <w:p w14:paraId="403384A5" w14:textId="77777777" w:rsidR="002D7DED" w:rsidRDefault="002D7DED" w:rsidP="00010A95">
    <w:pPr>
      <w:pStyle w:val="Piedepgina"/>
      <w:tabs>
        <w:tab w:val="clear" w:pos="8504"/>
        <w:tab w:val="right" w:pos="9214"/>
      </w:tabs>
      <w:rPr>
        <w:sz w:val="18"/>
        <w:szCs w:val="18"/>
      </w:rPr>
    </w:pPr>
  </w:p>
  <w:p w14:paraId="0344BBA0" w14:textId="059245EE" w:rsidR="00010A95" w:rsidRPr="00010A95" w:rsidRDefault="00010A95" w:rsidP="00010A95">
    <w:pPr>
      <w:pStyle w:val="Piedepgina"/>
      <w:tabs>
        <w:tab w:val="clear" w:pos="8504"/>
        <w:tab w:val="right" w:pos="9214"/>
      </w:tabs>
      <w:rPr>
        <w:sz w:val="18"/>
      </w:rPr>
    </w:pPr>
    <w:r>
      <w:rPr>
        <w:sz w:val="18"/>
        <w:szCs w:val="18"/>
      </w:rPr>
      <w:t xml:space="preserve">Circular Externa </w:t>
    </w:r>
    <w:r w:rsidR="000C315F">
      <w:rPr>
        <w:sz w:val="18"/>
        <w:szCs w:val="18"/>
      </w:rPr>
      <w:t>026</w:t>
    </w:r>
    <w:r>
      <w:rPr>
        <w:sz w:val="18"/>
        <w:szCs w:val="18"/>
      </w:rPr>
      <w:t xml:space="preserve"> de 2021</w:t>
    </w:r>
    <w:r>
      <w:rPr>
        <w:sz w:val="18"/>
      </w:rPr>
      <w:tab/>
    </w:r>
    <w:r>
      <w:rPr>
        <w:sz w:val="18"/>
      </w:rPr>
      <w:tab/>
    </w:r>
    <w:proofErr w:type="gramStart"/>
    <w:r w:rsidR="000C315F">
      <w:rPr>
        <w:sz w:val="18"/>
      </w:rPr>
      <w:t>Noviembre</w:t>
    </w:r>
    <w:proofErr w:type="gramEnd"/>
    <w:r>
      <w:rPr>
        <w:sz w:val="18"/>
      </w:rPr>
      <w:t xml:space="preserve">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DA4E" w14:textId="77777777" w:rsidR="00246777" w:rsidRPr="002D7DED" w:rsidRDefault="00246777" w:rsidP="0097597C">
    <w:pPr>
      <w:pStyle w:val="Piedepgina"/>
      <w:tabs>
        <w:tab w:val="clear" w:pos="8504"/>
        <w:tab w:val="right" w:pos="9214"/>
      </w:tabs>
      <w:rPr>
        <w:sz w:val="18"/>
        <w:szCs w:val="18"/>
      </w:rPr>
    </w:pPr>
  </w:p>
  <w:p w14:paraId="7ABB0B27" w14:textId="77777777" w:rsidR="002D7DED" w:rsidRDefault="002D7DED" w:rsidP="0097597C">
    <w:pPr>
      <w:pStyle w:val="Piedepgina"/>
      <w:tabs>
        <w:tab w:val="clear" w:pos="8504"/>
        <w:tab w:val="right" w:pos="9214"/>
      </w:tabs>
      <w:rPr>
        <w:sz w:val="18"/>
        <w:szCs w:val="18"/>
      </w:rPr>
    </w:pPr>
  </w:p>
  <w:p w14:paraId="42EA205C" w14:textId="57915CF4" w:rsidR="00246777" w:rsidRPr="002D7DED" w:rsidRDefault="00010A95" w:rsidP="002D7DED">
    <w:pPr>
      <w:pStyle w:val="Piedepgina"/>
      <w:tabs>
        <w:tab w:val="clear" w:pos="8504"/>
        <w:tab w:val="right" w:pos="9214"/>
      </w:tabs>
      <w:rPr>
        <w:sz w:val="18"/>
      </w:rPr>
    </w:pPr>
    <w:r>
      <w:rPr>
        <w:sz w:val="18"/>
        <w:szCs w:val="18"/>
      </w:rPr>
      <w:t xml:space="preserve">Circular Externa </w:t>
    </w:r>
    <w:r w:rsidR="000C315F">
      <w:rPr>
        <w:sz w:val="18"/>
        <w:szCs w:val="18"/>
      </w:rPr>
      <w:t>026</w:t>
    </w:r>
    <w:r>
      <w:rPr>
        <w:sz w:val="18"/>
        <w:szCs w:val="18"/>
      </w:rPr>
      <w:t xml:space="preserve"> de 2021</w:t>
    </w:r>
    <w:r>
      <w:rPr>
        <w:sz w:val="18"/>
      </w:rPr>
      <w:tab/>
    </w:r>
    <w:r>
      <w:rPr>
        <w:sz w:val="18"/>
      </w:rPr>
      <w:tab/>
    </w:r>
    <w:proofErr w:type="gramStart"/>
    <w:r w:rsidR="000C315F">
      <w:rPr>
        <w:sz w:val="18"/>
      </w:rPr>
      <w:t>Noviembre</w:t>
    </w:r>
    <w:proofErr w:type="gramEnd"/>
    <w:r>
      <w:rPr>
        <w:sz w:val="18"/>
      </w:rPr>
      <w:t xml:space="preserv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5E1ED" w14:textId="77777777" w:rsidR="007804AA" w:rsidRDefault="007804AA">
      <w:r>
        <w:separator/>
      </w:r>
    </w:p>
  </w:footnote>
  <w:footnote w:type="continuationSeparator" w:id="0">
    <w:p w14:paraId="1AC2CCE9" w14:textId="77777777" w:rsidR="007804AA" w:rsidRDefault="00780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0192A" w14:textId="77777777" w:rsidR="00010A95" w:rsidRDefault="00010A95" w:rsidP="00010A95">
    <w:pPr>
      <w:pStyle w:val="Encabezado"/>
      <w:tabs>
        <w:tab w:val="clear" w:pos="8504"/>
        <w:tab w:val="right" w:pos="9356"/>
      </w:tabs>
      <w:jc w:val="center"/>
      <w:rPr>
        <w:rFonts w:cs="Arial"/>
      </w:rPr>
    </w:pPr>
    <w:r w:rsidRPr="00D90DC5">
      <w:rPr>
        <w:rFonts w:cs="Arial"/>
      </w:rPr>
      <w:t>SUPERINTENDENCIA FINANCIERA DE COLOMBIA</w:t>
    </w:r>
  </w:p>
  <w:p w14:paraId="2F622B90" w14:textId="77777777" w:rsidR="00010A95" w:rsidRDefault="00010A95" w:rsidP="00010A95">
    <w:pPr>
      <w:ind w:right="188"/>
      <w:rPr>
        <w:sz w:val="18"/>
      </w:rPr>
    </w:pPr>
  </w:p>
  <w:p w14:paraId="642DFBD7" w14:textId="77777777" w:rsidR="00010A95" w:rsidRPr="00457553" w:rsidRDefault="00010A95" w:rsidP="00010A95">
    <w:pPr>
      <w:ind w:right="188"/>
      <w:rPr>
        <w:sz w:val="18"/>
      </w:rPr>
    </w:pPr>
    <w:r>
      <w:rPr>
        <w:sz w:val="18"/>
      </w:rPr>
      <w:t xml:space="preserve">CAPITULO I – 1 CLASIFICACIÓN, VALORACIÓN Y CONTABILIZACIÓN DE INVERSIONES </w:t>
    </w:r>
    <w:r w:rsidRPr="00457553">
      <w:rPr>
        <w:sz w:val="18"/>
      </w:rPr>
      <w:t>PARA ESTADOS</w:t>
    </w:r>
  </w:p>
  <w:p w14:paraId="532360B7" w14:textId="77777777" w:rsidR="00010A95" w:rsidRDefault="00010A95" w:rsidP="00010A95">
    <w:pPr>
      <w:ind w:right="188"/>
      <w:rPr>
        <w:sz w:val="18"/>
      </w:rPr>
    </w:pPr>
    <w:r w:rsidRPr="00457553">
      <w:rPr>
        <w:sz w:val="18"/>
      </w:rPr>
      <w:t>FINANCIEROS INDIVIDUALES O SEPARADOS</w:t>
    </w:r>
  </w:p>
  <w:p w14:paraId="0F421EC1" w14:textId="28A7D5BA" w:rsidR="00010A95" w:rsidRDefault="00010A95" w:rsidP="00010A95">
    <w:pPr>
      <w:pStyle w:val="Encabezado"/>
      <w:ind w:right="360"/>
      <w:rPr>
        <w:rStyle w:val="Nmerodepgina"/>
        <w:sz w:val="18"/>
      </w:rPr>
    </w:pPr>
    <w:r>
      <w:rPr>
        <w:sz w:val="18"/>
      </w:rPr>
      <w:t xml:space="preserve">Página </w:t>
    </w:r>
    <w:r w:rsidR="00144452">
      <w:rPr>
        <w:rStyle w:val="Nmerodepgina"/>
        <w:sz w:val="18"/>
      </w:rPr>
      <w:t>3</w:t>
    </w:r>
  </w:p>
  <w:p w14:paraId="694890E0" w14:textId="77777777" w:rsidR="00010A95" w:rsidRDefault="00010A9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4163" w14:textId="77777777" w:rsidR="00246777" w:rsidRDefault="00246777" w:rsidP="0097597C">
    <w:pPr>
      <w:pStyle w:val="Encabezado"/>
      <w:tabs>
        <w:tab w:val="clear" w:pos="8504"/>
        <w:tab w:val="right" w:pos="9356"/>
      </w:tabs>
      <w:jc w:val="center"/>
      <w:rPr>
        <w:rFonts w:cs="Arial"/>
      </w:rPr>
    </w:pPr>
    <w:r w:rsidRPr="00D90DC5">
      <w:rPr>
        <w:rFonts w:cs="Arial"/>
      </w:rPr>
      <w:t>SUPERINTENDENCIA FINANCIERA DE COLOMBIA</w:t>
    </w:r>
  </w:p>
  <w:p w14:paraId="0F7945EA" w14:textId="77777777" w:rsidR="00246777" w:rsidRDefault="00246777" w:rsidP="0097597C">
    <w:pPr>
      <w:ind w:right="188"/>
      <w:rPr>
        <w:sz w:val="18"/>
      </w:rPr>
    </w:pPr>
  </w:p>
  <w:p w14:paraId="3A7BD868" w14:textId="77777777" w:rsidR="00246777" w:rsidRPr="00457553" w:rsidRDefault="00246777" w:rsidP="0097597C">
    <w:pPr>
      <w:ind w:right="188"/>
      <w:rPr>
        <w:sz w:val="18"/>
      </w:rPr>
    </w:pPr>
    <w:r>
      <w:rPr>
        <w:sz w:val="18"/>
      </w:rPr>
      <w:t xml:space="preserve">CAPITULO I – 1 CLASIFICACIÓN, VALORACIÓN Y CONTABILIZACIÓN DE INVERSIONES </w:t>
    </w:r>
    <w:r w:rsidRPr="00457553">
      <w:rPr>
        <w:sz w:val="18"/>
      </w:rPr>
      <w:t>PARA ESTADOS</w:t>
    </w:r>
  </w:p>
  <w:p w14:paraId="3C29E2AD" w14:textId="77777777" w:rsidR="00246777" w:rsidRDefault="00246777" w:rsidP="0097597C">
    <w:pPr>
      <w:ind w:right="188"/>
      <w:rPr>
        <w:sz w:val="18"/>
      </w:rPr>
    </w:pPr>
    <w:r w:rsidRPr="00457553">
      <w:rPr>
        <w:sz w:val="18"/>
      </w:rPr>
      <w:t>FINANCIEROS INDIVIDUALES O SEPARADOS</w:t>
    </w:r>
  </w:p>
  <w:p w14:paraId="2DE9D8F8" w14:textId="7965556B" w:rsidR="00246777" w:rsidRDefault="00246777" w:rsidP="0097597C">
    <w:pPr>
      <w:pStyle w:val="Encabezado"/>
      <w:ind w:right="360"/>
      <w:rPr>
        <w:rStyle w:val="Nmerodepgina"/>
        <w:sz w:val="18"/>
      </w:rPr>
    </w:pPr>
    <w:r>
      <w:rPr>
        <w:sz w:val="18"/>
      </w:rPr>
      <w:t xml:space="preserve">Página </w:t>
    </w:r>
    <w:r w:rsidR="00144452">
      <w:rPr>
        <w:rStyle w:val="Nmerodepgina"/>
        <w:sz w:val="18"/>
      </w:rPr>
      <w:t>2</w:t>
    </w:r>
  </w:p>
  <w:p w14:paraId="7F357EED" w14:textId="77777777" w:rsidR="00246777" w:rsidRDefault="00246777">
    <w:pPr>
      <w:pStyle w:val="Encabezado"/>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48A5"/>
    <w:multiLevelType w:val="hybridMultilevel"/>
    <w:tmpl w:val="D30C285E"/>
    <w:lvl w:ilvl="0" w:tplc="0C0A0017">
      <w:start w:val="1"/>
      <w:numFmt w:val="lowerLetter"/>
      <w:lvlText w:val="%1)"/>
      <w:lvlJc w:val="left"/>
      <w:pPr>
        <w:ind w:left="1068" w:hanging="360"/>
      </w:pPr>
      <w:rPr>
        <w:rFonts w:cs="Times New Roman"/>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15:restartNumberingAfterBreak="0">
    <w:nsid w:val="051F3781"/>
    <w:multiLevelType w:val="hybridMultilevel"/>
    <w:tmpl w:val="77FA4F84"/>
    <w:lvl w:ilvl="0" w:tplc="0630B24A">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AD67481"/>
    <w:multiLevelType w:val="hybridMultilevel"/>
    <w:tmpl w:val="2160CB3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BA72C1E"/>
    <w:multiLevelType w:val="hybridMultilevel"/>
    <w:tmpl w:val="FD880694"/>
    <w:lvl w:ilvl="0" w:tplc="DFC4DFA2">
      <w:start w:val="1"/>
      <w:numFmt w:val="lowerLetter"/>
      <w:lvlText w:val="%1."/>
      <w:lvlJc w:val="left"/>
      <w:pPr>
        <w:ind w:left="1065" w:hanging="705"/>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FD756EF"/>
    <w:multiLevelType w:val="hybridMultilevel"/>
    <w:tmpl w:val="BAE4410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20907D3"/>
    <w:multiLevelType w:val="hybridMultilevel"/>
    <w:tmpl w:val="CB10D286"/>
    <w:lvl w:ilvl="0" w:tplc="E6F29046">
      <w:start w:val="1"/>
      <w:numFmt w:val="lowerLetter"/>
      <w:lvlText w:val="%1."/>
      <w:lvlJc w:val="left"/>
      <w:pPr>
        <w:ind w:left="930" w:hanging="57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5C1D81"/>
    <w:multiLevelType w:val="hybridMultilevel"/>
    <w:tmpl w:val="60EA4FE0"/>
    <w:lvl w:ilvl="0" w:tplc="DBC245FC">
      <w:start w:val="1"/>
      <w:numFmt w:val="lowerRoman"/>
      <w:lvlText w:val="(%1)"/>
      <w:lvlJc w:val="left"/>
      <w:pPr>
        <w:ind w:left="1287" w:hanging="72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 w15:restartNumberingAfterBreak="0">
    <w:nsid w:val="1A706FCE"/>
    <w:multiLevelType w:val="hybridMultilevel"/>
    <w:tmpl w:val="7D828236"/>
    <w:lvl w:ilvl="0" w:tplc="C84C8D0C">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D43DB1"/>
    <w:multiLevelType w:val="hybridMultilevel"/>
    <w:tmpl w:val="68EE0784"/>
    <w:lvl w:ilvl="0" w:tplc="3DD21456">
      <w:start w:val="1"/>
      <w:numFmt w:val="lowerRoman"/>
      <w:lvlText w:val="(%1)"/>
      <w:lvlJc w:val="left"/>
      <w:pPr>
        <w:tabs>
          <w:tab w:val="num" w:pos="1080"/>
        </w:tabs>
        <w:ind w:left="1080" w:hanging="72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4493A85"/>
    <w:multiLevelType w:val="hybridMultilevel"/>
    <w:tmpl w:val="F566E1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48D5DB7"/>
    <w:multiLevelType w:val="multilevel"/>
    <w:tmpl w:val="1CB48630"/>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56844F8"/>
    <w:multiLevelType w:val="hybridMultilevel"/>
    <w:tmpl w:val="F8964D5A"/>
    <w:lvl w:ilvl="0" w:tplc="DA906D6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8080278"/>
    <w:multiLevelType w:val="hybridMultilevel"/>
    <w:tmpl w:val="B58E7D3A"/>
    <w:lvl w:ilvl="0" w:tplc="F3C8C8CA">
      <w:start w:val="2"/>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BD65A4B"/>
    <w:multiLevelType w:val="multilevel"/>
    <w:tmpl w:val="1A5E0A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82359C9"/>
    <w:multiLevelType w:val="hybridMultilevel"/>
    <w:tmpl w:val="A122106E"/>
    <w:lvl w:ilvl="0" w:tplc="E5DA91BE">
      <w:start w:val="1"/>
      <w:numFmt w:val="lowerRoman"/>
      <w:lvlText w:val="(%1)"/>
      <w:lvlJc w:val="left"/>
      <w:pPr>
        <w:tabs>
          <w:tab w:val="num" w:pos="810"/>
        </w:tabs>
        <w:ind w:left="810" w:hanging="720"/>
      </w:pPr>
      <w:rPr>
        <w:rFonts w:hint="default"/>
      </w:rPr>
    </w:lvl>
    <w:lvl w:ilvl="1" w:tplc="240A0019" w:tentative="1">
      <w:start w:val="1"/>
      <w:numFmt w:val="lowerLetter"/>
      <w:lvlText w:val="%2."/>
      <w:lvlJc w:val="left"/>
      <w:pPr>
        <w:tabs>
          <w:tab w:val="num" w:pos="1170"/>
        </w:tabs>
        <w:ind w:left="1170" w:hanging="360"/>
      </w:pPr>
    </w:lvl>
    <w:lvl w:ilvl="2" w:tplc="240A001B" w:tentative="1">
      <w:start w:val="1"/>
      <w:numFmt w:val="lowerRoman"/>
      <w:lvlText w:val="%3."/>
      <w:lvlJc w:val="right"/>
      <w:pPr>
        <w:tabs>
          <w:tab w:val="num" w:pos="1890"/>
        </w:tabs>
        <w:ind w:left="1890" w:hanging="180"/>
      </w:pPr>
    </w:lvl>
    <w:lvl w:ilvl="3" w:tplc="240A000F" w:tentative="1">
      <w:start w:val="1"/>
      <w:numFmt w:val="decimal"/>
      <w:lvlText w:val="%4."/>
      <w:lvlJc w:val="left"/>
      <w:pPr>
        <w:tabs>
          <w:tab w:val="num" w:pos="2610"/>
        </w:tabs>
        <w:ind w:left="2610" w:hanging="360"/>
      </w:pPr>
    </w:lvl>
    <w:lvl w:ilvl="4" w:tplc="240A0019" w:tentative="1">
      <w:start w:val="1"/>
      <w:numFmt w:val="lowerLetter"/>
      <w:lvlText w:val="%5."/>
      <w:lvlJc w:val="left"/>
      <w:pPr>
        <w:tabs>
          <w:tab w:val="num" w:pos="3330"/>
        </w:tabs>
        <w:ind w:left="3330" w:hanging="360"/>
      </w:pPr>
    </w:lvl>
    <w:lvl w:ilvl="5" w:tplc="240A001B" w:tentative="1">
      <w:start w:val="1"/>
      <w:numFmt w:val="lowerRoman"/>
      <w:lvlText w:val="%6."/>
      <w:lvlJc w:val="right"/>
      <w:pPr>
        <w:tabs>
          <w:tab w:val="num" w:pos="4050"/>
        </w:tabs>
        <w:ind w:left="4050" w:hanging="180"/>
      </w:pPr>
    </w:lvl>
    <w:lvl w:ilvl="6" w:tplc="240A000F" w:tentative="1">
      <w:start w:val="1"/>
      <w:numFmt w:val="decimal"/>
      <w:lvlText w:val="%7."/>
      <w:lvlJc w:val="left"/>
      <w:pPr>
        <w:tabs>
          <w:tab w:val="num" w:pos="4770"/>
        </w:tabs>
        <w:ind w:left="4770" w:hanging="360"/>
      </w:pPr>
    </w:lvl>
    <w:lvl w:ilvl="7" w:tplc="240A0019" w:tentative="1">
      <w:start w:val="1"/>
      <w:numFmt w:val="lowerLetter"/>
      <w:lvlText w:val="%8."/>
      <w:lvlJc w:val="left"/>
      <w:pPr>
        <w:tabs>
          <w:tab w:val="num" w:pos="5490"/>
        </w:tabs>
        <w:ind w:left="5490" w:hanging="360"/>
      </w:pPr>
    </w:lvl>
    <w:lvl w:ilvl="8" w:tplc="240A001B" w:tentative="1">
      <w:start w:val="1"/>
      <w:numFmt w:val="lowerRoman"/>
      <w:lvlText w:val="%9."/>
      <w:lvlJc w:val="right"/>
      <w:pPr>
        <w:tabs>
          <w:tab w:val="num" w:pos="6210"/>
        </w:tabs>
        <w:ind w:left="6210" w:hanging="180"/>
      </w:pPr>
    </w:lvl>
  </w:abstractNum>
  <w:abstractNum w:abstractNumId="15" w15:restartNumberingAfterBreak="0">
    <w:nsid w:val="3999585D"/>
    <w:multiLevelType w:val="multilevel"/>
    <w:tmpl w:val="7B48D8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1E4F59"/>
    <w:multiLevelType w:val="hybridMultilevel"/>
    <w:tmpl w:val="33A24D14"/>
    <w:lvl w:ilvl="0" w:tplc="84F66558">
      <w:start w:val="1"/>
      <w:numFmt w:val="lowerRoman"/>
      <w:lvlText w:val="(%1)"/>
      <w:lvlJc w:val="left"/>
      <w:pPr>
        <w:ind w:left="720" w:hanging="360"/>
      </w:pPr>
      <w:rPr>
        <w:rFonts w:hint="default"/>
        <w:b w:val="0"/>
      </w:rPr>
    </w:lvl>
    <w:lvl w:ilvl="1" w:tplc="FFFFFFFF">
      <w:start w:val="1"/>
      <w:numFmt w:val="lowerRoman"/>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F97211"/>
    <w:multiLevelType w:val="hybridMultilevel"/>
    <w:tmpl w:val="D554A2D4"/>
    <w:lvl w:ilvl="0" w:tplc="1E0627E0">
      <w:start w:val="1"/>
      <w:numFmt w:val="lowerLetter"/>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44A07C3"/>
    <w:multiLevelType w:val="hybridMultilevel"/>
    <w:tmpl w:val="019657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6B25DE6"/>
    <w:multiLevelType w:val="hybridMultilevel"/>
    <w:tmpl w:val="0478D080"/>
    <w:lvl w:ilvl="0" w:tplc="F41ED056">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47803E94"/>
    <w:multiLevelType w:val="hybridMultilevel"/>
    <w:tmpl w:val="4D14490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9B155FC"/>
    <w:multiLevelType w:val="hybridMultilevel"/>
    <w:tmpl w:val="DC4E37CA"/>
    <w:lvl w:ilvl="0" w:tplc="FFFFFFFF">
      <w:start w:val="2"/>
      <w:numFmt w:val="lowerRoman"/>
      <w:lvlText w:val="(%1)"/>
      <w:lvlJc w:val="left"/>
      <w:pPr>
        <w:tabs>
          <w:tab w:val="num" w:pos="720"/>
        </w:tabs>
        <w:ind w:left="720" w:hanging="72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4F4B39AF"/>
    <w:multiLevelType w:val="hybridMultilevel"/>
    <w:tmpl w:val="F88CC8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07E38BB"/>
    <w:multiLevelType w:val="hybridMultilevel"/>
    <w:tmpl w:val="7932D318"/>
    <w:lvl w:ilvl="0" w:tplc="E1D67462">
      <w:start w:val="1"/>
      <w:numFmt w:val="lowerLetter"/>
      <w:lvlText w:val="%1."/>
      <w:lvlJc w:val="left"/>
      <w:pPr>
        <w:tabs>
          <w:tab w:val="num" w:pos="1080"/>
        </w:tabs>
        <w:ind w:left="1080" w:hanging="1080"/>
      </w:pPr>
      <w:rPr>
        <w:rFonts w:ascii="Arial" w:hAnsi="Arial" w:cs="Arial" w:hint="default"/>
        <w:b/>
        <w:caps w:val="0"/>
        <w:strike w:val="0"/>
        <w:dstrike w:val="0"/>
        <w:vanish w:val="0"/>
        <w:color w:val="000000"/>
        <w:sz w:val="22"/>
        <w:szCs w:val="22"/>
        <w:vertAlign w:val="baseline"/>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AD14872"/>
    <w:multiLevelType w:val="hybridMultilevel"/>
    <w:tmpl w:val="91029D38"/>
    <w:lvl w:ilvl="0" w:tplc="060A1D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EDB31D1"/>
    <w:multiLevelType w:val="hybridMultilevel"/>
    <w:tmpl w:val="712054AE"/>
    <w:lvl w:ilvl="0" w:tplc="300EEB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F742471"/>
    <w:multiLevelType w:val="singleLevel"/>
    <w:tmpl w:val="2A4C1FCA"/>
    <w:lvl w:ilvl="0">
      <w:start w:val="1"/>
      <w:numFmt w:val="lowerLetter"/>
      <w:lvlText w:val="%1."/>
      <w:lvlJc w:val="left"/>
      <w:pPr>
        <w:tabs>
          <w:tab w:val="num" w:pos="360"/>
        </w:tabs>
        <w:ind w:left="360" w:hanging="360"/>
      </w:pPr>
      <w:rPr>
        <w:rFonts w:ascii="Arial" w:hAnsi="Arial" w:cs="Arial" w:hint="default"/>
        <w:b w:val="0"/>
        <w:i w:val="0"/>
        <w:strike w:val="0"/>
        <w:dstrike w:val="0"/>
        <w:sz w:val="18"/>
        <w:szCs w:val="18"/>
      </w:rPr>
    </w:lvl>
  </w:abstractNum>
  <w:abstractNum w:abstractNumId="27" w15:restartNumberingAfterBreak="0">
    <w:nsid w:val="62937253"/>
    <w:multiLevelType w:val="hybridMultilevel"/>
    <w:tmpl w:val="AB94E29C"/>
    <w:lvl w:ilvl="0" w:tplc="3FE6A93E">
      <w:start w:val="1"/>
      <w:numFmt w:val="lowerLetter"/>
      <w:lvlText w:val="%1."/>
      <w:lvlJc w:val="left"/>
      <w:pPr>
        <w:tabs>
          <w:tab w:val="num" w:pos="720"/>
        </w:tabs>
        <w:ind w:left="720" w:hanging="720"/>
      </w:pPr>
      <w:rPr>
        <w:rFonts w:hint="default"/>
        <w:b/>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8" w15:restartNumberingAfterBreak="0">
    <w:nsid w:val="63F275C3"/>
    <w:multiLevelType w:val="multilevel"/>
    <w:tmpl w:val="1826D202"/>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64845DBF"/>
    <w:multiLevelType w:val="hybridMultilevel"/>
    <w:tmpl w:val="6D20D57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674A5246"/>
    <w:multiLevelType w:val="hybridMultilevel"/>
    <w:tmpl w:val="2132D8A6"/>
    <w:lvl w:ilvl="0" w:tplc="2902B8C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7BF5FC4"/>
    <w:multiLevelType w:val="hybridMultilevel"/>
    <w:tmpl w:val="9E909206"/>
    <w:lvl w:ilvl="0" w:tplc="782CB76A">
      <w:start w:val="1"/>
      <w:numFmt w:val="lowerLetter"/>
      <w:lvlText w:val="%1."/>
      <w:lvlJc w:val="left"/>
      <w:pPr>
        <w:tabs>
          <w:tab w:val="num" w:pos="1080"/>
        </w:tabs>
        <w:ind w:left="1080" w:hanging="1080"/>
      </w:pPr>
      <w:rPr>
        <w:rFonts w:ascii="Arial" w:hAnsi="Arial" w:cs="Arial" w:hint="default"/>
        <w:caps w:val="0"/>
        <w:strike w:val="0"/>
        <w:dstrike w:val="0"/>
        <w:vanish w:val="0"/>
        <w:color w:val="000000"/>
        <w:sz w:val="20"/>
        <w:szCs w:val="18"/>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B96152F"/>
    <w:multiLevelType w:val="hybridMultilevel"/>
    <w:tmpl w:val="2D66EB2A"/>
    <w:lvl w:ilvl="0" w:tplc="0590E1B2">
      <w:start w:val="1"/>
      <w:numFmt w:val="lowerRoman"/>
      <w:lvlText w:val="(%1)"/>
      <w:lvlJc w:val="left"/>
      <w:pPr>
        <w:ind w:left="720" w:hanging="72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6E353BFF"/>
    <w:multiLevelType w:val="hybridMultilevel"/>
    <w:tmpl w:val="CF84A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15:restartNumberingAfterBreak="0">
    <w:nsid w:val="717D1E1C"/>
    <w:multiLevelType w:val="multilevel"/>
    <w:tmpl w:val="8D00B4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5" w15:restartNumberingAfterBreak="0">
    <w:nsid w:val="7411037A"/>
    <w:multiLevelType w:val="hybridMultilevel"/>
    <w:tmpl w:val="A7C825D0"/>
    <w:lvl w:ilvl="0" w:tplc="240A000F">
      <w:start w:val="3"/>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74FE0AD5"/>
    <w:multiLevelType w:val="multilevel"/>
    <w:tmpl w:val="7130D07A"/>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9402A9"/>
    <w:multiLevelType w:val="hybridMultilevel"/>
    <w:tmpl w:val="69F8D9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7BC32AE"/>
    <w:multiLevelType w:val="hybridMultilevel"/>
    <w:tmpl w:val="64AC7E32"/>
    <w:lvl w:ilvl="0" w:tplc="C4604AF0">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7B623E19"/>
    <w:multiLevelType w:val="hybridMultilevel"/>
    <w:tmpl w:val="7DC0B25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245CF2"/>
    <w:multiLevelType w:val="hybridMultilevel"/>
    <w:tmpl w:val="E4508B4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34"/>
  </w:num>
  <w:num w:numId="3">
    <w:abstractNumId w:val="23"/>
  </w:num>
  <w:num w:numId="4">
    <w:abstractNumId w:val="31"/>
  </w:num>
  <w:num w:numId="5">
    <w:abstractNumId w:val="20"/>
  </w:num>
  <w:num w:numId="6">
    <w:abstractNumId w:val="39"/>
  </w:num>
  <w:num w:numId="7">
    <w:abstractNumId w:val="10"/>
  </w:num>
  <w:num w:numId="8">
    <w:abstractNumId w:val="28"/>
  </w:num>
  <w:num w:numId="9">
    <w:abstractNumId w:val="40"/>
  </w:num>
  <w:num w:numId="10">
    <w:abstractNumId w:val="9"/>
  </w:num>
  <w:num w:numId="11">
    <w:abstractNumId w:val="21"/>
  </w:num>
  <w:num w:numId="12">
    <w:abstractNumId w:val="14"/>
  </w:num>
  <w:num w:numId="13">
    <w:abstractNumId w:val="27"/>
  </w:num>
  <w:num w:numId="14">
    <w:abstractNumId w:val="12"/>
  </w:num>
  <w:num w:numId="15">
    <w:abstractNumId w:val="8"/>
  </w:num>
  <w:num w:numId="16">
    <w:abstractNumId w:val="2"/>
  </w:num>
  <w:num w:numId="17">
    <w:abstractNumId w:val="33"/>
  </w:num>
  <w:num w:numId="18">
    <w:abstractNumId w:val="29"/>
  </w:num>
  <w:num w:numId="19">
    <w:abstractNumId w:val="0"/>
  </w:num>
  <w:num w:numId="20">
    <w:abstractNumId w:val="24"/>
  </w:num>
  <w:num w:numId="21">
    <w:abstractNumId w:val="15"/>
  </w:num>
  <w:num w:numId="22">
    <w:abstractNumId w:val="24"/>
    <w:lvlOverride w:ilvl="0">
      <w:startOverride w:val="8"/>
    </w:lvlOverride>
  </w:num>
  <w:num w:numId="23">
    <w:abstractNumId w:val="13"/>
  </w:num>
  <w:num w:numId="24">
    <w:abstractNumId w:val="24"/>
    <w:lvlOverride w:ilvl="0">
      <w:startOverride w:val="8"/>
    </w:lvlOverride>
  </w:num>
  <w:num w:numId="25">
    <w:abstractNumId w:val="22"/>
  </w:num>
  <w:num w:numId="26">
    <w:abstractNumId w:val="11"/>
  </w:num>
  <w:num w:numId="27">
    <w:abstractNumId w:val="30"/>
  </w:num>
  <w:num w:numId="28">
    <w:abstractNumId w:val="1"/>
  </w:num>
  <w:num w:numId="29">
    <w:abstractNumId w:val="19"/>
  </w:num>
  <w:num w:numId="30">
    <w:abstractNumId w:val="32"/>
  </w:num>
  <w:num w:numId="31">
    <w:abstractNumId w:val="18"/>
  </w:num>
  <w:num w:numId="32">
    <w:abstractNumId w:val="35"/>
  </w:num>
  <w:num w:numId="33">
    <w:abstractNumId w:val="37"/>
  </w:num>
  <w:num w:numId="34">
    <w:abstractNumId w:val="5"/>
  </w:num>
  <w:num w:numId="35">
    <w:abstractNumId w:val="25"/>
  </w:num>
  <w:num w:numId="36">
    <w:abstractNumId w:val="3"/>
  </w:num>
  <w:num w:numId="37">
    <w:abstractNumId w:val="36"/>
  </w:num>
  <w:num w:numId="38">
    <w:abstractNumId w:val="17"/>
  </w:num>
  <w:num w:numId="39">
    <w:abstractNumId w:val="16"/>
  </w:num>
  <w:num w:numId="40">
    <w:abstractNumId w:val="6"/>
  </w:num>
  <w:num w:numId="41">
    <w:abstractNumId w:val="7"/>
  </w:num>
  <w:num w:numId="42">
    <w:abstractNumId w:val="4"/>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74E"/>
    <w:rsid w:val="0000423C"/>
    <w:rsid w:val="00010A95"/>
    <w:rsid w:val="00014AF6"/>
    <w:rsid w:val="00015954"/>
    <w:rsid w:val="00025F93"/>
    <w:rsid w:val="000309C5"/>
    <w:rsid w:val="00030FED"/>
    <w:rsid w:val="00032F8C"/>
    <w:rsid w:val="00034145"/>
    <w:rsid w:val="000360D8"/>
    <w:rsid w:val="00036CEF"/>
    <w:rsid w:val="0004248D"/>
    <w:rsid w:val="00045CE4"/>
    <w:rsid w:val="00045F09"/>
    <w:rsid w:val="00050858"/>
    <w:rsid w:val="00054313"/>
    <w:rsid w:val="00062CFF"/>
    <w:rsid w:val="00065A8A"/>
    <w:rsid w:val="00066A96"/>
    <w:rsid w:val="00066B81"/>
    <w:rsid w:val="00066C30"/>
    <w:rsid w:val="00070109"/>
    <w:rsid w:val="00071A8F"/>
    <w:rsid w:val="00072B20"/>
    <w:rsid w:val="00073646"/>
    <w:rsid w:val="00077420"/>
    <w:rsid w:val="00082603"/>
    <w:rsid w:val="00082732"/>
    <w:rsid w:val="00082846"/>
    <w:rsid w:val="00083270"/>
    <w:rsid w:val="000854C2"/>
    <w:rsid w:val="00087872"/>
    <w:rsid w:val="00091878"/>
    <w:rsid w:val="000969BE"/>
    <w:rsid w:val="000A22D4"/>
    <w:rsid w:val="000B61DF"/>
    <w:rsid w:val="000B679F"/>
    <w:rsid w:val="000C01BA"/>
    <w:rsid w:val="000C1A5C"/>
    <w:rsid w:val="000C315F"/>
    <w:rsid w:val="000C39BF"/>
    <w:rsid w:val="000C413E"/>
    <w:rsid w:val="000D0A49"/>
    <w:rsid w:val="000D1386"/>
    <w:rsid w:val="000D2CAB"/>
    <w:rsid w:val="000D2FDE"/>
    <w:rsid w:val="000D6A01"/>
    <w:rsid w:val="000E0984"/>
    <w:rsid w:val="000E58F4"/>
    <w:rsid w:val="001003F7"/>
    <w:rsid w:val="00101E4D"/>
    <w:rsid w:val="00102C2C"/>
    <w:rsid w:val="00112A4E"/>
    <w:rsid w:val="00113162"/>
    <w:rsid w:val="001209A9"/>
    <w:rsid w:val="00122079"/>
    <w:rsid w:val="00124563"/>
    <w:rsid w:val="00125BB5"/>
    <w:rsid w:val="0013376F"/>
    <w:rsid w:val="001342DF"/>
    <w:rsid w:val="0013465E"/>
    <w:rsid w:val="001348E2"/>
    <w:rsid w:val="00144452"/>
    <w:rsid w:val="001451D3"/>
    <w:rsid w:val="00145609"/>
    <w:rsid w:val="00151762"/>
    <w:rsid w:val="0015319A"/>
    <w:rsid w:val="001550DC"/>
    <w:rsid w:val="001604FE"/>
    <w:rsid w:val="00160E71"/>
    <w:rsid w:val="0016794C"/>
    <w:rsid w:val="001706ED"/>
    <w:rsid w:val="00175389"/>
    <w:rsid w:val="0018115A"/>
    <w:rsid w:val="00181A65"/>
    <w:rsid w:val="00182952"/>
    <w:rsid w:val="0018333C"/>
    <w:rsid w:val="00185C91"/>
    <w:rsid w:val="00186474"/>
    <w:rsid w:val="001877BA"/>
    <w:rsid w:val="00195055"/>
    <w:rsid w:val="00195A95"/>
    <w:rsid w:val="001972FD"/>
    <w:rsid w:val="001A1AF5"/>
    <w:rsid w:val="001A1DCD"/>
    <w:rsid w:val="001A4269"/>
    <w:rsid w:val="001B0613"/>
    <w:rsid w:val="001B3AE4"/>
    <w:rsid w:val="001B3E82"/>
    <w:rsid w:val="001B795B"/>
    <w:rsid w:val="001C7630"/>
    <w:rsid w:val="001C7CB4"/>
    <w:rsid w:val="001D5537"/>
    <w:rsid w:val="001D5C33"/>
    <w:rsid w:val="001D7873"/>
    <w:rsid w:val="001E4964"/>
    <w:rsid w:val="001F4442"/>
    <w:rsid w:val="001F50E8"/>
    <w:rsid w:val="00203365"/>
    <w:rsid w:val="002034D7"/>
    <w:rsid w:val="002035EC"/>
    <w:rsid w:val="00205BBB"/>
    <w:rsid w:val="002232A8"/>
    <w:rsid w:val="002275F8"/>
    <w:rsid w:val="00231086"/>
    <w:rsid w:val="0023757D"/>
    <w:rsid w:val="0024602E"/>
    <w:rsid w:val="00246777"/>
    <w:rsid w:val="00250223"/>
    <w:rsid w:val="0025238D"/>
    <w:rsid w:val="00256909"/>
    <w:rsid w:val="00257683"/>
    <w:rsid w:val="00260EEC"/>
    <w:rsid w:val="00263CC3"/>
    <w:rsid w:val="0026458E"/>
    <w:rsid w:val="00264DA0"/>
    <w:rsid w:val="002671C8"/>
    <w:rsid w:val="00274D70"/>
    <w:rsid w:val="00275AF6"/>
    <w:rsid w:val="00280395"/>
    <w:rsid w:val="002831A0"/>
    <w:rsid w:val="0028538C"/>
    <w:rsid w:val="002854FE"/>
    <w:rsid w:val="00285C6D"/>
    <w:rsid w:val="00286A4C"/>
    <w:rsid w:val="002913A2"/>
    <w:rsid w:val="00291886"/>
    <w:rsid w:val="00291F16"/>
    <w:rsid w:val="0029694E"/>
    <w:rsid w:val="00297C26"/>
    <w:rsid w:val="002A6E4B"/>
    <w:rsid w:val="002A7BFC"/>
    <w:rsid w:val="002C3F58"/>
    <w:rsid w:val="002C4497"/>
    <w:rsid w:val="002C5BC0"/>
    <w:rsid w:val="002D5837"/>
    <w:rsid w:val="002D5A06"/>
    <w:rsid w:val="002D7DED"/>
    <w:rsid w:val="002D7FD6"/>
    <w:rsid w:val="002E19F1"/>
    <w:rsid w:val="002E2E56"/>
    <w:rsid w:val="002E79C0"/>
    <w:rsid w:val="002F1A13"/>
    <w:rsid w:val="002F2BAE"/>
    <w:rsid w:val="002F5483"/>
    <w:rsid w:val="002F7A11"/>
    <w:rsid w:val="00302272"/>
    <w:rsid w:val="003078BB"/>
    <w:rsid w:val="00312BF7"/>
    <w:rsid w:val="00313B3C"/>
    <w:rsid w:val="00314A6F"/>
    <w:rsid w:val="00314C64"/>
    <w:rsid w:val="00315CA2"/>
    <w:rsid w:val="0031737F"/>
    <w:rsid w:val="003206CA"/>
    <w:rsid w:val="00323701"/>
    <w:rsid w:val="00326DEC"/>
    <w:rsid w:val="003273B6"/>
    <w:rsid w:val="0032762F"/>
    <w:rsid w:val="0033145B"/>
    <w:rsid w:val="00331E72"/>
    <w:rsid w:val="00334342"/>
    <w:rsid w:val="00341956"/>
    <w:rsid w:val="00345A9A"/>
    <w:rsid w:val="00347949"/>
    <w:rsid w:val="00347C80"/>
    <w:rsid w:val="00350DAE"/>
    <w:rsid w:val="00352F0C"/>
    <w:rsid w:val="003566A2"/>
    <w:rsid w:val="00356726"/>
    <w:rsid w:val="00360D1A"/>
    <w:rsid w:val="003634A8"/>
    <w:rsid w:val="00364C18"/>
    <w:rsid w:val="0036533C"/>
    <w:rsid w:val="00367205"/>
    <w:rsid w:val="00372E7D"/>
    <w:rsid w:val="00380E4E"/>
    <w:rsid w:val="00381331"/>
    <w:rsid w:val="003870DA"/>
    <w:rsid w:val="003956AC"/>
    <w:rsid w:val="003A03A7"/>
    <w:rsid w:val="003A07E2"/>
    <w:rsid w:val="003A4786"/>
    <w:rsid w:val="003A6160"/>
    <w:rsid w:val="003B0498"/>
    <w:rsid w:val="003B104E"/>
    <w:rsid w:val="003B2D22"/>
    <w:rsid w:val="003B43D0"/>
    <w:rsid w:val="003B44E8"/>
    <w:rsid w:val="003B54D5"/>
    <w:rsid w:val="003C0445"/>
    <w:rsid w:val="003C0EB8"/>
    <w:rsid w:val="003D033F"/>
    <w:rsid w:val="003D0590"/>
    <w:rsid w:val="003D509E"/>
    <w:rsid w:val="003D5A0E"/>
    <w:rsid w:val="003E0C8C"/>
    <w:rsid w:val="003E1133"/>
    <w:rsid w:val="003E1A8D"/>
    <w:rsid w:val="003E2B25"/>
    <w:rsid w:val="003E6942"/>
    <w:rsid w:val="003E6C97"/>
    <w:rsid w:val="003E6D38"/>
    <w:rsid w:val="003F0BB0"/>
    <w:rsid w:val="003F1C50"/>
    <w:rsid w:val="003F2BAF"/>
    <w:rsid w:val="0040114F"/>
    <w:rsid w:val="00403E81"/>
    <w:rsid w:val="00404A4F"/>
    <w:rsid w:val="00404B3B"/>
    <w:rsid w:val="00405F14"/>
    <w:rsid w:val="004106D9"/>
    <w:rsid w:val="00411D07"/>
    <w:rsid w:val="00415833"/>
    <w:rsid w:val="00417355"/>
    <w:rsid w:val="004245A4"/>
    <w:rsid w:val="00426589"/>
    <w:rsid w:val="00432042"/>
    <w:rsid w:val="004340C1"/>
    <w:rsid w:val="00435EF5"/>
    <w:rsid w:val="0044127F"/>
    <w:rsid w:val="00444649"/>
    <w:rsid w:val="00445C13"/>
    <w:rsid w:val="00446649"/>
    <w:rsid w:val="00447443"/>
    <w:rsid w:val="004533B3"/>
    <w:rsid w:val="00457553"/>
    <w:rsid w:val="00461E9C"/>
    <w:rsid w:val="00461FDC"/>
    <w:rsid w:val="00463612"/>
    <w:rsid w:val="004637F3"/>
    <w:rsid w:val="0046650E"/>
    <w:rsid w:val="00473110"/>
    <w:rsid w:val="00473C55"/>
    <w:rsid w:val="00475621"/>
    <w:rsid w:val="0047580A"/>
    <w:rsid w:val="004765AE"/>
    <w:rsid w:val="00480661"/>
    <w:rsid w:val="00482321"/>
    <w:rsid w:val="00485587"/>
    <w:rsid w:val="004863A3"/>
    <w:rsid w:val="00493C8F"/>
    <w:rsid w:val="00494851"/>
    <w:rsid w:val="00495972"/>
    <w:rsid w:val="004A211F"/>
    <w:rsid w:val="004B29D1"/>
    <w:rsid w:val="004B3206"/>
    <w:rsid w:val="004B537B"/>
    <w:rsid w:val="004B7007"/>
    <w:rsid w:val="004C122F"/>
    <w:rsid w:val="004C6F79"/>
    <w:rsid w:val="004D0324"/>
    <w:rsid w:val="004D6883"/>
    <w:rsid w:val="004E2C11"/>
    <w:rsid w:val="004E59DE"/>
    <w:rsid w:val="004E7699"/>
    <w:rsid w:val="004F0823"/>
    <w:rsid w:val="0050525C"/>
    <w:rsid w:val="00507C5A"/>
    <w:rsid w:val="00513750"/>
    <w:rsid w:val="00514653"/>
    <w:rsid w:val="00514733"/>
    <w:rsid w:val="00514D6A"/>
    <w:rsid w:val="00515830"/>
    <w:rsid w:val="00522C32"/>
    <w:rsid w:val="0052637F"/>
    <w:rsid w:val="005324A0"/>
    <w:rsid w:val="005333FF"/>
    <w:rsid w:val="005340AB"/>
    <w:rsid w:val="00534ECB"/>
    <w:rsid w:val="00537733"/>
    <w:rsid w:val="0054319F"/>
    <w:rsid w:val="00543F29"/>
    <w:rsid w:val="00544E90"/>
    <w:rsid w:val="00547598"/>
    <w:rsid w:val="005479D5"/>
    <w:rsid w:val="00547C95"/>
    <w:rsid w:val="00550830"/>
    <w:rsid w:val="0055206B"/>
    <w:rsid w:val="00554916"/>
    <w:rsid w:val="005552F5"/>
    <w:rsid w:val="00555E23"/>
    <w:rsid w:val="0056162A"/>
    <w:rsid w:val="00563152"/>
    <w:rsid w:val="00563C51"/>
    <w:rsid w:val="0056479D"/>
    <w:rsid w:val="0056661A"/>
    <w:rsid w:val="00566962"/>
    <w:rsid w:val="00567918"/>
    <w:rsid w:val="00571700"/>
    <w:rsid w:val="005722F2"/>
    <w:rsid w:val="00573CDE"/>
    <w:rsid w:val="005803DC"/>
    <w:rsid w:val="0058609C"/>
    <w:rsid w:val="00586865"/>
    <w:rsid w:val="005A1DF0"/>
    <w:rsid w:val="005A2105"/>
    <w:rsid w:val="005A4493"/>
    <w:rsid w:val="005A485C"/>
    <w:rsid w:val="005A4BBB"/>
    <w:rsid w:val="005A7260"/>
    <w:rsid w:val="005B05EB"/>
    <w:rsid w:val="005B571D"/>
    <w:rsid w:val="005B613B"/>
    <w:rsid w:val="005B6500"/>
    <w:rsid w:val="005B6ED5"/>
    <w:rsid w:val="005C3D29"/>
    <w:rsid w:val="005C547D"/>
    <w:rsid w:val="005C5D60"/>
    <w:rsid w:val="005C62E8"/>
    <w:rsid w:val="005C77F5"/>
    <w:rsid w:val="005D0082"/>
    <w:rsid w:val="005D0EB6"/>
    <w:rsid w:val="005D29CE"/>
    <w:rsid w:val="005D52A1"/>
    <w:rsid w:val="005D6873"/>
    <w:rsid w:val="005D6EEA"/>
    <w:rsid w:val="005E1BC4"/>
    <w:rsid w:val="005E2140"/>
    <w:rsid w:val="005F0491"/>
    <w:rsid w:val="005F0F8A"/>
    <w:rsid w:val="005F3D2E"/>
    <w:rsid w:val="005F4C2E"/>
    <w:rsid w:val="005F7A99"/>
    <w:rsid w:val="005F7AA4"/>
    <w:rsid w:val="00613660"/>
    <w:rsid w:val="00613E06"/>
    <w:rsid w:val="00617364"/>
    <w:rsid w:val="006222CF"/>
    <w:rsid w:val="0062243A"/>
    <w:rsid w:val="006230BB"/>
    <w:rsid w:val="006230F5"/>
    <w:rsid w:val="00625CAC"/>
    <w:rsid w:val="00627363"/>
    <w:rsid w:val="00631382"/>
    <w:rsid w:val="006333F1"/>
    <w:rsid w:val="006336AC"/>
    <w:rsid w:val="00636A27"/>
    <w:rsid w:val="00636CF7"/>
    <w:rsid w:val="006428D4"/>
    <w:rsid w:val="00654D8E"/>
    <w:rsid w:val="00657D14"/>
    <w:rsid w:val="00665A61"/>
    <w:rsid w:val="00665C01"/>
    <w:rsid w:val="0067056F"/>
    <w:rsid w:val="00676FDD"/>
    <w:rsid w:val="00681E0F"/>
    <w:rsid w:val="00685983"/>
    <w:rsid w:val="0068606E"/>
    <w:rsid w:val="00692FC1"/>
    <w:rsid w:val="00693469"/>
    <w:rsid w:val="0069442E"/>
    <w:rsid w:val="0069456A"/>
    <w:rsid w:val="00697D10"/>
    <w:rsid w:val="006A2BC4"/>
    <w:rsid w:val="006A3110"/>
    <w:rsid w:val="006A53C6"/>
    <w:rsid w:val="006A6A1F"/>
    <w:rsid w:val="006B082A"/>
    <w:rsid w:val="006B4A30"/>
    <w:rsid w:val="006B52AA"/>
    <w:rsid w:val="006B6B5D"/>
    <w:rsid w:val="006B76D7"/>
    <w:rsid w:val="006C4A51"/>
    <w:rsid w:val="006C56BE"/>
    <w:rsid w:val="006C7405"/>
    <w:rsid w:val="006D34AA"/>
    <w:rsid w:val="006D493E"/>
    <w:rsid w:val="006D705D"/>
    <w:rsid w:val="006E521B"/>
    <w:rsid w:val="006E65EA"/>
    <w:rsid w:val="006F3F5A"/>
    <w:rsid w:val="006F6F2D"/>
    <w:rsid w:val="00701E4D"/>
    <w:rsid w:val="00702715"/>
    <w:rsid w:val="007032EF"/>
    <w:rsid w:val="007038F7"/>
    <w:rsid w:val="007063B5"/>
    <w:rsid w:val="007065F3"/>
    <w:rsid w:val="007145FE"/>
    <w:rsid w:val="00717CF5"/>
    <w:rsid w:val="00720A00"/>
    <w:rsid w:val="00721653"/>
    <w:rsid w:val="0072257E"/>
    <w:rsid w:val="00730BA9"/>
    <w:rsid w:val="00731069"/>
    <w:rsid w:val="00733844"/>
    <w:rsid w:val="00740030"/>
    <w:rsid w:val="0074277E"/>
    <w:rsid w:val="007454CB"/>
    <w:rsid w:val="00746CF5"/>
    <w:rsid w:val="00752770"/>
    <w:rsid w:val="007559E6"/>
    <w:rsid w:val="007575E8"/>
    <w:rsid w:val="00761078"/>
    <w:rsid w:val="007634AB"/>
    <w:rsid w:val="00763567"/>
    <w:rsid w:val="00766A36"/>
    <w:rsid w:val="00771054"/>
    <w:rsid w:val="007754E1"/>
    <w:rsid w:val="007804AA"/>
    <w:rsid w:val="007856FB"/>
    <w:rsid w:val="00785BD8"/>
    <w:rsid w:val="0078729D"/>
    <w:rsid w:val="00790FFD"/>
    <w:rsid w:val="00794181"/>
    <w:rsid w:val="00794C70"/>
    <w:rsid w:val="007A06FD"/>
    <w:rsid w:val="007A3E58"/>
    <w:rsid w:val="007A44A1"/>
    <w:rsid w:val="007A6575"/>
    <w:rsid w:val="007B3263"/>
    <w:rsid w:val="007B42F9"/>
    <w:rsid w:val="007B475C"/>
    <w:rsid w:val="007B5AB2"/>
    <w:rsid w:val="007C2091"/>
    <w:rsid w:val="007C4F76"/>
    <w:rsid w:val="007C56CC"/>
    <w:rsid w:val="007D37FE"/>
    <w:rsid w:val="007D63F9"/>
    <w:rsid w:val="007D6EE0"/>
    <w:rsid w:val="007E1F79"/>
    <w:rsid w:val="007E5D41"/>
    <w:rsid w:val="007F1ADE"/>
    <w:rsid w:val="007F3F37"/>
    <w:rsid w:val="007F7092"/>
    <w:rsid w:val="007F7414"/>
    <w:rsid w:val="008123D6"/>
    <w:rsid w:val="008125D7"/>
    <w:rsid w:val="00813870"/>
    <w:rsid w:val="008177F6"/>
    <w:rsid w:val="0082013B"/>
    <w:rsid w:val="008217C7"/>
    <w:rsid w:val="00823893"/>
    <w:rsid w:val="00824EDE"/>
    <w:rsid w:val="0082535F"/>
    <w:rsid w:val="00836416"/>
    <w:rsid w:val="0084150A"/>
    <w:rsid w:val="008417B6"/>
    <w:rsid w:val="0084493A"/>
    <w:rsid w:val="00845251"/>
    <w:rsid w:val="00845B15"/>
    <w:rsid w:val="00846B01"/>
    <w:rsid w:val="00850484"/>
    <w:rsid w:val="008543FC"/>
    <w:rsid w:val="008544CE"/>
    <w:rsid w:val="0085635D"/>
    <w:rsid w:val="00857953"/>
    <w:rsid w:val="0086363C"/>
    <w:rsid w:val="008667B2"/>
    <w:rsid w:val="00866EC6"/>
    <w:rsid w:val="00866F0A"/>
    <w:rsid w:val="008708AA"/>
    <w:rsid w:val="00874BD3"/>
    <w:rsid w:val="00875D10"/>
    <w:rsid w:val="00877B1F"/>
    <w:rsid w:val="00883B6E"/>
    <w:rsid w:val="008844B3"/>
    <w:rsid w:val="00884D90"/>
    <w:rsid w:val="00885A26"/>
    <w:rsid w:val="00893C99"/>
    <w:rsid w:val="008A17B2"/>
    <w:rsid w:val="008A20FE"/>
    <w:rsid w:val="008A41F6"/>
    <w:rsid w:val="008A7A34"/>
    <w:rsid w:val="008B1324"/>
    <w:rsid w:val="008B3D1A"/>
    <w:rsid w:val="008B50FD"/>
    <w:rsid w:val="008B7CE3"/>
    <w:rsid w:val="008C09E4"/>
    <w:rsid w:val="008C3B52"/>
    <w:rsid w:val="008C41CD"/>
    <w:rsid w:val="008C42C6"/>
    <w:rsid w:val="008D0586"/>
    <w:rsid w:val="008D3642"/>
    <w:rsid w:val="008D5575"/>
    <w:rsid w:val="008D58DF"/>
    <w:rsid w:val="008E1900"/>
    <w:rsid w:val="008E1BF7"/>
    <w:rsid w:val="008E1E63"/>
    <w:rsid w:val="008E552C"/>
    <w:rsid w:val="008F127F"/>
    <w:rsid w:val="008F4939"/>
    <w:rsid w:val="008F5A06"/>
    <w:rsid w:val="00900225"/>
    <w:rsid w:val="00907BBB"/>
    <w:rsid w:val="00910B21"/>
    <w:rsid w:val="00910CCC"/>
    <w:rsid w:val="00911B76"/>
    <w:rsid w:val="00914200"/>
    <w:rsid w:val="0091670E"/>
    <w:rsid w:val="0091736E"/>
    <w:rsid w:val="00922FC1"/>
    <w:rsid w:val="00923075"/>
    <w:rsid w:val="0092362B"/>
    <w:rsid w:val="00924FB8"/>
    <w:rsid w:val="009267AF"/>
    <w:rsid w:val="00931CCA"/>
    <w:rsid w:val="009345E2"/>
    <w:rsid w:val="0093742F"/>
    <w:rsid w:val="00945EA8"/>
    <w:rsid w:val="0095307F"/>
    <w:rsid w:val="00955FCA"/>
    <w:rsid w:val="009570FB"/>
    <w:rsid w:val="0096161C"/>
    <w:rsid w:val="00961AA4"/>
    <w:rsid w:val="009620BF"/>
    <w:rsid w:val="009733D8"/>
    <w:rsid w:val="00973769"/>
    <w:rsid w:val="0097597C"/>
    <w:rsid w:val="00976D2C"/>
    <w:rsid w:val="0098227A"/>
    <w:rsid w:val="00986FA6"/>
    <w:rsid w:val="009906B2"/>
    <w:rsid w:val="00992AE7"/>
    <w:rsid w:val="00992CA1"/>
    <w:rsid w:val="00994BDC"/>
    <w:rsid w:val="0099602E"/>
    <w:rsid w:val="0099654F"/>
    <w:rsid w:val="00996700"/>
    <w:rsid w:val="009A07CA"/>
    <w:rsid w:val="009A0D82"/>
    <w:rsid w:val="009A4912"/>
    <w:rsid w:val="009A7701"/>
    <w:rsid w:val="009C0B96"/>
    <w:rsid w:val="009C15BF"/>
    <w:rsid w:val="009C5337"/>
    <w:rsid w:val="009D0188"/>
    <w:rsid w:val="009D1B46"/>
    <w:rsid w:val="009D39A6"/>
    <w:rsid w:val="009D516F"/>
    <w:rsid w:val="009D6AE4"/>
    <w:rsid w:val="009D79AE"/>
    <w:rsid w:val="009E300D"/>
    <w:rsid w:val="009E494A"/>
    <w:rsid w:val="009E4DAC"/>
    <w:rsid w:val="009E5A39"/>
    <w:rsid w:val="009E7A53"/>
    <w:rsid w:val="009F0398"/>
    <w:rsid w:val="009F30A0"/>
    <w:rsid w:val="00A00B0A"/>
    <w:rsid w:val="00A01C56"/>
    <w:rsid w:val="00A04E4A"/>
    <w:rsid w:val="00A04FD8"/>
    <w:rsid w:val="00A0752B"/>
    <w:rsid w:val="00A12784"/>
    <w:rsid w:val="00A12E16"/>
    <w:rsid w:val="00A1575C"/>
    <w:rsid w:val="00A17879"/>
    <w:rsid w:val="00A2425A"/>
    <w:rsid w:val="00A26350"/>
    <w:rsid w:val="00A31018"/>
    <w:rsid w:val="00A3689C"/>
    <w:rsid w:val="00A44F55"/>
    <w:rsid w:val="00A47F69"/>
    <w:rsid w:val="00A53961"/>
    <w:rsid w:val="00A6361B"/>
    <w:rsid w:val="00A64424"/>
    <w:rsid w:val="00A65AD5"/>
    <w:rsid w:val="00A6666B"/>
    <w:rsid w:val="00A66F98"/>
    <w:rsid w:val="00A67073"/>
    <w:rsid w:val="00A67670"/>
    <w:rsid w:val="00A72C01"/>
    <w:rsid w:val="00A747F7"/>
    <w:rsid w:val="00A74C9C"/>
    <w:rsid w:val="00A756DB"/>
    <w:rsid w:val="00A75972"/>
    <w:rsid w:val="00A8284F"/>
    <w:rsid w:val="00A82E20"/>
    <w:rsid w:val="00A83568"/>
    <w:rsid w:val="00A8359F"/>
    <w:rsid w:val="00A85F45"/>
    <w:rsid w:val="00A937AA"/>
    <w:rsid w:val="00A94D69"/>
    <w:rsid w:val="00A95527"/>
    <w:rsid w:val="00A96061"/>
    <w:rsid w:val="00A967C1"/>
    <w:rsid w:val="00A974AC"/>
    <w:rsid w:val="00AB0099"/>
    <w:rsid w:val="00AB6746"/>
    <w:rsid w:val="00AB7079"/>
    <w:rsid w:val="00AC4444"/>
    <w:rsid w:val="00AD43F0"/>
    <w:rsid w:val="00AD6112"/>
    <w:rsid w:val="00AE5697"/>
    <w:rsid w:val="00AE6285"/>
    <w:rsid w:val="00AF53D5"/>
    <w:rsid w:val="00AF6DC7"/>
    <w:rsid w:val="00B012C7"/>
    <w:rsid w:val="00B03898"/>
    <w:rsid w:val="00B0471F"/>
    <w:rsid w:val="00B04F8D"/>
    <w:rsid w:val="00B12182"/>
    <w:rsid w:val="00B179B5"/>
    <w:rsid w:val="00B24032"/>
    <w:rsid w:val="00B25EE6"/>
    <w:rsid w:val="00B26836"/>
    <w:rsid w:val="00B341DC"/>
    <w:rsid w:val="00B36AC5"/>
    <w:rsid w:val="00B400F5"/>
    <w:rsid w:val="00B43A16"/>
    <w:rsid w:val="00B542AC"/>
    <w:rsid w:val="00B6623C"/>
    <w:rsid w:val="00B67204"/>
    <w:rsid w:val="00B7194E"/>
    <w:rsid w:val="00B73BE8"/>
    <w:rsid w:val="00B803E6"/>
    <w:rsid w:val="00B85E70"/>
    <w:rsid w:val="00B85F78"/>
    <w:rsid w:val="00B93B6D"/>
    <w:rsid w:val="00B955E8"/>
    <w:rsid w:val="00B969AA"/>
    <w:rsid w:val="00BA18BA"/>
    <w:rsid w:val="00BA1E0D"/>
    <w:rsid w:val="00BA2585"/>
    <w:rsid w:val="00BA38E0"/>
    <w:rsid w:val="00BA3E4C"/>
    <w:rsid w:val="00BA66D7"/>
    <w:rsid w:val="00BA6E1A"/>
    <w:rsid w:val="00BB0D69"/>
    <w:rsid w:val="00BB0E5B"/>
    <w:rsid w:val="00BB3FD5"/>
    <w:rsid w:val="00BC1B4D"/>
    <w:rsid w:val="00BD0164"/>
    <w:rsid w:val="00BD2D52"/>
    <w:rsid w:val="00BD35C9"/>
    <w:rsid w:val="00BD44FF"/>
    <w:rsid w:val="00BD7045"/>
    <w:rsid w:val="00BE4214"/>
    <w:rsid w:val="00BE6900"/>
    <w:rsid w:val="00BE6F4A"/>
    <w:rsid w:val="00BF2505"/>
    <w:rsid w:val="00BF444A"/>
    <w:rsid w:val="00BF45B6"/>
    <w:rsid w:val="00C019F8"/>
    <w:rsid w:val="00C01F75"/>
    <w:rsid w:val="00C0380E"/>
    <w:rsid w:val="00C06A11"/>
    <w:rsid w:val="00C07CED"/>
    <w:rsid w:val="00C174D7"/>
    <w:rsid w:val="00C20C8C"/>
    <w:rsid w:val="00C21E81"/>
    <w:rsid w:val="00C257FB"/>
    <w:rsid w:val="00C25A01"/>
    <w:rsid w:val="00C25D25"/>
    <w:rsid w:val="00C261A3"/>
    <w:rsid w:val="00C30400"/>
    <w:rsid w:val="00C30E01"/>
    <w:rsid w:val="00C3155D"/>
    <w:rsid w:val="00C31671"/>
    <w:rsid w:val="00C36C0D"/>
    <w:rsid w:val="00C37F6C"/>
    <w:rsid w:val="00C42EB6"/>
    <w:rsid w:val="00C50964"/>
    <w:rsid w:val="00C528B0"/>
    <w:rsid w:val="00C52B15"/>
    <w:rsid w:val="00C5574E"/>
    <w:rsid w:val="00C56F56"/>
    <w:rsid w:val="00C619E8"/>
    <w:rsid w:val="00C63369"/>
    <w:rsid w:val="00C65F32"/>
    <w:rsid w:val="00C73B3B"/>
    <w:rsid w:val="00C7609B"/>
    <w:rsid w:val="00C764C3"/>
    <w:rsid w:val="00C77E02"/>
    <w:rsid w:val="00C82C87"/>
    <w:rsid w:val="00C95D52"/>
    <w:rsid w:val="00CA1589"/>
    <w:rsid w:val="00CA2660"/>
    <w:rsid w:val="00CA2FD4"/>
    <w:rsid w:val="00CB0E8C"/>
    <w:rsid w:val="00CB2E86"/>
    <w:rsid w:val="00CB34AE"/>
    <w:rsid w:val="00CB5F24"/>
    <w:rsid w:val="00CC0AC2"/>
    <w:rsid w:val="00CC11E7"/>
    <w:rsid w:val="00CC3B6D"/>
    <w:rsid w:val="00CC6E6F"/>
    <w:rsid w:val="00CD3257"/>
    <w:rsid w:val="00CD4363"/>
    <w:rsid w:val="00CD569B"/>
    <w:rsid w:val="00CD57A9"/>
    <w:rsid w:val="00CD5A5D"/>
    <w:rsid w:val="00CD7AD9"/>
    <w:rsid w:val="00CE0319"/>
    <w:rsid w:val="00CE5D23"/>
    <w:rsid w:val="00CF1E10"/>
    <w:rsid w:val="00CF4590"/>
    <w:rsid w:val="00CF48A6"/>
    <w:rsid w:val="00D005BA"/>
    <w:rsid w:val="00D040DA"/>
    <w:rsid w:val="00D041C8"/>
    <w:rsid w:val="00D12509"/>
    <w:rsid w:val="00D16328"/>
    <w:rsid w:val="00D22AE1"/>
    <w:rsid w:val="00D25308"/>
    <w:rsid w:val="00D25E14"/>
    <w:rsid w:val="00D34A3E"/>
    <w:rsid w:val="00D41D80"/>
    <w:rsid w:val="00D43346"/>
    <w:rsid w:val="00D62639"/>
    <w:rsid w:val="00D626F1"/>
    <w:rsid w:val="00D70E44"/>
    <w:rsid w:val="00D71173"/>
    <w:rsid w:val="00D73144"/>
    <w:rsid w:val="00D736A4"/>
    <w:rsid w:val="00D73F5B"/>
    <w:rsid w:val="00D751EC"/>
    <w:rsid w:val="00D75C3D"/>
    <w:rsid w:val="00D90D9E"/>
    <w:rsid w:val="00D90DC5"/>
    <w:rsid w:val="00D956B0"/>
    <w:rsid w:val="00DA066F"/>
    <w:rsid w:val="00DA25FB"/>
    <w:rsid w:val="00DA4858"/>
    <w:rsid w:val="00DA6C46"/>
    <w:rsid w:val="00DB2924"/>
    <w:rsid w:val="00DB49A3"/>
    <w:rsid w:val="00DB49DC"/>
    <w:rsid w:val="00DB5CDB"/>
    <w:rsid w:val="00DC073C"/>
    <w:rsid w:val="00DC10B5"/>
    <w:rsid w:val="00DC210F"/>
    <w:rsid w:val="00DC4F35"/>
    <w:rsid w:val="00DC528E"/>
    <w:rsid w:val="00DC7B50"/>
    <w:rsid w:val="00DD166F"/>
    <w:rsid w:val="00DD28BE"/>
    <w:rsid w:val="00DD4CBA"/>
    <w:rsid w:val="00DD6101"/>
    <w:rsid w:val="00DE149C"/>
    <w:rsid w:val="00DE3A26"/>
    <w:rsid w:val="00DF22CD"/>
    <w:rsid w:val="00DF2FE9"/>
    <w:rsid w:val="00DF67EE"/>
    <w:rsid w:val="00DF7BB2"/>
    <w:rsid w:val="00E00116"/>
    <w:rsid w:val="00E03274"/>
    <w:rsid w:val="00E049C1"/>
    <w:rsid w:val="00E10756"/>
    <w:rsid w:val="00E10F9E"/>
    <w:rsid w:val="00E1219C"/>
    <w:rsid w:val="00E1355F"/>
    <w:rsid w:val="00E1472E"/>
    <w:rsid w:val="00E14811"/>
    <w:rsid w:val="00E17557"/>
    <w:rsid w:val="00E2092A"/>
    <w:rsid w:val="00E24938"/>
    <w:rsid w:val="00E317DC"/>
    <w:rsid w:val="00E32AB8"/>
    <w:rsid w:val="00E504C7"/>
    <w:rsid w:val="00E53101"/>
    <w:rsid w:val="00E532C4"/>
    <w:rsid w:val="00E537E2"/>
    <w:rsid w:val="00E548CE"/>
    <w:rsid w:val="00E54913"/>
    <w:rsid w:val="00E613B3"/>
    <w:rsid w:val="00E62FA9"/>
    <w:rsid w:val="00E7089A"/>
    <w:rsid w:val="00E722BE"/>
    <w:rsid w:val="00E74E74"/>
    <w:rsid w:val="00E804B1"/>
    <w:rsid w:val="00E90344"/>
    <w:rsid w:val="00E91E4A"/>
    <w:rsid w:val="00E94EAD"/>
    <w:rsid w:val="00EA15D2"/>
    <w:rsid w:val="00EA1EF2"/>
    <w:rsid w:val="00EA31A0"/>
    <w:rsid w:val="00EA5647"/>
    <w:rsid w:val="00EA5DD4"/>
    <w:rsid w:val="00EA721B"/>
    <w:rsid w:val="00EB0B9C"/>
    <w:rsid w:val="00EB1C22"/>
    <w:rsid w:val="00EB3047"/>
    <w:rsid w:val="00EB555E"/>
    <w:rsid w:val="00EB5D30"/>
    <w:rsid w:val="00EB6187"/>
    <w:rsid w:val="00EB6F4E"/>
    <w:rsid w:val="00EC0C77"/>
    <w:rsid w:val="00EC149B"/>
    <w:rsid w:val="00EC23DC"/>
    <w:rsid w:val="00EC4E3B"/>
    <w:rsid w:val="00ED1D1B"/>
    <w:rsid w:val="00EE02B5"/>
    <w:rsid w:val="00EE0AAE"/>
    <w:rsid w:val="00EE1476"/>
    <w:rsid w:val="00EE486F"/>
    <w:rsid w:val="00EF42EB"/>
    <w:rsid w:val="00EF443A"/>
    <w:rsid w:val="00EF5E04"/>
    <w:rsid w:val="00EF76EC"/>
    <w:rsid w:val="00EF7CF3"/>
    <w:rsid w:val="00F020AC"/>
    <w:rsid w:val="00F035D5"/>
    <w:rsid w:val="00F04E97"/>
    <w:rsid w:val="00F05151"/>
    <w:rsid w:val="00F07D84"/>
    <w:rsid w:val="00F13F25"/>
    <w:rsid w:val="00F14607"/>
    <w:rsid w:val="00F162A8"/>
    <w:rsid w:val="00F2017A"/>
    <w:rsid w:val="00F21055"/>
    <w:rsid w:val="00F2141E"/>
    <w:rsid w:val="00F24076"/>
    <w:rsid w:val="00F247F8"/>
    <w:rsid w:val="00F252CD"/>
    <w:rsid w:val="00F25B3C"/>
    <w:rsid w:val="00F32A6E"/>
    <w:rsid w:val="00F33C5D"/>
    <w:rsid w:val="00F34F5E"/>
    <w:rsid w:val="00F35328"/>
    <w:rsid w:val="00F40B3D"/>
    <w:rsid w:val="00F433BD"/>
    <w:rsid w:val="00F445D3"/>
    <w:rsid w:val="00F450E5"/>
    <w:rsid w:val="00F458C8"/>
    <w:rsid w:val="00F47EFF"/>
    <w:rsid w:val="00F50CA7"/>
    <w:rsid w:val="00F5341A"/>
    <w:rsid w:val="00F5584B"/>
    <w:rsid w:val="00F559FF"/>
    <w:rsid w:val="00F64A22"/>
    <w:rsid w:val="00F75255"/>
    <w:rsid w:val="00F7628C"/>
    <w:rsid w:val="00F77080"/>
    <w:rsid w:val="00F801C0"/>
    <w:rsid w:val="00F817B0"/>
    <w:rsid w:val="00F835A8"/>
    <w:rsid w:val="00F8449A"/>
    <w:rsid w:val="00F85442"/>
    <w:rsid w:val="00F855A0"/>
    <w:rsid w:val="00F9062A"/>
    <w:rsid w:val="00F943D2"/>
    <w:rsid w:val="00F97B2C"/>
    <w:rsid w:val="00FA4FA7"/>
    <w:rsid w:val="00FA7267"/>
    <w:rsid w:val="00FB2FC4"/>
    <w:rsid w:val="00FB5A63"/>
    <w:rsid w:val="00FC0CB9"/>
    <w:rsid w:val="00FC12BB"/>
    <w:rsid w:val="00FC47CF"/>
    <w:rsid w:val="00FC47E7"/>
    <w:rsid w:val="00FC54CB"/>
    <w:rsid w:val="00FC7391"/>
    <w:rsid w:val="00FD3C90"/>
    <w:rsid w:val="00FD46BA"/>
    <w:rsid w:val="00FD6905"/>
    <w:rsid w:val="00FE0656"/>
    <w:rsid w:val="00FE11E9"/>
    <w:rsid w:val="00FE569A"/>
    <w:rsid w:val="00FE7374"/>
    <w:rsid w:val="00FE79FA"/>
    <w:rsid w:val="00FF2F8F"/>
    <w:rsid w:val="00FF4CD4"/>
    <w:rsid w:val="00FF60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501628"/>
  <w15:docId w15:val="{9B5C6A7C-7763-4747-ADEB-866C48C1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74E"/>
    <w:rPr>
      <w:rFonts w:ascii="Arial" w:hAnsi="Arial"/>
      <w:b/>
      <w:sz w:val="24"/>
      <w:lang w:val="es-ES_tradnl"/>
    </w:rPr>
  </w:style>
  <w:style w:type="paragraph" w:styleId="Ttulo1">
    <w:name w:val="heading 1"/>
    <w:basedOn w:val="Normal"/>
    <w:next w:val="Normal"/>
    <w:autoRedefine/>
    <w:qFormat/>
    <w:rsid w:val="00C5574E"/>
    <w:pPr>
      <w:keepNext/>
      <w:widowControl w:val="0"/>
      <w:jc w:val="both"/>
      <w:outlineLvl w:val="0"/>
    </w:pPr>
    <w:rPr>
      <w:rFonts w:cs="Arial"/>
      <w:sz w:val="18"/>
      <w:szCs w:val="18"/>
    </w:rPr>
  </w:style>
  <w:style w:type="paragraph" w:styleId="Ttulo2">
    <w:name w:val="heading 2"/>
    <w:basedOn w:val="Normal"/>
    <w:next w:val="Normal"/>
    <w:autoRedefine/>
    <w:qFormat/>
    <w:rsid w:val="00C5574E"/>
    <w:pPr>
      <w:keepNext/>
      <w:ind w:left="567" w:hanging="567"/>
      <w:jc w:val="both"/>
      <w:outlineLvl w:val="1"/>
    </w:pPr>
    <w:rPr>
      <w:rFonts w:cs="Arial"/>
      <w:color w:val="000000"/>
      <w:sz w:val="18"/>
      <w:szCs w:val="18"/>
    </w:rPr>
  </w:style>
  <w:style w:type="paragraph" w:styleId="Ttulo3">
    <w:name w:val="heading 3"/>
    <w:basedOn w:val="Normal"/>
    <w:next w:val="Normal"/>
    <w:qFormat/>
    <w:rsid w:val="00C5574E"/>
    <w:pPr>
      <w:keepNext/>
      <w:numPr>
        <w:ilvl w:val="2"/>
        <w:numId w:val="2"/>
      </w:numPr>
      <w:spacing w:before="240" w:after="60"/>
      <w:outlineLvl w:val="2"/>
    </w:pPr>
    <w:rPr>
      <w:b w:val="0"/>
    </w:rPr>
  </w:style>
  <w:style w:type="paragraph" w:styleId="Ttulo4">
    <w:name w:val="heading 4"/>
    <w:basedOn w:val="Normal"/>
    <w:next w:val="Normal"/>
    <w:qFormat/>
    <w:rsid w:val="00C5574E"/>
    <w:pPr>
      <w:keepNext/>
      <w:numPr>
        <w:ilvl w:val="3"/>
        <w:numId w:val="2"/>
      </w:numPr>
      <w:spacing w:before="240" w:after="60"/>
      <w:outlineLvl w:val="3"/>
    </w:pPr>
    <w:rPr>
      <w:b w:val="0"/>
    </w:rPr>
  </w:style>
  <w:style w:type="paragraph" w:styleId="Ttulo5">
    <w:name w:val="heading 5"/>
    <w:basedOn w:val="Normal"/>
    <w:next w:val="Normal"/>
    <w:qFormat/>
    <w:rsid w:val="00C5574E"/>
    <w:pPr>
      <w:numPr>
        <w:ilvl w:val="4"/>
        <w:numId w:val="2"/>
      </w:numPr>
      <w:spacing w:before="240" w:after="60"/>
      <w:outlineLvl w:val="4"/>
    </w:pPr>
    <w:rPr>
      <w:b w:val="0"/>
    </w:rPr>
  </w:style>
  <w:style w:type="paragraph" w:styleId="Ttulo6">
    <w:name w:val="heading 6"/>
    <w:basedOn w:val="Normal"/>
    <w:next w:val="Normal"/>
    <w:qFormat/>
    <w:rsid w:val="00C5574E"/>
    <w:pPr>
      <w:numPr>
        <w:ilvl w:val="5"/>
        <w:numId w:val="2"/>
      </w:numPr>
      <w:spacing w:before="240" w:after="60"/>
      <w:outlineLvl w:val="5"/>
    </w:pPr>
    <w:rPr>
      <w:i/>
      <w:sz w:val="22"/>
    </w:rPr>
  </w:style>
  <w:style w:type="paragraph" w:styleId="Ttulo7">
    <w:name w:val="heading 7"/>
    <w:basedOn w:val="Normal"/>
    <w:next w:val="Normal"/>
    <w:qFormat/>
    <w:rsid w:val="00C5574E"/>
    <w:pPr>
      <w:numPr>
        <w:ilvl w:val="6"/>
        <w:numId w:val="2"/>
      </w:numPr>
      <w:spacing w:before="240" w:after="60"/>
      <w:outlineLvl w:val="6"/>
    </w:pPr>
  </w:style>
  <w:style w:type="paragraph" w:styleId="Ttulo8">
    <w:name w:val="heading 8"/>
    <w:basedOn w:val="Normal"/>
    <w:next w:val="Normal"/>
    <w:qFormat/>
    <w:rsid w:val="00C5574E"/>
    <w:pPr>
      <w:numPr>
        <w:ilvl w:val="7"/>
        <w:numId w:val="2"/>
      </w:numPr>
      <w:spacing w:before="240" w:after="60"/>
      <w:outlineLvl w:val="7"/>
    </w:pPr>
    <w:rPr>
      <w:i/>
    </w:rPr>
  </w:style>
  <w:style w:type="paragraph" w:styleId="Ttulo9">
    <w:name w:val="heading 9"/>
    <w:basedOn w:val="Normal"/>
    <w:next w:val="Normal"/>
    <w:qFormat/>
    <w:rsid w:val="00C5574E"/>
    <w:pPr>
      <w:numPr>
        <w:ilvl w:val="8"/>
        <w:numId w:val="2"/>
      </w:numPr>
      <w:spacing w:before="240" w:after="60"/>
      <w:outlineLvl w:val="8"/>
    </w:pPr>
    <w:rPr>
      <w:b w:val="0"/>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5574E"/>
    <w:pPr>
      <w:tabs>
        <w:tab w:val="center" w:pos="4252"/>
        <w:tab w:val="right" w:pos="8504"/>
      </w:tabs>
    </w:pPr>
  </w:style>
  <w:style w:type="paragraph" w:styleId="Piedepgina">
    <w:name w:val="footer"/>
    <w:basedOn w:val="Normal"/>
    <w:link w:val="PiedepginaCar"/>
    <w:uiPriority w:val="99"/>
    <w:rsid w:val="00C5574E"/>
    <w:pPr>
      <w:tabs>
        <w:tab w:val="center" w:pos="4252"/>
        <w:tab w:val="right" w:pos="8504"/>
      </w:tabs>
    </w:pPr>
  </w:style>
  <w:style w:type="character" w:styleId="Nmerodepgina">
    <w:name w:val="page number"/>
    <w:basedOn w:val="Fuentedeprrafopredeter"/>
    <w:rsid w:val="00C5574E"/>
  </w:style>
  <w:style w:type="character" w:styleId="Refdenotaalpie">
    <w:name w:val="footnote reference"/>
    <w:semiHidden/>
    <w:rsid w:val="00C5574E"/>
    <w:rPr>
      <w:vertAlign w:val="superscript"/>
    </w:rPr>
  </w:style>
  <w:style w:type="paragraph" w:styleId="Textonotapie">
    <w:name w:val="footnote text"/>
    <w:basedOn w:val="Normal"/>
    <w:semiHidden/>
    <w:rsid w:val="00C5574E"/>
    <w:pPr>
      <w:jc w:val="both"/>
    </w:pPr>
  </w:style>
  <w:style w:type="paragraph" w:customStyle="1" w:styleId="Estilo1">
    <w:name w:val="Estilo1"/>
    <w:basedOn w:val="Ttulo3"/>
    <w:rsid w:val="00C5574E"/>
    <w:pPr>
      <w:numPr>
        <w:ilvl w:val="0"/>
        <w:numId w:val="0"/>
      </w:numPr>
    </w:pPr>
  </w:style>
  <w:style w:type="paragraph" w:styleId="Textoindependiente">
    <w:name w:val="Body Text"/>
    <w:basedOn w:val="Normal"/>
    <w:link w:val="TextoindependienteCar"/>
    <w:rsid w:val="00C5574E"/>
    <w:pPr>
      <w:jc w:val="both"/>
    </w:pPr>
    <w:rPr>
      <w:b w:val="0"/>
      <w:bCs/>
      <w:lang w:eastAsia="x-none"/>
    </w:rPr>
  </w:style>
  <w:style w:type="paragraph" w:styleId="Textoindependiente2">
    <w:name w:val="Body Text 2"/>
    <w:basedOn w:val="Normal"/>
    <w:rsid w:val="00C5574E"/>
    <w:pPr>
      <w:jc w:val="both"/>
    </w:pPr>
    <w:rPr>
      <w:bCs/>
    </w:rPr>
  </w:style>
  <w:style w:type="paragraph" w:customStyle="1" w:styleId="Ttulo10">
    <w:name w:val="TÍtulo 1"/>
    <w:basedOn w:val="Normal"/>
    <w:next w:val="Normal"/>
    <w:rsid w:val="00C5574E"/>
    <w:pPr>
      <w:keepNext/>
      <w:jc w:val="both"/>
    </w:pPr>
    <w:rPr>
      <w:b w:val="0"/>
      <w:lang w:val="es-ES"/>
    </w:rPr>
  </w:style>
  <w:style w:type="paragraph" w:styleId="Textoindependiente3">
    <w:name w:val="Body Text 3"/>
    <w:basedOn w:val="Normal"/>
    <w:rsid w:val="00C5574E"/>
    <w:pPr>
      <w:jc w:val="both"/>
    </w:pPr>
    <w:rPr>
      <w:b w:val="0"/>
      <w:bCs/>
      <w:color w:val="FF0000"/>
    </w:rPr>
  </w:style>
  <w:style w:type="paragraph" w:styleId="Sangra3detindependiente">
    <w:name w:val="Body Text Indent 3"/>
    <w:basedOn w:val="Normal"/>
    <w:rsid w:val="00C5574E"/>
    <w:pPr>
      <w:ind w:left="3686" w:hanging="2268"/>
      <w:jc w:val="both"/>
    </w:pPr>
    <w:rPr>
      <w:rFonts w:ascii="Times New Roman" w:hAnsi="Times New Roman"/>
      <w:b w:val="0"/>
    </w:rPr>
  </w:style>
  <w:style w:type="character" w:styleId="Textoennegrita">
    <w:name w:val="Strong"/>
    <w:uiPriority w:val="22"/>
    <w:qFormat/>
    <w:rsid w:val="00C5574E"/>
    <w:rPr>
      <w:b/>
      <w:bCs/>
    </w:rPr>
  </w:style>
  <w:style w:type="paragraph" w:styleId="NormalWeb">
    <w:name w:val="Normal (Web)"/>
    <w:basedOn w:val="Normal"/>
    <w:uiPriority w:val="99"/>
    <w:rsid w:val="00360D1A"/>
    <w:pPr>
      <w:spacing w:before="100" w:beforeAutospacing="1" w:after="100" w:afterAutospacing="1"/>
    </w:pPr>
    <w:rPr>
      <w:rFonts w:ascii="Times New Roman" w:hAnsi="Times New Roman"/>
      <w:b w:val="0"/>
      <w:szCs w:val="24"/>
      <w:lang w:val="es-ES"/>
    </w:rPr>
  </w:style>
  <w:style w:type="paragraph" w:styleId="Mapadeldocumento">
    <w:name w:val="Document Map"/>
    <w:basedOn w:val="Normal"/>
    <w:semiHidden/>
    <w:rsid w:val="00426589"/>
    <w:pPr>
      <w:shd w:val="clear" w:color="auto" w:fill="000080"/>
    </w:pPr>
    <w:rPr>
      <w:rFonts w:ascii="Tahoma" w:hAnsi="Tahoma" w:cs="Tahoma"/>
      <w:sz w:val="20"/>
    </w:rPr>
  </w:style>
  <w:style w:type="paragraph" w:styleId="Textodeglobo">
    <w:name w:val="Balloon Text"/>
    <w:basedOn w:val="Normal"/>
    <w:semiHidden/>
    <w:rsid w:val="005A485C"/>
    <w:rPr>
      <w:rFonts w:ascii="Tahoma" w:hAnsi="Tahoma" w:cs="Tahoma"/>
      <w:sz w:val="16"/>
      <w:szCs w:val="16"/>
    </w:rPr>
  </w:style>
  <w:style w:type="character" w:styleId="Refdecomentario">
    <w:name w:val="annotation reference"/>
    <w:semiHidden/>
    <w:rsid w:val="00493C8F"/>
    <w:rPr>
      <w:sz w:val="16"/>
      <w:szCs w:val="16"/>
    </w:rPr>
  </w:style>
  <w:style w:type="paragraph" w:styleId="Textocomentario">
    <w:name w:val="annotation text"/>
    <w:basedOn w:val="Normal"/>
    <w:semiHidden/>
    <w:rsid w:val="00493C8F"/>
    <w:rPr>
      <w:sz w:val="20"/>
    </w:rPr>
  </w:style>
  <w:style w:type="paragraph" w:styleId="Asuntodelcomentario">
    <w:name w:val="annotation subject"/>
    <w:basedOn w:val="Textocomentario"/>
    <w:next w:val="Textocomentario"/>
    <w:semiHidden/>
    <w:rsid w:val="00493C8F"/>
    <w:rPr>
      <w:bCs/>
    </w:rPr>
  </w:style>
  <w:style w:type="character" w:customStyle="1" w:styleId="TextoindependienteCar">
    <w:name w:val="Texto independiente Car"/>
    <w:link w:val="Textoindependiente"/>
    <w:locked/>
    <w:rsid w:val="009E494A"/>
    <w:rPr>
      <w:rFonts w:ascii="Arial" w:hAnsi="Arial"/>
      <w:bCs/>
      <w:sz w:val="24"/>
      <w:lang w:val="es-ES_tradnl"/>
    </w:rPr>
  </w:style>
  <w:style w:type="paragraph" w:customStyle="1" w:styleId="Prrafodelista1">
    <w:name w:val="Párrafo de lista1"/>
    <w:basedOn w:val="Normal"/>
    <w:rsid w:val="00F85442"/>
    <w:pPr>
      <w:ind w:left="720"/>
    </w:pPr>
    <w:rPr>
      <w:rFonts w:ascii="Calibri" w:hAnsi="Calibri"/>
      <w:b w:val="0"/>
      <w:sz w:val="22"/>
      <w:szCs w:val="22"/>
      <w:lang w:val="en-US" w:eastAsia="en-US"/>
    </w:rPr>
  </w:style>
  <w:style w:type="paragraph" w:customStyle="1" w:styleId="ListParagraph1">
    <w:name w:val="List Paragraph1"/>
    <w:basedOn w:val="Normal"/>
    <w:rsid w:val="00BD2D52"/>
    <w:pPr>
      <w:ind w:left="720"/>
    </w:pPr>
    <w:rPr>
      <w:rFonts w:ascii="Calibri" w:hAnsi="Calibri"/>
      <w:b w:val="0"/>
      <w:sz w:val="22"/>
      <w:szCs w:val="22"/>
      <w:lang w:val="en-US" w:eastAsia="en-US"/>
    </w:rPr>
  </w:style>
  <w:style w:type="table" w:styleId="Tablaconcuadrcula">
    <w:name w:val="Table Grid"/>
    <w:basedOn w:val="Tablanormal"/>
    <w:rsid w:val="00BD2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F4590"/>
    <w:pPr>
      <w:ind w:left="720"/>
      <w:contextualSpacing/>
    </w:pPr>
  </w:style>
  <w:style w:type="character" w:customStyle="1" w:styleId="EncabezadoCar">
    <w:name w:val="Encabezado Car"/>
    <w:link w:val="Encabezado"/>
    <w:uiPriority w:val="99"/>
    <w:rsid w:val="00CF4590"/>
    <w:rPr>
      <w:rFonts w:ascii="Arial" w:hAnsi="Arial"/>
      <w:b/>
      <w:sz w:val="24"/>
      <w:lang w:val="es-ES_tradnl" w:eastAsia="es-ES"/>
    </w:rPr>
  </w:style>
  <w:style w:type="character" w:customStyle="1" w:styleId="PiedepginaCar">
    <w:name w:val="Pie de página Car"/>
    <w:link w:val="Piedepgina"/>
    <w:uiPriority w:val="99"/>
    <w:rsid w:val="005A4BBB"/>
    <w:rPr>
      <w:rFonts w:ascii="Arial" w:hAnsi="Arial"/>
      <w:b/>
      <w:sz w:val="24"/>
      <w:lang w:val="es-ES_tradnl" w:eastAsia="es-ES"/>
    </w:rPr>
  </w:style>
  <w:style w:type="paragraph" w:customStyle="1" w:styleId="Default">
    <w:name w:val="Default"/>
    <w:rsid w:val="00E32AB8"/>
    <w:pPr>
      <w:autoSpaceDE w:val="0"/>
      <w:autoSpaceDN w:val="0"/>
      <w:adjustRightInd w:val="0"/>
    </w:pPr>
    <w:rPr>
      <w:rFonts w:ascii="Arial" w:hAnsi="Arial" w:cs="Arial"/>
      <w:color w:val="000000"/>
      <w:sz w:val="24"/>
      <w:szCs w:val="24"/>
      <w:lang w:val="es-CO"/>
    </w:rPr>
  </w:style>
  <w:style w:type="character" w:styleId="Hipervnculo">
    <w:name w:val="Hyperlink"/>
    <w:basedOn w:val="Fuentedeprrafopredeter"/>
    <w:uiPriority w:val="99"/>
    <w:unhideWhenUsed/>
    <w:rsid w:val="00DC210F"/>
    <w:rPr>
      <w:color w:val="0000FF"/>
      <w:u w:val="single"/>
    </w:rPr>
  </w:style>
  <w:style w:type="paragraph" w:styleId="Revisin">
    <w:name w:val="Revision"/>
    <w:hidden/>
    <w:uiPriority w:val="99"/>
    <w:semiHidden/>
    <w:rsid w:val="005324A0"/>
    <w:rPr>
      <w:rFonts w:ascii="Arial" w:hAnsi="Arial"/>
      <w:b/>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19781">
      <w:bodyDiv w:val="1"/>
      <w:marLeft w:val="0"/>
      <w:marRight w:val="0"/>
      <w:marTop w:val="0"/>
      <w:marBottom w:val="0"/>
      <w:divBdr>
        <w:top w:val="none" w:sz="0" w:space="0" w:color="auto"/>
        <w:left w:val="none" w:sz="0" w:space="0" w:color="auto"/>
        <w:bottom w:val="none" w:sz="0" w:space="0" w:color="auto"/>
        <w:right w:val="none" w:sz="0" w:space="0" w:color="auto"/>
      </w:divBdr>
      <w:divsChild>
        <w:div w:id="222911862">
          <w:marLeft w:val="0"/>
          <w:marRight w:val="0"/>
          <w:marTop w:val="0"/>
          <w:marBottom w:val="0"/>
          <w:divBdr>
            <w:top w:val="none" w:sz="0" w:space="0" w:color="auto"/>
            <w:left w:val="none" w:sz="0" w:space="0" w:color="auto"/>
            <w:bottom w:val="none" w:sz="0" w:space="0" w:color="auto"/>
            <w:right w:val="none" w:sz="0" w:space="0" w:color="auto"/>
          </w:divBdr>
        </w:div>
        <w:div w:id="910233148">
          <w:marLeft w:val="0"/>
          <w:marRight w:val="0"/>
          <w:marTop w:val="0"/>
          <w:marBottom w:val="0"/>
          <w:divBdr>
            <w:top w:val="none" w:sz="0" w:space="0" w:color="auto"/>
            <w:left w:val="none" w:sz="0" w:space="0" w:color="auto"/>
            <w:bottom w:val="none" w:sz="0" w:space="0" w:color="auto"/>
            <w:right w:val="none" w:sz="0" w:space="0" w:color="auto"/>
          </w:divBdr>
        </w:div>
        <w:div w:id="2127889819">
          <w:marLeft w:val="0"/>
          <w:marRight w:val="0"/>
          <w:marTop w:val="0"/>
          <w:marBottom w:val="0"/>
          <w:divBdr>
            <w:top w:val="single" w:sz="6" w:space="3" w:color="808080"/>
            <w:left w:val="single" w:sz="6" w:space="15" w:color="808080"/>
            <w:bottom w:val="single" w:sz="6" w:space="8" w:color="808080"/>
            <w:right w:val="single" w:sz="6" w:space="15" w:color="808080"/>
          </w:divBdr>
          <w:divsChild>
            <w:div w:id="273370367">
              <w:marLeft w:val="0"/>
              <w:marRight w:val="0"/>
              <w:marTop w:val="0"/>
              <w:marBottom w:val="0"/>
              <w:divBdr>
                <w:top w:val="none" w:sz="0" w:space="0" w:color="auto"/>
                <w:left w:val="none" w:sz="0" w:space="0" w:color="auto"/>
                <w:bottom w:val="none" w:sz="0" w:space="0" w:color="auto"/>
                <w:right w:val="none" w:sz="0" w:space="0" w:color="auto"/>
              </w:divBdr>
            </w:div>
          </w:divsChild>
        </w:div>
        <w:div w:id="94641907">
          <w:marLeft w:val="0"/>
          <w:marRight w:val="0"/>
          <w:marTop w:val="0"/>
          <w:marBottom w:val="0"/>
          <w:divBdr>
            <w:top w:val="none" w:sz="0" w:space="0" w:color="auto"/>
            <w:left w:val="none" w:sz="0" w:space="0" w:color="auto"/>
            <w:bottom w:val="none" w:sz="0" w:space="0" w:color="auto"/>
            <w:right w:val="none" w:sz="0" w:space="0" w:color="auto"/>
          </w:divBdr>
        </w:div>
        <w:div w:id="356932147">
          <w:marLeft w:val="0"/>
          <w:marRight w:val="0"/>
          <w:marTop w:val="0"/>
          <w:marBottom w:val="0"/>
          <w:divBdr>
            <w:top w:val="none" w:sz="0" w:space="0" w:color="auto"/>
            <w:left w:val="none" w:sz="0" w:space="0" w:color="auto"/>
            <w:bottom w:val="none" w:sz="0" w:space="0" w:color="auto"/>
            <w:right w:val="none" w:sz="0" w:space="0" w:color="auto"/>
          </w:divBdr>
        </w:div>
        <w:div w:id="1826581491">
          <w:marLeft w:val="0"/>
          <w:marRight w:val="0"/>
          <w:marTop w:val="0"/>
          <w:marBottom w:val="0"/>
          <w:divBdr>
            <w:top w:val="none" w:sz="0" w:space="0" w:color="auto"/>
            <w:left w:val="none" w:sz="0" w:space="0" w:color="auto"/>
            <w:bottom w:val="none" w:sz="0" w:space="0" w:color="auto"/>
            <w:right w:val="none" w:sz="0" w:space="0" w:color="auto"/>
          </w:divBdr>
        </w:div>
        <w:div w:id="985478743">
          <w:marLeft w:val="0"/>
          <w:marRight w:val="0"/>
          <w:marTop w:val="0"/>
          <w:marBottom w:val="0"/>
          <w:divBdr>
            <w:top w:val="none" w:sz="0" w:space="0" w:color="auto"/>
            <w:left w:val="none" w:sz="0" w:space="0" w:color="auto"/>
            <w:bottom w:val="none" w:sz="0" w:space="0" w:color="auto"/>
            <w:right w:val="none" w:sz="0" w:space="0" w:color="auto"/>
          </w:divBdr>
        </w:div>
        <w:div w:id="1054625741">
          <w:marLeft w:val="0"/>
          <w:marRight w:val="0"/>
          <w:marTop w:val="0"/>
          <w:marBottom w:val="0"/>
          <w:divBdr>
            <w:top w:val="none" w:sz="0" w:space="0" w:color="auto"/>
            <w:left w:val="none" w:sz="0" w:space="0" w:color="auto"/>
            <w:bottom w:val="none" w:sz="0" w:space="0" w:color="auto"/>
            <w:right w:val="none" w:sz="0" w:space="0" w:color="auto"/>
          </w:divBdr>
        </w:div>
        <w:div w:id="464667318">
          <w:marLeft w:val="0"/>
          <w:marRight w:val="0"/>
          <w:marTop w:val="0"/>
          <w:marBottom w:val="0"/>
          <w:divBdr>
            <w:top w:val="none" w:sz="0" w:space="0" w:color="auto"/>
            <w:left w:val="none" w:sz="0" w:space="0" w:color="auto"/>
            <w:bottom w:val="none" w:sz="0" w:space="0" w:color="auto"/>
            <w:right w:val="none" w:sz="0" w:space="0" w:color="auto"/>
          </w:divBdr>
        </w:div>
        <w:div w:id="1167792358">
          <w:marLeft w:val="0"/>
          <w:marRight w:val="0"/>
          <w:marTop w:val="0"/>
          <w:marBottom w:val="0"/>
          <w:divBdr>
            <w:top w:val="none" w:sz="0" w:space="0" w:color="auto"/>
            <w:left w:val="none" w:sz="0" w:space="0" w:color="auto"/>
            <w:bottom w:val="none" w:sz="0" w:space="0" w:color="auto"/>
            <w:right w:val="none" w:sz="0" w:space="0" w:color="auto"/>
          </w:divBdr>
        </w:div>
        <w:div w:id="2076931909">
          <w:marLeft w:val="0"/>
          <w:marRight w:val="0"/>
          <w:marTop w:val="0"/>
          <w:marBottom w:val="0"/>
          <w:divBdr>
            <w:top w:val="none" w:sz="0" w:space="0" w:color="auto"/>
            <w:left w:val="none" w:sz="0" w:space="0" w:color="auto"/>
            <w:bottom w:val="none" w:sz="0" w:space="0" w:color="auto"/>
            <w:right w:val="none" w:sz="0" w:space="0" w:color="auto"/>
          </w:divBdr>
        </w:div>
        <w:div w:id="1789664158">
          <w:marLeft w:val="0"/>
          <w:marRight w:val="0"/>
          <w:marTop w:val="0"/>
          <w:marBottom w:val="0"/>
          <w:divBdr>
            <w:top w:val="none" w:sz="0" w:space="0" w:color="auto"/>
            <w:left w:val="none" w:sz="0" w:space="0" w:color="auto"/>
            <w:bottom w:val="none" w:sz="0" w:space="0" w:color="auto"/>
            <w:right w:val="none" w:sz="0" w:space="0" w:color="auto"/>
          </w:divBdr>
        </w:div>
      </w:divsChild>
    </w:div>
    <w:div w:id="247925284">
      <w:bodyDiv w:val="1"/>
      <w:marLeft w:val="0"/>
      <w:marRight w:val="0"/>
      <w:marTop w:val="0"/>
      <w:marBottom w:val="0"/>
      <w:divBdr>
        <w:top w:val="none" w:sz="0" w:space="0" w:color="auto"/>
        <w:left w:val="none" w:sz="0" w:space="0" w:color="auto"/>
        <w:bottom w:val="none" w:sz="0" w:space="0" w:color="auto"/>
        <w:right w:val="none" w:sz="0" w:space="0" w:color="auto"/>
      </w:divBdr>
      <w:divsChild>
        <w:div w:id="722488783">
          <w:marLeft w:val="0"/>
          <w:marRight w:val="0"/>
          <w:marTop w:val="0"/>
          <w:marBottom w:val="0"/>
          <w:divBdr>
            <w:top w:val="none" w:sz="0" w:space="0" w:color="auto"/>
            <w:left w:val="none" w:sz="0" w:space="0" w:color="auto"/>
            <w:bottom w:val="none" w:sz="0" w:space="0" w:color="auto"/>
            <w:right w:val="none" w:sz="0" w:space="0" w:color="auto"/>
          </w:divBdr>
        </w:div>
      </w:divsChild>
    </w:div>
    <w:div w:id="566957646">
      <w:bodyDiv w:val="1"/>
      <w:marLeft w:val="0"/>
      <w:marRight w:val="0"/>
      <w:marTop w:val="0"/>
      <w:marBottom w:val="0"/>
      <w:divBdr>
        <w:top w:val="none" w:sz="0" w:space="0" w:color="auto"/>
        <w:left w:val="none" w:sz="0" w:space="0" w:color="auto"/>
        <w:bottom w:val="none" w:sz="0" w:space="0" w:color="auto"/>
        <w:right w:val="none" w:sz="0" w:space="0" w:color="auto"/>
      </w:divBdr>
      <w:divsChild>
        <w:div w:id="728770624">
          <w:marLeft w:val="0"/>
          <w:marRight w:val="0"/>
          <w:marTop w:val="0"/>
          <w:marBottom w:val="0"/>
          <w:divBdr>
            <w:top w:val="none" w:sz="0" w:space="0" w:color="auto"/>
            <w:left w:val="none" w:sz="0" w:space="0" w:color="auto"/>
            <w:bottom w:val="none" w:sz="0" w:space="0" w:color="auto"/>
            <w:right w:val="none" w:sz="0" w:space="0" w:color="auto"/>
          </w:divBdr>
          <w:divsChild>
            <w:div w:id="1074429088">
              <w:marLeft w:val="0"/>
              <w:marRight w:val="0"/>
              <w:marTop w:val="0"/>
              <w:marBottom w:val="0"/>
              <w:divBdr>
                <w:top w:val="none" w:sz="0" w:space="0" w:color="auto"/>
                <w:left w:val="none" w:sz="0" w:space="0" w:color="auto"/>
                <w:bottom w:val="none" w:sz="0" w:space="0" w:color="auto"/>
                <w:right w:val="none" w:sz="0" w:space="0" w:color="auto"/>
              </w:divBdr>
              <w:divsChild>
                <w:div w:id="3098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871117">
      <w:bodyDiv w:val="1"/>
      <w:marLeft w:val="0"/>
      <w:marRight w:val="0"/>
      <w:marTop w:val="0"/>
      <w:marBottom w:val="0"/>
      <w:divBdr>
        <w:top w:val="none" w:sz="0" w:space="0" w:color="auto"/>
        <w:left w:val="none" w:sz="0" w:space="0" w:color="auto"/>
        <w:bottom w:val="none" w:sz="0" w:space="0" w:color="auto"/>
        <w:right w:val="none" w:sz="0" w:space="0" w:color="auto"/>
      </w:divBdr>
      <w:divsChild>
        <w:div w:id="1751149977">
          <w:marLeft w:val="0"/>
          <w:marRight w:val="0"/>
          <w:marTop w:val="0"/>
          <w:marBottom w:val="0"/>
          <w:divBdr>
            <w:top w:val="none" w:sz="0" w:space="0" w:color="auto"/>
            <w:left w:val="none" w:sz="0" w:space="0" w:color="auto"/>
            <w:bottom w:val="none" w:sz="0" w:space="0" w:color="auto"/>
            <w:right w:val="none" w:sz="0" w:space="0" w:color="auto"/>
          </w:divBdr>
          <w:divsChild>
            <w:div w:id="17561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2429">
      <w:bodyDiv w:val="1"/>
      <w:marLeft w:val="0"/>
      <w:marRight w:val="0"/>
      <w:marTop w:val="0"/>
      <w:marBottom w:val="0"/>
      <w:divBdr>
        <w:top w:val="none" w:sz="0" w:space="0" w:color="auto"/>
        <w:left w:val="none" w:sz="0" w:space="0" w:color="auto"/>
        <w:bottom w:val="none" w:sz="0" w:space="0" w:color="auto"/>
        <w:right w:val="none" w:sz="0" w:space="0" w:color="auto"/>
      </w:divBdr>
    </w:div>
    <w:div w:id="2004627377">
      <w:bodyDiv w:val="1"/>
      <w:marLeft w:val="0"/>
      <w:marRight w:val="0"/>
      <w:marTop w:val="0"/>
      <w:marBottom w:val="0"/>
      <w:divBdr>
        <w:top w:val="none" w:sz="0" w:space="0" w:color="auto"/>
        <w:left w:val="none" w:sz="0" w:space="0" w:color="auto"/>
        <w:bottom w:val="none" w:sz="0" w:space="0" w:color="auto"/>
        <w:right w:val="none" w:sz="0" w:space="0" w:color="auto"/>
      </w:divBdr>
    </w:div>
    <w:div w:id="21357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45774FEABD2EC4D837EFE231CB4A821" ma:contentTypeVersion="13" ma:contentTypeDescription="Create a new document." ma:contentTypeScope="" ma:versionID="4d297f54423cce130c416e8e77df392a">
  <xsd:schema xmlns:xsd="http://www.w3.org/2001/XMLSchema" xmlns:xs="http://www.w3.org/2001/XMLSchema" xmlns:p="http://schemas.microsoft.com/office/2006/metadata/properties" xmlns:ns3="09f3234f-540a-47d9-9911-831b2befbdf1" xmlns:ns4="4b7b0785-c4d7-436d-b897-38901db80b41" targetNamespace="http://schemas.microsoft.com/office/2006/metadata/properties" ma:root="true" ma:fieldsID="db0cd07da2b67890d60f9a9d7f9c98ce" ns3:_="" ns4:_="">
    <xsd:import namespace="09f3234f-540a-47d9-9911-831b2befbdf1"/>
    <xsd:import namespace="4b7b0785-c4d7-436d-b897-38901db80b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f3234f-540a-47d9-9911-831b2befb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7b0785-c4d7-436d-b897-38901db80b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B883A-98EE-4598-ABFC-63150970085A}">
  <ds:schemaRefs>
    <ds:schemaRef ds:uri="http://schemas.microsoft.com/sharepoint/v3/contenttype/forms"/>
  </ds:schemaRefs>
</ds:datastoreItem>
</file>

<file path=customXml/itemProps2.xml><?xml version="1.0" encoding="utf-8"?>
<ds:datastoreItem xmlns:ds="http://schemas.openxmlformats.org/officeDocument/2006/customXml" ds:itemID="{85FAA5E4-E37B-4F0D-A115-C3BFA61517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C8683C-E952-4E57-9CCB-A000B9B4F3E9}">
  <ds:schemaRefs>
    <ds:schemaRef ds:uri="http://schemas.openxmlformats.org/officeDocument/2006/bibliography"/>
  </ds:schemaRefs>
</ds:datastoreItem>
</file>

<file path=customXml/itemProps4.xml><?xml version="1.0" encoding="utf-8"?>
<ds:datastoreItem xmlns:ds="http://schemas.openxmlformats.org/officeDocument/2006/customXml" ds:itemID="{27DE4C27-72E1-41A7-BE73-C331E9F11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3234f-540a-47d9-9911-831b2befbdf1"/>
    <ds:schemaRef ds:uri="4b7b0785-c4d7-436d-b897-38901db80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1015</Words>
  <Characters>5771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JFESPINOSA</dc:creator>
  <cp:lastModifiedBy>Gabriel Armando Ospina Garcia</cp:lastModifiedBy>
  <cp:revision>7</cp:revision>
  <cp:lastPrinted>2021-10-07T14:05:00Z</cp:lastPrinted>
  <dcterms:created xsi:type="dcterms:W3CDTF">2021-10-29T23:55:00Z</dcterms:created>
  <dcterms:modified xsi:type="dcterms:W3CDTF">2021-11-02T22:15:00Z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-971150236</vt:i4>
  </property>
  <property fmtid="{D5CDD505-2E9C-101B-9397-08002B2CF9AE}" pid="3" name="_ReviewCycleID">
    <vt:i4>-971150236</vt:i4>
  </property>
  <property fmtid="{D5CDD505-2E9C-101B-9397-08002B2CF9AE}" pid="4" name="_NewReviewCycle">
    <vt:lpwstr/>
  </property>
  <property fmtid="{D5CDD505-2E9C-101B-9397-08002B2CF9AE}" pid="5" name="_EmailEntryID">
    <vt:lpwstr>00000000B611F39CEF6BFB4BBEFB02FE327D17E0070005AAA3D13F51E040B9859A856A1AD9DB00000255FE200000F86BC037976DE04A91864293140614980000556E7B8F0000</vt:lpwstr>
  </property>
  <property fmtid="{D5CDD505-2E9C-101B-9397-08002B2CF9AE}" pid="6" name="_EmailStoreID">
    <vt:lpwstr>0000000038A1BB1005E5101AA1BB08002B2A56C200006D737073742E646C6C00000000004E495441F9BFB80100AA0037D96E0000000043003A005C004400610074006F0073005C0043006F007200720065006F005C004A006F00730065002E007000730074000000</vt:lpwstr>
  </property>
  <property fmtid="{D5CDD505-2E9C-101B-9397-08002B2CF9AE}" pid="7" name="_EmailStoreID0">
    <vt:lpwstr>0000000038A1BB1005E5101AA1BB08002B2A56C20000454D534D44422E444C4C00000000000000001B55FA20AA6611CD9BC800AA002FC45A0C0000006578316E6C623233392E737570657266696E616E63696572612E6C6F63002F6F3D537570657246696E616E63696572612F6F753D46697273742041646D696E697374726</vt:lpwstr>
  </property>
  <property fmtid="{D5CDD505-2E9C-101B-9397-08002B2CF9AE}" pid="8" name="_EmailStoreID1">
    <vt:lpwstr>1746976652047726F75702F636E3D526563697069656E74732F636E3D67616F7370696E6100</vt:lpwstr>
  </property>
  <property fmtid="{D5CDD505-2E9C-101B-9397-08002B2CF9AE}" pid="9" name="ContentTypeId">
    <vt:lpwstr>0x010100C45774FEABD2EC4D837EFE231CB4A821</vt:lpwstr>
  </property>
  <property fmtid="{D5CDD505-2E9C-101B-9397-08002B2CF9AE}" pid="10" name="_ReviewingToolsShownOnce">
    <vt:lpwstr/>
  </property>
</Properties>
</file>