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5D552" w14:textId="77777777" w:rsidR="00D23904" w:rsidRPr="006A7FA7" w:rsidRDefault="00D23904" w:rsidP="00D23904">
      <w:pPr>
        <w:pStyle w:val="Sangradetextonormal"/>
        <w:ind w:left="0" w:firstLine="0"/>
        <w:rPr>
          <w:sz w:val="18"/>
          <w:lang w:val="es-ES_tradnl"/>
        </w:rPr>
      </w:pPr>
      <w:r w:rsidRPr="00156B6B">
        <w:rPr>
          <w:sz w:val="18"/>
          <w:lang w:val="es-ES_tradnl"/>
        </w:rPr>
        <w:t xml:space="preserve">Dentro de tales mecanismos o instrumentos se encuentran los planes de contingencia que deben ofrecer un conjunto de opciones proporcionales con la complejidad de la entidad y/o el conglomerado financiero, el perfil de riesgo, el alcance de las operaciones y el rol dentro del sistema financiero. Los resultados de las pruebas de tensión (stress </w:t>
      </w:r>
      <w:proofErr w:type="spellStart"/>
      <w:r w:rsidRPr="00156B6B">
        <w:rPr>
          <w:sz w:val="18"/>
          <w:lang w:val="es-ES_tradnl"/>
        </w:rPr>
        <w:t>tests</w:t>
      </w:r>
      <w:proofErr w:type="spellEnd"/>
      <w:r w:rsidRPr="00156B6B">
        <w:rPr>
          <w:sz w:val="18"/>
          <w:lang w:val="es-ES_tradnl"/>
        </w:rPr>
        <w:t xml:space="preserve">) deben ser la base para el diseño de </w:t>
      </w:r>
      <w:proofErr w:type="gramStart"/>
      <w:r w:rsidRPr="00156B6B">
        <w:rPr>
          <w:sz w:val="18"/>
          <w:lang w:val="es-ES_tradnl"/>
        </w:rPr>
        <w:t>los mismos</w:t>
      </w:r>
      <w:proofErr w:type="gramEnd"/>
      <w:r w:rsidRPr="00156B6B">
        <w:rPr>
          <w:sz w:val="18"/>
          <w:lang w:val="es-ES_tradnl"/>
        </w:rPr>
        <w:t>.</w:t>
      </w:r>
      <w:r w:rsidRPr="006A7FA7">
        <w:rPr>
          <w:sz w:val="18"/>
          <w:lang w:val="es-ES_tradnl"/>
        </w:rPr>
        <w:t xml:space="preserve"> </w:t>
      </w:r>
    </w:p>
    <w:p w14:paraId="72C5B16F" w14:textId="77777777" w:rsidR="00D23904" w:rsidRDefault="00D23904" w:rsidP="00D23904">
      <w:pPr>
        <w:pStyle w:val="Sangradetextonormal"/>
        <w:ind w:left="0" w:firstLine="0"/>
        <w:rPr>
          <w:sz w:val="18"/>
          <w:lang w:val="es-ES_tradnl"/>
        </w:rPr>
      </w:pPr>
    </w:p>
    <w:p w14:paraId="2534D8E6" w14:textId="77777777" w:rsidR="00D23904" w:rsidRPr="0004086D" w:rsidRDefault="00D23904" w:rsidP="00D23904">
      <w:pPr>
        <w:pStyle w:val="Sangradetextonormal"/>
        <w:ind w:left="0" w:firstLine="0"/>
        <w:rPr>
          <w:sz w:val="18"/>
          <w:lang w:val="es-ES_tradnl"/>
        </w:rPr>
      </w:pPr>
      <w:r>
        <w:rPr>
          <w:sz w:val="18"/>
          <w:lang w:val="es-ES_tradnl"/>
        </w:rPr>
        <w:t>En todo caso, c</w:t>
      </w:r>
      <w:r w:rsidRPr="0004086D">
        <w:rPr>
          <w:sz w:val="18"/>
          <w:lang w:val="es-ES_tradnl"/>
        </w:rPr>
        <w:t>ada entidad debe contar, entre otros, con algunos de los siguientes mecanismos:</w:t>
      </w:r>
    </w:p>
    <w:p w14:paraId="7771C6D8" w14:textId="77777777" w:rsidR="00D23904" w:rsidRPr="0004086D" w:rsidRDefault="00D23904" w:rsidP="00D23904">
      <w:pPr>
        <w:pStyle w:val="Sangradetextonormal"/>
        <w:ind w:left="0" w:firstLine="0"/>
        <w:rPr>
          <w:sz w:val="18"/>
          <w:lang w:val="es-ES_tradnl"/>
        </w:rPr>
      </w:pPr>
    </w:p>
    <w:p w14:paraId="62E63DC2" w14:textId="77777777" w:rsidR="00D23904" w:rsidRPr="0004086D" w:rsidRDefault="00D23904" w:rsidP="00D23904">
      <w:pPr>
        <w:pStyle w:val="Sangradetextonormal"/>
        <w:numPr>
          <w:ilvl w:val="1"/>
          <w:numId w:val="10"/>
        </w:numPr>
        <w:tabs>
          <w:tab w:val="clear" w:pos="1800"/>
          <w:tab w:val="num" w:pos="360"/>
        </w:tabs>
        <w:ind w:left="360"/>
        <w:rPr>
          <w:sz w:val="18"/>
          <w:lang w:val="es-ES_tradnl"/>
        </w:rPr>
      </w:pPr>
      <w:r w:rsidRPr="0004086D">
        <w:rPr>
          <w:sz w:val="18"/>
          <w:lang w:val="es-ES_tradnl"/>
        </w:rPr>
        <w:t>Posibles adquirentes para la emisión y colocación de instrumentos de deuda (</w:t>
      </w:r>
      <w:proofErr w:type="spellStart"/>
      <w:r w:rsidRPr="0004086D">
        <w:rPr>
          <w:sz w:val="18"/>
          <w:lang w:val="es-ES_tradnl"/>
        </w:rPr>
        <w:t>CDTs</w:t>
      </w:r>
      <w:proofErr w:type="spellEnd"/>
      <w:r w:rsidRPr="0004086D">
        <w:rPr>
          <w:sz w:val="18"/>
          <w:lang w:val="es-ES_tradnl"/>
        </w:rPr>
        <w:t>, Bonos</w:t>
      </w:r>
      <w:r>
        <w:rPr>
          <w:sz w:val="18"/>
          <w:lang w:val="es-ES_tradnl"/>
        </w:rPr>
        <w:t xml:space="preserve"> </w:t>
      </w:r>
      <w:proofErr w:type="spellStart"/>
      <w:r>
        <w:rPr>
          <w:sz w:val="18"/>
          <w:lang w:val="es-ES_tradnl"/>
        </w:rPr>
        <w:t>etc</w:t>
      </w:r>
      <w:proofErr w:type="spellEnd"/>
      <w:r w:rsidRPr="0004086D">
        <w:rPr>
          <w:sz w:val="18"/>
          <w:lang w:val="es-ES_tradnl"/>
        </w:rPr>
        <w:t>) por determinado monto y el tiempo requerido para ello.</w:t>
      </w:r>
    </w:p>
    <w:p w14:paraId="35DC2DE5" w14:textId="77777777" w:rsidR="00D23904" w:rsidRPr="0004086D" w:rsidRDefault="00D23904" w:rsidP="00D23904">
      <w:pPr>
        <w:pStyle w:val="Sangradetextonormal"/>
        <w:ind w:left="0" w:firstLine="0"/>
        <w:rPr>
          <w:sz w:val="18"/>
          <w:lang w:val="es-ES_tradnl"/>
        </w:rPr>
      </w:pPr>
    </w:p>
    <w:p w14:paraId="5AD96BAD" w14:textId="77777777" w:rsidR="00D23904" w:rsidRPr="0004086D" w:rsidRDefault="00D23904" w:rsidP="00D23904">
      <w:pPr>
        <w:pStyle w:val="Sangradetextonormal"/>
        <w:numPr>
          <w:ilvl w:val="1"/>
          <w:numId w:val="10"/>
        </w:numPr>
        <w:tabs>
          <w:tab w:val="clear" w:pos="1800"/>
          <w:tab w:val="num" w:pos="360"/>
        </w:tabs>
        <w:ind w:left="360"/>
        <w:rPr>
          <w:sz w:val="18"/>
          <w:lang w:val="es-ES_tradnl"/>
        </w:rPr>
      </w:pPr>
      <w:r>
        <w:rPr>
          <w:sz w:val="18"/>
          <w:lang w:val="es-ES_tradnl"/>
        </w:rPr>
        <w:t>Posibilidad de a</w:t>
      </w:r>
      <w:r w:rsidRPr="0004086D">
        <w:rPr>
          <w:sz w:val="18"/>
          <w:lang w:val="es-ES_tradnl"/>
        </w:rPr>
        <w:t>llegar recursos líquidos mediante operaciones de mercado monetario (repos, simultáneas, transferencias temporales de valores, préstamos interbancarios</w:t>
      </w:r>
      <w:r>
        <w:rPr>
          <w:sz w:val="18"/>
          <w:lang w:val="es-ES_tradnl"/>
        </w:rPr>
        <w:t xml:space="preserve"> etc.</w:t>
      </w:r>
      <w:r w:rsidRPr="0004086D">
        <w:rPr>
          <w:sz w:val="18"/>
          <w:lang w:val="es-ES_tradnl"/>
        </w:rPr>
        <w:t>), estableciendo montos, garantías y contrapartes dispuestas a proveer el financiamiento requerido en la situación económica y financiera que se prevea.</w:t>
      </w:r>
    </w:p>
    <w:p w14:paraId="6204C29B" w14:textId="77777777" w:rsidR="00D23904" w:rsidRPr="0004086D" w:rsidRDefault="00D23904" w:rsidP="00D23904">
      <w:pPr>
        <w:pStyle w:val="Sangradetextonormal"/>
        <w:ind w:left="0" w:firstLine="0"/>
        <w:rPr>
          <w:sz w:val="18"/>
          <w:lang w:val="es-ES_tradnl"/>
        </w:rPr>
      </w:pPr>
    </w:p>
    <w:p w14:paraId="6BAAB0B0" w14:textId="77777777" w:rsidR="00D23904" w:rsidRPr="0004086D" w:rsidRDefault="00D23904" w:rsidP="00D23904">
      <w:pPr>
        <w:pStyle w:val="Sangradetextonormal"/>
        <w:numPr>
          <w:ilvl w:val="1"/>
          <w:numId w:val="10"/>
        </w:numPr>
        <w:tabs>
          <w:tab w:val="clear" w:pos="1800"/>
          <w:tab w:val="num" w:pos="360"/>
        </w:tabs>
        <w:ind w:left="360"/>
        <w:rPr>
          <w:sz w:val="18"/>
          <w:lang w:val="es-ES_tradnl"/>
        </w:rPr>
      </w:pPr>
      <w:r>
        <w:rPr>
          <w:sz w:val="18"/>
          <w:lang w:val="es-ES_tradnl"/>
        </w:rPr>
        <w:t>Posibilidad de c</w:t>
      </w:r>
      <w:r w:rsidRPr="0004086D">
        <w:rPr>
          <w:sz w:val="18"/>
          <w:lang w:val="es-ES_tradnl"/>
        </w:rPr>
        <w:t>onseguir recursos líquidos nuevos, ya sean frescos o por medio de renovaciones de depósitos y/o de créditos.</w:t>
      </w:r>
    </w:p>
    <w:p w14:paraId="0E493DDC" w14:textId="77777777" w:rsidR="00D23904" w:rsidRPr="0004086D" w:rsidRDefault="00D23904" w:rsidP="00D23904">
      <w:pPr>
        <w:pStyle w:val="Sangradetextonormal"/>
        <w:ind w:left="0" w:firstLine="0"/>
        <w:rPr>
          <w:sz w:val="18"/>
          <w:lang w:val="es-ES_tradnl"/>
        </w:rPr>
      </w:pPr>
    </w:p>
    <w:p w14:paraId="2AD6E662" w14:textId="77777777" w:rsidR="00D23904" w:rsidRPr="0004086D" w:rsidRDefault="00D23904" w:rsidP="00D23904">
      <w:pPr>
        <w:pStyle w:val="Sangradetextonormal"/>
        <w:numPr>
          <w:ilvl w:val="1"/>
          <w:numId w:val="10"/>
        </w:numPr>
        <w:tabs>
          <w:tab w:val="clear" w:pos="1800"/>
          <w:tab w:val="num" w:pos="360"/>
        </w:tabs>
        <w:ind w:left="360"/>
        <w:rPr>
          <w:sz w:val="18"/>
          <w:lang w:val="es-ES_tradnl"/>
        </w:rPr>
      </w:pPr>
      <w:r w:rsidRPr="0004086D">
        <w:rPr>
          <w:sz w:val="18"/>
          <w:lang w:val="es-ES_tradnl"/>
        </w:rPr>
        <w:t>Cesión y/o venta de inversiones, cartera de créditos u otros activos y monto de eventuales pérdidas que le tocaría asumir por ello a la entidad.</w:t>
      </w:r>
    </w:p>
    <w:p w14:paraId="1150FFB1" w14:textId="77777777" w:rsidR="00D23904" w:rsidRPr="0004086D" w:rsidRDefault="00D23904" w:rsidP="00D23904">
      <w:pPr>
        <w:pStyle w:val="Sangradetextonormal"/>
        <w:ind w:left="0" w:firstLine="0"/>
        <w:rPr>
          <w:sz w:val="18"/>
          <w:lang w:val="es-ES_tradnl"/>
        </w:rPr>
      </w:pPr>
    </w:p>
    <w:p w14:paraId="6B6DE4B7" w14:textId="77777777" w:rsidR="00D23904" w:rsidRPr="0004086D" w:rsidRDefault="00D23904" w:rsidP="00D23904">
      <w:pPr>
        <w:pStyle w:val="Sangradetextonormal"/>
        <w:numPr>
          <w:ilvl w:val="1"/>
          <w:numId w:val="10"/>
        </w:numPr>
        <w:tabs>
          <w:tab w:val="clear" w:pos="1800"/>
          <w:tab w:val="num" w:pos="360"/>
        </w:tabs>
        <w:ind w:left="360"/>
        <w:rPr>
          <w:sz w:val="18"/>
          <w:lang w:val="es-ES_tradnl"/>
        </w:rPr>
      </w:pPr>
      <w:r>
        <w:rPr>
          <w:sz w:val="18"/>
          <w:lang w:val="es-ES_tradnl"/>
        </w:rPr>
        <w:t>Posibles a</w:t>
      </w:r>
      <w:r w:rsidRPr="0004086D">
        <w:rPr>
          <w:sz w:val="18"/>
          <w:lang w:val="es-ES_tradnl"/>
        </w:rPr>
        <w:t xml:space="preserve">poyos de liquidez de la casa matriz, de accionistas o, en general, de partes relacionadas, a nivel local o internacional, la oportunidad y plazo de </w:t>
      </w:r>
      <w:proofErr w:type="gramStart"/>
      <w:r w:rsidRPr="0004086D">
        <w:rPr>
          <w:sz w:val="18"/>
          <w:lang w:val="es-ES_tradnl"/>
        </w:rPr>
        <w:t>los mismos</w:t>
      </w:r>
      <w:proofErr w:type="gramEnd"/>
      <w:r w:rsidRPr="0004086D">
        <w:rPr>
          <w:sz w:val="18"/>
          <w:lang w:val="es-ES_tradnl"/>
        </w:rPr>
        <w:t xml:space="preserve"> y los costos a asumir.</w:t>
      </w:r>
    </w:p>
    <w:p w14:paraId="71EC4241" w14:textId="77777777" w:rsidR="00D23904" w:rsidRPr="0004086D" w:rsidRDefault="00D23904" w:rsidP="00D23904">
      <w:pPr>
        <w:pStyle w:val="Sangradetextonormal"/>
        <w:ind w:left="0" w:firstLine="0"/>
        <w:rPr>
          <w:sz w:val="18"/>
          <w:lang w:val="es-ES_tradnl"/>
        </w:rPr>
      </w:pPr>
    </w:p>
    <w:p w14:paraId="0FB6A889" w14:textId="77777777" w:rsidR="00D23904" w:rsidRPr="0004086D" w:rsidRDefault="00D23904" w:rsidP="00D23904">
      <w:pPr>
        <w:pStyle w:val="Sangradetextonormal"/>
        <w:numPr>
          <w:ilvl w:val="1"/>
          <w:numId w:val="10"/>
        </w:numPr>
        <w:tabs>
          <w:tab w:val="clear" w:pos="1800"/>
          <w:tab w:val="num" w:pos="360"/>
        </w:tabs>
        <w:ind w:left="360"/>
        <w:rPr>
          <w:sz w:val="18"/>
          <w:lang w:val="es-ES_tradnl"/>
        </w:rPr>
      </w:pPr>
      <w:r>
        <w:rPr>
          <w:sz w:val="18"/>
          <w:lang w:val="es-ES_tradnl"/>
        </w:rPr>
        <w:t>Posibles a</w:t>
      </w:r>
      <w:r w:rsidRPr="0004086D">
        <w:rPr>
          <w:sz w:val="18"/>
          <w:lang w:val="es-ES_tradnl"/>
        </w:rPr>
        <w:t xml:space="preserve">poyos de liquidez del Banco de la República, sus requisitos, costos, oportunidad y plazo. </w:t>
      </w:r>
    </w:p>
    <w:p w14:paraId="6D6C390D" w14:textId="77777777" w:rsidR="00D23904" w:rsidRPr="0004086D" w:rsidRDefault="00D23904" w:rsidP="00D23904">
      <w:pPr>
        <w:pStyle w:val="Sangradetextonormal"/>
        <w:ind w:left="0" w:firstLine="0"/>
        <w:rPr>
          <w:sz w:val="18"/>
          <w:lang w:val="es-ES_tradnl"/>
        </w:rPr>
      </w:pPr>
    </w:p>
    <w:p w14:paraId="6BD5AB25" w14:textId="77777777" w:rsidR="00D23904" w:rsidRPr="006A7FA7" w:rsidRDefault="00D23904" w:rsidP="00D23904">
      <w:pPr>
        <w:pStyle w:val="Sangradetextonormal"/>
        <w:numPr>
          <w:ilvl w:val="1"/>
          <w:numId w:val="10"/>
        </w:numPr>
        <w:tabs>
          <w:tab w:val="clear" w:pos="1800"/>
          <w:tab w:val="num" w:pos="360"/>
        </w:tabs>
        <w:ind w:left="360"/>
        <w:rPr>
          <w:sz w:val="18"/>
          <w:lang w:val="es-ES_tradnl"/>
        </w:rPr>
      </w:pPr>
      <w:r w:rsidRPr="006A7FA7">
        <w:rPr>
          <w:sz w:val="18"/>
          <w:lang w:val="es-ES_tradnl"/>
        </w:rPr>
        <w:t>Planes en materia de comunicación hacia el supervisor, los grupos de interés, el público en general y los medios de comunicación, en caso de rumores o de difusión de información que pueda afectar negativamente la liquidez de la entidad.</w:t>
      </w:r>
    </w:p>
    <w:p w14:paraId="7F139B5B" w14:textId="77777777" w:rsidR="00D23904" w:rsidRPr="006A7FA7" w:rsidRDefault="00D23904" w:rsidP="00D23904">
      <w:pPr>
        <w:pStyle w:val="Sangradetextonormal"/>
        <w:ind w:left="0" w:firstLine="0"/>
        <w:rPr>
          <w:sz w:val="18"/>
          <w:lang w:val="es-ES_tradnl"/>
        </w:rPr>
      </w:pPr>
    </w:p>
    <w:p w14:paraId="2E3BE812" w14:textId="77777777" w:rsidR="00D23904" w:rsidRPr="006A7FA7" w:rsidRDefault="00D23904" w:rsidP="00D23904">
      <w:pPr>
        <w:pStyle w:val="Sangradetextonormal"/>
        <w:numPr>
          <w:ilvl w:val="1"/>
          <w:numId w:val="10"/>
        </w:numPr>
        <w:tabs>
          <w:tab w:val="clear" w:pos="1800"/>
          <w:tab w:val="num" w:pos="360"/>
        </w:tabs>
        <w:ind w:left="360"/>
        <w:rPr>
          <w:sz w:val="18"/>
          <w:lang w:val="es-ES_tradnl"/>
        </w:rPr>
      </w:pPr>
      <w:r w:rsidRPr="006A7FA7">
        <w:rPr>
          <w:sz w:val="18"/>
          <w:lang w:val="es-ES_tradnl"/>
        </w:rPr>
        <w:t>Procesos claros de priorización en donde se detalle cuándo y cómo cada una de las acciones puede y debe ser ejecutada, con un alto grado de flexibilidad que le permita a la entidad responder de forma rápida e informada en diferentes situaciones.</w:t>
      </w:r>
    </w:p>
    <w:p w14:paraId="4B42D7AD" w14:textId="77777777" w:rsidR="00D23904" w:rsidRPr="006A7FA7" w:rsidRDefault="00D23904" w:rsidP="00D23904">
      <w:pPr>
        <w:pStyle w:val="Sangradetextonormal"/>
        <w:ind w:left="0" w:firstLine="0"/>
        <w:rPr>
          <w:sz w:val="18"/>
          <w:lang w:val="es-ES_tradnl"/>
        </w:rPr>
      </w:pPr>
    </w:p>
    <w:p w14:paraId="5E58D938" w14:textId="77777777" w:rsidR="00D23904" w:rsidRPr="006A7FA7" w:rsidRDefault="00D23904" w:rsidP="00D23904">
      <w:pPr>
        <w:pStyle w:val="Sangradetextonormal"/>
        <w:numPr>
          <w:ilvl w:val="1"/>
          <w:numId w:val="10"/>
        </w:numPr>
        <w:tabs>
          <w:tab w:val="clear" w:pos="1800"/>
          <w:tab w:val="num" w:pos="360"/>
        </w:tabs>
        <w:ind w:left="360"/>
        <w:rPr>
          <w:sz w:val="18"/>
          <w:lang w:val="es-ES_tradnl"/>
        </w:rPr>
      </w:pPr>
      <w:r w:rsidRPr="006A7FA7">
        <w:rPr>
          <w:sz w:val="18"/>
          <w:lang w:val="es-ES_tradnl"/>
        </w:rPr>
        <w:t>Clara especificación de roles y responsabilidades, desde la autoridad para invocar el plan de contingencia, así como la constitución del grupo de crisis (compuesto por diferentes áreas de la entidad) que facilite la coordinación y comunicación interna para la toma de decisiones durante un periodo de crisis de liquidez.</w:t>
      </w:r>
    </w:p>
    <w:p w14:paraId="11921D3A" w14:textId="77777777" w:rsidR="00D23904" w:rsidRDefault="00D23904" w:rsidP="00D23904">
      <w:pPr>
        <w:pStyle w:val="Prrafodelista"/>
        <w:rPr>
          <w:b/>
          <w:sz w:val="18"/>
          <w:lang w:val="es-ES_tradnl"/>
        </w:rPr>
      </w:pPr>
    </w:p>
    <w:p w14:paraId="110BB627" w14:textId="312D8C1A" w:rsidR="00B530A1" w:rsidRDefault="0091290D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sz w:val="18"/>
          <w:lang w:val="es-ES_tradnl"/>
        </w:rPr>
      </w:pPr>
      <w:r w:rsidRPr="0097652F">
        <w:rPr>
          <w:rFonts w:ascii="Arial" w:hAnsi="Arial" w:cs="Arial"/>
          <w:sz w:val="18"/>
          <w:lang w:val="es-ES_tradnl"/>
        </w:rPr>
        <w:t xml:space="preserve">Los establecimientos de crédito deben mantener desmaterializados </w:t>
      </w:r>
      <w:r w:rsidRPr="000277A1">
        <w:rPr>
          <w:rFonts w:ascii="Arial" w:hAnsi="Arial" w:cs="Arial"/>
          <w:sz w:val="18"/>
          <w:lang w:val="es-ES_tradnl"/>
        </w:rPr>
        <w:t>o</w:t>
      </w:r>
      <w:r w:rsidRPr="0097652F">
        <w:rPr>
          <w:rFonts w:ascii="Arial" w:hAnsi="Arial" w:cs="Arial"/>
          <w:sz w:val="18"/>
          <w:lang w:val="es-ES_tradnl"/>
        </w:rPr>
        <w:t xml:space="preserve"> inmaterializados pagarés que incorporen obligaciones cuyo </w:t>
      </w:r>
      <w:r w:rsidR="007527F7" w:rsidRPr="000277A1">
        <w:rPr>
          <w:rFonts w:ascii="Arial" w:hAnsi="Arial" w:cs="Arial"/>
          <w:b/>
          <w:sz w:val="18"/>
          <w:lang w:val="es-ES_tradnl"/>
        </w:rPr>
        <w:t>Valor de Recibo, es decir,</w:t>
      </w:r>
      <w:r w:rsidR="007527F7" w:rsidRPr="0097652F">
        <w:rPr>
          <w:rFonts w:ascii="Arial" w:hAnsi="Arial" w:cs="Arial"/>
          <w:sz w:val="18"/>
          <w:lang w:val="es-ES_tradnl"/>
        </w:rPr>
        <w:t xml:space="preserve"> </w:t>
      </w:r>
      <w:r w:rsidR="0097652F" w:rsidRPr="0097652F">
        <w:rPr>
          <w:rFonts w:ascii="Arial" w:hAnsi="Arial" w:cs="Arial"/>
          <w:sz w:val="18"/>
          <w:lang w:val="es-ES_tradnl"/>
        </w:rPr>
        <w:t xml:space="preserve">el </w:t>
      </w:r>
      <w:r w:rsidRPr="0097652F">
        <w:rPr>
          <w:rFonts w:ascii="Arial" w:hAnsi="Arial" w:cs="Arial"/>
          <w:sz w:val="18"/>
          <w:lang w:val="es-ES_tradnl"/>
        </w:rPr>
        <w:t>saldo pendiente de pago una vez aplicado el porcentaje de recibo que el Banco de la República señale mediante reglamentación de carácter general, represente por lo menos el cupo o monto máximo para apoyos transitorios de liquidez definido por esa autoridad</w:t>
      </w:r>
      <w:r w:rsidR="001974E5">
        <w:rPr>
          <w:rFonts w:ascii="Arial" w:hAnsi="Arial" w:cs="Arial"/>
          <w:sz w:val="18"/>
          <w:lang w:val="es-ES_tradnl"/>
        </w:rPr>
        <w:t xml:space="preserve">. </w:t>
      </w:r>
      <w:r w:rsidR="001974E5" w:rsidRPr="001974E5">
        <w:rPr>
          <w:rFonts w:ascii="Arial" w:hAnsi="Arial" w:cs="Arial"/>
          <w:b/>
          <w:sz w:val="18"/>
          <w:lang w:val="es-ES_tradnl"/>
        </w:rPr>
        <w:t xml:space="preserve">Para efectos de verificar el cumplimiento de lo </w:t>
      </w:r>
      <w:r w:rsidR="000B39F0">
        <w:rPr>
          <w:rFonts w:ascii="Arial" w:hAnsi="Arial" w:cs="Arial"/>
          <w:b/>
          <w:sz w:val="18"/>
          <w:lang w:val="es-ES_tradnl"/>
        </w:rPr>
        <w:t>anterior</w:t>
      </w:r>
      <w:r w:rsidR="001974E5" w:rsidRPr="001974E5">
        <w:rPr>
          <w:rFonts w:ascii="Arial" w:hAnsi="Arial" w:cs="Arial"/>
          <w:b/>
          <w:sz w:val="18"/>
          <w:lang w:val="es-ES_tradnl"/>
        </w:rPr>
        <w:t xml:space="preserve">, </w:t>
      </w:r>
      <w:r w:rsidR="001974E5">
        <w:rPr>
          <w:rFonts w:ascii="Arial" w:hAnsi="Arial" w:cs="Arial"/>
          <w:b/>
          <w:sz w:val="18"/>
          <w:lang w:val="es-ES_tradnl"/>
        </w:rPr>
        <w:t>los establecimientos de crédito tendrán en cuenta</w:t>
      </w:r>
      <w:r w:rsidR="001974E5" w:rsidRPr="001974E5">
        <w:rPr>
          <w:rFonts w:ascii="Arial" w:hAnsi="Arial" w:cs="Arial"/>
          <w:b/>
          <w:sz w:val="18"/>
          <w:lang w:val="es-ES_tradnl"/>
        </w:rPr>
        <w:t xml:space="preserve"> el siguiente indicador:</w:t>
      </w:r>
      <w:r w:rsidR="005F105E" w:rsidRPr="001974E5">
        <w:rPr>
          <w:rFonts w:ascii="Arial" w:hAnsi="Arial" w:cs="Arial"/>
          <w:b/>
          <w:sz w:val="18"/>
          <w:lang w:val="es-ES_tradnl"/>
        </w:rPr>
        <w:t xml:space="preserve"> </w:t>
      </w:r>
    </w:p>
    <w:p w14:paraId="487B07A9" w14:textId="77777777" w:rsidR="003B2FAD" w:rsidRDefault="003B2FAD" w:rsidP="003B2FAD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sz w:val="18"/>
          <w:lang w:val="es-ES_tradnl"/>
        </w:rPr>
      </w:pPr>
    </w:p>
    <w:p w14:paraId="32E1CC04" w14:textId="5B1E3271" w:rsidR="003B2FAD" w:rsidRDefault="003060D6" w:rsidP="003B2FAD">
      <w:pPr>
        <w:pStyle w:val="Prrafodelista"/>
        <w:pBdr>
          <w:left w:val="single" w:sz="4" w:space="4" w:color="auto"/>
        </w:pBdr>
        <w:ind w:left="0"/>
        <w:jc w:val="center"/>
        <w:rPr>
          <w:rFonts w:ascii="Arial" w:hAnsi="Arial" w:cs="Arial"/>
          <w:b/>
          <w:sz w:val="18"/>
          <w:lang w:val="es-ES_tradnl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  <w:sz w:val="18"/>
                  <w:lang w:val="es-ES_tradnl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sz w:val="18"/>
                  <w:lang w:val="es-ES_tradnl"/>
                </w:rPr>
                <m:t>Razón de Cobertura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sz w:val="18"/>
                  <w:lang w:val="es-ES_tradnl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sz w:val="18"/>
              <w:lang w:val="es-ES_tradn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18"/>
                  <w:lang w:val="es-ES_tradnl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8"/>
                      <w:lang w:val="es-ES_tradnl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8"/>
                      <w:lang w:val="es-ES_tradnl"/>
                    </w:rPr>
                    <m:t>Valor de Recibo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8"/>
                      <w:lang w:val="es-ES_tradnl"/>
                    </w:rPr>
                    <m:t>i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18"/>
                  <w:lang w:val="es-ES_tradnl"/>
                </w:rPr>
                <m:t>Cupo máximo establecido por el BR para acceder a ATL</m:t>
              </m:r>
            </m:den>
          </m:f>
        </m:oMath>
      </m:oMathPara>
    </w:p>
    <w:p w14:paraId="1B5C8554" w14:textId="77777777" w:rsidR="003B2FAD" w:rsidRDefault="003B2FAD" w:rsidP="003B2FAD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Cs/>
          <w:sz w:val="18"/>
          <w:lang w:val="es-ES_tradnl"/>
        </w:rPr>
      </w:pPr>
    </w:p>
    <w:p w14:paraId="7373D43B" w14:textId="334B832C" w:rsidR="003F1700" w:rsidRDefault="003F1700" w:rsidP="00E257A9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bCs/>
          <w:sz w:val="18"/>
          <w:lang w:val="es-ES_tradnl"/>
        </w:rPr>
      </w:pPr>
      <w:r w:rsidRPr="000277A1">
        <w:rPr>
          <w:rFonts w:ascii="Arial" w:hAnsi="Arial" w:cs="Arial"/>
          <w:b/>
          <w:bCs/>
          <w:sz w:val="18"/>
          <w:lang w:val="es-ES_tradnl"/>
        </w:rPr>
        <w:t>Dentro del</w:t>
      </w:r>
      <w:r w:rsidR="00177980" w:rsidRPr="000277A1">
        <w:rPr>
          <w:rFonts w:ascii="Arial" w:hAnsi="Arial" w:cs="Arial"/>
          <w:b/>
          <w:bCs/>
          <w:sz w:val="18"/>
          <w:lang w:val="es-ES_tradnl"/>
        </w:rPr>
        <w:t xml:space="preserve"> cálculo del</w:t>
      </w:r>
      <w:r w:rsidRPr="000277A1">
        <w:rPr>
          <w:rFonts w:ascii="Arial" w:hAnsi="Arial" w:cs="Arial"/>
          <w:b/>
          <w:bCs/>
          <w:sz w:val="18"/>
          <w:lang w:val="es-ES_tradnl"/>
        </w:rPr>
        <w:t xml:space="preserve"> </w:t>
      </w:r>
      <w:r w:rsidR="0072362B">
        <w:rPr>
          <w:rFonts w:ascii="Arial" w:hAnsi="Arial" w:cs="Arial"/>
          <w:b/>
          <w:bCs/>
          <w:sz w:val="18"/>
          <w:lang w:val="es-ES_tradnl"/>
        </w:rPr>
        <w:t>V</w:t>
      </w:r>
      <w:r w:rsidRPr="000277A1">
        <w:rPr>
          <w:rFonts w:ascii="Arial" w:hAnsi="Arial" w:cs="Arial"/>
          <w:b/>
          <w:bCs/>
          <w:sz w:val="18"/>
          <w:lang w:val="es-ES_tradnl"/>
        </w:rPr>
        <w:t xml:space="preserve">alor de </w:t>
      </w:r>
      <w:r w:rsidR="0072362B">
        <w:rPr>
          <w:rFonts w:ascii="Arial" w:hAnsi="Arial" w:cs="Arial"/>
          <w:b/>
          <w:bCs/>
          <w:sz w:val="18"/>
          <w:lang w:val="es-ES_tradnl"/>
        </w:rPr>
        <w:t>R</w:t>
      </w:r>
      <w:r w:rsidRPr="000277A1">
        <w:rPr>
          <w:rFonts w:ascii="Arial" w:hAnsi="Arial" w:cs="Arial"/>
          <w:b/>
          <w:bCs/>
          <w:sz w:val="18"/>
          <w:lang w:val="es-ES_tradnl"/>
        </w:rPr>
        <w:t>ecibo se podrá</w:t>
      </w:r>
      <w:r w:rsidR="003332F5" w:rsidRPr="000277A1">
        <w:rPr>
          <w:rFonts w:ascii="Arial" w:hAnsi="Arial" w:cs="Arial"/>
          <w:b/>
          <w:bCs/>
          <w:sz w:val="18"/>
          <w:lang w:val="es-ES_tradnl"/>
        </w:rPr>
        <w:t>n</w:t>
      </w:r>
      <w:r w:rsidRPr="000277A1">
        <w:rPr>
          <w:rFonts w:ascii="Arial" w:hAnsi="Arial" w:cs="Arial"/>
          <w:b/>
          <w:bCs/>
          <w:sz w:val="18"/>
          <w:lang w:val="es-ES_tradnl"/>
        </w:rPr>
        <w:t xml:space="preserve"> considerar las inversiones clasificadas para mantener hasta el vencimiento</w:t>
      </w:r>
      <w:r w:rsidR="001974E5" w:rsidRPr="001974E5">
        <w:rPr>
          <w:rFonts w:ascii="Arial" w:hAnsi="Arial" w:cs="Arial"/>
          <w:b/>
          <w:bCs/>
          <w:sz w:val="18"/>
          <w:lang w:val="es-ES_tradnl"/>
        </w:rPr>
        <w:t xml:space="preserve"> </w:t>
      </w:r>
      <w:r w:rsidR="001974E5" w:rsidRPr="000277A1">
        <w:rPr>
          <w:rFonts w:ascii="Arial" w:hAnsi="Arial" w:cs="Arial"/>
          <w:b/>
          <w:bCs/>
          <w:sz w:val="18"/>
          <w:lang w:val="es-ES_tradnl"/>
        </w:rPr>
        <w:t xml:space="preserve">admisibles </w:t>
      </w:r>
      <w:r w:rsidR="001974E5">
        <w:rPr>
          <w:rFonts w:ascii="Arial" w:hAnsi="Arial" w:cs="Arial"/>
          <w:b/>
          <w:bCs/>
          <w:sz w:val="18"/>
          <w:lang w:val="es-ES_tradnl"/>
        </w:rPr>
        <w:t xml:space="preserve">para </w:t>
      </w:r>
      <w:r w:rsidR="00CF5C2A">
        <w:rPr>
          <w:rFonts w:ascii="Arial" w:hAnsi="Arial" w:cs="Arial"/>
          <w:b/>
          <w:bCs/>
          <w:sz w:val="18"/>
          <w:lang w:val="es-ES_tradnl"/>
        </w:rPr>
        <w:t>instrumentar</w:t>
      </w:r>
      <w:r w:rsidR="001974E5">
        <w:rPr>
          <w:rFonts w:ascii="Arial" w:hAnsi="Arial" w:cs="Arial"/>
          <w:b/>
          <w:bCs/>
          <w:sz w:val="18"/>
          <w:lang w:val="es-ES_tradnl"/>
        </w:rPr>
        <w:t xml:space="preserve"> apoyos transitorios de liquidez</w:t>
      </w:r>
      <w:r w:rsidR="000277A1">
        <w:rPr>
          <w:rFonts w:ascii="Arial" w:hAnsi="Arial" w:cs="Arial"/>
          <w:b/>
          <w:bCs/>
          <w:sz w:val="18"/>
          <w:lang w:val="es-ES_tradnl"/>
        </w:rPr>
        <w:t>, salvo aquellas que</w:t>
      </w:r>
      <w:r w:rsidRPr="000277A1">
        <w:rPr>
          <w:rFonts w:ascii="Arial" w:hAnsi="Arial" w:cs="Arial"/>
          <w:b/>
          <w:bCs/>
          <w:sz w:val="18"/>
          <w:lang w:val="es-ES_tradnl"/>
        </w:rPr>
        <w:t xml:space="preserve"> de acuerdo con el Capítulo </w:t>
      </w:r>
      <w:r w:rsidR="000277A1">
        <w:rPr>
          <w:rFonts w:ascii="Arial" w:hAnsi="Arial" w:cs="Arial"/>
          <w:b/>
          <w:bCs/>
          <w:sz w:val="18"/>
          <w:lang w:val="es-ES_tradnl"/>
        </w:rPr>
        <w:t>1-</w:t>
      </w:r>
      <w:r w:rsidRPr="000277A1">
        <w:rPr>
          <w:rFonts w:ascii="Arial" w:hAnsi="Arial" w:cs="Arial"/>
          <w:b/>
          <w:bCs/>
          <w:sz w:val="18"/>
          <w:lang w:val="es-ES_tradnl"/>
        </w:rPr>
        <w:t>I de la CBCF se puedan utilizar en operaciones de</w:t>
      </w:r>
      <w:r w:rsidR="000277A1">
        <w:rPr>
          <w:rFonts w:ascii="Arial" w:hAnsi="Arial" w:cs="Arial"/>
          <w:b/>
          <w:bCs/>
          <w:sz w:val="18"/>
          <w:lang w:val="es-ES_tradnl"/>
        </w:rPr>
        <w:t>l</w:t>
      </w:r>
      <w:r w:rsidRPr="000277A1">
        <w:rPr>
          <w:rFonts w:ascii="Arial" w:hAnsi="Arial" w:cs="Arial"/>
          <w:b/>
          <w:bCs/>
          <w:sz w:val="18"/>
          <w:lang w:val="es-ES_tradnl"/>
        </w:rPr>
        <w:t xml:space="preserve"> mercado monetario</w:t>
      </w:r>
      <w:r w:rsidR="00C81D68" w:rsidRPr="000277A1">
        <w:rPr>
          <w:rFonts w:ascii="Arial" w:hAnsi="Arial" w:cs="Arial"/>
          <w:b/>
          <w:bCs/>
          <w:sz w:val="18"/>
          <w:lang w:val="es-ES_tradnl"/>
        </w:rPr>
        <w:t>.</w:t>
      </w:r>
    </w:p>
    <w:p w14:paraId="4955D1FE" w14:textId="7C65CAAC" w:rsidR="003F3C7F" w:rsidRDefault="003F3C7F" w:rsidP="00E257A9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bCs/>
          <w:sz w:val="18"/>
          <w:lang w:val="es-ES_tradnl"/>
        </w:rPr>
      </w:pPr>
    </w:p>
    <w:p w14:paraId="0BED6C4F" w14:textId="77777777" w:rsidR="008E2CE1" w:rsidRPr="008E2CE1" w:rsidRDefault="008E2CE1" w:rsidP="008E2CE1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sz w:val="18"/>
          <w:lang w:val="es-ES_tradnl"/>
        </w:rPr>
      </w:pPr>
      <w:r w:rsidRPr="008E2CE1">
        <w:rPr>
          <w:rFonts w:ascii="Arial" w:hAnsi="Arial" w:cs="Arial"/>
          <w:b/>
          <w:sz w:val="18"/>
          <w:lang w:val="es-ES_tradnl"/>
        </w:rPr>
        <w:t xml:space="preserve">Los establecimientos de crédito deben asegurar que el promedio móvil trimestral de la Razón de Cobertura sea igual o superior al 100%. </w:t>
      </w:r>
    </w:p>
    <w:p w14:paraId="2E60C979" w14:textId="77777777" w:rsidR="008E2CE1" w:rsidRPr="008E2CE1" w:rsidRDefault="008E2CE1" w:rsidP="008E2CE1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sz w:val="18"/>
          <w:lang w:val="es-ES_tradnl"/>
        </w:rPr>
      </w:pPr>
    </w:p>
    <w:p w14:paraId="521DF854" w14:textId="77777777" w:rsidR="008E2CE1" w:rsidRPr="008E2CE1" w:rsidRDefault="003060D6" w:rsidP="008E2CE1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sz w:val="18"/>
          <w:lang w:val="es-ES_tradnl"/>
        </w:rPr>
      </w:pPr>
      <m:oMathPara>
        <m:oMath>
          <m:d>
            <m:dPr>
              <m:begChr m:val="⌈"/>
              <m:endChr m:val="⌉"/>
              <m:ctrlPr>
                <w:rPr>
                  <w:rFonts w:ascii="Cambria Math" w:hAnsi="Cambria Math" w:cs="Arial"/>
                  <w:b/>
                  <w:i/>
                  <w:sz w:val="18"/>
                  <w:lang w:val="es-ES_tradn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18"/>
                      <w:lang w:val="es-ES_trad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8"/>
                      <w:lang w:val="es-ES_tradn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8"/>
                      <w:lang w:val="es-ES_tradnl"/>
                    </w:rPr>
                    <m:t>3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b/>
                      <w:i/>
                      <w:sz w:val="18"/>
                      <w:lang w:val="es-ES_tradnl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8"/>
                      <w:lang w:val="es-ES_tradnl"/>
                    </w:rPr>
                    <m:t>i=t-1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8"/>
                      <w:lang w:val="es-ES_tradnl"/>
                    </w:rPr>
                    <m:t>t-3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18"/>
                          <w:lang w:val="es-ES_tradnl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8"/>
                          <w:lang w:val="es-ES_tradnl"/>
                        </w:rPr>
                        <m:t>Razón de Cobertura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8"/>
                          <w:lang w:val="es-ES_tradnl"/>
                        </w:rPr>
                        <m:t>i</m:t>
                      </m:r>
                    </m:sub>
                  </m:sSub>
                </m:e>
              </m:nary>
            </m:e>
          </m:d>
          <m:r>
            <m:rPr>
              <m:sty m:val="bi"/>
            </m:rPr>
            <w:rPr>
              <w:rFonts w:ascii="Cambria Math" w:hAnsi="Cambria Math" w:cs="Arial"/>
              <w:sz w:val="18"/>
              <w:lang w:val="es-ES_tradnl"/>
            </w:rPr>
            <m:t>≥100%</m:t>
          </m:r>
        </m:oMath>
      </m:oMathPara>
    </w:p>
    <w:p w14:paraId="62CC9265" w14:textId="77777777" w:rsidR="008E2CE1" w:rsidRPr="008E2CE1" w:rsidRDefault="008E2CE1" w:rsidP="008E2CE1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sz w:val="18"/>
          <w:lang w:val="es-ES_tradnl"/>
        </w:rPr>
      </w:pPr>
    </w:p>
    <w:p w14:paraId="5D190B66" w14:textId="0C75CC4A" w:rsidR="008E2CE1" w:rsidRPr="00B42226" w:rsidRDefault="009E37B4" w:rsidP="008E2CE1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sz w:val="18"/>
          <w:lang w:val="es-ES_tradn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18"/>
              <w:lang w:val="es-ES_tradnl"/>
            </w:rPr>
            <m:t>donde: t-1=cierre de mes inmediatamente anterior al mes actual</m:t>
          </m:r>
        </m:oMath>
      </m:oMathPara>
    </w:p>
    <w:p w14:paraId="681D1AAC" w14:textId="77777777" w:rsidR="003F3C7F" w:rsidRPr="000277A1" w:rsidRDefault="003F3C7F" w:rsidP="00E257A9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sz w:val="18"/>
          <w:lang w:val="es-ES_tradnl"/>
        </w:rPr>
      </w:pPr>
    </w:p>
    <w:p w14:paraId="0662634E" w14:textId="77777777" w:rsidR="003F1700" w:rsidRPr="000277A1" w:rsidRDefault="003F1700" w:rsidP="00E257A9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sz w:val="18"/>
          <w:lang w:val="es-ES_tradnl"/>
        </w:rPr>
      </w:pPr>
    </w:p>
    <w:p w14:paraId="2D77F26B" w14:textId="39DC64EE" w:rsidR="00D23904" w:rsidRPr="000277A1" w:rsidRDefault="00011F72" w:rsidP="00E257A9">
      <w:pPr>
        <w:pStyle w:val="Prrafodelista"/>
        <w:pBdr>
          <w:left w:val="single" w:sz="4" w:space="4" w:color="auto"/>
        </w:pBdr>
        <w:ind w:left="0"/>
        <w:jc w:val="both"/>
        <w:rPr>
          <w:rFonts w:ascii="Arial" w:hAnsi="Arial" w:cs="Arial"/>
          <w:b/>
          <w:sz w:val="18"/>
          <w:lang w:val="es-ES_tradnl"/>
        </w:rPr>
      </w:pPr>
      <w:r w:rsidRPr="00011F72">
        <w:rPr>
          <w:rFonts w:ascii="Arial" w:hAnsi="Arial" w:cs="Arial"/>
          <w:b/>
          <w:bCs/>
          <w:sz w:val="18"/>
          <w:lang w:val="es-ES_tradnl"/>
        </w:rPr>
        <w:t xml:space="preserve">Los establecimientos que no cuenten con cartera ni inversiones clasificadas para mantener hasta el vencimiento, que, de acuerdo con lo indicado previamente </w:t>
      </w:r>
      <w:r w:rsidR="00761CFD">
        <w:rPr>
          <w:rFonts w:ascii="Arial" w:hAnsi="Arial" w:cs="Arial"/>
          <w:b/>
          <w:bCs/>
          <w:sz w:val="18"/>
          <w:lang w:val="es-ES_tradnl"/>
        </w:rPr>
        <w:t xml:space="preserve">no </w:t>
      </w:r>
      <w:r w:rsidRPr="00011F72">
        <w:rPr>
          <w:rFonts w:ascii="Arial" w:hAnsi="Arial" w:cs="Arial"/>
          <w:b/>
          <w:bCs/>
          <w:sz w:val="18"/>
          <w:lang w:val="es-ES_tradnl"/>
        </w:rPr>
        <w:t xml:space="preserve">les permita cumplir con la razón de cobertura, </w:t>
      </w:r>
      <w:r w:rsidR="00D23904" w:rsidRPr="000277A1">
        <w:rPr>
          <w:rFonts w:ascii="Arial" w:hAnsi="Arial" w:cs="Arial"/>
          <w:b/>
          <w:sz w:val="18"/>
          <w:lang w:val="es-ES_tradnl"/>
        </w:rPr>
        <w:t xml:space="preserve">deberán desmaterializar o inmaterializar </w:t>
      </w:r>
      <w:r w:rsidR="009525DF" w:rsidRPr="000277A1">
        <w:rPr>
          <w:rFonts w:ascii="Arial" w:hAnsi="Arial" w:cs="Arial"/>
          <w:b/>
          <w:bCs/>
          <w:sz w:val="18"/>
          <w:lang w:val="es-ES_tradnl"/>
        </w:rPr>
        <w:t xml:space="preserve">como mínimo </w:t>
      </w:r>
      <w:r w:rsidR="00D23904" w:rsidRPr="000277A1">
        <w:rPr>
          <w:rFonts w:ascii="Arial" w:hAnsi="Arial" w:cs="Arial"/>
          <w:b/>
          <w:bCs/>
          <w:sz w:val="18"/>
          <w:lang w:val="es-ES_tradnl"/>
        </w:rPr>
        <w:t>pagarés</w:t>
      </w:r>
      <w:r w:rsidR="009525DF" w:rsidRPr="000277A1">
        <w:rPr>
          <w:rFonts w:ascii="Arial" w:hAnsi="Arial" w:cs="Arial"/>
          <w:b/>
          <w:bCs/>
          <w:sz w:val="18"/>
          <w:lang w:val="es-ES_tradnl"/>
        </w:rPr>
        <w:t xml:space="preserve"> </w:t>
      </w:r>
      <w:r w:rsidR="005B2948" w:rsidRPr="000277A1">
        <w:rPr>
          <w:rFonts w:ascii="Arial" w:hAnsi="Arial" w:cs="Arial"/>
          <w:b/>
          <w:bCs/>
          <w:sz w:val="18"/>
          <w:lang w:val="es-ES_tradnl"/>
        </w:rPr>
        <w:t xml:space="preserve">cuyo valor de recibo en el promedio móvil trimestral </w:t>
      </w:r>
      <w:r w:rsidR="006D46A0">
        <w:rPr>
          <w:rFonts w:ascii="Arial" w:hAnsi="Arial" w:cs="Arial"/>
          <w:b/>
          <w:bCs/>
          <w:sz w:val="18"/>
          <w:lang w:val="es-ES_tradnl"/>
        </w:rPr>
        <w:t>sea igual o superior</w:t>
      </w:r>
      <w:r w:rsidR="009525DF" w:rsidRPr="000277A1">
        <w:rPr>
          <w:rFonts w:ascii="Arial" w:hAnsi="Arial" w:cs="Arial"/>
          <w:b/>
          <w:bCs/>
          <w:sz w:val="18"/>
          <w:lang w:val="es-ES_tradnl"/>
        </w:rPr>
        <w:t xml:space="preserve"> </w:t>
      </w:r>
      <w:r w:rsidR="00761CFD">
        <w:rPr>
          <w:rFonts w:ascii="Arial" w:hAnsi="Arial" w:cs="Arial"/>
          <w:b/>
          <w:bCs/>
          <w:sz w:val="18"/>
          <w:lang w:val="es-ES_tradnl"/>
        </w:rPr>
        <w:t>a</w:t>
      </w:r>
      <w:r w:rsidR="00761CFD" w:rsidRPr="000277A1">
        <w:rPr>
          <w:rFonts w:ascii="Arial" w:hAnsi="Arial" w:cs="Arial"/>
          <w:b/>
          <w:bCs/>
          <w:sz w:val="18"/>
          <w:lang w:val="es-ES_tradnl"/>
        </w:rPr>
        <w:t xml:space="preserve">l </w:t>
      </w:r>
      <w:r w:rsidR="00760EFE" w:rsidRPr="000277A1">
        <w:rPr>
          <w:rFonts w:ascii="Arial" w:hAnsi="Arial" w:cs="Arial"/>
          <w:b/>
          <w:bCs/>
          <w:sz w:val="18"/>
          <w:lang w:val="es-ES_tradnl"/>
        </w:rPr>
        <w:t>9</w:t>
      </w:r>
      <w:r w:rsidR="005F0AF6" w:rsidRPr="000277A1">
        <w:rPr>
          <w:rFonts w:ascii="Arial" w:hAnsi="Arial" w:cs="Arial"/>
          <w:b/>
          <w:bCs/>
          <w:sz w:val="18"/>
          <w:lang w:val="es-ES_tradnl"/>
        </w:rPr>
        <w:t>5</w:t>
      </w:r>
      <w:r w:rsidR="009525DF" w:rsidRPr="000277A1">
        <w:rPr>
          <w:rFonts w:ascii="Arial" w:hAnsi="Arial" w:cs="Arial"/>
          <w:b/>
          <w:bCs/>
          <w:sz w:val="18"/>
          <w:lang w:val="es-ES_tradnl"/>
        </w:rPr>
        <w:t>% de</w:t>
      </w:r>
      <w:r w:rsidR="009733F6" w:rsidRPr="000277A1">
        <w:rPr>
          <w:rFonts w:ascii="Arial" w:hAnsi="Arial" w:cs="Arial"/>
          <w:b/>
          <w:bCs/>
          <w:sz w:val="18"/>
          <w:lang w:val="es-ES_tradnl"/>
        </w:rPr>
        <w:t>l valor de recibo de la totalidad de</w:t>
      </w:r>
      <w:r w:rsidR="009525DF" w:rsidRPr="000277A1">
        <w:rPr>
          <w:rFonts w:ascii="Arial" w:hAnsi="Arial" w:cs="Arial"/>
          <w:b/>
          <w:bCs/>
          <w:sz w:val="18"/>
          <w:lang w:val="es-ES_tradnl"/>
        </w:rPr>
        <w:t xml:space="preserve"> su cartera </w:t>
      </w:r>
      <w:r w:rsidR="009D669B" w:rsidRPr="000277A1">
        <w:rPr>
          <w:rFonts w:ascii="Arial" w:hAnsi="Arial" w:cs="Arial"/>
          <w:b/>
          <w:bCs/>
          <w:sz w:val="18"/>
          <w:lang w:val="es-ES_tradnl"/>
        </w:rPr>
        <w:t>e inversiones</w:t>
      </w:r>
      <w:r w:rsidR="00A5305E" w:rsidRPr="000277A1">
        <w:rPr>
          <w:rFonts w:ascii="Arial" w:hAnsi="Arial" w:cs="Arial"/>
          <w:b/>
          <w:bCs/>
          <w:sz w:val="18"/>
          <w:lang w:val="es-ES_tradnl"/>
        </w:rPr>
        <w:t xml:space="preserve"> clasificadas para mantener hasta el vencimiento</w:t>
      </w:r>
      <w:r w:rsidR="001974E5">
        <w:rPr>
          <w:rFonts w:ascii="Arial" w:hAnsi="Arial" w:cs="Arial"/>
          <w:b/>
          <w:bCs/>
          <w:sz w:val="18"/>
          <w:lang w:val="es-ES_tradnl"/>
        </w:rPr>
        <w:t xml:space="preserve"> admisibles para acceder a apoyos transitorios de liquidez</w:t>
      </w:r>
      <w:r w:rsidR="00D23904" w:rsidRPr="000277A1">
        <w:rPr>
          <w:rFonts w:ascii="Arial" w:hAnsi="Arial" w:cs="Arial"/>
          <w:b/>
          <w:bCs/>
          <w:sz w:val="18"/>
          <w:lang w:val="es-ES_tradnl"/>
        </w:rPr>
        <w:t>.</w:t>
      </w:r>
      <w:r w:rsidR="009525DF" w:rsidRPr="000277A1">
        <w:rPr>
          <w:rFonts w:ascii="Arial" w:hAnsi="Arial" w:cs="Arial"/>
          <w:b/>
          <w:sz w:val="18"/>
          <w:lang w:val="es-ES_tradnl"/>
        </w:rPr>
        <w:t xml:space="preserve"> </w:t>
      </w:r>
    </w:p>
    <w:p w14:paraId="6D9BBD1F" w14:textId="566D4F63" w:rsidR="009525DF" w:rsidRDefault="009525DF" w:rsidP="004240D5">
      <w:pPr>
        <w:pStyle w:val="Prrafodelista"/>
        <w:ind w:left="0"/>
        <w:jc w:val="both"/>
        <w:rPr>
          <w:rFonts w:ascii="Arial" w:hAnsi="Arial" w:cs="Arial"/>
          <w:b/>
          <w:sz w:val="18"/>
          <w:lang w:val="es-ES_tradnl"/>
        </w:rPr>
      </w:pPr>
    </w:p>
    <w:p w14:paraId="0AB34EB1" w14:textId="77777777" w:rsidR="00D23904" w:rsidRPr="004240D5" w:rsidRDefault="00D23904" w:rsidP="004240D5">
      <w:pPr>
        <w:spacing w:after="240"/>
        <w:jc w:val="both"/>
        <w:rPr>
          <w:rFonts w:ascii="Arial" w:hAnsi="Arial" w:cs="Arial"/>
          <w:sz w:val="18"/>
        </w:rPr>
      </w:pPr>
      <w:r w:rsidRPr="004240D5">
        <w:rPr>
          <w:rFonts w:ascii="Arial" w:hAnsi="Arial" w:cs="Arial"/>
          <w:sz w:val="18"/>
        </w:rPr>
        <w:t xml:space="preserve">El cálculo de los pasivos para con el público a efectos de establecer el cupo o monto máximo se hará con base en la cuenta del pasivo del Catálogo Único de Información Financiera (CUIF) con fines de supervisión de los establecimientos de crédito y en las disposiciones que el Banco de la República señale mediante reglamentación de carácter general. </w:t>
      </w:r>
      <w:r w:rsidRPr="004240D5">
        <w:rPr>
          <w:rFonts w:ascii="Arial" w:hAnsi="Arial" w:cs="Arial"/>
          <w:sz w:val="18"/>
        </w:rPr>
        <w:lastRenderedPageBreak/>
        <w:t>Los pagarés desmaterializados o inmaterializados deben cumplir con los requisitos de admisibilidad que establezca el Banco de la República mediante reglamentación de carácter general, para el acceso a apoyos transitorios de liquidez.</w:t>
      </w:r>
    </w:p>
    <w:p w14:paraId="1BDE9CAB" w14:textId="0F88CED4" w:rsidR="00D23904" w:rsidRPr="004240D5" w:rsidRDefault="00D23904" w:rsidP="004240D5">
      <w:pPr>
        <w:pStyle w:val="Sangradetextonormal"/>
        <w:pBdr>
          <w:left w:val="single" w:sz="4" w:space="4" w:color="auto"/>
        </w:pBdr>
        <w:ind w:left="0" w:firstLine="0"/>
        <w:rPr>
          <w:b/>
          <w:sz w:val="18"/>
        </w:rPr>
      </w:pPr>
      <w:r w:rsidRPr="004240D5">
        <w:rPr>
          <w:sz w:val="18"/>
        </w:rPr>
        <w:t>Los establecimientos de crédito deben realizar al menos una vez al semestre una evaluación de riesgos para determinar la necesidad de contar con pagarés desmaterializados o inmaterializados por encima del mínimo establecido en el presente sub numeral, dentro de sus planes de contingencia. Los establecimientos de crédito deben mantener los resultados de la evaluación a disposición de la SFC.</w:t>
      </w:r>
      <w:r w:rsidR="004240D5">
        <w:rPr>
          <w:sz w:val="18"/>
        </w:rPr>
        <w:t xml:space="preserve"> </w:t>
      </w:r>
      <w:r w:rsidR="004240D5" w:rsidRPr="004240D5">
        <w:rPr>
          <w:b/>
          <w:sz w:val="18"/>
        </w:rPr>
        <w:t>De manera excepcional</w:t>
      </w:r>
      <w:r w:rsidR="00E6127B">
        <w:rPr>
          <w:b/>
          <w:sz w:val="18"/>
        </w:rPr>
        <w:t xml:space="preserve"> y previa </w:t>
      </w:r>
      <w:r w:rsidR="003C3E19">
        <w:rPr>
          <w:b/>
          <w:sz w:val="18"/>
        </w:rPr>
        <w:t>solicitud justificada</w:t>
      </w:r>
      <w:r w:rsidR="004240D5">
        <w:rPr>
          <w:b/>
          <w:sz w:val="18"/>
        </w:rPr>
        <w:t>,</w:t>
      </w:r>
      <w:r w:rsidR="004240D5" w:rsidRPr="004240D5">
        <w:rPr>
          <w:b/>
          <w:sz w:val="18"/>
        </w:rPr>
        <w:t xml:space="preserve"> la SFC </w:t>
      </w:r>
      <w:r w:rsidR="004240D5">
        <w:rPr>
          <w:b/>
          <w:sz w:val="18"/>
        </w:rPr>
        <w:t xml:space="preserve">podrá autorizar </w:t>
      </w:r>
      <w:r w:rsidR="004240D5" w:rsidRPr="004240D5">
        <w:rPr>
          <w:b/>
          <w:sz w:val="18"/>
        </w:rPr>
        <w:t xml:space="preserve">a los establecimientos de crédito </w:t>
      </w:r>
      <w:r w:rsidR="009E37B4">
        <w:rPr>
          <w:b/>
          <w:sz w:val="18"/>
        </w:rPr>
        <w:t xml:space="preserve">la presentación de </w:t>
      </w:r>
      <w:r w:rsidR="004240D5" w:rsidRPr="004240D5">
        <w:rPr>
          <w:b/>
          <w:sz w:val="18"/>
        </w:rPr>
        <w:t xml:space="preserve">un plan de ajuste </w:t>
      </w:r>
      <w:r w:rsidR="00E6127B">
        <w:rPr>
          <w:b/>
          <w:sz w:val="18"/>
        </w:rPr>
        <w:t>para</w:t>
      </w:r>
      <w:r w:rsidR="004240D5" w:rsidRPr="004240D5">
        <w:rPr>
          <w:b/>
          <w:sz w:val="18"/>
        </w:rPr>
        <w:t xml:space="preserve"> cumpli</w:t>
      </w:r>
      <w:r w:rsidR="00E6127B">
        <w:rPr>
          <w:b/>
          <w:sz w:val="18"/>
        </w:rPr>
        <w:t xml:space="preserve">r </w:t>
      </w:r>
      <w:r w:rsidR="009E37B4">
        <w:rPr>
          <w:b/>
          <w:sz w:val="18"/>
        </w:rPr>
        <w:t xml:space="preserve">con </w:t>
      </w:r>
      <w:r w:rsidR="004240D5" w:rsidRPr="004240D5">
        <w:rPr>
          <w:b/>
          <w:sz w:val="18"/>
        </w:rPr>
        <w:t xml:space="preserve">el </w:t>
      </w:r>
      <w:r w:rsidR="00E6127B">
        <w:rPr>
          <w:b/>
          <w:sz w:val="18"/>
        </w:rPr>
        <w:t>porcentaje mínimo exigido</w:t>
      </w:r>
      <w:r w:rsidR="004240D5" w:rsidRPr="004240D5">
        <w:rPr>
          <w:b/>
          <w:sz w:val="18"/>
        </w:rPr>
        <w:t xml:space="preserve"> de </w:t>
      </w:r>
      <w:r w:rsidR="004240D5" w:rsidRPr="004240D5">
        <w:rPr>
          <w:b/>
          <w:sz w:val="18"/>
          <w:lang w:val="es-ES_tradnl"/>
        </w:rPr>
        <w:t>desmaterialización o inmaterialización</w:t>
      </w:r>
      <w:r w:rsidR="004240D5" w:rsidRPr="004240D5">
        <w:rPr>
          <w:b/>
          <w:sz w:val="18"/>
        </w:rPr>
        <w:t>. El</w:t>
      </w:r>
      <w:r w:rsidR="009E37B4">
        <w:rPr>
          <w:b/>
          <w:sz w:val="18"/>
        </w:rPr>
        <w:t xml:space="preserve"> cronograma de ejecución del</w:t>
      </w:r>
      <w:r w:rsidR="004240D5" w:rsidRPr="004240D5">
        <w:rPr>
          <w:b/>
          <w:sz w:val="18"/>
        </w:rPr>
        <w:t xml:space="preserve"> respectivo plan tendrá un plazo máximo de </w:t>
      </w:r>
      <w:r w:rsidR="00F767E4">
        <w:rPr>
          <w:b/>
          <w:sz w:val="18"/>
        </w:rPr>
        <w:t xml:space="preserve">hasta </w:t>
      </w:r>
      <w:r w:rsidR="004240D5" w:rsidRPr="004240D5">
        <w:rPr>
          <w:b/>
          <w:sz w:val="18"/>
        </w:rPr>
        <w:t>seis meses.</w:t>
      </w:r>
    </w:p>
    <w:p w14:paraId="462D00B9" w14:textId="77777777" w:rsidR="00D23904" w:rsidRPr="004240D5" w:rsidRDefault="00D23904" w:rsidP="004240D5">
      <w:pPr>
        <w:pStyle w:val="Sangradetextonormal"/>
        <w:ind w:left="0" w:firstLine="0"/>
        <w:rPr>
          <w:sz w:val="18"/>
        </w:rPr>
      </w:pPr>
    </w:p>
    <w:p w14:paraId="47818050" w14:textId="77777777" w:rsidR="00D23904" w:rsidRPr="004240D5" w:rsidRDefault="00D23904" w:rsidP="004240D5">
      <w:pPr>
        <w:pStyle w:val="Sangradetextonormal"/>
        <w:ind w:left="0" w:firstLine="0"/>
        <w:rPr>
          <w:sz w:val="18"/>
        </w:rPr>
      </w:pPr>
      <w:r w:rsidRPr="004240D5">
        <w:rPr>
          <w:sz w:val="18"/>
        </w:rPr>
        <w:t>Los establecimientos de crédito deben mantener actualizados sus procesos con el fin de cumplir con los requerimientos definidos por el Banco de la República para el acceso a los apoyos transitorios de liquidez.</w:t>
      </w:r>
    </w:p>
    <w:p w14:paraId="655174A1" w14:textId="77777777" w:rsidR="00D23904" w:rsidRDefault="00D23904" w:rsidP="00D23904">
      <w:pPr>
        <w:pStyle w:val="Sangradetextonormal"/>
        <w:ind w:left="0" w:firstLine="0"/>
        <w:rPr>
          <w:sz w:val="18"/>
          <w:lang w:val="es-ES_tradnl"/>
        </w:rPr>
      </w:pPr>
    </w:p>
    <w:p w14:paraId="00F42826" w14:textId="77777777" w:rsidR="00156B6B" w:rsidRDefault="00156B6B" w:rsidP="00D23904">
      <w:pPr>
        <w:pStyle w:val="Sangradetextonormal"/>
        <w:ind w:left="0" w:firstLine="0"/>
        <w:rPr>
          <w:sz w:val="18"/>
          <w:lang w:val="es-ES_tradnl"/>
        </w:rPr>
      </w:pPr>
    </w:p>
    <w:p w14:paraId="31B4DD3F" w14:textId="77777777" w:rsidR="00D23904" w:rsidRPr="00935226" w:rsidRDefault="00D23904" w:rsidP="00D23904">
      <w:pPr>
        <w:pStyle w:val="Titulo"/>
        <w:numPr>
          <w:ilvl w:val="1"/>
          <w:numId w:val="42"/>
        </w:numPr>
        <w:rPr>
          <w:rStyle w:val="Titulo3Car"/>
          <w:sz w:val="18"/>
          <w:szCs w:val="18"/>
        </w:rPr>
      </w:pPr>
      <w:r w:rsidRPr="0004086D">
        <w:rPr>
          <w:rStyle w:val="Titulo3Car"/>
          <w:sz w:val="18"/>
          <w:szCs w:val="18"/>
        </w:rPr>
        <w:t xml:space="preserve"> </w:t>
      </w:r>
      <w:r w:rsidRPr="00935226">
        <w:rPr>
          <w:rStyle w:val="Titulo3Car"/>
          <w:sz w:val="18"/>
          <w:szCs w:val="18"/>
        </w:rPr>
        <w:t>Procedimientos</w:t>
      </w:r>
    </w:p>
    <w:p w14:paraId="02989082" w14:textId="77777777" w:rsidR="00D23904" w:rsidRPr="00156B6B" w:rsidRDefault="00D23904" w:rsidP="00D23904">
      <w:pPr>
        <w:tabs>
          <w:tab w:val="left" w:pos="-720"/>
        </w:tabs>
        <w:jc w:val="both"/>
        <w:rPr>
          <w:rFonts w:ascii="Arial" w:hAnsi="Arial" w:cs="Arial"/>
          <w:sz w:val="18"/>
          <w:szCs w:val="18"/>
          <w:lang w:val="es-CO"/>
        </w:rPr>
      </w:pPr>
    </w:p>
    <w:p w14:paraId="31EC894E" w14:textId="77777777" w:rsidR="00D23904" w:rsidRPr="00156B6B" w:rsidRDefault="00D23904" w:rsidP="00D23904">
      <w:pPr>
        <w:tabs>
          <w:tab w:val="left" w:pos="-720"/>
        </w:tabs>
        <w:jc w:val="both"/>
        <w:rPr>
          <w:rFonts w:ascii="Arial" w:hAnsi="Arial" w:cs="Arial"/>
          <w:sz w:val="18"/>
          <w:szCs w:val="18"/>
          <w:lang w:val="es-CO"/>
        </w:rPr>
      </w:pPr>
      <w:r w:rsidRPr="00156B6B">
        <w:rPr>
          <w:rFonts w:ascii="Arial" w:hAnsi="Arial" w:cs="Arial"/>
          <w:sz w:val="18"/>
          <w:szCs w:val="18"/>
          <w:lang w:val="es-CO"/>
        </w:rPr>
        <w:t xml:space="preserve">Las entidades y/o el conglomerado financiero deben establecer los procedimientos aplicables para la adecuada implementación y funcionamiento del SARL. </w:t>
      </w:r>
    </w:p>
    <w:p w14:paraId="5A5C4EC4" w14:textId="77777777" w:rsidR="00D23904" w:rsidRPr="00156B6B" w:rsidRDefault="00D23904" w:rsidP="00D23904">
      <w:pPr>
        <w:tabs>
          <w:tab w:val="left" w:pos="540"/>
        </w:tabs>
        <w:jc w:val="both"/>
        <w:rPr>
          <w:rFonts w:ascii="Arial" w:hAnsi="Arial" w:cs="Arial"/>
          <w:sz w:val="18"/>
          <w:szCs w:val="18"/>
          <w:lang w:val="es-CO"/>
        </w:rPr>
      </w:pPr>
    </w:p>
    <w:p w14:paraId="22468ABC" w14:textId="77777777" w:rsidR="00D23904" w:rsidRPr="00156B6B" w:rsidRDefault="00D23904" w:rsidP="00D23904">
      <w:pPr>
        <w:tabs>
          <w:tab w:val="left" w:pos="540"/>
        </w:tabs>
        <w:jc w:val="both"/>
        <w:rPr>
          <w:rFonts w:ascii="Arial" w:hAnsi="Arial" w:cs="Arial"/>
          <w:sz w:val="18"/>
          <w:szCs w:val="18"/>
          <w:lang w:val="es-CO"/>
        </w:rPr>
      </w:pPr>
      <w:r w:rsidRPr="00156B6B">
        <w:rPr>
          <w:rFonts w:ascii="Arial" w:hAnsi="Arial" w:cs="Arial"/>
          <w:sz w:val="18"/>
          <w:szCs w:val="18"/>
          <w:lang w:val="es-CO"/>
        </w:rPr>
        <w:t>Los procedimientos que a</w:t>
      </w:r>
      <w:proofErr w:type="spellStart"/>
      <w:r w:rsidRPr="00156B6B">
        <w:rPr>
          <w:rFonts w:ascii="Arial" w:hAnsi="Arial" w:cs="Arial"/>
          <w:sz w:val="18"/>
          <w:szCs w:val="18"/>
          <w:lang w:val="es-ES_tradnl"/>
        </w:rPr>
        <w:t>dopten</w:t>
      </w:r>
      <w:proofErr w:type="spellEnd"/>
      <w:r w:rsidRPr="00156B6B">
        <w:rPr>
          <w:rFonts w:ascii="Arial" w:hAnsi="Arial" w:cs="Arial"/>
          <w:sz w:val="18"/>
          <w:szCs w:val="18"/>
          <w:lang w:val="es-ES_tradnl"/>
        </w:rPr>
        <w:t xml:space="preserve"> las entidades </w:t>
      </w:r>
      <w:r w:rsidRPr="00156B6B">
        <w:rPr>
          <w:rFonts w:ascii="Arial" w:hAnsi="Arial" w:cs="Arial"/>
          <w:sz w:val="18"/>
          <w:szCs w:val="18"/>
          <w:lang w:val="es-CO"/>
        </w:rPr>
        <w:t>deben cumplir, como mínimo, con los siguientes requisitos:</w:t>
      </w:r>
    </w:p>
    <w:p w14:paraId="07452212" w14:textId="77777777" w:rsidR="00D23904" w:rsidRPr="00156B6B" w:rsidRDefault="00D23904" w:rsidP="00D23904">
      <w:pPr>
        <w:pStyle w:val="Textoindependiente"/>
        <w:rPr>
          <w:sz w:val="18"/>
          <w:lang w:val="es-CO"/>
        </w:rPr>
      </w:pPr>
    </w:p>
    <w:p w14:paraId="0238C2DE" w14:textId="77777777" w:rsidR="00D23904" w:rsidRPr="00156B6B" w:rsidRDefault="00D23904" w:rsidP="00D23904">
      <w:pPr>
        <w:pStyle w:val="Textoindependiente"/>
        <w:numPr>
          <w:ilvl w:val="0"/>
          <w:numId w:val="5"/>
        </w:numPr>
        <w:rPr>
          <w:sz w:val="18"/>
          <w:lang w:val="es-CO"/>
        </w:rPr>
      </w:pPr>
      <w:r w:rsidRPr="00156B6B">
        <w:rPr>
          <w:sz w:val="18"/>
        </w:rPr>
        <w:t>Instrumentar las diferentes etapas y elementos del SARL.</w:t>
      </w:r>
    </w:p>
    <w:p w14:paraId="56986636" w14:textId="77777777" w:rsidR="00D23904" w:rsidRPr="006A7FA7" w:rsidRDefault="00D23904" w:rsidP="00D23904">
      <w:pPr>
        <w:pStyle w:val="Textoindependiente"/>
        <w:ind w:left="360"/>
        <w:rPr>
          <w:sz w:val="18"/>
          <w:lang w:val="es-CO"/>
        </w:rPr>
      </w:pPr>
    </w:p>
    <w:p w14:paraId="2F95FBDD" w14:textId="77777777" w:rsidR="00D23904" w:rsidRPr="006A7FA7" w:rsidRDefault="00D23904" w:rsidP="00D23904">
      <w:pPr>
        <w:pStyle w:val="Textoindependiente"/>
        <w:numPr>
          <w:ilvl w:val="0"/>
          <w:numId w:val="5"/>
        </w:numPr>
        <w:rPr>
          <w:sz w:val="18"/>
          <w:lang w:val="es-CO"/>
        </w:rPr>
      </w:pPr>
      <w:r w:rsidRPr="006A7FA7">
        <w:rPr>
          <w:sz w:val="18"/>
          <w:lang w:val="es-CO"/>
        </w:rPr>
        <w:t>Garantizar el e</w:t>
      </w:r>
      <w:proofErr w:type="spellStart"/>
      <w:r w:rsidRPr="006A7FA7">
        <w:rPr>
          <w:sz w:val="18"/>
        </w:rPr>
        <w:t>fectivo</w:t>
      </w:r>
      <w:proofErr w:type="spellEnd"/>
      <w:r w:rsidRPr="006A7FA7">
        <w:rPr>
          <w:sz w:val="18"/>
        </w:rPr>
        <w:t xml:space="preserve">, eficiente y oportuno funcionamiento </w:t>
      </w:r>
      <w:r w:rsidRPr="006A7FA7">
        <w:rPr>
          <w:sz w:val="18"/>
          <w:lang w:val="es-CO"/>
        </w:rPr>
        <w:t>del SARL, de modo que se puedan adoptar oportunamente los correctivos necesarios.</w:t>
      </w:r>
    </w:p>
    <w:p w14:paraId="27EC1A63" w14:textId="77777777" w:rsidR="00D23904" w:rsidRPr="006A7FA7" w:rsidRDefault="00D23904" w:rsidP="00D23904">
      <w:pPr>
        <w:pStyle w:val="Textoindependiente"/>
        <w:rPr>
          <w:sz w:val="18"/>
          <w:lang w:val="es-CO"/>
        </w:rPr>
      </w:pPr>
    </w:p>
    <w:p w14:paraId="27BD1E49" w14:textId="77777777" w:rsidR="00D23904" w:rsidRPr="006A7FA7" w:rsidRDefault="00D23904" w:rsidP="00D23904">
      <w:pPr>
        <w:pStyle w:val="Textoindependiente"/>
        <w:numPr>
          <w:ilvl w:val="0"/>
          <w:numId w:val="5"/>
        </w:numPr>
        <w:rPr>
          <w:sz w:val="18"/>
          <w:lang w:val="es-CO"/>
        </w:rPr>
      </w:pPr>
      <w:r w:rsidRPr="006A7FA7">
        <w:rPr>
          <w:sz w:val="18"/>
          <w:lang w:val="es-CO"/>
        </w:rPr>
        <w:t>Generar informes internos y externos</w:t>
      </w:r>
    </w:p>
    <w:p w14:paraId="1D3F9397" w14:textId="77777777" w:rsidR="00D23904" w:rsidRDefault="00D23904" w:rsidP="00D23904">
      <w:pPr>
        <w:pStyle w:val="Textoindependiente"/>
        <w:rPr>
          <w:sz w:val="18"/>
          <w:lang w:val="es-CO"/>
        </w:rPr>
      </w:pPr>
    </w:p>
    <w:p w14:paraId="2B0DBCC2" w14:textId="77777777" w:rsidR="00D23904" w:rsidRPr="00BF1643" w:rsidRDefault="00D23904" w:rsidP="00D23904">
      <w:pPr>
        <w:pStyle w:val="Textoindependiente"/>
        <w:numPr>
          <w:ilvl w:val="0"/>
          <w:numId w:val="5"/>
        </w:numPr>
        <w:rPr>
          <w:sz w:val="18"/>
          <w:lang w:val="es-CO"/>
        </w:rPr>
      </w:pPr>
      <w:r w:rsidRPr="0004086D">
        <w:rPr>
          <w:sz w:val="18"/>
          <w:lang w:val="es-CO"/>
        </w:rPr>
        <w:t>Garantizar que las actividades de control del cumplimiento de los límites de riesgo de liquidez</w:t>
      </w:r>
      <w:r w:rsidRPr="0004086D">
        <w:rPr>
          <w:sz w:val="18"/>
          <w:lang w:val="es-ES_tradnl"/>
        </w:rPr>
        <w:t xml:space="preserve"> sean llevadas a cabo por un área funcional diferente a las áreas encargadas de las negociaciones en la tesorería y de las captaciones y colocaciones de la entidad.</w:t>
      </w:r>
    </w:p>
    <w:p w14:paraId="490F1B18" w14:textId="77777777" w:rsidR="00D23904" w:rsidRDefault="00D23904" w:rsidP="00D23904">
      <w:pPr>
        <w:pStyle w:val="Textoindependiente"/>
        <w:rPr>
          <w:sz w:val="18"/>
          <w:lang w:val="es-CO"/>
        </w:rPr>
      </w:pPr>
    </w:p>
    <w:p w14:paraId="638F3F88" w14:textId="77777777" w:rsidR="00D23904" w:rsidRPr="00BF1643" w:rsidRDefault="00D23904" w:rsidP="00D23904">
      <w:pPr>
        <w:pStyle w:val="Textoindependiente"/>
        <w:numPr>
          <w:ilvl w:val="0"/>
          <w:numId w:val="5"/>
        </w:numPr>
        <w:rPr>
          <w:sz w:val="18"/>
          <w:lang w:val="es-CO"/>
        </w:rPr>
      </w:pPr>
      <w:r w:rsidRPr="0004086D">
        <w:rPr>
          <w:sz w:val="18"/>
        </w:rPr>
        <w:t>Contemplar las acciones a seguir en caso de incumplimiento en los límites fijados y los casos en los cuales se deban solicitar autorizaciones especiales.</w:t>
      </w:r>
    </w:p>
    <w:p w14:paraId="0985401E" w14:textId="77777777" w:rsidR="00D23904" w:rsidRDefault="00D23904" w:rsidP="00D23904">
      <w:pPr>
        <w:pStyle w:val="Textoindependiente"/>
        <w:rPr>
          <w:sz w:val="18"/>
          <w:lang w:val="es-CO"/>
        </w:rPr>
      </w:pPr>
    </w:p>
    <w:p w14:paraId="57F96E1A" w14:textId="77777777" w:rsidR="00D23904" w:rsidRPr="00BF1643" w:rsidRDefault="00D23904" w:rsidP="00D23904">
      <w:pPr>
        <w:pStyle w:val="Textoindependiente"/>
        <w:numPr>
          <w:ilvl w:val="0"/>
          <w:numId w:val="5"/>
        </w:numPr>
        <w:rPr>
          <w:sz w:val="18"/>
          <w:lang w:val="es-CO"/>
        </w:rPr>
      </w:pPr>
      <w:r w:rsidRPr="0004086D">
        <w:rPr>
          <w:sz w:val="18"/>
        </w:rPr>
        <w:t>Instrumentar los procedimientos necesarios desde el punto de vista de la gestión del riesgo de liquidez cuando se trate de operar nuevos mercados y productos de tesorería.</w:t>
      </w:r>
    </w:p>
    <w:p w14:paraId="1701C5EC" w14:textId="77777777" w:rsidR="00D23904" w:rsidRDefault="00D23904" w:rsidP="00D23904">
      <w:pPr>
        <w:pStyle w:val="Textoindependiente"/>
        <w:rPr>
          <w:sz w:val="18"/>
          <w:lang w:val="es-CO"/>
        </w:rPr>
      </w:pPr>
    </w:p>
    <w:p w14:paraId="3A12A67B" w14:textId="77777777" w:rsidR="00D23904" w:rsidRPr="00BF1643" w:rsidRDefault="00D23904" w:rsidP="00D23904">
      <w:pPr>
        <w:pStyle w:val="Textoindependiente"/>
        <w:numPr>
          <w:ilvl w:val="0"/>
          <w:numId w:val="5"/>
        </w:numPr>
        <w:rPr>
          <w:sz w:val="18"/>
        </w:rPr>
      </w:pPr>
      <w:r w:rsidRPr="00BF1643">
        <w:rPr>
          <w:sz w:val="18"/>
        </w:rPr>
        <w:t>Implementar mecanismos que permitan realizar el registro y soporte de las operaciones efectuadas vía telefónica o mediante cualquier otro sistema de comunicación, previo cumplimiento de los requisitos legales. La entidad debe conservar los registros correspondientes durante los plazos establecidos en la Ley.</w:t>
      </w:r>
    </w:p>
    <w:p w14:paraId="78899BEA" w14:textId="77777777" w:rsidR="00D23904" w:rsidRPr="0004086D" w:rsidRDefault="00D23904" w:rsidP="00D23904">
      <w:pPr>
        <w:pStyle w:val="Textoindependiente"/>
        <w:rPr>
          <w:sz w:val="18"/>
          <w:lang w:val="es-CO"/>
        </w:rPr>
      </w:pPr>
    </w:p>
    <w:p w14:paraId="522F5B0A" w14:textId="77777777" w:rsidR="0094452A" w:rsidRPr="0004086D" w:rsidRDefault="00D23904" w:rsidP="00156B6B">
      <w:pPr>
        <w:pStyle w:val="Textoindependiente"/>
        <w:rPr>
          <w:lang w:val="es-ES_tradnl"/>
        </w:rPr>
      </w:pPr>
      <w:r w:rsidRPr="006A7FA7">
        <w:rPr>
          <w:sz w:val="18"/>
          <w:lang w:val="es-CO"/>
        </w:rPr>
        <w:t>Los procedimientos que adopten las entidades deberán constar en manuales, en los cuales deben quedar claramente definidas las funciones, responsabilidades y atribuciones específicas para cada uno de los funcionarios de los</w:t>
      </w:r>
      <w:r w:rsidRPr="0004086D">
        <w:rPr>
          <w:sz w:val="18"/>
          <w:lang w:val="es-CO"/>
        </w:rPr>
        <w:t xml:space="preserve"> </w:t>
      </w:r>
      <w:r>
        <w:rPr>
          <w:sz w:val="18"/>
          <w:lang w:val="es-CO"/>
        </w:rPr>
        <w:br/>
      </w:r>
      <w:r>
        <w:rPr>
          <w:sz w:val="18"/>
          <w:lang w:val="es-CO"/>
        </w:rPr>
        <w:br/>
      </w:r>
    </w:p>
    <w:sectPr w:rsidR="0094452A" w:rsidRPr="0004086D" w:rsidSect="000277A1">
      <w:headerReference w:type="default" r:id="rId11"/>
      <w:footerReference w:type="default" r:id="rId12"/>
      <w:headerReference w:type="first" r:id="rId13"/>
      <w:footerReference w:type="first" r:id="rId14"/>
      <w:pgSz w:w="12242" w:h="18722" w:code="148"/>
      <w:pgMar w:top="1412" w:right="1412" w:bottom="1412" w:left="1412" w:header="851" w:footer="649" w:gutter="0"/>
      <w:paperSrc w:first="2" w:other="2"/>
      <w:pgNumType w:start="1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EDD97" w14:textId="77777777" w:rsidR="00406292" w:rsidRDefault="00406292">
      <w:r>
        <w:separator/>
      </w:r>
    </w:p>
  </w:endnote>
  <w:endnote w:type="continuationSeparator" w:id="0">
    <w:p w14:paraId="6C2E2066" w14:textId="77777777" w:rsidR="00406292" w:rsidRDefault="0040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0E3C7" w14:textId="1F1909A0" w:rsidR="00156B6B" w:rsidRPr="00156B6B" w:rsidRDefault="00156B6B" w:rsidP="00156B6B">
    <w:pPr>
      <w:pStyle w:val="Piedepgina"/>
      <w:tabs>
        <w:tab w:val="clear" w:pos="8504"/>
        <w:tab w:val="right" w:pos="9600"/>
      </w:tabs>
      <w:rPr>
        <w:rFonts w:ascii="Arial" w:hAnsi="Arial"/>
        <w:b/>
        <w:sz w:val="18"/>
        <w:lang w:val="pt-BR"/>
      </w:rPr>
    </w:pPr>
    <w:r>
      <w:rPr>
        <w:rFonts w:ascii="Arial" w:hAnsi="Arial"/>
        <w:b/>
        <w:sz w:val="18"/>
      </w:rPr>
      <w:t>C</w:t>
    </w:r>
    <w:proofErr w:type="spellStart"/>
    <w:r>
      <w:rPr>
        <w:rFonts w:ascii="Arial" w:hAnsi="Arial"/>
        <w:b/>
        <w:sz w:val="18"/>
        <w:lang w:val="pt-BR"/>
      </w:rPr>
      <w:t>ircular</w:t>
    </w:r>
    <w:proofErr w:type="spellEnd"/>
    <w:r>
      <w:rPr>
        <w:rFonts w:ascii="Arial" w:hAnsi="Arial"/>
        <w:b/>
        <w:sz w:val="18"/>
        <w:lang w:val="pt-BR"/>
      </w:rPr>
      <w:t xml:space="preserve"> Externa </w:t>
    </w:r>
    <w:r w:rsidR="003060D6">
      <w:rPr>
        <w:rFonts w:ascii="Arial" w:hAnsi="Arial"/>
        <w:b/>
        <w:sz w:val="18"/>
        <w:lang w:val="pt-BR"/>
      </w:rPr>
      <w:t>026</w:t>
    </w:r>
    <w:r>
      <w:rPr>
        <w:rFonts w:ascii="Arial" w:hAnsi="Arial"/>
        <w:b/>
        <w:sz w:val="18"/>
        <w:lang w:val="pt-BR"/>
      </w:rPr>
      <w:t xml:space="preserve"> de 2021                                                                                                         </w:t>
    </w:r>
    <w:proofErr w:type="gramStart"/>
    <w:r w:rsidR="003060D6" w:rsidRPr="003060D6">
      <w:rPr>
        <w:rFonts w:ascii="Arial" w:hAnsi="Arial"/>
        <w:b/>
        <w:sz w:val="18"/>
        <w:lang w:val="es-CO"/>
      </w:rPr>
      <w:t>Noviembre</w:t>
    </w:r>
    <w:proofErr w:type="gramEnd"/>
    <w:r>
      <w:rPr>
        <w:rFonts w:ascii="Arial" w:hAnsi="Arial"/>
        <w:b/>
        <w:sz w:val="18"/>
        <w:lang w:val="pt-BR"/>
      </w:rPr>
      <w:t xml:space="preserve"> de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0D9B9" w14:textId="09305161" w:rsidR="00D23904" w:rsidRPr="00156B6B" w:rsidRDefault="00D23904" w:rsidP="00156B6B">
    <w:pPr>
      <w:pStyle w:val="Piedepgina"/>
      <w:tabs>
        <w:tab w:val="clear" w:pos="8504"/>
        <w:tab w:val="right" w:pos="9600"/>
      </w:tabs>
      <w:rPr>
        <w:rFonts w:ascii="Arial" w:hAnsi="Arial"/>
        <w:b/>
        <w:sz w:val="18"/>
        <w:lang w:val="pt-BR"/>
      </w:rPr>
    </w:pPr>
    <w:r>
      <w:rPr>
        <w:rFonts w:ascii="Arial" w:hAnsi="Arial"/>
        <w:b/>
        <w:sz w:val="18"/>
        <w:lang w:val="pt-BR"/>
      </w:rPr>
      <w:t xml:space="preserve">Circular Externa </w:t>
    </w:r>
    <w:r w:rsidR="003060D6">
      <w:rPr>
        <w:rFonts w:ascii="Arial" w:hAnsi="Arial"/>
        <w:b/>
        <w:sz w:val="18"/>
        <w:lang w:val="pt-BR"/>
      </w:rPr>
      <w:t>026</w:t>
    </w:r>
    <w:r w:rsidR="00156B6B">
      <w:rPr>
        <w:rFonts w:ascii="Arial" w:hAnsi="Arial"/>
        <w:b/>
        <w:sz w:val="18"/>
        <w:lang w:val="pt-BR"/>
      </w:rPr>
      <w:t xml:space="preserve"> de 2021</w:t>
    </w:r>
    <w:r>
      <w:rPr>
        <w:rFonts w:ascii="Arial" w:hAnsi="Arial"/>
        <w:b/>
        <w:sz w:val="18"/>
        <w:lang w:val="pt-BR"/>
      </w:rPr>
      <w:t xml:space="preserve">          </w:t>
    </w:r>
    <w:r w:rsidR="00156B6B">
      <w:rPr>
        <w:rFonts w:ascii="Arial" w:hAnsi="Arial"/>
        <w:b/>
        <w:sz w:val="18"/>
        <w:lang w:val="pt-BR"/>
      </w:rPr>
      <w:t xml:space="preserve">           </w:t>
    </w:r>
    <w:r>
      <w:rPr>
        <w:rFonts w:ascii="Arial" w:hAnsi="Arial"/>
        <w:b/>
        <w:sz w:val="18"/>
        <w:lang w:val="pt-BR"/>
      </w:rPr>
      <w:t xml:space="preserve">                                                                                    </w:t>
    </w:r>
    <w:r w:rsidR="003060D6" w:rsidRPr="003060D6">
      <w:rPr>
        <w:rFonts w:ascii="Arial" w:hAnsi="Arial"/>
        <w:b/>
        <w:sz w:val="18"/>
        <w:lang w:val="es-CO"/>
      </w:rPr>
      <w:t>Noviembre</w:t>
    </w:r>
    <w:r w:rsidR="00156B6B">
      <w:rPr>
        <w:rFonts w:ascii="Arial" w:hAnsi="Arial"/>
        <w:b/>
        <w:sz w:val="18"/>
        <w:lang w:val="pt-BR"/>
      </w:rPr>
      <w:t xml:space="preserve"> 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C882C" w14:textId="77777777" w:rsidR="00406292" w:rsidRDefault="00406292">
      <w:r>
        <w:separator/>
      </w:r>
    </w:p>
  </w:footnote>
  <w:footnote w:type="continuationSeparator" w:id="0">
    <w:p w14:paraId="60467E48" w14:textId="77777777" w:rsidR="00406292" w:rsidRDefault="00406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8580D" w14:textId="77777777" w:rsidR="00156B6B" w:rsidRDefault="00156B6B" w:rsidP="00156B6B">
    <w:pPr>
      <w:pStyle w:val="Encabezado"/>
      <w:jc w:val="center"/>
      <w:rPr>
        <w:rFonts w:ascii="Arial" w:hAnsi="Arial" w:cs="Arial"/>
        <w:b/>
      </w:rPr>
    </w:pPr>
  </w:p>
  <w:p w14:paraId="5566C084" w14:textId="77777777" w:rsidR="00156B6B" w:rsidRDefault="00156B6B" w:rsidP="00156B6B">
    <w:pPr>
      <w:pStyle w:val="Encabezad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SUPERINTENDENCIA FINANCIERA DE COLOMBIA</w:t>
    </w:r>
  </w:p>
  <w:p w14:paraId="61F460F7" w14:textId="77777777" w:rsidR="00156B6B" w:rsidRDefault="00156B6B" w:rsidP="00156B6B">
    <w:pPr>
      <w:pStyle w:val="Encabezado"/>
      <w:jc w:val="center"/>
      <w:rPr>
        <w:rFonts w:ascii="Arial" w:hAnsi="Arial" w:cs="Arial"/>
        <w:b/>
      </w:rPr>
    </w:pPr>
  </w:p>
  <w:p w14:paraId="7738DBD6" w14:textId="77777777" w:rsidR="00156B6B" w:rsidRDefault="00156B6B" w:rsidP="00156B6B">
    <w:pPr>
      <w:pStyle w:val="Encabezado"/>
      <w:jc w:val="center"/>
      <w:rPr>
        <w:rFonts w:ascii="Arial" w:hAnsi="Arial" w:cs="Arial"/>
        <w:b/>
      </w:rPr>
    </w:pPr>
  </w:p>
  <w:p w14:paraId="5B56A776" w14:textId="77777777" w:rsidR="00156B6B" w:rsidRDefault="00156B6B" w:rsidP="00156B6B">
    <w:pPr>
      <w:pStyle w:val="Encabezado"/>
      <w:ind w:right="-21"/>
      <w:rPr>
        <w:rFonts w:ascii="Arial" w:hAnsi="Arial" w:cs="Arial"/>
        <w:b/>
      </w:rPr>
    </w:pPr>
    <w:r>
      <w:rPr>
        <w:rFonts w:ascii="Arial" w:hAnsi="Arial"/>
        <w:b/>
        <w:sz w:val="18"/>
        <w:szCs w:val="18"/>
      </w:rPr>
      <w:t>CAPÍTULO VI REGLAS RELATIVAS AL SISTEMA DE ADMINISTRACIÓN DEL RIESGO DE LIQUIDEZ</w:t>
    </w:r>
  </w:p>
  <w:p w14:paraId="26634A7C" w14:textId="77777777" w:rsidR="00156B6B" w:rsidRPr="00A72393" w:rsidRDefault="00156B6B" w:rsidP="00156B6B">
    <w:pPr>
      <w:pStyle w:val="Encabezado"/>
      <w:jc w:val="both"/>
      <w:rPr>
        <w:rStyle w:val="Nmerodepgina"/>
        <w:rFonts w:ascii="Arial" w:hAnsi="Arial" w:cs="Arial"/>
        <w:b/>
        <w:bCs/>
        <w:sz w:val="20"/>
        <w:szCs w:val="20"/>
      </w:rPr>
    </w:pPr>
    <w:r w:rsidRPr="00A72393">
      <w:rPr>
        <w:rFonts w:ascii="Arial" w:hAnsi="Arial" w:cs="Arial"/>
        <w:b/>
        <w:sz w:val="20"/>
        <w:szCs w:val="20"/>
      </w:rPr>
      <w:t xml:space="preserve">Página </w:t>
    </w:r>
    <w:r>
      <w:rPr>
        <w:rFonts w:ascii="Arial" w:hAnsi="Arial" w:cs="Arial"/>
        <w:b/>
        <w:sz w:val="20"/>
        <w:szCs w:val="20"/>
      </w:rPr>
      <w:t>1</w:t>
    </w:r>
    <w:r>
      <w:rPr>
        <w:rStyle w:val="Nmerodepgina"/>
        <w:rFonts w:ascii="Arial" w:hAnsi="Arial" w:cs="Arial"/>
        <w:b/>
        <w:sz w:val="20"/>
        <w:szCs w:val="20"/>
      </w:rPr>
      <w:t>2-1</w:t>
    </w:r>
  </w:p>
  <w:p w14:paraId="4A2D511C" w14:textId="77777777" w:rsidR="00156B6B" w:rsidRDefault="00156B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3321" w14:textId="77777777" w:rsidR="00D23904" w:rsidRDefault="00D23904" w:rsidP="00A87ACD">
    <w:pPr>
      <w:pStyle w:val="Encabezado"/>
      <w:ind w:right="360"/>
      <w:jc w:val="center"/>
      <w:rPr>
        <w:rFonts w:ascii="Arial" w:hAnsi="Arial" w:cs="Arial"/>
        <w:b/>
      </w:rPr>
    </w:pPr>
  </w:p>
  <w:p w14:paraId="473353E0" w14:textId="77777777" w:rsidR="00D23904" w:rsidRDefault="00D23904" w:rsidP="00A87ACD">
    <w:pPr>
      <w:pStyle w:val="Encabezado"/>
      <w:ind w:right="360"/>
      <w:jc w:val="center"/>
      <w:rPr>
        <w:rFonts w:ascii="Arial" w:hAnsi="Arial" w:cs="Arial"/>
        <w:b/>
      </w:rPr>
    </w:pPr>
    <w:r w:rsidRPr="004F022A">
      <w:rPr>
        <w:rFonts w:ascii="Arial" w:hAnsi="Arial" w:cs="Arial"/>
        <w:b/>
      </w:rPr>
      <w:t>SUPERINTENDENCIA FINANCIERA DE COLOMBIA</w:t>
    </w:r>
  </w:p>
  <w:p w14:paraId="17259EE1" w14:textId="77777777" w:rsidR="00D23904" w:rsidRDefault="00D23904" w:rsidP="004F022A">
    <w:pPr>
      <w:pStyle w:val="Encabezado"/>
      <w:jc w:val="center"/>
      <w:rPr>
        <w:rFonts w:ascii="Arial" w:hAnsi="Arial" w:cs="Arial"/>
        <w:b/>
      </w:rPr>
    </w:pPr>
  </w:p>
  <w:p w14:paraId="194CE3CD" w14:textId="77777777" w:rsidR="00D23904" w:rsidRDefault="00D23904" w:rsidP="004F022A">
    <w:pPr>
      <w:pStyle w:val="Encabezado"/>
      <w:jc w:val="center"/>
      <w:rPr>
        <w:rFonts w:ascii="Arial" w:hAnsi="Arial" w:cs="Arial"/>
        <w:b/>
      </w:rPr>
    </w:pPr>
  </w:p>
  <w:p w14:paraId="35CBDC95" w14:textId="77777777" w:rsidR="00D23904" w:rsidRDefault="00D23904" w:rsidP="00E65960">
    <w:pPr>
      <w:pStyle w:val="Encabezado"/>
      <w:ind w:right="-21"/>
      <w:rPr>
        <w:rFonts w:ascii="Arial" w:hAnsi="Arial" w:cs="Arial"/>
        <w:b/>
      </w:rPr>
    </w:pPr>
    <w:proofErr w:type="gramStart"/>
    <w:r>
      <w:rPr>
        <w:rFonts w:ascii="Arial" w:hAnsi="Arial"/>
        <w:b/>
        <w:sz w:val="18"/>
        <w:szCs w:val="18"/>
      </w:rPr>
      <w:t>CAPITULO  VI</w:t>
    </w:r>
    <w:proofErr w:type="gramEnd"/>
    <w:r>
      <w:rPr>
        <w:rFonts w:ascii="Arial" w:hAnsi="Arial"/>
        <w:b/>
        <w:sz w:val="18"/>
        <w:szCs w:val="18"/>
      </w:rPr>
      <w:t xml:space="preserve"> REGLAS  RELATIVAS AL SISTEMA DE ADMINISTRACIÓN DEL RIESGO DE LIQUIDEZ</w:t>
    </w:r>
  </w:p>
  <w:p w14:paraId="68DA00F1" w14:textId="77777777" w:rsidR="00D23904" w:rsidRDefault="00D23904" w:rsidP="00A87ACD">
    <w:pPr>
      <w:pStyle w:val="Encabezado"/>
      <w:rPr>
        <w:rStyle w:val="Nmerodepgina"/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</w:rPr>
      <w:t xml:space="preserve">Página </w:t>
    </w:r>
    <w:r w:rsidR="00156B6B">
      <w:rPr>
        <w:rFonts w:ascii="Arial" w:hAnsi="Arial" w:cs="Arial"/>
        <w:b/>
        <w:sz w:val="20"/>
      </w:rPr>
      <w:t>1</w:t>
    </w:r>
    <w:r w:rsidR="00156B6B">
      <w:rPr>
        <w:rStyle w:val="Nmerodepgina"/>
        <w:rFonts w:ascii="Arial" w:hAnsi="Arial" w:cs="Arial"/>
        <w:b/>
        <w:sz w:val="20"/>
        <w:szCs w:val="20"/>
      </w:rPr>
      <w:t>2</w:t>
    </w:r>
  </w:p>
  <w:p w14:paraId="0E62FBF7" w14:textId="77777777" w:rsidR="00D23904" w:rsidRPr="00A72393" w:rsidRDefault="00D23904" w:rsidP="00A87ACD">
    <w:pPr>
      <w:pStyle w:val="Encabezado"/>
      <w:rPr>
        <w:rStyle w:val="Nmerodepgina"/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46DD"/>
    <w:multiLevelType w:val="multilevel"/>
    <w:tmpl w:val="B77A3D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8FE1727"/>
    <w:multiLevelType w:val="hybridMultilevel"/>
    <w:tmpl w:val="A37693D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D4ACC"/>
    <w:multiLevelType w:val="multilevel"/>
    <w:tmpl w:val="C3A2C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6.7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5.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 w15:restartNumberingAfterBreak="0">
    <w:nsid w:val="0BB4255E"/>
    <w:multiLevelType w:val="hybridMultilevel"/>
    <w:tmpl w:val="018A7D6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A837E9"/>
    <w:multiLevelType w:val="hybridMultilevel"/>
    <w:tmpl w:val="62CA3F86"/>
    <w:lvl w:ilvl="0" w:tplc="0CB02C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A8AAED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B63111"/>
    <w:multiLevelType w:val="hybridMultilevel"/>
    <w:tmpl w:val="49581E62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66040"/>
    <w:multiLevelType w:val="hybridMultilevel"/>
    <w:tmpl w:val="F3A48668"/>
    <w:lvl w:ilvl="0" w:tplc="E8D6DA2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E416BFC6">
      <w:start w:val="1"/>
      <w:numFmt w:val="lowerRoman"/>
      <w:lvlText w:val="%2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953D40"/>
    <w:multiLevelType w:val="multilevel"/>
    <w:tmpl w:val="87F076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4.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23DA0EB4"/>
    <w:multiLevelType w:val="multilevel"/>
    <w:tmpl w:val="B7CC85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6.3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1.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25376F91"/>
    <w:multiLevelType w:val="hybridMultilevel"/>
    <w:tmpl w:val="F9DE3CD4"/>
    <w:lvl w:ilvl="0" w:tplc="0CC421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572F13"/>
    <w:multiLevelType w:val="hybridMultilevel"/>
    <w:tmpl w:val="F0DCBFB8"/>
    <w:lvl w:ilvl="0" w:tplc="F874072C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9C35C4E"/>
    <w:multiLevelType w:val="multilevel"/>
    <w:tmpl w:val="A1F0F1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DB9606C"/>
    <w:multiLevelType w:val="multilevel"/>
    <w:tmpl w:val="C1625B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5.2.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300B403D"/>
    <w:multiLevelType w:val="multilevel"/>
    <w:tmpl w:val="84F2A52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none"/>
      <w:lvlText w:val="5.2.2.2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0555D6"/>
    <w:multiLevelType w:val="hybridMultilevel"/>
    <w:tmpl w:val="A3BCCCC4"/>
    <w:lvl w:ilvl="0" w:tplc="BF1641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C649A0"/>
    <w:multiLevelType w:val="multilevel"/>
    <w:tmpl w:val="37CAD1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6.4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1.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368E29A1"/>
    <w:multiLevelType w:val="hybridMultilevel"/>
    <w:tmpl w:val="71F4070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CA21CE"/>
    <w:multiLevelType w:val="hybridMultilevel"/>
    <w:tmpl w:val="11D807AC"/>
    <w:lvl w:ilvl="0" w:tplc="0C0A001B">
      <w:start w:val="1"/>
      <w:numFmt w:val="lowerRoman"/>
      <w:lvlText w:val="%1."/>
      <w:lvlJc w:val="right"/>
      <w:pPr>
        <w:ind w:left="720" w:hanging="360"/>
      </w:pPr>
      <w:rPr>
        <w:rFonts w:hint="default"/>
        <w:b/>
      </w:r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B4013"/>
    <w:multiLevelType w:val="multilevel"/>
    <w:tmpl w:val="8D98A7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6.4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4.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3DA812A2"/>
    <w:multiLevelType w:val="hybridMultilevel"/>
    <w:tmpl w:val="5AF84EE0"/>
    <w:lvl w:ilvl="0" w:tplc="556EBD2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BE5F60"/>
    <w:multiLevelType w:val="multilevel"/>
    <w:tmpl w:val="17B0FE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6.5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5.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4811712F"/>
    <w:multiLevelType w:val="hybridMultilevel"/>
    <w:tmpl w:val="D7DE074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41994"/>
    <w:multiLevelType w:val="multilevel"/>
    <w:tmpl w:val="CA5255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6.7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7.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4973088C"/>
    <w:multiLevelType w:val="hybridMultilevel"/>
    <w:tmpl w:val="4498F6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670305"/>
    <w:multiLevelType w:val="hybridMultilevel"/>
    <w:tmpl w:val="10CCCC3A"/>
    <w:lvl w:ilvl="0" w:tplc="240A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5" w15:restartNumberingAfterBreak="0">
    <w:nsid w:val="4CE06ED0"/>
    <w:multiLevelType w:val="hybridMultilevel"/>
    <w:tmpl w:val="D10EB122"/>
    <w:lvl w:ilvl="0" w:tplc="0804E6BE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D2B04F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4E6B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B6105D"/>
    <w:multiLevelType w:val="hybridMultilevel"/>
    <w:tmpl w:val="F904B1D0"/>
    <w:lvl w:ilvl="0" w:tplc="0C0A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16F4CCC"/>
    <w:multiLevelType w:val="hybridMultilevel"/>
    <w:tmpl w:val="09AA0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2442A9"/>
    <w:multiLevelType w:val="hybridMultilevel"/>
    <w:tmpl w:val="3B74392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C5A4E"/>
    <w:multiLevelType w:val="multilevel"/>
    <w:tmpl w:val="3CB8E1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1.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AEA1821"/>
    <w:multiLevelType w:val="hybridMultilevel"/>
    <w:tmpl w:val="05C0EB68"/>
    <w:lvl w:ilvl="0" w:tplc="96EEC938">
      <w:start w:val="1"/>
      <w:numFmt w:val="lowerRoman"/>
      <w:lvlText w:val="%1."/>
      <w:lvlJc w:val="left"/>
      <w:pPr>
        <w:tabs>
          <w:tab w:val="num" w:pos="1068"/>
        </w:tabs>
        <w:ind w:left="1068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31" w15:restartNumberingAfterBreak="0">
    <w:nsid w:val="5E216F8F"/>
    <w:multiLevelType w:val="hybridMultilevel"/>
    <w:tmpl w:val="619C06B2"/>
    <w:lvl w:ilvl="0" w:tplc="273691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A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581F49"/>
    <w:multiLevelType w:val="multilevel"/>
    <w:tmpl w:val="08A289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5971128"/>
    <w:multiLevelType w:val="multilevel"/>
    <w:tmpl w:val="28CEEC6A"/>
    <w:lvl w:ilvl="0">
      <w:start w:val="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67570E5"/>
    <w:multiLevelType w:val="multilevel"/>
    <w:tmpl w:val="8E96BA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6.7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7.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67F6BF1"/>
    <w:multiLevelType w:val="multilevel"/>
    <w:tmpl w:val="135273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6.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1.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E8A6384"/>
    <w:multiLevelType w:val="hybridMultilevel"/>
    <w:tmpl w:val="1EF0548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D26DC"/>
    <w:multiLevelType w:val="hybridMultilevel"/>
    <w:tmpl w:val="3296217E"/>
    <w:lvl w:ilvl="0" w:tplc="A8AAED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3BC0C75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4AC28B0"/>
    <w:multiLevelType w:val="multilevel"/>
    <w:tmpl w:val="BAFCD3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6.7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7.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9" w15:restartNumberingAfterBreak="0">
    <w:nsid w:val="75EA5406"/>
    <w:multiLevelType w:val="multilevel"/>
    <w:tmpl w:val="D6D670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6.6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5.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0" w15:restartNumberingAfterBreak="0">
    <w:nsid w:val="76AD18BD"/>
    <w:multiLevelType w:val="hybridMultilevel"/>
    <w:tmpl w:val="D99CF1EC"/>
    <w:lvl w:ilvl="0" w:tplc="0C0A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3A5D8B"/>
    <w:multiLevelType w:val="hybridMultilevel"/>
    <w:tmpl w:val="CF8CCBCE"/>
    <w:lvl w:ilvl="0" w:tplc="98440E08">
      <w:start w:val="1"/>
      <w:numFmt w:val="lowerLetter"/>
      <w:lvlText w:val="%1)"/>
      <w:lvlJc w:val="left"/>
      <w:pPr>
        <w:tabs>
          <w:tab w:val="num" w:pos="708"/>
        </w:tabs>
        <w:ind w:left="708" w:hanging="360"/>
      </w:pPr>
      <w:rPr>
        <w:rFonts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B409CE"/>
    <w:multiLevelType w:val="multilevel"/>
    <w:tmpl w:val="16D6527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none"/>
      <w:lvlText w:val="5.2.2.1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FF47C59"/>
    <w:multiLevelType w:val="multilevel"/>
    <w:tmpl w:val="F366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6.5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none"/>
      <w:lvlText w:val="6.4.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6"/>
  </w:num>
  <w:num w:numId="2">
    <w:abstractNumId w:val="4"/>
  </w:num>
  <w:num w:numId="3">
    <w:abstractNumId w:val="21"/>
  </w:num>
  <w:num w:numId="4">
    <w:abstractNumId w:val="28"/>
  </w:num>
  <w:num w:numId="5">
    <w:abstractNumId w:val="9"/>
  </w:num>
  <w:num w:numId="6">
    <w:abstractNumId w:val="36"/>
  </w:num>
  <w:num w:numId="7">
    <w:abstractNumId w:val="3"/>
  </w:num>
  <w:num w:numId="8">
    <w:abstractNumId w:val="31"/>
  </w:num>
  <w:num w:numId="9">
    <w:abstractNumId w:val="23"/>
  </w:num>
  <w:num w:numId="10">
    <w:abstractNumId w:val="37"/>
  </w:num>
  <w:num w:numId="11">
    <w:abstractNumId w:val="25"/>
  </w:num>
  <w:num w:numId="12">
    <w:abstractNumId w:val="29"/>
  </w:num>
  <w:num w:numId="13">
    <w:abstractNumId w:val="30"/>
  </w:num>
  <w:num w:numId="14">
    <w:abstractNumId w:val="10"/>
  </w:num>
  <w:num w:numId="15">
    <w:abstractNumId w:val="41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7"/>
  </w:num>
  <w:num w:numId="19">
    <w:abstractNumId w:val="24"/>
  </w:num>
  <w:num w:numId="20">
    <w:abstractNumId w:val="16"/>
  </w:num>
  <w:num w:numId="21">
    <w:abstractNumId w:val="33"/>
    <w:lvlOverride w:ilvl="0">
      <w:startOverride w:val="5"/>
    </w:lvlOverride>
    <w:lvlOverride w:ilvl="1">
      <w:startOverride w:val="2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40"/>
  </w:num>
  <w:num w:numId="26">
    <w:abstractNumId w:val="11"/>
  </w:num>
  <w:num w:numId="27">
    <w:abstractNumId w:val="42"/>
  </w:num>
  <w:num w:numId="28">
    <w:abstractNumId w:val="17"/>
  </w:num>
  <w:num w:numId="29">
    <w:abstractNumId w:val="14"/>
  </w:num>
  <w:num w:numId="30">
    <w:abstractNumId w:val="32"/>
  </w:num>
  <w:num w:numId="31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43"/>
  </w:num>
  <w:num w:numId="34">
    <w:abstractNumId w:val="20"/>
  </w:num>
  <w:num w:numId="35">
    <w:abstractNumId w:val="39"/>
  </w:num>
  <w:num w:numId="36">
    <w:abstractNumId w:val="2"/>
  </w:num>
  <w:num w:numId="37">
    <w:abstractNumId w:val="38"/>
  </w:num>
  <w:num w:numId="38">
    <w:abstractNumId w:val="34"/>
  </w:num>
  <w:num w:numId="39">
    <w:abstractNumId w:val="22"/>
  </w:num>
  <w:num w:numId="40">
    <w:abstractNumId w:val="12"/>
  </w:num>
  <w:num w:numId="41">
    <w:abstractNumId w:val="13"/>
  </w:num>
  <w:num w:numId="42">
    <w:abstractNumId w:val="35"/>
  </w:num>
  <w:num w:numId="43">
    <w:abstractNumId w:val="8"/>
  </w:num>
  <w:num w:numId="44">
    <w:abstractNumId w:val="15"/>
  </w:num>
  <w:num w:numId="45">
    <w:abstractNumId w:val="18"/>
  </w:num>
  <w:num w:numId="46">
    <w:abstractNumId w:val="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FD0"/>
    <w:rsid w:val="00002CD7"/>
    <w:rsid w:val="000031CC"/>
    <w:rsid w:val="00003AF1"/>
    <w:rsid w:val="00010757"/>
    <w:rsid w:val="00010E20"/>
    <w:rsid w:val="00010EDA"/>
    <w:rsid w:val="00011299"/>
    <w:rsid w:val="00011F72"/>
    <w:rsid w:val="00012281"/>
    <w:rsid w:val="000146BE"/>
    <w:rsid w:val="00017BD5"/>
    <w:rsid w:val="000236FA"/>
    <w:rsid w:val="00024B10"/>
    <w:rsid w:val="00026BE7"/>
    <w:rsid w:val="000277A1"/>
    <w:rsid w:val="00027F38"/>
    <w:rsid w:val="00031FFD"/>
    <w:rsid w:val="00034267"/>
    <w:rsid w:val="00034E96"/>
    <w:rsid w:val="00035011"/>
    <w:rsid w:val="0004086D"/>
    <w:rsid w:val="00040DCF"/>
    <w:rsid w:val="0004770D"/>
    <w:rsid w:val="0005067F"/>
    <w:rsid w:val="000522BC"/>
    <w:rsid w:val="000532FF"/>
    <w:rsid w:val="00053BC6"/>
    <w:rsid w:val="000550DE"/>
    <w:rsid w:val="00056797"/>
    <w:rsid w:val="00056870"/>
    <w:rsid w:val="000571B3"/>
    <w:rsid w:val="00060984"/>
    <w:rsid w:val="00061AC5"/>
    <w:rsid w:val="00062172"/>
    <w:rsid w:val="00063859"/>
    <w:rsid w:val="000645B4"/>
    <w:rsid w:val="0007000D"/>
    <w:rsid w:val="00071A81"/>
    <w:rsid w:val="00075B31"/>
    <w:rsid w:val="00077F33"/>
    <w:rsid w:val="000803AB"/>
    <w:rsid w:val="00081FB5"/>
    <w:rsid w:val="000859FA"/>
    <w:rsid w:val="0009160B"/>
    <w:rsid w:val="00091F47"/>
    <w:rsid w:val="00096069"/>
    <w:rsid w:val="000A0BA0"/>
    <w:rsid w:val="000A1271"/>
    <w:rsid w:val="000A3F48"/>
    <w:rsid w:val="000A76A6"/>
    <w:rsid w:val="000B2DED"/>
    <w:rsid w:val="000B39F0"/>
    <w:rsid w:val="000B4A94"/>
    <w:rsid w:val="000B5058"/>
    <w:rsid w:val="000C3BD6"/>
    <w:rsid w:val="000C78D1"/>
    <w:rsid w:val="000D0477"/>
    <w:rsid w:val="000D4AF4"/>
    <w:rsid w:val="000D5400"/>
    <w:rsid w:val="000D64AF"/>
    <w:rsid w:val="000E1FB6"/>
    <w:rsid w:val="000E33E4"/>
    <w:rsid w:val="000E4851"/>
    <w:rsid w:val="000E6578"/>
    <w:rsid w:val="000F171E"/>
    <w:rsid w:val="000F1B91"/>
    <w:rsid w:val="000F2E2F"/>
    <w:rsid w:val="000F49EC"/>
    <w:rsid w:val="000F4D47"/>
    <w:rsid w:val="000F4E21"/>
    <w:rsid w:val="000F528F"/>
    <w:rsid w:val="000F6575"/>
    <w:rsid w:val="000F7DE6"/>
    <w:rsid w:val="00100E9B"/>
    <w:rsid w:val="00103385"/>
    <w:rsid w:val="0010500F"/>
    <w:rsid w:val="00106E17"/>
    <w:rsid w:val="0011015E"/>
    <w:rsid w:val="00110FF2"/>
    <w:rsid w:val="001151DB"/>
    <w:rsid w:val="001165CB"/>
    <w:rsid w:val="001175E8"/>
    <w:rsid w:val="0012547E"/>
    <w:rsid w:val="001272EE"/>
    <w:rsid w:val="001303F5"/>
    <w:rsid w:val="0013075F"/>
    <w:rsid w:val="0013167C"/>
    <w:rsid w:val="00131B80"/>
    <w:rsid w:val="00134204"/>
    <w:rsid w:val="0013458B"/>
    <w:rsid w:val="00134FBF"/>
    <w:rsid w:val="00141738"/>
    <w:rsid w:val="001423B3"/>
    <w:rsid w:val="00144D0A"/>
    <w:rsid w:val="00146892"/>
    <w:rsid w:val="00153954"/>
    <w:rsid w:val="00153F30"/>
    <w:rsid w:val="0015402C"/>
    <w:rsid w:val="00154757"/>
    <w:rsid w:val="001551C1"/>
    <w:rsid w:val="00156B6B"/>
    <w:rsid w:val="00157EB9"/>
    <w:rsid w:val="00161F6D"/>
    <w:rsid w:val="0016206A"/>
    <w:rsid w:val="00170312"/>
    <w:rsid w:val="00170FA8"/>
    <w:rsid w:val="0017381A"/>
    <w:rsid w:val="001759C4"/>
    <w:rsid w:val="00177980"/>
    <w:rsid w:val="0018098E"/>
    <w:rsid w:val="00183F8F"/>
    <w:rsid w:val="00190CC1"/>
    <w:rsid w:val="0019271D"/>
    <w:rsid w:val="001932B1"/>
    <w:rsid w:val="00196942"/>
    <w:rsid w:val="00196D1C"/>
    <w:rsid w:val="001974E5"/>
    <w:rsid w:val="00197F7A"/>
    <w:rsid w:val="001A1042"/>
    <w:rsid w:val="001A2757"/>
    <w:rsid w:val="001A3242"/>
    <w:rsid w:val="001A3547"/>
    <w:rsid w:val="001B0A8E"/>
    <w:rsid w:val="001B2CEA"/>
    <w:rsid w:val="001B4B01"/>
    <w:rsid w:val="001C1673"/>
    <w:rsid w:val="001C2A3F"/>
    <w:rsid w:val="001C5AEC"/>
    <w:rsid w:val="001D1A4F"/>
    <w:rsid w:val="001D1DF8"/>
    <w:rsid w:val="001D3A1F"/>
    <w:rsid w:val="001E0150"/>
    <w:rsid w:val="001E4405"/>
    <w:rsid w:val="001F5CC0"/>
    <w:rsid w:val="001F6455"/>
    <w:rsid w:val="001F73A0"/>
    <w:rsid w:val="002008B9"/>
    <w:rsid w:val="00203DF6"/>
    <w:rsid w:val="00204C31"/>
    <w:rsid w:val="002070A9"/>
    <w:rsid w:val="0021216C"/>
    <w:rsid w:val="0021304D"/>
    <w:rsid w:val="0021546F"/>
    <w:rsid w:val="002160DF"/>
    <w:rsid w:val="00216D8B"/>
    <w:rsid w:val="00221B73"/>
    <w:rsid w:val="00223905"/>
    <w:rsid w:val="00224920"/>
    <w:rsid w:val="002251D6"/>
    <w:rsid w:val="002252D7"/>
    <w:rsid w:val="002263BE"/>
    <w:rsid w:val="00230139"/>
    <w:rsid w:val="002348D2"/>
    <w:rsid w:val="00240C1C"/>
    <w:rsid w:val="00240D92"/>
    <w:rsid w:val="00244087"/>
    <w:rsid w:val="00244515"/>
    <w:rsid w:val="00246DED"/>
    <w:rsid w:val="002510ED"/>
    <w:rsid w:val="002532CF"/>
    <w:rsid w:val="00254830"/>
    <w:rsid w:val="00255FDF"/>
    <w:rsid w:val="00256EE9"/>
    <w:rsid w:val="002618FC"/>
    <w:rsid w:val="00261C2D"/>
    <w:rsid w:val="002655C3"/>
    <w:rsid w:val="0026706E"/>
    <w:rsid w:val="0027581E"/>
    <w:rsid w:val="0028036F"/>
    <w:rsid w:val="00280B91"/>
    <w:rsid w:val="00281535"/>
    <w:rsid w:val="0028420A"/>
    <w:rsid w:val="00284DE9"/>
    <w:rsid w:val="00285796"/>
    <w:rsid w:val="00286C9F"/>
    <w:rsid w:val="00290246"/>
    <w:rsid w:val="00293B0B"/>
    <w:rsid w:val="00295676"/>
    <w:rsid w:val="00295BBA"/>
    <w:rsid w:val="00296F0D"/>
    <w:rsid w:val="0029705F"/>
    <w:rsid w:val="002974D1"/>
    <w:rsid w:val="002A293E"/>
    <w:rsid w:val="002A39C6"/>
    <w:rsid w:val="002A41C7"/>
    <w:rsid w:val="002A4301"/>
    <w:rsid w:val="002A636A"/>
    <w:rsid w:val="002B138F"/>
    <w:rsid w:val="002B2C26"/>
    <w:rsid w:val="002B4715"/>
    <w:rsid w:val="002B4C75"/>
    <w:rsid w:val="002C100A"/>
    <w:rsid w:val="002C1B1D"/>
    <w:rsid w:val="002C1C92"/>
    <w:rsid w:val="002C21E7"/>
    <w:rsid w:val="002C3B14"/>
    <w:rsid w:val="002C4A40"/>
    <w:rsid w:val="002C4F85"/>
    <w:rsid w:val="002C596F"/>
    <w:rsid w:val="002C7686"/>
    <w:rsid w:val="002D1A21"/>
    <w:rsid w:val="002D4426"/>
    <w:rsid w:val="002D67D7"/>
    <w:rsid w:val="002E3541"/>
    <w:rsid w:val="002E3C22"/>
    <w:rsid w:val="002E534F"/>
    <w:rsid w:val="002E64EC"/>
    <w:rsid w:val="002E651B"/>
    <w:rsid w:val="002E6B44"/>
    <w:rsid w:val="002E7321"/>
    <w:rsid w:val="002F0A59"/>
    <w:rsid w:val="002F2357"/>
    <w:rsid w:val="002F30A7"/>
    <w:rsid w:val="002F401F"/>
    <w:rsid w:val="002F43FD"/>
    <w:rsid w:val="00300B65"/>
    <w:rsid w:val="0030149E"/>
    <w:rsid w:val="00303B65"/>
    <w:rsid w:val="00305379"/>
    <w:rsid w:val="003060D6"/>
    <w:rsid w:val="003115EB"/>
    <w:rsid w:val="00312C1C"/>
    <w:rsid w:val="00312CEF"/>
    <w:rsid w:val="00314A85"/>
    <w:rsid w:val="00316094"/>
    <w:rsid w:val="00316A53"/>
    <w:rsid w:val="00317BC9"/>
    <w:rsid w:val="003215BC"/>
    <w:rsid w:val="003258F0"/>
    <w:rsid w:val="00327C2F"/>
    <w:rsid w:val="003332F5"/>
    <w:rsid w:val="0034156B"/>
    <w:rsid w:val="00342E2A"/>
    <w:rsid w:val="00344B3D"/>
    <w:rsid w:val="00345428"/>
    <w:rsid w:val="00346BB6"/>
    <w:rsid w:val="003470E8"/>
    <w:rsid w:val="0034745E"/>
    <w:rsid w:val="003526DC"/>
    <w:rsid w:val="00356809"/>
    <w:rsid w:val="003569A7"/>
    <w:rsid w:val="0036185A"/>
    <w:rsid w:val="003623EF"/>
    <w:rsid w:val="00363446"/>
    <w:rsid w:val="00363763"/>
    <w:rsid w:val="00364AB0"/>
    <w:rsid w:val="00365B3E"/>
    <w:rsid w:val="003668FC"/>
    <w:rsid w:val="00372FAF"/>
    <w:rsid w:val="00374868"/>
    <w:rsid w:val="00374D3B"/>
    <w:rsid w:val="00387725"/>
    <w:rsid w:val="00390EFC"/>
    <w:rsid w:val="00391349"/>
    <w:rsid w:val="003913F7"/>
    <w:rsid w:val="003936FC"/>
    <w:rsid w:val="003938A0"/>
    <w:rsid w:val="003A1DE9"/>
    <w:rsid w:val="003A2E0B"/>
    <w:rsid w:val="003A3916"/>
    <w:rsid w:val="003A64E5"/>
    <w:rsid w:val="003A68F4"/>
    <w:rsid w:val="003B1D65"/>
    <w:rsid w:val="003B2589"/>
    <w:rsid w:val="003B2786"/>
    <w:rsid w:val="003B2FAD"/>
    <w:rsid w:val="003B388A"/>
    <w:rsid w:val="003B5775"/>
    <w:rsid w:val="003B67FB"/>
    <w:rsid w:val="003B688C"/>
    <w:rsid w:val="003B7190"/>
    <w:rsid w:val="003C0F83"/>
    <w:rsid w:val="003C3E19"/>
    <w:rsid w:val="003C69C2"/>
    <w:rsid w:val="003D01E2"/>
    <w:rsid w:val="003D2316"/>
    <w:rsid w:val="003D4CF9"/>
    <w:rsid w:val="003D6825"/>
    <w:rsid w:val="003D6B2A"/>
    <w:rsid w:val="003D7CBC"/>
    <w:rsid w:val="003E0650"/>
    <w:rsid w:val="003E4CEC"/>
    <w:rsid w:val="003E4F76"/>
    <w:rsid w:val="003E7D00"/>
    <w:rsid w:val="003E7D0D"/>
    <w:rsid w:val="003F1700"/>
    <w:rsid w:val="003F2421"/>
    <w:rsid w:val="003F3B71"/>
    <w:rsid w:val="003F3C7F"/>
    <w:rsid w:val="00400938"/>
    <w:rsid w:val="00401393"/>
    <w:rsid w:val="00406292"/>
    <w:rsid w:val="0040647F"/>
    <w:rsid w:val="00407A31"/>
    <w:rsid w:val="00407CAA"/>
    <w:rsid w:val="0041485D"/>
    <w:rsid w:val="00415C01"/>
    <w:rsid w:val="004165F6"/>
    <w:rsid w:val="00420B99"/>
    <w:rsid w:val="00420F33"/>
    <w:rsid w:val="00421359"/>
    <w:rsid w:val="00422E91"/>
    <w:rsid w:val="00423B48"/>
    <w:rsid w:val="00423F4D"/>
    <w:rsid w:val="004240D5"/>
    <w:rsid w:val="00424DD8"/>
    <w:rsid w:val="004256C2"/>
    <w:rsid w:val="004273D7"/>
    <w:rsid w:val="00435959"/>
    <w:rsid w:val="00435EE7"/>
    <w:rsid w:val="00441762"/>
    <w:rsid w:val="00442367"/>
    <w:rsid w:val="00447E84"/>
    <w:rsid w:val="00451959"/>
    <w:rsid w:val="00451BBD"/>
    <w:rsid w:val="0045251A"/>
    <w:rsid w:val="00452DCC"/>
    <w:rsid w:val="00455554"/>
    <w:rsid w:val="00456440"/>
    <w:rsid w:val="00457710"/>
    <w:rsid w:val="004613BB"/>
    <w:rsid w:val="00461435"/>
    <w:rsid w:val="00462D60"/>
    <w:rsid w:val="00463703"/>
    <w:rsid w:val="00464779"/>
    <w:rsid w:val="00464C5C"/>
    <w:rsid w:val="004656F1"/>
    <w:rsid w:val="00465AA0"/>
    <w:rsid w:val="004672D2"/>
    <w:rsid w:val="004731CC"/>
    <w:rsid w:val="00474260"/>
    <w:rsid w:val="00474C06"/>
    <w:rsid w:val="00474D31"/>
    <w:rsid w:val="004755EC"/>
    <w:rsid w:val="0047638E"/>
    <w:rsid w:val="00476946"/>
    <w:rsid w:val="00477DCF"/>
    <w:rsid w:val="00480411"/>
    <w:rsid w:val="0048046D"/>
    <w:rsid w:val="00481B61"/>
    <w:rsid w:val="0048230C"/>
    <w:rsid w:val="00482E61"/>
    <w:rsid w:val="0048352B"/>
    <w:rsid w:val="00484A72"/>
    <w:rsid w:val="004863FA"/>
    <w:rsid w:val="00486514"/>
    <w:rsid w:val="00487AD3"/>
    <w:rsid w:val="00487B4D"/>
    <w:rsid w:val="00491E10"/>
    <w:rsid w:val="00497E36"/>
    <w:rsid w:val="004A0493"/>
    <w:rsid w:val="004A06EA"/>
    <w:rsid w:val="004A0FAA"/>
    <w:rsid w:val="004A5CF6"/>
    <w:rsid w:val="004A74DD"/>
    <w:rsid w:val="004B0A67"/>
    <w:rsid w:val="004B0F65"/>
    <w:rsid w:val="004B321B"/>
    <w:rsid w:val="004B4E8F"/>
    <w:rsid w:val="004C341C"/>
    <w:rsid w:val="004C3E00"/>
    <w:rsid w:val="004C661F"/>
    <w:rsid w:val="004C6A4B"/>
    <w:rsid w:val="004D04FF"/>
    <w:rsid w:val="004D1E0F"/>
    <w:rsid w:val="004D4AA3"/>
    <w:rsid w:val="004E2429"/>
    <w:rsid w:val="004E4836"/>
    <w:rsid w:val="004E5A36"/>
    <w:rsid w:val="004F022A"/>
    <w:rsid w:val="004F2920"/>
    <w:rsid w:val="004F573E"/>
    <w:rsid w:val="004F6356"/>
    <w:rsid w:val="004F6421"/>
    <w:rsid w:val="00500E20"/>
    <w:rsid w:val="00502FEC"/>
    <w:rsid w:val="0050391B"/>
    <w:rsid w:val="00504ADE"/>
    <w:rsid w:val="005050C0"/>
    <w:rsid w:val="00505B07"/>
    <w:rsid w:val="0050734B"/>
    <w:rsid w:val="005073CE"/>
    <w:rsid w:val="005078DA"/>
    <w:rsid w:val="00510586"/>
    <w:rsid w:val="00512007"/>
    <w:rsid w:val="00514002"/>
    <w:rsid w:val="00514958"/>
    <w:rsid w:val="00515502"/>
    <w:rsid w:val="005165FA"/>
    <w:rsid w:val="00522213"/>
    <w:rsid w:val="00522F54"/>
    <w:rsid w:val="00524CED"/>
    <w:rsid w:val="005328FE"/>
    <w:rsid w:val="005349C0"/>
    <w:rsid w:val="00535CD3"/>
    <w:rsid w:val="0053646C"/>
    <w:rsid w:val="00541075"/>
    <w:rsid w:val="0054352F"/>
    <w:rsid w:val="00546C7F"/>
    <w:rsid w:val="00550B95"/>
    <w:rsid w:val="00554E5D"/>
    <w:rsid w:val="00555A6F"/>
    <w:rsid w:val="005618AB"/>
    <w:rsid w:val="005625F4"/>
    <w:rsid w:val="00564E80"/>
    <w:rsid w:val="0056589B"/>
    <w:rsid w:val="0056725D"/>
    <w:rsid w:val="00567760"/>
    <w:rsid w:val="005678DB"/>
    <w:rsid w:val="0057301D"/>
    <w:rsid w:val="005748B9"/>
    <w:rsid w:val="00574B08"/>
    <w:rsid w:val="00575688"/>
    <w:rsid w:val="005810BE"/>
    <w:rsid w:val="0058259E"/>
    <w:rsid w:val="005841DC"/>
    <w:rsid w:val="00584A54"/>
    <w:rsid w:val="00591A3B"/>
    <w:rsid w:val="00592B4D"/>
    <w:rsid w:val="00593E1C"/>
    <w:rsid w:val="00594795"/>
    <w:rsid w:val="00595732"/>
    <w:rsid w:val="005959AD"/>
    <w:rsid w:val="00597BBD"/>
    <w:rsid w:val="005A1724"/>
    <w:rsid w:val="005A4506"/>
    <w:rsid w:val="005A5256"/>
    <w:rsid w:val="005A6A6D"/>
    <w:rsid w:val="005A72FF"/>
    <w:rsid w:val="005B13EE"/>
    <w:rsid w:val="005B251F"/>
    <w:rsid w:val="005B2887"/>
    <w:rsid w:val="005B2948"/>
    <w:rsid w:val="005B35B7"/>
    <w:rsid w:val="005B423B"/>
    <w:rsid w:val="005B4A00"/>
    <w:rsid w:val="005B4E61"/>
    <w:rsid w:val="005B5137"/>
    <w:rsid w:val="005B5C91"/>
    <w:rsid w:val="005B6DC9"/>
    <w:rsid w:val="005C28B7"/>
    <w:rsid w:val="005C3D5E"/>
    <w:rsid w:val="005C41DB"/>
    <w:rsid w:val="005C57CB"/>
    <w:rsid w:val="005C665A"/>
    <w:rsid w:val="005C7336"/>
    <w:rsid w:val="005D1680"/>
    <w:rsid w:val="005D1F48"/>
    <w:rsid w:val="005D230F"/>
    <w:rsid w:val="005D2B29"/>
    <w:rsid w:val="005D452D"/>
    <w:rsid w:val="005D7F79"/>
    <w:rsid w:val="005E4A19"/>
    <w:rsid w:val="005E7C04"/>
    <w:rsid w:val="005F0AF6"/>
    <w:rsid w:val="005F105E"/>
    <w:rsid w:val="005F2632"/>
    <w:rsid w:val="005F3A9D"/>
    <w:rsid w:val="005F4766"/>
    <w:rsid w:val="00601A3F"/>
    <w:rsid w:val="0060332C"/>
    <w:rsid w:val="006057C6"/>
    <w:rsid w:val="00606C00"/>
    <w:rsid w:val="00607CEE"/>
    <w:rsid w:val="00607F1C"/>
    <w:rsid w:val="00611C17"/>
    <w:rsid w:val="00615014"/>
    <w:rsid w:val="00620428"/>
    <w:rsid w:val="00620A4E"/>
    <w:rsid w:val="006236E3"/>
    <w:rsid w:val="00624D93"/>
    <w:rsid w:val="00627973"/>
    <w:rsid w:val="00627C0B"/>
    <w:rsid w:val="006310A5"/>
    <w:rsid w:val="00631390"/>
    <w:rsid w:val="0063261A"/>
    <w:rsid w:val="00637589"/>
    <w:rsid w:val="00637B5E"/>
    <w:rsid w:val="0064037F"/>
    <w:rsid w:val="00640D01"/>
    <w:rsid w:val="00643BD4"/>
    <w:rsid w:val="00645025"/>
    <w:rsid w:val="00645901"/>
    <w:rsid w:val="006473B4"/>
    <w:rsid w:val="006476FD"/>
    <w:rsid w:val="0065152B"/>
    <w:rsid w:val="0065350A"/>
    <w:rsid w:val="0065413E"/>
    <w:rsid w:val="00654803"/>
    <w:rsid w:val="00654B57"/>
    <w:rsid w:val="006551A4"/>
    <w:rsid w:val="0065682C"/>
    <w:rsid w:val="006568D0"/>
    <w:rsid w:val="00660F45"/>
    <w:rsid w:val="00661420"/>
    <w:rsid w:val="006647B1"/>
    <w:rsid w:val="006658DF"/>
    <w:rsid w:val="00665C67"/>
    <w:rsid w:val="00667F7C"/>
    <w:rsid w:val="006716F9"/>
    <w:rsid w:val="00671B7D"/>
    <w:rsid w:val="00672BDE"/>
    <w:rsid w:val="00673ECB"/>
    <w:rsid w:val="0067491C"/>
    <w:rsid w:val="006763EC"/>
    <w:rsid w:val="006765B6"/>
    <w:rsid w:val="00680B99"/>
    <w:rsid w:val="00681084"/>
    <w:rsid w:val="00682475"/>
    <w:rsid w:val="00684B9D"/>
    <w:rsid w:val="00687C31"/>
    <w:rsid w:val="00690C5F"/>
    <w:rsid w:val="00693F56"/>
    <w:rsid w:val="00694A23"/>
    <w:rsid w:val="00694F67"/>
    <w:rsid w:val="00697936"/>
    <w:rsid w:val="006A25C2"/>
    <w:rsid w:val="006A5FED"/>
    <w:rsid w:val="006A6580"/>
    <w:rsid w:val="006B1735"/>
    <w:rsid w:val="006B19BE"/>
    <w:rsid w:val="006B1D56"/>
    <w:rsid w:val="006B1E95"/>
    <w:rsid w:val="006B26E1"/>
    <w:rsid w:val="006C1749"/>
    <w:rsid w:val="006C17D7"/>
    <w:rsid w:val="006C56C6"/>
    <w:rsid w:val="006C6C4B"/>
    <w:rsid w:val="006D299D"/>
    <w:rsid w:val="006D3F4F"/>
    <w:rsid w:val="006D46A0"/>
    <w:rsid w:val="006D5B77"/>
    <w:rsid w:val="006E26FB"/>
    <w:rsid w:val="006E2F51"/>
    <w:rsid w:val="006E5C0C"/>
    <w:rsid w:val="006E5C94"/>
    <w:rsid w:val="006F0F7B"/>
    <w:rsid w:val="006F4392"/>
    <w:rsid w:val="006F5192"/>
    <w:rsid w:val="006F5C9D"/>
    <w:rsid w:val="006F7E83"/>
    <w:rsid w:val="007050E1"/>
    <w:rsid w:val="0071011F"/>
    <w:rsid w:val="007113E7"/>
    <w:rsid w:val="00712FFC"/>
    <w:rsid w:val="00721415"/>
    <w:rsid w:val="0072212A"/>
    <w:rsid w:val="00722F6A"/>
    <w:rsid w:val="007230C9"/>
    <w:rsid w:val="0072362B"/>
    <w:rsid w:val="00725DFA"/>
    <w:rsid w:val="00740D8B"/>
    <w:rsid w:val="007432D4"/>
    <w:rsid w:val="00743358"/>
    <w:rsid w:val="007459FA"/>
    <w:rsid w:val="007469E7"/>
    <w:rsid w:val="00746D04"/>
    <w:rsid w:val="00747F72"/>
    <w:rsid w:val="007508D4"/>
    <w:rsid w:val="007527F7"/>
    <w:rsid w:val="00760EFE"/>
    <w:rsid w:val="00761CFD"/>
    <w:rsid w:val="00762A13"/>
    <w:rsid w:val="00767395"/>
    <w:rsid w:val="007706B1"/>
    <w:rsid w:val="00770955"/>
    <w:rsid w:val="0077300A"/>
    <w:rsid w:val="0077492E"/>
    <w:rsid w:val="00774E57"/>
    <w:rsid w:val="00780064"/>
    <w:rsid w:val="0078190B"/>
    <w:rsid w:val="0078369E"/>
    <w:rsid w:val="007934C9"/>
    <w:rsid w:val="007948D6"/>
    <w:rsid w:val="007A0EF3"/>
    <w:rsid w:val="007A1F5B"/>
    <w:rsid w:val="007A4B30"/>
    <w:rsid w:val="007A7600"/>
    <w:rsid w:val="007A7BC9"/>
    <w:rsid w:val="007B3406"/>
    <w:rsid w:val="007C26BB"/>
    <w:rsid w:val="007C29F8"/>
    <w:rsid w:val="007C411D"/>
    <w:rsid w:val="007D2B51"/>
    <w:rsid w:val="007D4932"/>
    <w:rsid w:val="007D7B0C"/>
    <w:rsid w:val="007E009B"/>
    <w:rsid w:val="007E0CC4"/>
    <w:rsid w:val="007E10D0"/>
    <w:rsid w:val="007E7609"/>
    <w:rsid w:val="007E7617"/>
    <w:rsid w:val="007F3DD5"/>
    <w:rsid w:val="007F43A7"/>
    <w:rsid w:val="007F489A"/>
    <w:rsid w:val="007F7E2F"/>
    <w:rsid w:val="00800812"/>
    <w:rsid w:val="00801011"/>
    <w:rsid w:val="00806E68"/>
    <w:rsid w:val="008078BB"/>
    <w:rsid w:val="008103A0"/>
    <w:rsid w:val="008106D8"/>
    <w:rsid w:val="00810D73"/>
    <w:rsid w:val="0081187F"/>
    <w:rsid w:val="00821408"/>
    <w:rsid w:val="008247CA"/>
    <w:rsid w:val="008254DE"/>
    <w:rsid w:val="00826464"/>
    <w:rsid w:val="00826A4C"/>
    <w:rsid w:val="00831ABC"/>
    <w:rsid w:val="00831E55"/>
    <w:rsid w:val="0083206B"/>
    <w:rsid w:val="00833452"/>
    <w:rsid w:val="00837E88"/>
    <w:rsid w:val="00840716"/>
    <w:rsid w:val="00840747"/>
    <w:rsid w:val="008432FC"/>
    <w:rsid w:val="00843914"/>
    <w:rsid w:val="0084391F"/>
    <w:rsid w:val="0084670C"/>
    <w:rsid w:val="00846C06"/>
    <w:rsid w:val="00846E8A"/>
    <w:rsid w:val="00851A86"/>
    <w:rsid w:val="008520F5"/>
    <w:rsid w:val="00852DF5"/>
    <w:rsid w:val="008530F3"/>
    <w:rsid w:val="008573C8"/>
    <w:rsid w:val="00857E6A"/>
    <w:rsid w:val="00861499"/>
    <w:rsid w:val="00862A34"/>
    <w:rsid w:val="0086329D"/>
    <w:rsid w:val="008649D9"/>
    <w:rsid w:val="008704CB"/>
    <w:rsid w:val="00871994"/>
    <w:rsid w:val="008732A1"/>
    <w:rsid w:val="00873633"/>
    <w:rsid w:val="00874134"/>
    <w:rsid w:val="00874821"/>
    <w:rsid w:val="008754CA"/>
    <w:rsid w:val="00875D88"/>
    <w:rsid w:val="008762F1"/>
    <w:rsid w:val="00876CD6"/>
    <w:rsid w:val="00881B21"/>
    <w:rsid w:val="008916FD"/>
    <w:rsid w:val="00894871"/>
    <w:rsid w:val="00895186"/>
    <w:rsid w:val="008A3959"/>
    <w:rsid w:val="008A72F7"/>
    <w:rsid w:val="008B0901"/>
    <w:rsid w:val="008B168D"/>
    <w:rsid w:val="008B1E56"/>
    <w:rsid w:val="008B1FBE"/>
    <w:rsid w:val="008B5112"/>
    <w:rsid w:val="008C0ACD"/>
    <w:rsid w:val="008C2963"/>
    <w:rsid w:val="008C6761"/>
    <w:rsid w:val="008C685F"/>
    <w:rsid w:val="008C6E13"/>
    <w:rsid w:val="008D08C4"/>
    <w:rsid w:val="008D16E1"/>
    <w:rsid w:val="008D1CAB"/>
    <w:rsid w:val="008D2B5A"/>
    <w:rsid w:val="008D32C1"/>
    <w:rsid w:val="008D3DDF"/>
    <w:rsid w:val="008D5592"/>
    <w:rsid w:val="008D7CD8"/>
    <w:rsid w:val="008D7FA9"/>
    <w:rsid w:val="008E2CE1"/>
    <w:rsid w:val="008E7D9A"/>
    <w:rsid w:val="008F0ED7"/>
    <w:rsid w:val="008F23F4"/>
    <w:rsid w:val="008F2B7C"/>
    <w:rsid w:val="008F3E4A"/>
    <w:rsid w:val="008F3EC3"/>
    <w:rsid w:val="008F403B"/>
    <w:rsid w:val="008F4E0D"/>
    <w:rsid w:val="008F6B46"/>
    <w:rsid w:val="008F6F2B"/>
    <w:rsid w:val="008F78B2"/>
    <w:rsid w:val="0090163E"/>
    <w:rsid w:val="00901B5F"/>
    <w:rsid w:val="00902754"/>
    <w:rsid w:val="00907465"/>
    <w:rsid w:val="00911425"/>
    <w:rsid w:val="0091290D"/>
    <w:rsid w:val="0091294F"/>
    <w:rsid w:val="009138A3"/>
    <w:rsid w:val="00916BAD"/>
    <w:rsid w:val="009173D6"/>
    <w:rsid w:val="00920451"/>
    <w:rsid w:val="00920F95"/>
    <w:rsid w:val="00922049"/>
    <w:rsid w:val="009265E2"/>
    <w:rsid w:val="009329C8"/>
    <w:rsid w:val="00935226"/>
    <w:rsid w:val="009371CB"/>
    <w:rsid w:val="0094452A"/>
    <w:rsid w:val="00944FDB"/>
    <w:rsid w:val="009525DF"/>
    <w:rsid w:val="009547CB"/>
    <w:rsid w:val="00955AEE"/>
    <w:rsid w:val="009602FE"/>
    <w:rsid w:val="00962B8D"/>
    <w:rsid w:val="009711BF"/>
    <w:rsid w:val="00972667"/>
    <w:rsid w:val="009733F6"/>
    <w:rsid w:val="009741A6"/>
    <w:rsid w:val="00975E1A"/>
    <w:rsid w:val="0097652F"/>
    <w:rsid w:val="00990DE1"/>
    <w:rsid w:val="009912B1"/>
    <w:rsid w:val="00991FBB"/>
    <w:rsid w:val="0099282E"/>
    <w:rsid w:val="0099480F"/>
    <w:rsid w:val="009951D3"/>
    <w:rsid w:val="00995926"/>
    <w:rsid w:val="009963EE"/>
    <w:rsid w:val="0099793E"/>
    <w:rsid w:val="00997B33"/>
    <w:rsid w:val="009A39A3"/>
    <w:rsid w:val="009A6F8E"/>
    <w:rsid w:val="009B06F2"/>
    <w:rsid w:val="009B0C13"/>
    <w:rsid w:val="009B5939"/>
    <w:rsid w:val="009B6973"/>
    <w:rsid w:val="009B7576"/>
    <w:rsid w:val="009C05CE"/>
    <w:rsid w:val="009C13ED"/>
    <w:rsid w:val="009C1800"/>
    <w:rsid w:val="009C41D5"/>
    <w:rsid w:val="009C4B51"/>
    <w:rsid w:val="009C7078"/>
    <w:rsid w:val="009D151D"/>
    <w:rsid w:val="009D20B9"/>
    <w:rsid w:val="009D3A49"/>
    <w:rsid w:val="009D4868"/>
    <w:rsid w:val="009D5F1C"/>
    <w:rsid w:val="009D669B"/>
    <w:rsid w:val="009E0BD6"/>
    <w:rsid w:val="009E2809"/>
    <w:rsid w:val="009E336E"/>
    <w:rsid w:val="009E37B4"/>
    <w:rsid w:val="009E4CDD"/>
    <w:rsid w:val="009F0E6D"/>
    <w:rsid w:val="009F2BDB"/>
    <w:rsid w:val="009F358C"/>
    <w:rsid w:val="00A03F5A"/>
    <w:rsid w:val="00A04874"/>
    <w:rsid w:val="00A06E72"/>
    <w:rsid w:val="00A07D8A"/>
    <w:rsid w:val="00A12347"/>
    <w:rsid w:val="00A1244A"/>
    <w:rsid w:val="00A12694"/>
    <w:rsid w:val="00A129FF"/>
    <w:rsid w:val="00A15487"/>
    <w:rsid w:val="00A16B5F"/>
    <w:rsid w:val="00A16D56"/>
    <w:rsid w:val="00A21DAD"/>
    <w:rsid w:val="00A234A5"/>
    <w:rsid w:val="00A23FA3"/>
    <w:rsid w:val="00A25622"/>
    <w:rsid w:val="00A31FD9"/>
    <w:rsid w:val="00A32673"/>
    <w:rsid w:val="00A37AED"/>
    <w:rsid w:val="00A4119C"/>
    <w:rsid w:val="00A41796"/>
    <w:rsid w:val="00A420E3"/>
    <w:rsid w:val="00A44A1C"/>
    <w:rsid w:val="00A45203"/>
    <w:rsid w:val="00A452AA"/>
    <w:rsid w:val="00A511B5"/>
    <w:rsid w:val="00A52D60"/>
    <w:rsid w:val="00A5305E"/>
    <w:rsid w:val="00A5549A"/>
    <w:rsid w:val="00A648F4"/>
    <w:rsid w:val="00A660B5"/>
    <w:rsid w:val="00A70912"/>
    <w:rsid w:val="00A70CD7"/>
    <w:rsid w:val="00A72393"/>
    <w:rsid w:val="00A72DF7"/>
    <w:rsid w:val="00A73D59"/>
    <w:rsid w:val="00A8080D"/>
    <w:rsid w:val="00A81344"/>
    <w:rsid w:val="00A85DAB"/>
    <w:rsid w:val="00A87ACD"/>
    <w:rsid w:val="00A87DEA"/>
    <w:rsid w:val="00A91654"/>
    <w:rsid w:val="00A94BDA"/>
    <w:rsid w:val="00A94D83"/>
    <w:rsid w:val="00AA0B19"/>
    <w:rsid w:val="00AA29D7"/>
    <w:rsid w:val="00AA3201"/>
    <w:rsid w:val="00AA3EF3"/>
    <w:rsid w:val="00AA4942"/>
    <w:rsid w:val="00AA7F8C"/>
    <w:rsid w:val="00AB0526"/>
    <w:rsid w:val="00AB2DC6"/>
    <w:rsid w:val="00AB4232"/>
    <w:rsid w:val="00AC1385"/>
    <w:rsid w:val="00AC7F3D"/>
    <w:rsid w:val="00AD481B"/>
    <w:rsid w:val="00AE2827"/>
    <w:rsid w:val="00AE2B13"/>
    <w:rsid w:val="00AE342A"/>
    <w:rsid w:val="00AF448A"/>
    <w:rsid w:val="00B00DA8"/>
    <w:rsid w:val="00B04264"/>
    <w:rsid w:val="00B053A3"/>
    <w:rsid w:val="00B062AC"/>
    <w:rsid w:val="00B11D28"/>
    <w:rsid w:val="00B159C8"/>
    <w:rsid w:val="00B15F56"/>
    <w:rsid w:val="00B24A83"/>
    <w:rsid w:val="00B26672"/>
    <w:rsid w:val="00B31A2F"/>
    <w:rsid w:val="00B31BC1"/>
    <w:rsid w:val="00B34651"/>
    <w:rsid w:val="00B34AF8"/>
    <w:rsid w:val="00B36408"/>
    <w:rsid w:val="00B40947"/>
    <w:rsid w:val="00B40FC5"/>
    <w:rsid w:val="00B437D2"/>
    <w:rsid w:val="00B44AFD"/>
    <w:rsid w:val="00B45385"/>
    <w:rsid w:val="00B479B1"/>
    <w:rsid w:val="00B530A1"/>
    <w:rsid w:val="00B544AB"/>
    <w:rsid w:val="00B55E51"/>
    <w:rsid w:val="00B60AD8"/>
    <w:rsid w:val="00B725F6"/>
    <w:rsid w:val="00B73CC1"/>
    <w:rsid w:val="00B76AD2"/>
    <w:rsid w:val="00B7791C"/>
    <w:rsid w:val="00B80DB5"/>
    <w:rsid w:val="00B83141"/>
    <w:rsid w:val="00B848FB"/>
    <w:rsid w:val="00B86D75"/>
    <w:rsid w:val="00B87D91"/>
    <w:rsid w:val="00B92287"/>
    <w:rsid w:val="00B92892"/>
    <w:rsid w:val="00B94AE6"/>
    <w:rsid w:val="00B953D3"/>
    <w:rsid w:val="00BA45FF"/>
    <w:rsid w:val="00BB0EF0"/>
    <w:rsid w:val="00BB4984"/>
    <w:rsid w:val="00BC17A2"/>
    <w:rsid w:val="00BC220B"/>
    <w:rsid w:val="00BC24A6"/>
    <w:rsid w:val="00BC3C65"/>
    <w:rsid w:val="00BD00C1"/>
    <w:rsid w:val="00BD1CB9"/>
    <w:rsid w:val="00BD26DD"/>
    <w:rsid w:val="00BD4C58"/>
    <w:rsid w:val="00BD6F93"/>
    <w:rsid w:val="00BE0CA0"/>
    <w:rsid w:val="00BE5250"/>
    <w:rsid w:val="00BE5877"/>
    <w:rsid w:val="00BF1643"/>
    <w:rsid w:val="00BF6FA0"/>
    <w:rsid w:val="00C00EC4"/>
    <w:rsid w:val="00C014DE"/>
    <w:rsid w:val="00C0411D"/>
    <w:rsid w:val="00C06D74"/>
    <w:rsid w:val="00C07530"/>
    <w:rsid w:val="00C11610"/>
    <w:rsid w:val="00C13715"/>
    <w:rsid w:val="00C241CE"/>
    <w:rsid w:val="00C26BDF"/>
    <w:rsid w:val="00C27EF9"/>
    <w:rsid w:val="00C32E48"/>
    <w:rsid w:val="00C34B5F"/>
    <w:rsid w:val="00C36A3C"/>
    <w:rsid w:val="00C36A3D"/>
    <w:rsid w:val="00C44810"/>
    <w:rsid w:val="00C44C26"/>
    <w:rsid w:val="00C451F7"/>
    <w:rsid w:val="00C45681"/>
    <w:rsid w:val="00C47C17"/>
    <w:rsid w:val="00C505AF"/>
    <w:rsid w:val="00C524B3"/>
    <w:rsid w:val="00C530F3"/>
    <w:rsid w:val="00C55335"/>
    <w:rsid w:val="00C57359"/>
    <w:rsid w:val="00C601DC"/>
    <w:rsid w:val="00C61290"/>
    <w:rsid w:val="00C65B43"/>
    <w:rsid w:val="00C65D34"/>
    <w:rsid w:val="00C66124"/>
    <w:rsid w:val="00C66BFC"/>
    <w:rsid w:val="00C67547"/>
    <w:rsid w:val="00C70C88"/>
    <w:rsid w:val="00C73676"/>
    <w:rsid w:val="00C7579B"/>
    <w:rsid w:val="00C75F94"/>
    <w:rsid w:val="00C76C5E"/>
    <w:rsid w:val="00C81D68"/>
    <w:rsid w:val="00C825A9"/>
    <w:rsid w:val="00C8536D"/>
    <w:rsid w:val="00C86246"/>
    <w:rsid w:val="00C87154"/>
    <w:rsid w:val="00C97713"/>
    <w:rsid w:val="00CA01F4"/>
    <w:rsid w:val="00CA2267"/>
    <w:rsid w:val="00CA510B"/>
    <w:rsid w:val="00CA77B4"/>
    <w:rsid w:val="00CA7F79"/>
    <w:rsid w:val="00CB009D"/>
    <w:rsid w:val="00CB217B"/>
    <w:rsid w:val="00CB68CA"/>
    <w:rsid w:val="00CC2550"/>
    <w:rsid w:val="00CC2EA4"/>
    <w:rsid w:val="00CC2FEA"/>
    <w:rsid w:val="00CC4848"/>
    <w:rsid w:val="00CC6046"/>
    <w:rsid w:val="00CC77E7"/>
    <w:rsid w:val="00CD0DA5"/>
    <w:rsid w:val="00CD39A4"/>
    <w:rsid w:val="00CD573C"/>
    <w:rsid w:val="00CD68D1"/>
    <w:rsid w:val="00CD6DFE"/>
    <w:rsid w:val="00CE0106"/>
    <w:rsid w:val="00CE0BFE"/>
    <w:rsid w:val="00CE6563"/>
    <w:rsid w:val="00CF5C2A"/>
    <w:rsid w:val="00CF6E14"/>
    <w:rsid w:val="00D01294"/>
    <w:rsid w:val="00D05E90"/>
    <w:rsid w:val="00D10E3B"/>
    <w:rsid w:val="00D11D32"/>
    <w:rsid w:val="00D1503E"/>
    <w:rsid w:val="00D15245"/>
    <w:rsid w:val="00D158C4"/>
    <w:rsid w:val="00D16F9E"/>
    <w:rsid w:val="00D21106"/>
    <w:rsid w:val="00D21423"/>
    <w:rsid w:val="00D22C1F"/>
    <w:rsid w:val="00D23794"/>
    <w:rsid w:val="00D23904"/>
    <w:rsid w:val="00D23FAB"/>
    <w:rsid w:val="00D275A7"/>
    <w:rsid w:val="00D318F7"/>
    <w:rsid w:val="00D3605B"/>
    <w:rsid w:val="00D37185"/>
    <w:rsid w:val="00D41CBD"/>
    <w:rsid w:val="00D42E42"/>
    <w:rsid w:val="00D44170"/>
    <w:rsid w:val="00D46AB3"/>
    <w:rsid w:val="00D54E3E"/>
    <w:rsid w:val="00D56807"/>
    <w:rsid w:val="00D5725D"/>
    <w:rsid w:val="00D6599A"/>
    <w:rsid w:val="00D65A20"/>
    <w:rsid w:val="00D67046"/>
    <w:rsid w:val="00D71117"/>
    <w:rsid w:val="00D77C99"/>
    <w:rsid w:val="00D80B24"/>
    <w:rsid w:val="00D82806"/>
    <w:rsid w:val="00D82A36"/>
    <w:rsid w:val="00D856C0"/>
    <w:rsid w:val="00D865CA"/>
    <w:rsid w:val="00D9020F"/>
    <w:rsid w:val="00D905BB"/>
    <w:rsid w:val="00D91E38"/>
    <w:rsid w:val="00D92AC4"/>
    <w:rsid w:val="00D930A1"/>
    <w:rsid w:val="00D97626"/>
    <w:rsid w:val="00D97F6D"/>
    <w:rsid w:val="00DA06B2"/>
    <w:rsid w:val="00DA0994"/>
    <w:rsid w:val="00DA6529"/>
    <w:rsid w:val="00DA732B"/>
    <w:rsid w:val="00DA7B1D"/>
    <w:rsid w:val="00DB1271"/>
    <w:rsid w:val="00DB44A0"/>
    <w:rsid w:val="00DB5784"/>
    <w:rsid w:val="00DB6071"/>
    <w:rsid w:val="00DB64E2"/>
    <w:rsid w:val="00DB6BF0"/>
    <w:rsid w:val="00DB6C20"/>
    <w:rsid w:val="00DB7448"/>
    <w:rsid w:val="00DC3299"/>
    <w:rsid w:val="00DC330C"/>
    <w:rsid w:val="00DC4B7E"/>
    <w:rsid w:val="00DC4DE0"/>
    <w:rsid w:val="00DC63B7"/>
    <w:rsid w:val="00DC73CD"/>
    <w:rsid w:val="00DD0A27"/>
    <w:rsid w:val="00DD0CBB"/>
    <w:rsid w:val="00DD7EC3"/>
    <w:rsid w:val="00DE3DF5"/>
    <w:rsid w:val="00DE4FD7"/>
    <w:rsid w:val="00DE5329"/>
    <w:rsid w:val="00DE5DB9"/>
    <w:rsid w:val="00DE7FB9"/>
    <w:rsid w:val="00DF1DF1"/>
    <w:rsid w:val="00DF2135"/>
    <w:rsid w:val="00E11ACC"/>
    <w:rsid w:val="00E11D12"/>
    <w:rsid w:val="00E161F7"/>
    <w:rsid w:val="00E16414"/>
    <w:rsid w:val="00E171CE"/>
    <w:rsid w:val="00E257A9"/>
    <w:rsid w:val="00E26CC5"/>
    <w:rsid w:val="00E27A19"/>
    <w:rsid w:val="00E31976"/>
    <w:rsid w:val="00E332BF"/>
    <w:rsid w:val="00E33478"/>
    <w:rsid w:val="00E336ED"/>
    <w:rsid w:val="00E33F4C"/>
    <w:rsid w:val="00E344F2"/>
    <w:rsid w:val="00E35BD6"/>
    <w:rsid w:val="00E37B65"/>
    <w:rsid w:val="00E37C91"/>
    <w:rsid w:val="00E37E7D"/>
    <w:rsid w:val="00E510F3"/>
    <w:rsid w:val="00E52229"/>
    <w:rsid w:val="00E5472C"/>
    <w:rsid w:val="00E54EC2"/>
    <w:rsid w:val="00E60A36"/>
    <w:rsid w:val="00E6127B"/>
    <w:rsid w:val="00E61978"/>
    <w:rsid w:val="00E61FCC"/>
    <w:rsid w:val="00E63A58"/>
    <w:rsid w:val="00E643BE"/>
    <w:rsid w:val="00E6469F"/>
    <w:rsid w:val="00E64C77"/>
    <w:rsid w:val="00E64D52"/>
    <w:rsid w:val="00E65960"/>
    <w:rsid w:val="00E70697"/>
    <w:rsid w:val="00E76036"/>
    <w:rsid w:val="00E76F1F"/>
    <w:rsid w:val="00E772D5"/>
    <w:rsid w:val="00E80CE0"/>
    <w:rsid w:val="00E87D6C"/>
    <w:rsid w:val="00E97743"/>
    <w:rsid w:val="00EA08F2"/>
    <w:rsid w:val="00EA23A9"/>
    <w:rsid w:val="00EA3663"/>
    <w:rsid w:val="00EA6EB2"/>
    <w:rsid w:val="00EA7CE9"/>
    <w:rsid w:val="00EB1920"/>
    <w:rsid w:val="00EB5C92"/>
    <w:rsid w:val="00EC0D6A"/>
    <w:rsid w:val="00EC1E89"/>
    <w:rsid w:val="00EC2D42"/>
    <w:rsid w:val="00EC3FCD"/>
    <w:rsid w:val="00EC7261"/>
    <w:rsid w:val="00ED2EAC"/>
    <w:rsid w:val="00ED3399"/>
    <w:rsid w:val="00ED69AE"/>
    <w:rsid w:val="00ED6BDE"/>
    <w:rsid w:val="00EE25B5"/>
    <w:rsid w:val="00EE2693"/>
    <w:rsid w:val="00EE30B6"/>
    <w:rsid w:val="00EE4E27"/>
    <w:rsid w:val="00EE7728"/>
    <w:rsid w:val="00EF2772"/>
    <w:rsid w:val="00EF3FEE"/>
    <w:rsid w:val="00EF6ED9"/>
    <w:rsid w:val="00EF790B"/>
    <w:rsid w:val="00F0420A"/>
    <w:rsid w:val="00F0723D"/>
    <w:rsid w:val="00F106BF"/>
    <w:rsid w:val="00F10D25"/>
    <w:rsid w:val="00F11167"/>
    <w:rsid w:val="00F14902"/>
    <w:rsid w:val="00F213C6"/>
    <w:rsid w:val="00F21EC1"/>
    <w:rsid w:val="00F22C93"/>
    <w:rsid w:val="00F2455E"/>
    <w:rsid w:val="00F25488"/>
    <w:rsid w:val="00F26268"/>
    <w:rsid w:val="00F27927"/>
    <w:rsid w:val="00F30434"/>
    <w:rsid w:val="00F31703"/>
    <w:rsid w:val="00F350F2"/>
    <w:rsid w:val="00F350F8"/>
    <w:rsid w:val="00F352AE"/>
    <w:rsid w:val="00F37B03"/>
    <w:rsid w:val="00F37E35"/>
    <w:rsid w:val="00F511FB"/>
    <w:rsid w:val="00F54C2D"/>
    <w:rsid w:val="00F563C8"/>
    <w:rsid w:val="00F56BFE"/>
    <w:rsid w:val="00F578C2"/>
    <w:rsid w:val="00F63892"/>
    <w:rsid w:val="00F64D8E"/>
    <w:rsid w:val="00F65A75"/>
    <w:rsid w:val="00F67A1D"/>
    <w:rsid w:val="00F71B55"/>
    <w:rsid w:val="00F7218A"/>
    <w:rsid w:val="00F74FD0"/>
    <w:rsid w:val="00F75E44"/>
    <w:rsid w:val="00F76281"/>
    <w:rsid w:val="00F767E4"/>
    <w:rsid w:val="00F8026C"/>
    <w:rsid w:val="00F810DC"/>
    <w:rsid w:val="00F81973"/>
    <w:rsid w:val="00F81EF5"/>
    <w:rsid w:val="00F829D5"/>
    <w:rsid w:val="00F82F6C"/>
    <w:rsid w:val="00F832FA"/>
    <w:rsid w:val="00F83B9C"/>
    <w:rsid w:val="00F83F3E"/>
    <w:rsid w:val="00F8401C"/>
    <w:rsid w:val="00F9063B"/>
    <w:rsid w:val="00F90BFE"/>
    <w:rsid w:val="00F928AF"/>
    <w:rsid w:val="00F9531C"/>
    <w:rsid w:val="00F95F1F"/>
    <w:rsid w:val="00F97674"/>
    <w:rsid w:val="00F979BA"/>
    <w:rsid w:val="00FA1251"/>
    <w:rsid w:val="00FA1B04"/>
    <w:rsid w:val="00FA316C"/>
    <w:rsid w:val="00FB07AA"/>
    <w:rsid w:val="00FB08E7"/>
    <w:rsid w:val="00FB2FF9"/>
    <w:rsid w:val="00FB3268"/>
    <w:rsid w:val="00FB67CE"/>
    <w:rsid w:val="00FB77C0"/>
    <w:rsid w:val="00FB7BE9"/>
    <w:rsid w:val="00FC7984"/>
    <w:rsid w:val="00FD3203"/>
    <w:rsid w:val="00FD38D4"/>
    <w:rsid w:val="00FD7E7D"/>
    <w:rsid w:val="00FE03D7"/>
    <w:rsid w:val="00FE289D"/>
    <w:rsid w:val="00FE28CC"/>
    <w:rsid w:val="00FE2A78"/>
    <w:rsid w:val="00FE3461"/>
    <w:rsid w:val="00FE39A5"/>
    <w:rsid w:val="00FE4A99"/>
    <w:rsid w:val="00FE4C98"/>
    <w:rsid w:val="00FF3581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661DC3"/>
  <w15:chartTrackingRefBased/>
  <w15:docId w15:val="{77965C90-CECA-4617-A572-0BE511CDD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tabs>
        <w:tab w:val="left" w:pos="540"/>
      </w:tabs>
      <w:jc w:val="both"/>
      <w:outlineLvl w:val="0"/>
    </w:pPr>
    <w:rPr>
      <w:rFonts w:ascii="Arial" w:hAnsi="Arial" w:cs="Arial"/>
      <w:b/>
      <w:szCs w:val="18"/>
    </w:rPr>
  </w:style>
  <w:style w:type="paragraph" w:styleId="Ttulo2">
    <w:name w:val="heading 2"/>
    <w:basedOn w:val="Normal"/>
    <w:next w:val="Normal"/>
    <w:qFormat/>
    <w:pPr>
      <w:keepNext/>
      <w:ind w:right="51"/>
      <w:jc w:val="both"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Pr>
      <w:rFonts w:cs="Times New Roman"/>
      <w:sz w:val="16"/>
      <w:szCs w:val="16"/>
    </w:rPr>
  </w:style>
  <w:style w:type="paragraph" w:styleId="Textocomentario">
    <w:name w:val="annotation text"/>
    <w:basedOn w:val="Normal"/>
    <w:semiHidden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notapie">
    <w:name w:val="footnote text"/>
    <w:basedOn w:val="Normal"/>
    <w:semiHidden/>
    <w:rPr>
      <w:sz w:val="20"/>
      <w:szCs w:val="20"/>
      <w:lang w:val="es-CO" w:eastAsia="es-CO"/>
    </w:rPr>
  </w:style>
  <w:style w:type="character" w:styleId="Refdenotaalpie">
    <w:name w:val="footnote reference"/>
    <w:semiHidden/>
    <w:rPr>
      <w:rFonts w:cs="Times New Roman"/>
      <w:vertAlign w:val="superscript"/>
    </w:rPr>
  </w:style>
  <w:style w:type="paragraph" w:styleId="Textoindependiente2">
    <w:name w:val="Body Text 2"/>
    <w:basedOn w:val="Normal"/>
    <w:link w:val="Textoindependiente2Car"/>
    <w:pPr>
      <w:jc w:val="both"/>
    </w:pPr>
    <w:rPr>
      <w:rFonts w:ascii="Arial" w:hAnsi="Arial"/>
      <w:sz w:val="18"/>
      <w:szCs w:val="20"/>
      <w:lang w:eastAsia="es-CO"/>
    </w:rPr>
  </w:style>
  <w:style w:type="paragraph" w:styleId="Textoindependiente3">
    <w:name w:val="Body Text 3"/>
    <w:basedOn w:val="Normal"/>
    <w:pPr>
      <w:spacing w:after="120"/>
    </w:pPr>
    <w:rPr>
      <w:sz w:val="16"/>
      <w:szCs w:val="16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rFonts w:ascii="AvantGarde Bk BT" w:hAnsi="AvantGarde Bk BT"/>
      <w:sz w:val="28"/>
      <w:szCs w:val="20"/>
      <w:lang w:val="es-MX"/>
    </w:rPr>
  </w:style>
  <w:style w:type="character" w:styleId="Nmerodepgina">
    <w:name w:val="page number"/>
    <w:rPr>
      <w:rFonts w:cs="Times New Roman"/>
    </w:rPr>
  </w:style>
  <w:style w:type="paragraph" w:customStyle="1" w:styleId="BodyText21">
    <w:name w:val="Body Text 21"/>
    <w:basedOn w:val="Normal"/>
    <w:pPr>
      <w:tabs>
        <w:tab w:val="left" w:pos="-720"/>
      </w:tabs>
      <w:jc w:val="both"/>
    </w:pPr>
    <w:rPr>
      <w:rFonts w:ascii="Arial" w:hAnsi="Arial"/>
      <w:spacing w:val="20"/>
      <w:sz w:val="16"/>
      <w:szCs w:val="20"/>
      <w:lang w:val="es-CO" w:eastAsia="es-CO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ipervnculo">
    <w:name w:val="Hyperlink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pPr>
      <w:spacing w:before="100" w:beforeAutospacing="1" w:after="100" w:afterAutospacing="1"/>
    </w:pPr>
  </w:style>
  <w:style w:type="character" w:styleId="Hipervnculovisitado">
    <w:name w:val="FollowedHyperlink"/>
    <w:rPr>
      <w:rFonts w:cs="Times New Roman"/>
      <w:color w:val="800080"/>
      <w:u w:val="single"/>
    </w:rPr>
  </w:style>
  <w:style w:type="paragraph" w:styleId="Sangradetextonormal">
    <w:name w:val="Body Text Indent"/>
    <w:basedOn w:val="Normal"/>
    <w:link w:val="SangradetextonormalCar"/>
    <w:pPr>
      <w:tabs>
        <w:tab w:val="left" w:pos="720"/>
      </w:tabs>
      <w:ind w:left="720" w:hanging="360"/>
      <w:jc w:val="both"/>
    </w:pPr>
    <w:rPr>
      <w:rFonts w:ascii="Arial" w:hAnsi="Arial" w:cs="Arial"/>
      <w:szCs w:val="18"/>
    </w:rPr>
  </w:style>
  <w:style w:type="paragraph" w:styleId="Sangra2detindependiente">
    <w:name w:val="Body Text Indent 2"/>
    <w:basedOn w:val="Normal"/>
    <w:pPr>
      <w:ind w:left="360"/>
      <w:jc w:val="both"/>
    </w:pPr>
    <w:rPr>
      <w:rFonts w:ascii="Arial" w:hAnsi="Arial" w:cs="Arial"/>
      <w:szCs w:val="18"/>
    </w:rPr>
  </w:style>
  <w:style w:type="paragraph" w:styleId="Sangra3detindependiente">
    <w:name w:val="Body Text Indent 3"/>
    <w:basedOn w:val="Normal"/>
    <w:pPr>
      <w:ind w:left="360"/>
      <w:jc w:val="both"/>
    </w:pPr>
    <w:rPr>
      <w:rFonts w:cs="Arial"/>
      <w:color w:val="0000FF"/>
      <w:sz w:val="18"/>
      <w:szCs w:val="1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independiente">
    <w:name w:val="Body Text"/>
    <w:basedOn w:val="Normal"/>
    <w:link w:val="TextoindependienteCar"/>
    <w:pPr>
      <w:jc w:val="both"/>
    </w:pPr>
    <w:rPr>
      <w:rFonts w:ascii="Arial" w:hAnsi="Arial" w:cs="Arial"/>
      <w:szCs w:val="18"/>
    </w:r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240"/>
    </w:pPr>
  </w:style>
  <w:style w:type="paragraph" w:customStyle="1" w:styleId="Titulo">
    <w:name w:val="Titulo"/>
    <w:basedOn w:val="Textoindependiente2"/>
    <w:rPr>
      <w:rFonts w:cs="Arial"/>
      <w:b/>
      <w:bCs/>
      <w:sz w:val="24"/>
      <w:szCs w:val="24"/>
      <w:lang w:eastAsia="es-ES"/>
    </w:rPr>
  </w:style>
  <w:style w:type="paragraph" w:customStyle="1" w:styleId="Titulo3">
    <w:name w:val="Titulo 3"/>
    <w:basedOn w:val="Titulo"/>
  </w:style>
  <w:style w:type="paragraph" w:customStyle="1" w:styleId="Titulo30">
    <w:name w:val="Tiìtulo 3"/>
    <w:basedOn w:val="Titulo3"/>
  </w:style>
  <w:style w:type="paragraph" w:customStyle="1" w:styleId="Titulo2">
    <w:name w:val="Titulo 2"/>
    <w:basedOn w:val="Titulo"/>
  </w:style>
  <w:style w:type="paragraph" w:customStyle="1" w:styleId="Titulo4">
    <w:name w:val="Titulo 4"/>
    <w:basedOn w:val="Titulo3"/>
  </w:style>
  <w:style w:type="character" w:customStyle="1" w:styleId="CarCar">
    <w:name w:val="Car Car"/>
    <w:rPr>
      <w:rFonts w:ascii="Arial" w:hAnsi="Arial"/>
      <w:sz w:val="18"/>
      <w:lang w:val="es-ES" w:eastAsia="es-CO" w:bidi="ar-SA"/>
    </w:rPr>
  </w:style>
  <w:style w:type="character" w:customStyle="1" w:styleId="TituloCar">
    <w:name w:val="Titulo Car"/>
    <w:rPr>
      <w:rFonts w:ascii="Arial" w:hAnsi="Arial" w:cs="Arial"/>
      <w:b/>
      <w:bCs/>
      <w:sz w:val="24"/>
      <w:szCs w:val="24"/>
      <w:lang w:val="es-ES" w:eastAsia="es-ES" w:bidi="ar-SA"/>
    </w:rPr>
  </w:style>
  <w:style w:type="character" w:customStyle="1" w:styleId="Titulo3Car">
    <w:name w:val="Titulo 3 Car"/>
    <w:basedOn w:val="TituloCar"/>
    <w:rPr>
      <w:rFonts w:ascii="Arial" w:hAnsi="Arial" w:cs="Arial"/>
      <w:b/>
      <w:bCs/>
      <w:sz w:val="24"/>
      <w:szCs w:val="24"/>
      <w:lang w:val="es-ES" w:eastAsia="es-ES" w:bidi="ar-SA"/>
    </w:rPr>
  </w:style>
  <w:style w:type="paragraph" w:styleId="Textonotaalfinal">
    <w:name w:val="endnote text"/>
    <w:basedOn w:val="Normal"/>
    <w:semiHidden/>
    <w:rPr>
      <w:sz w:val="20"/>
      <w:szCs w:val="20"/>
    </w:rPr>
  </w:style>
  <w:style w:type="character" w:styleId="Refdenotaalfinal">
    <w:name w:val="endnote reference"/>
    <w:semiHidden/>
    <w:rPr>
      <w:vertAlign w:val="superscript"/>
    </w:rPr>
  </w:style>
  <w:style w:type="paragraph" w:styleId="Prrafodelista">
    <w:name w:val="List Paragraph"/>
    <w:basedOn w:val="Normal"/>
    <w:qFormat/>
    <w:pPr>
      <w:ind w:left="708"/>
    </w:pPr>
  </w:style>
  <w:style w:type="character" w:customStyle="1" w:styleId="SangradetextonormalCar">
    <w:name w:val="Sangría de texto normal Car"/>
    <w:link w:val="Sangradetextonormal"/>
    <w:rsid w:val="00846C06"/>
    <w:rPr>
      <w:rFonts w:ascii="Arial" w:hAnsi="Arial" w:cs="Arial"/>
      <w:sz w:val="24"/>
      <w:szCs w:val="18"/>
      <w:lang w:val="es-ES" w:eastAsia="es-ES"/>
    </w:rPr>
  </w:style>
  <w:style w:type="character" w:customStyle="1" w:styleId="Textoindependiente2Car">
    <w:name w:val="Texto independiente 2 Car"/>
    <w:link w:val="Textoindependiente2"/>
    <w:rsid w:val="00846C06"/>
    <w:rPr>
      <w:rFonts w:ascii="Arial" w:hAnsi="Arial"/>
      <w:sz w:val="18"/>
      <w:lang w:val="es-ES"/>
    </w:rPr>
  </w:style>
  <w:style w:type="character" w:customStyle="1" w:styleId="TextoindependienteCar">
    <w:name w:val="Texto independiente Car"/>
    <w:link w:val="Textoindependiente"/>
    <w:rsid w:val="00541075"/>
    <w:rPr>
      <w:rFonts w:ascii="Arial" w:hAnsi="Arial" w:cs="Arial"/>
      <w:sz w:val="24"/>
      <w:szCs w:val="18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5B2948"/>
    <w:rPr>
      <w:color w:val="808080"/>
    </w:rPr>
  </w:style>
  <w:style w:type="paragraph" w:styleId="Revisin">
    <w:name w:val="Revision"/>
    <w:hidden/>
    <w:uiPriority w:val="99"/>
    <w:semiHidden/>
    <w:rsid w:val="009E37B4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66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8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1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4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5774FEABD2EC4D837EFE231CB4A821" ma:contentTypeVersion="13" ma:contentTypeDescription="Create a new document." ma:contentTypeScope="" ma:versionID="4d297f54423cce130c416e8e77df392a">
  <xsd:schema xmlns:xsd="http://www.w3.org/2001/XMLSchema" xmlns:xs="http://www.w3.org/2001/XMLSchema" xmlns:p="http://schemas.microsoft.com/office/2006/metadata/properties" xmlns:ns3="09f3234f-540a-47d9-9911-831b2befbdf1" xmlns:ns4="4b7b0785-c4d7-436d-b897-38901db80b41" targetNamespace="http://schemas.microsoft.com/office/2006/metadata/properties" ma:root="true" ma:fieldsID="db0cd07da2b67890d60f9a9d7f9c98ce" ns3:_="" ns4:_="">
    <xsd:import namespace="09f3234f-540a-47d9-9911-831b2befbdf1"/>
    <xsd:import namespace="4b7b0785-c4d7-436d-b897-38901db80b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f3234f-540a-47d9-9911-831b2befbd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b0785-c4d7-436d-b897-38901db80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FC1DFB-C730-417C-9429-65BCE61920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8FD9A-40A7-469F-805C-8F51FC0BAB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56A165-0AFE-4658-9BC4-C45E0AAC71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7F9938-7994-48F7-B080-C8D36D79F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f3234f-540a-47d9-9911-831b2befbdf1"/>
    <ds:schemaRef ds:uri="4b7b0785-c4d7-436d-b897-38901db80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1099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REGLAS RELATIVAS A LA GESTION DEL</vt:lpstr>
    </vt:vector>
  </TitlesOfParts>
  <Company>Superintedencia Bancaria de Colombia</Company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REGLAS RELATIVAS A LA GESTION DEL</dc:title>
  <dc:subject/>
  <dc:creator>caortiz</dc:creator>
  <cp:keywords/>
  <dc:description/>
  <cp:lastModifiedBy>Gabriel Armando Ospina Garcia</cp:lastModifiedBy>
  <cp:revision>7</cp:revision>
  <cp:lastPrinted>2021-10-07T14:05:00Z</cp:lastPrinted>
  <dcterms:created xsi:type="dcterms:W3CDTF">2021-10-29T22:35:00Z</dcterms:created>
  <dcterms:modified xsi:type="dcterms:W3CDTF">2021-11-02T22:17:00Z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0x010100C45774FEABD2EC4D837EFE231CB4A821</vt:lpwstr>
  </property>
</Properties>
</file>