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846"/>
        <w:gridCol w:w="7500"/>
        <w:gridCol w:w="767"/>
      </w:tblGrid>
      <w:tr w:rsidR="00A3501B" w:rsidRPr="002732DD" w14:paraId="0F522EB4" w14:textId="77777777" w:rsidTr="00BB366C">
        <w:trPr>
          <w:trHeight w:val="300"/>
        </w:trPr>
        <w:tc>
          <w:tcPr>
            <w:tcW w:w="846" w:type="dxa"/>
            <w:noWrap/>
            <w:vAlign w:val="center"/>
            <w:hideMark/>
          </w:tcPr>
          <w:p w14:paraId="608C7785" w14:textId="77777777" w:rsidR="00A3501B" w:rsidRPr="002732DD" w:rsidRDefault="00A3501B" w:rsidP="00BB366C">
            <w:pPr>
              <w:jc w:val="center"/>
              <w:rPr>
                <w:spacing w:val="0"/>
                <w:sz w:val="18"/>
                <w:szCs w:val="18"/>
              </w:rPr>
            </w:pPr>
            <w:r w:rsidRPr="002732DD">
              <w:rPr>
                <w:spacing w:val="0"/>
                <w:sz w:val="18"/>
                <w:szCs w:val="18"/>
              </w:rPr>
              <w:t>8</w:t>
            </w:r>
          </w:p>
        </w:tc>
        <w:tc>
          <w:tcPr>
            <w:tcW w:w="7500" w:type="dxa"/>
            <w:vAlign w:val="center"/>
            <w:hideMark/>
          </w:tcPr>
          <w:p w14:paraId="07D2022F" w14:textId="77777777" w:rsidR="00A3501B" w:rsidRPr="002732DD" w:rsidRDefault="00A3501B" w:rsidP="00BB366C">
            <w:pPr>
              <w:jc w:val="center"/>
              <w:rPr>
                <w:spacing w:val="0"/>
                <w:sz w:val="18"/>
                <w:szCs w:val="18"/>
              </w:rPr>
            </w:pPr>
            <w:r w:rsidRPr="002732DD">
              <w:rPr>
                <w:spacing w:val="0"/>
                <w:sz w:val="18"/>
                <w:szCs w:val="18"/>
              </w:rPr>
              <w:t>Depósitos a la vista de Mayoristas Extranjeros</w:t>
            </w:r>
          </w:p>
        </w:tc>
        <w:tc>
          <w:tcPr>
            <w:tcW w:w="767" w:type="dxa"/>
            <w:vAlign w:val="center"/>
            <w:hideMark/>
          </w:tcPr>
          <w:p w14:paraId="1EAA88E3" w14:textId="77777777" w:rsidR="00A3501B" w:rsidRPr="002732DD" w:rsidRDefault="00A3501B" w:rsidP="00BB366C">
            <w:pPr>
              <w:jc w:val="center"/>
              <w:rPr>
                <w:spacing w:val="0"/>
                <w:sz w:val="18"/>
                <w:szCs w:val="18"/>
              </w:rPr>
            </w:pPr>
            <w:r w:rsidRPr="002732DD">
              <w:rPr>
                <w:spacing w:val="0"/>
                <w:sz w:val="18"/>
                <w:szCs w:val="18"/>
              </w:rPr>
              <w:t>25%</w:t>
            </w:r>
          </w:p>
        </w:tc>
      </w:tr>
      <w:tr w:rsidR="00A3501B" w:rsidRPr="002732DD" w14:paraId="55A01525" w14:textId="77777777" w:rsidTr="00BB366C">
        <w:trPr>
          <w:trHeight w:val="300"/>
        </w:trPr>
        <w:tc>
          <w:tcPr>
            <w:tcW w:w="846" w:type="dxa"/>
            <w:noWrap/>
            <w:vAlign w:val="center"/>
            <w:hideMark/>
          </w:tcPr>
          <w:p w14:paraId="5ED678BE" w14:textId="77777777" w:rsidR="00A3501B" w:rsidRPr="002732DD" w:rsidRDefault="00A3501B" w:rsidP="00BB366C">
            <w:pPr>
              <w:jc w:val="center"/>
              <w:rPr>
                <w:spacing w:val="0"/>
                <w:sz w:val="18"/>
                <w:szCs w:val="18"/>
              </w:rPr>
            </w:pPr>
            <w:r w:rsidRPr="002732DD">
              <w:rPr>
                <w:spacing w:val="0"/>
                <w:sz w:val="18"/>
                <w:szCs w:val="18"/>
              </w:rPr>
              <w:t>9</w:t>
            </w:r>
          </w:p>
        </w:tc>
        <w:tc>
          <w:tcPr>
            <w:tcW w:w="7500" w:type="dxa"/>
            <w:vAlign w:val="center"/>
            <w:hideMark/>
          </w:tcPr>
          <w:p w14:paraId="64E30A8E" w14:textId="77777777" w:rsidR="00A3501B" w:rsidRPr="002732DD" w:rsidRDefault="00A3501B" w:rsidP="00BB366C">
            <w:pPr>
              <w:jc w:val="center"/>
              <w:rPr>
                <w:spacing w:val="0"/>
                <w:sz w:val="18"/>
                <w:szCs w:val="18"/>
              </w:rPr>
            </w:pPr>
            <w:r w:rsidRPr="002732DD">
              <w:rPr>
                <w:spacing w:val="0"/>
                <w:sz w:val="18"/>
                <w:szCs w:val="18"/>
              </w:rPr>
              <w:t>Depósitos a la vista de Entidades Financieras Vigiladas</w:t>
            </w:r>
          </w:p>
        </w:tc>
        <w:tc>
          <w:tcPr>
            <w:tcW w:w="767" w:type="dxa"/>
            <w:vAlign w:val="center"/>
            <w:hideMark/>
          </w:tcPr>
          <w:p w14:paraId="7518DB40" w14:textId="77777777" w:rsidR="00A3501B" w:rsidRPr="002732DD" w:rsidRDefault="00A3501B" w:rsidP="00BB366C">
            <w:pPr>
              <w:jc w:val="center"/>
              <w:rPr>
                <w:spacing w:val="0"/>
                <w:sz w:val="18"/>
                <w:szCs w:val="18"/>
              </w:rPr>
            </w:pPr>
            <w:r>
              <w:rPr>
                <w:spacing w:val="0"/>
                <w:sz w:val="18"/>
                <w:szCs w:val="18"/>
              </w:rPr>
              <w:t>25</w:t>
            </w:r>
            <w:r w:rsidRPr="002732DD">
              <w:rPr>
                <w:spacing w:val="0"/>
                <w:sz w:val="18"/>
                <w:szCs w:val="18"/>
              </w:rPr>
              <w:t>%</w:t>
            </w:r>
            <w:r>
              <w:rPr>
                <w:spacing w:val="0"/>
                <w:sz w:val="18"/>
                <w:szCs w:val="18"/>
              </w:rPr>
              <w:t>*</w:t>
            </w:r>
          </w:p>
        </w:tc>
      </w:tr>
      <w:tr w:rsidR="00A3501B" w:rsidRPr="002732DD" w14:paraId="64EFC8E7" w14:textId="77777777" w:rsidTr="00BB366C">
        <w:trPr>
          <w:trHeight w:val="300"/>
        </w:trPr>
        <w:tc>
          <w:tcPr>
            <w:tcW w:w="846" w:type="dxa"/>
            <w:noWrap/>
            <w:vAlign w:val="center"/>
            <w:hideMark/>
          </w:tcPr>
          <w:p w14:paraId="7957FFAF" w14:textId="77777777" w:rsidR="00A3501B" w:rsidRPr="002732DD" w:rsidRDefault="00A3501B" w:rsidP="00BB366C">
            <w:pPr>
              <w:jc w:val="center"/>
              <w:rPr>
                <w:spacing w:val="0"/>
                <w:sz w:val="18"/>
                <w:szCs w:val="18"/>
              </w:rPr>
            </w:pPr>
            <w:r w:rsidRPr="002732DD">
              <w:rPr>
                <w:spacing w:val="0"/>
                <w:sz w:val="18"/>
                <w:szCs w:val="18"/>
              </w:rPr>
              <w:t>10</w:t>
            </w:r>
          </w:p>
        </w:tc>
        <w:tc>
          <w:tcPr>
            <w:tcW w:w="7500" w:type="dxa"/>
            <w:vAlign w:val="center"/>
            <w:hideMark/>
          </w:tcPr>
          <w:p w14:paraId="3FF8D536" w14:textId="77777777" w:rsidR="00A3501B" w:rsidRPr="002732DD" w:rsidRDefault="00A3501B" w:rsidP="00BB366C">
            <w:pPr>
              <w:jc w:val="center"/>
              <w:rPr>
                <w:spacing w:val="0"/>
                <w:sz w:val="18"/>
                <w:szCs w:val="18"/>
              </w:rPr>
            </w:pPr>
            <w:r w:rsidRPr="002732DD">
              <w:rPr>
                <w:spacing w:val="0"/>
                <w:sz w:val="18"/>
                <w:szCs w:val="18"/>
              </w:rPr>
              <w:t>Depósitos a la vista de FICs Abiertos sin Pacto de Permanencia</w:t>
            </w:r>
          </w:p>
        </w:tc>
        <w:tc>
          <w:tcPr>
            <w:tcW w:w="767" w:type="dxa"/>
            <w:vAlign w:val="center"/>
            <w:hideMark/>
          </w:tcPr>
          <w:p w14:paraId="48183D2D" w14:textId="77777777" w:rsidR="00A3501B" w:rsidRPr="002732DD" w:rsidRDefault="00A3501B" w:rsidP="00BB366C">
            <w:pPr>
              <w:jc w:val="center"/>
              <w:rPr>
                <w:spacing w:val="0"/>
                <w:sz w:val="18"/>
                <w:szCs w:val="18"/>
              </w:rPr>
            </w:pPr>
            <w:r>
              <w:rPr>
                <w:spacing w:val="0"/>
                <w:sz w:val="18"/>
                <w:szCs w:val="18"/>
              </w:rPr>
              <w:t>25</w:t>
            </w:r>
            <w:r w:rsidRPr="002732DD">
              <w:rPr>
                <w:spacing w:val="0"/>
                <w:sz w:val="18"/>
                <w:szCs w:val="18"/>
              </w:rPr>
              <w:t>%</w:t>
            </w:r>
            <w:r>
              <w:rPr>
                <w:spacing w:val="0"/>
                <w:sz w:val="18"/>
                <w:szCs w:val="18"/>
              </w:rPr>
              <w:t>*</w:t>
            </w:r>
          </w:p>
        </w:tc>
      </w:tr>
      <w:tr w:rsidR="00A3501B" w:rsidRPr="002732DD" w14:paraId="6781FDE4" w14:textId="77777777" w:rsidTr="00BB366C">
        <w:trPr>
          <w:trHeight w:val="300"/>
        </w:trPr>
        <w:tc>
          <w:tcPr>
            <w:tcW w:w="846" w:type="dxa"/>
            <w:noWrap/>
            <w:vAlign w:val="center"/>
            <w:hideMark/>
          </w:tcPr>
          <w:p w14:paraId="5DFB32CA" w14:textId="77777777" w:rsidR="00A3501B" w:rsidRPr="002732DD" w:rsidRDefault="00A3501B" w:rsidP="00BB366C">
            <w:pPr>
              <w:jc w:val="center"/>
              <w:rPr>
                <w:spacing w:val="0"/>
                <w:sz w:val="18"/>
                <w:szCs w:val="18"/>
              </w:rPr>
            </w:pPr>
            <w:r w:rsidRPr="002732DD">
              <w:rPr>
                <w:spacing w:val="0"/>
                <w:sz w:val="18"/>
                <w:szCs w:val="18"/>
              </w:rPr>
              <w:t>11</w:t>
            </w:r>
          </w:p>
        </w:tc>
        <w:tc>
          <w:tcPr>
            <w:tcW w:w="7500" w:type="dxa"/>
            <w:vAlign w:val="center"/>
            <w:hideMark/>
          </w:tcPr>
          <w:p w14:paraId="08D8464E" w14:textId="77777777" w:rsidR="00A3501B" w:rsidRPr="002732DD" w:rsidRDefault="00A3501B" w:rsidP="00BB366C">
            <w:pPr>
              <w:jc w:val="center"/>
              <w:rPr>
                <w:spacing w:val="0"/>
                <w:sz w:val="18"/>
                <w:szCs w:val="18"/>
              </w:rPr>
            </w:pPr>
            <w:r w:rsidRPr="002732DD">
              <w:rPr>
                <w:spacing w:val="0"/>
                <w:sz w:val="18"/>
                <w:szCs w:val="18"/>
              </w:rPr>
              <w:t>Depósitos a plazo (mayor o igual a 1 año)</w:t>
            </w:r>
          </w:p>
        </w:tc>
        <w:tc>
          <w:tcPr>
            <w:tcW w:w="767" w:type="dxa"/>
            <w:vAlign w:val="center"/>
            <w:hideMark/>
          </w:tcPr>
          <w:p w14:paraId="6C0DC66C" w14:textId="77777777" w:rsidR="00A3501B" w:rsidRPr="002732DD" w:rsidRDefault="00A3501B" w:rsidP="00BB366C">
            <w:pPr>
              <w:jc w:val="center"/>
              <w:rPr>
                <w:spacing w:val="0"/>
                <w:sz w:val="18"/>
                <w:szCs w:val="18"/>
              </w:rPr>
            </w:pPr>
            <w:r w:rsidRPr="002732DD">
              <w:rPr>
                <w:spacing w:val="0"/>
                <w:sz w:val="18"/>
                <w:szCs w:val="18"/>
              </w:rPr>
              <w:t>100%</w:t>
            </w:r>
          </w:p>
        </w:tc>
      </w:tr>
      <w:tr w:rsidR="00A3501B" w:rsidRPr="002732DD" w14:paraId="017CE4D0" w14:textId="77777777" w:rsidTr="00BB366C">
        <w:trPr>
          <w:trHeight w:val="300"/>
        </w:trPr>
        <w:tc>
          <w:tcPr>
            <w:tcW w:w="846" w:type="dxa"/>
            <w:noWrap/>
            <w:vAlign w:val="center"/>
            <w:hideMark/>
          </w:tcPr>
          <w:p w14:paraId="00F5F9F6" w14:textId="77777777" w:rsidR="00A3501B" w:rsidRPr="002732DD" w:rsidRDefault="00A3501B" w:rsidP="00BB366C">
            <w:pPr>
              <w:jc w:val="center"/>
              <w:rPr>
                <w:spacing w:val="0"/>
                <w:sz w:val="18"/>
                <w:szCs w:val="18"/>
              </w:rPr>
            </w:pPr>
            <w:r w:rsidRPr="002732DD">
              <w:rPr>
                <w:spacing w:val="0"/>
                <w:sz w:val="18"/>
                <w:szCs w:val="18"/>
              </w:rPr>
              <w:t>12</w:t>
            </w:r>
          </w:p>
        </w:tc>
        <w:tc>
          <w:tcPr>
            <w:tcW w:w="7500" w:type="dxa"/>
            <w:vAlign w:val="center"/>
            <w:hideMark/>
          </w:tcPr>
          <w:p w14:paraId="7782F595" w14:textId="77777777" w:rsidR="00A3501B" w:rsidRPr="002732DD" w:rsidRDefault="00A3501B" w:rsidP="00BB366C">
            <w:pPr>
              <w:jc w:val="center"/>
              <w:rPr>
                <w:spacing w:val="0"/>
                <w:sz w:val="18"/>
                <w:szCs w:val="18"/>
              </w:rPr>
            </w:pPr>
            <w:r w:rsidRPr="002732DD">
              <w:rPr>
                <w:spacing w:val="0"/>
                <w:sz w:val="18"/>
                <w:szCs w:val="18"/>
              </w:rPr>
              <w:t>Depósitos a plazo (menor a 6 meses) de Minoristas</w:t>
            </w:r>
          </w:p>
        </w:tc>
        <w:tc>
          <w:tcPr>
            <w:tcW w:w="767" w:type="dxa"/>
            <w:vAlign w:val="center"/>
            <w:hideMark/>
          </w:tcPr>
          <w:p w14:paraId="76143D34" w14:textId="77777777" w:rsidR="00A3501B" w:rsidRPr="002732DD" w:rsidRDefault="00A3501B" w:rsidP="00BB366C">
            <w:pPr>
              <w:jc w:val="center"/>
              <w:rPr>
                <w:spacing w:val="0"/>
                <w:sz w:val="18"/>
                <w:szCs w:val="18"/>
              </w:rPr>
            </w:pPr>
            <w:r w:rsidRPr="002732DD">
              <w:rPr>
                <w:spacing w:val="0"/>
                <w:sz w:val="18"/>
                <w:szCs w:val="18"/>
              </w:rPr>
              <w:t>95%</w:t>
            </w:r>
          </w:p>
        </w:tc>
      </w:tr>
      <w:tr w:rsidR="00A3501B" w:rsidRPr="002732DD" w14:paraId="29672B7B" w14:textId="77777777" w:rsidTr="00BB366C">
        <w:trPr>
          <w:trHeight w:val="300"/>
        </w:trPr>
        <w:tc>
          <w:tcPr>
            <w:tcW w:w="846" w:type="dxa"/>
            <w:noWrap/>
            <w:vAlign w:val="center"/>
            <w:hideMark/>
          </w:tcPr>
          <w:p w14:paraId="2F62A8D9" w14:textId="77777777" w:rsidR="00A3501B" w:rsidRPr="002732DD" w:rsidRDefault="00A3501B" w:rsidP="00BB366C">
            <w:pPr>
              <w:jc w:val="center"/>
              <w:rPr>
                <w:spacing w:val="0"/>
                <w:sz w:val="18"/>
                <w:szCs w:val="18"/>
              </w:rPr>
            </w:pPr>
            <w:r w:rsidRPr="002732DD">
              <w:rPr>
                <w:spacing w:val="0"/>
                <w:sz w:val="18"/>
                <w:szCs w:val="18"/>
              </w:rPr>
              <w:t>13</w:t>
            </w:r>
          </w:p>
        </w:tc>
        <w:tc>
          <w:tcPr>
            <w:tcW w:w="7500" w:type="dxa"/>
            <w:vAlign w:val="center"/>
            <w:hideMark/>
          </w:tcPr>
          <w:p w14:paraId="76F469E4" w14:textId="77777777" w:rsidR="00A3501B" w:rsidRPr="002732DD" w:rsidRDefault="00A3501B" w:rsidP="00BB366C">
            <w:pPr>
              <w:jc w:val="center"/>
              <w:rPr>
                <w:spacing w:val="0"/>
                <w:sz w:val="18"/>
                <w:szCs w:val="18"/>
              </w:rPr>
            </w:pPr>
            <w:r w:rsidRPr="002732DD">
              <w:rPr>
                <w:spacing w:val="0"/>
                <w:sz w:val="18"/>
                <w:szCs w:val="18"/>
              </w:rPr>
              <w:t>Depósitos a plazo (menor a 6 meses) de PYMES y Personas Naturales Medianas</w:t>
            </w:r>
          </w:p>
        </w:tc>
        <w:tc>
          <w:tcPr>
            <w:tcW w:w="767" w:type="dxa"/>
            <w:vAlign w:val="center"/>
            <w:hideMark/>
          </w:tcPr>
          <w:p w14:paraId="198F4C19" w14:textId="77777777" w:rsidR="00A3501B" w:rsidRPr="002732DD" w:rsidRDefault="00A3501B" w:rsidP="00BB366C">
            <w:pPr>
              <w:jc w:val="center"/>
              <w:rPr>
                <w:spacing w:val="0"/>
                <w:sz w:val="18"/>
                <w:szCs w:val="18"/>
              </w:rPr>
            </w:pPr>
            <w:r w:rsidRPr="002732DD">
              <w:rPr>
                <w:spacing w:val="0"/>
                <w:sz w:val="18"/>
                <w:szCs w:val="18"/>
              </w:rPr>
              <w:t>95%</w:t>
            </w:r>
          </w:p>
        </w:tc>
      </w:tr>
      <w:tr w:rsidR="00A3501B" w:rsidRPr="002732DD" w14:paraId="643A56BF" w14:textId="77777777" w:rsidTr="00BB366C">
        <w:trPr>
          <w:trHeight w:val="300"/>
        </w:trPr>
        <w:tc>
          <w:tcPr>
            <w:tcW w:w="846" w:type="dxa"/>
            <w:noWrap/>
            <w:vAlign w:val="center"/>
            <w:hideMark/>
          </w:tcPr>
          <w:p w14:paraId="75FBE3B3" w14:textId="77777777" w:rsidR="00A3501B" w:rsidRPr="002732DD" w:rsidRDefault="00A3501B" w:rsidP="00BB366C">
            <w:pPr>
              <w:jc w:val="center"/>
              <w:rPr>
                <w:spacing w:val="0"/>
                <w:sz w:val="18"/>
                <w:szCs w:val="18"/>
              </w:rPr>
            </w:pPr>
            <w:r w:rsidRPr="002732DD">
              <w:rPr>
                <w:spacing w:val="0"/>
                <w:sz w:val="18"/>
                <w:szCs w:val="18"/>
              </w:rPr>
              <w:t>14</w:t>
            </w:r>
          </w:p>
        </w:tc>
        <w:tc>
          <w:tcPr>
            <w:tcW w:w="7500" w:type="dxa"/>
            <w:vAlign w:val="center"/>
            <w:hideMark/>
          </w:tcPr>
          <w:p w14:paraId="5B5B37F2" w14:textId="77777777" w:rsidR="00A3501B" w:rsidRPr="002732DD" w:rsidRDefault="00A3501B" w:rsidP="00BB366C">
            <w:pPr>
              <w:jc w:val="center"/>
              <w:rPr>
                <w:spacing w:val="0"/>
                <w:sz w:val="18"/>
                <w:szCs w:val="18"/>
              </w:rPr>
            </w:pPr>
            <w:r w:rsidRPr="002732DD">
              <w:rPr>
                <w:spacing w:val="0"/>
                <w:sz w:val="18"/>
                <w:szCs w:val="18"/>
              </w:rPr>
              <w:t>Depósitos a plazo (mayor o igual a 6 meses y menor a 1 año) de Minoristas</w:t>
            </w:r>
          </w:p>
        </w:tc>
        <w:tc>
          <w:tcPr>
            <w:tcW w:w="767" w:type="dxa"/>
            <w:vAlign w:val="center"/>
            <w:hideMark/>
          </w:tcPr>
          <w:p w14:paraId="557E2ABC" w14:textId="77777777" w:rsidR="00A3501B" w:rsidRPr="002732DD" w:rsidRDefault="00A3501B" w:rsidP="00BB366C">
            <w:pPr>
              <w:jc w:val="center"/>
              <w:rPr>
                <w:spacing w:val="0"/>
                <w:sz w:val="18"/>
                <w:szCs w:val="18"/>
              </w:rPr>
            </w:pPr>
            <w:r w:rsidRPr="002732DD">
              <w:rPr>
                <w:spacing w:val="0"/>
                <w:sz w:val="18"/>
                <w:szCs w:val="18"/>
              </w:rPr>
              <w:t>95%</w:t>
            </w:r>
          </w:p>
        </w:tc>
      </w:tr>
      <w:tr w:rsidR="00A3501B" w:rsidRPr="002732DD" w14:paraId="5153553A" w14:textId="77777777" w:rsidTr="00BB366C">
        <w:trPr>
          <w:trHeight w:val="300"/>
        </w:trPr>
        <w:tc>
          <w:tcPr>
            <w:tcW w:w="846" w:type="dxa"/>
            <w:noWrap/>
            <w:vAlign w:val="center"/>
            <w:hideMark/>
          </w:tcPr>
          <w:p w14:paraId="2D1EBF2B" w14:textId="77777777" w:rsidR="00A3501B" w:rsidRPr="002732DD" w:rsidRDefault="00A3501B" w:rsidP="00BB366C">
            <w:pPr>
              <w:jc w:val="center"/>
              <w:rPr>
                <w:spacing w:val="0"/>
                <w:sz w:val="18"/>
                <w:szCs w:val="18"/>
              </w:rPr>
            </w:pPr>
            <w:r w:rsidRPr="002732DD">
              <w:rPr>
                <w:spacing w:val="0"/>
                <w:sz w:val="18"/>
                <w:szCs w:val="18"/>
              </w:rPr>
              <w:t>15</w:t>
            </w:r>
          </w:p>
        </w:tc>
        <w:tc>
          <w:tcPr>
            <w:tcW w:w="7500" w:type="dxa"/>
            <w:vAlign w:val="center"/>
            <w:hideMark/>
          </w:tcPr>
          <w:p w14:paraId="0F98B009" w14:textId="77777777" w:rsidR="00A3501B" w:rsidRPr="002732DD" w:rsidRDefault="00A3501B" w:rsidP="00BB366C">
            <w:pPr>
              <w:jc w:val="center"/>
              <w:rPr>
                <w:spacing w:val="0"/>
                <w:sz w:val="18"/>
                <w:szCs w:val="18"/>
              </w:rPr>
            </w:pPr>
            <w:r w:rsidRPr="002732DD">
              <w:rPr>
                <w:spacing w:val="0"/>
                <w:sz w:val="18"/>
                <w:szCs w:val="18"/>
              </w:rPr>
              <w:t>Depósitos a plazo (mayor o igual a 6 meses y menor a 1 año) de PYMES y Personas Naturales Medianas</w:t>
            </w:r>
          </w:p>
        </w:tc>
        <w:tc>
          <w:tcPr>
            <w:tcW w:w="767" w:type="dxa"/>
            <w:vAlign w:val="center"/>
            <w:hideMark/>
          </w:tcPr>
          <w:p w14:paraId="6FA613D2" w14:textId="77777777" w:rsidR="00A3501B" w:rsidRPr="002732DD" w:rsidRDefault="00A3501B" w:rsidP="00BB366C">
            <w:pPr>
              <w:jc w:val="center"/>
              <w:rPr>
                <w:spacing w:val="0"/>
                <w:sz w:val="18"/>
                <w:szCs w:val="18"/>
              </w:rPr>
            </w:pPr>
            <w:r w:rsidRPr="002732DD">
              <w:rPr>
                <w:spacing w:val="0"/>
                <w:sz w:val="18"/>
                <w:szCs w:val="18"/>
              </w:rPr>
              <w:t>95%</w:t>
            </w:r>
          </w:p>
        </w:tc>
      </w:tr>
      <w:tr w:rsidR="00A3501B" w:rsidRPr="002732DD" w14:paraId="0A16557F" w14:textId="77777777" w:rsidTr="00BB366C">
        <w:trPr>
          <w:trHeight w:val="300"/>
        </w:trPr>
        <w:tc>
          <w:tcPr>
            <w:tcW w:w="846" w:type="dxa"/>
            <w:noWrap/>
            <w:vAlign w:val="center"/>
            <w:hideMark/>
          </w:tcPr>
          <w:p w14:paraId="04F96851" w14:textId="77777777" w:rsidR="00A3501B" w:rsidRPr="002732DD" w:rsidRDefault="00A3501B" w:rsidP="00BB366C">
            <w:pPr>
              <w:jc w:val="center"/>
              <w:rPr>
                <w:spacing w:val="0"/>
                <w:sz w:val="18"/>
                <w:szCs w:val="18"/>
              </w:rPr>
            </w:pPr>
            <w:r w:rsidRPr="002732DD">
              <w:rPr>
                <w:spacing w:val="0"/>
                <w:sz w:val="18"/>
                <w:szCs w:val="18"/>
              </w:rPr>
              <w:t>16</w:t>
            </w:r>
          </w:p>
        </w:tc>
        <w:tc>
          <w:tcPr>
            <w:tcW w:w="7500" w:type="dxa"/>
            <w:vAlign w:val="center"/>
            <w:hideMark/>
          </w:tcPr>
          <w:p w14:paraId="6F23A185" w14:textId="77777777" w:rsidR="00A3501B" w:rsidRPr="002732DD" w:rsidRDefault="00A3501B" w:rsidP="00BB366C">
            <w:pPr>
              <w:jc w:val="center"/>
              <w:rPr>
                <w:spacing w:val="0"/>
                <w:sz w:val="18"/>
                <w:szCs w:val="18"/>
              </w:rPr>
            </w:pPr>
            <w:r w:rsidRPr="002732DD">
              <w:rPr>
                <w:spacing w:val="0"/>
                <w:sz w:val="18"/>
                <w:szCs w:val="18"/>
              </w:rPr>
              <w:t>Depósitos a plazo (menor a 6 meses) de Mayoristas Sector Real y Personas Naturales Grandes</w:t>
            </w:r>
          </w:p>
        </w:tc>
        <w:tc>
          <w:tcPr>
            <w:tcW w:w="767" w:type="dxa"/>
            <w:vAlign w:val="center"/>
            <w:hideMark/>
          </w:tcPr>
          <w:p w14:paraId="44F87110" w14:textId="77777777" w:rsidR="00A3501B" w:rsidRPr="002732DD" w:rsidRDefault="00A3501B" w:rsidP="00BB366C">
            <w:pPr>
              <w:jc w:val="center"/>
              <w:rPr>
                <w:spacing w:val="0"/>
                <w:sz w:val="18"/>
                <w:szCs w:val="18"/>
              </w:rPr>
            </w:pPr>
            <w:r w:rsidRPr="002732DD">
              <w:rPr>
                <w:spacing w:val="0"/>
                <w:sz w:val="18"/>
                <w:szCs w:val="18"/>
              </w:rPr>
              <w:t>90%</w:t>
            </w:r>
          </w:p>
        </w:tc>
      </w:tr>
      <w:tr w:rsidR="00A3501B" w:rsidRPr="002732DD" w14:paraId="73E359BA" w14:textId="77777777" w:rsidTr="00BB366C">
        <w:trPr>
          <w:trHeight w:val="300"/>
        </w:trPr>
        <w:tc>
          <w:tcPr>
            <w:tcW w:w="846" w:type="dxa"/>
            <w:noWrap/>
            <w:vAlign w:val="center"/>
            <w:hideMark/>
          </w:tcPr>
          <w:p w14:paraId="15DAA515" w14:textId="77777777" w:rsidR="00A3501B" w:rsidRPr="002732DD" w:rsidRDefault="00A3501B" w:rsidP="00BB366C">
            <w:pPr>
              <w:jc w:val="center"/>
              <w:rPr>
                <w:spacing w:val="0"/>
                <w:sz w:val="18"/>
                <w:szCs w:val="18"/>
              </w:rPr>
            </w:pPr>
            <w:r w:rsidRPr="002732DD">
              <w:rPr>
                <w:spacing w:val="0"/>
                <w:sz w:val="18"/>
                <w:szCs w:val="18"/>
              </w:rPr>
              <w:t>17</w:t>
            </w:r>
          </w:p>
        </w:tc>
        <w:tc>
          <w:tcPr>
            <w:tcW w:w="7500" w:type="dxa"/>
            <w:vAlign w:val="center"/>
            <w:hideMark/>
          </w:tcPr>
          <w:p w14:paraId="7FFBD617" w14:textId="77777777" w:rsidR="00A3501B" w:rsidRPr="002732DD" w:rsidRDefault="00A3501B" w:rsidP="00BB366C">
            <w:pPr>
              <w:jc w:val="center"/>
              <w:rPr>
                <w:spacing w:val="0"/>
                <w:sz w:val="18"/>
                <w:szCs w:val="18"/>
              </w:rPr>
            </w:pPr>
            <w:r w:rsidRPr="002732DD">
              <w:rPr>
                <w:spacing w:val="0"/>
                <w:sz w:val="18"/>
                <w:szCs w:val="18"/>
              </w:rPr>
              <w:t>Depósitos a plazo (mayor o igual a 6 meses y menor a 1 año) de Mayoristas Sector Real y Personas Naturales Grandes</w:t>
            </w:r>
          </w:p>
        </w:tc>
        <w:tc>
          <w:tcPr>
            <w:tcW w:w="767" w:type="dxa"/>
            <w:vAlign w:val="center"/>
            <w:hideMark/>
          </w:tcPr>
          <w:p w14:paraId="7B512AC9" w14:textId="77777777" w:rsidR="00A3501B" w:rsidRPr="002732DD" w:rsidRDefault="00A3501B" w:rsidP="00BB366C">
            <w:pPr>
              <w:jc w:val="center"/>
              <w:rPr>
                <w:spacing w:val="0"/>
                <w:sz w:val="18"/>
                <w:szCs w:val="18"/>
              </w:rPr>
            </w:pPr>
            <w:r w:rsidRPr="002732DD">
              <w:rPr>
                <w:spacing w:val="0"/>
                <w:sz w:val="18"/>
                <w:szCs w:val="18"/>
              </w:rPr>
              <w:t>90%</w:t>
            </w:r>
          </w:p>
        </w:tc>
      </w:tr>
      <w:tr w:rsidR="00A3501B" w:rsidRPr="002732DD" w14:paraId="2F76164D" w14:textId="77777777" w:rsidTr="00BB366C">
        <w:trPr>
          <w:trHeight w:val="300"/>
        </w:trPr>
        <w:tc>
          <w:tcPr>
            <w:tcW w:w="846" w:type="dxa"/>
            <w:noWrap/>
            <w:vAlign w:val="center"/>
            <w:hideMark/>
          </w:tcPr>
          <w:p w14:paraId="73F62662" w14:textId="77777777" w:rsidR="00A3501B" w:rsidRPr="002732DD" w:rsidRDefault="00A3501B" w:rsidP="00BB366C">
            <w:pPr>
              <w:jc w:val="center"/>
              <w:rPr>
                <w:spacing w:val="0"/>
                <w:sz w:val="18"/>
                <w:szCs w:val="18"/>
              </w:rPr>
            </w:pPr>
            <w:r w:rsidRPr="002732DD">
              <w:rPr>
                <w:spacing w:val="0"/>
                <w:sz w:val="18"/>
                <w:szCs w:val="18"/>
              </w:rPr>
              <w:t>18</w:t>
            </w:r>
          </w:p>
        </w:tc>
        <w:tc>
          <w:tcPr>
            <w:tcW w:w="7500" w:type="dxa"/>
            <w:vAlign w:val="center"/>
            <w:hideMark/>
          </w:tcPr>
          <w:p w14:paraId="452B7A82" w14:textId="77777777" w:rsidR="00A3501B" w:rsidRPr="002732DD" w:rsidRDefault="00A3501B" w:rsidP="00BB366C">
            <w:pPr>
              <w:jc w:val="center"/>
              <w:rPr>
                <w:spacing w:val="0"/>
                <w:sz w:val="18"/>
                <w:szCs w:val="18"/>
              </w:rPr>
            </w:pPr>
            <w:r w:rsidRPr="002732DD">
              <w:rPr>
                <w:spacing w:val="0"/>
                <w:sz w:val="18"/>
                <w:szCs w:val="18"/>
              </w:rPr>
              <w:t>Depósitos a plazo (menor a 6 meses) de Sector Gobierno No Financiero</w:t>
            </w:r>
          </w:p>
        </w:tc>
        <w:tc>
          <w:tcPr>
            <w:tcW w:w="767" w:type="dxa"/>
            <w:vAlign w:val="center"/>
            <w:hideMark/>
          </w:tcPr>
          <w:p w14:paraId="30079F46" w14:textId="77777777" w:rsidR="00A3501B" w:rsidRPr="002732DD" w:rsidRDefault="00A3501B" w:rsidP="00BB366C">
            <w:pPr>
              <w:jc w:val="center"/>
              <w:rPr>
                <w:spacing w:val="0"/>
                <w:sz w:val="18"/>
                <w:szCs w:val="18"/>
              </w:rPr>
            </w:pPr>
            <w:r w:rsidRPr="002732DD">
              <w:rPr>
                <w:spacing w:val="0"/>
                <w:sz w:val="18"/>
                <w:szCs w:val="18"/>
              </w:rPr>
              <w:t>50%</w:t>
            </w:r>
          </w:p>
        </w:tc>
      </w:tr>
      <w:tr w:rsidR="00A3501B" w:rsidRPr="002732DD" w14:paraId="6824ED79" w14:textId="77777777" w:rsidTr="00BB366C">
        <w:trPr>
          <w:trHeight w:val="300"/>
        </w:trPr>
        <w:tc>
          <w:tcPr>
            <w:tcW w:w="846" w:type="dxa"/>
            <w:noWrap/>
            <w:vAlign w:val="center"/>
            <w:hideMark/>
          </w:tcPr>
          <w:p w14:paraId="60424197" w14:textId="77777777" w:rsidR="00A3501B" w:rsidRPr="002732DD" w:rsidRDefault="00A3501B" w:rsidP="00BB366C">
            <w:pPr>
              <w:jc w:val="center"/>
              <w:rPr>
                <w:spacing w:val="0"/>
                <w:sz w:val="18"/>
                <w:szCs w:val="18"/>
              </w:rPr>
            </w:pPr>
            <w:r w:rsidRPr="002732DD">
              <w:rPr>
                <w:spacing w:val="0"/>
                <w:sz w:val="18"/>
                <w:szCs w:val="18"/>
              </w:rPr>
              <w:t>19</w:t>
            </w:r>
          </w:p>
        </w:tc>
        <w:tc>
          <w:tcPr>
            <w:tcW w:w="7500" w:type="dxa"/>
            <w:vAlign w:val="center"/>
            <w:hideMark/>
          </w:tcPr>
          <w:p w14:paraId="68DB31D8" w14:textId="77777777" w:rsidR="00A3501B" w:rsidRPr="002732DD" w:rsidRDefault="00A3501B" w:rsidP="00BB366C">
            <w:pPr>
              <w:jc w:val="center"/>
              <w:rPr>
                <w:spacing w:val="0"/>
                <w:sz w:val="18"/>
                <w:szCs w:val="18"/>
              </w:rPr>
            </w:pPr>
            <w:r w:rsidRPr="002732DD">
              <w:rPr>
                <w:spacing w:val="0"/>
                <w:sz w:val="18"/>
                <w:szCs w:val="18"/>
              </w:rPr>
              <w:t>Depósitos a plazo (mayor o igual a 6 meses y menor a 1 año) de Sector Gobierno No Financiero</w:t>
            </w:r>
          </w:p>
        </w:tc>
        <w:tc>
          <w:tcPr>
            <w:tcW w:w="767" w:type="dxa"/>
            <w:vAlign w:val="center"/>
            <w:hideMark/>
          </w:tcPr>
          <w:p w14:paraId="3C140C34" w14:textId="77777777" w:rsidR="00A3501B" w:rsidRPr="002732DD" w:rsidRDefault="00A3501B" w:rsidP="00BB366C">
            <w:pPr>
              <w:jc w:val="center"/>
              <w:rPr>
                <w:spacing w:val="0"/>
                <w:sz w:val="18"/>
                <w:szCs w:val="18"/>
              </w:rPr>
            </w:pPr>
            <w:r w:rsidRPr="002732DD">
              <w:rPr>
                <w:spacing w:val="0"/>
                <w:sz w:val="18"/>
                <w:szCs w:val="18"/>
              </w:rPr>
              <w:t>50%</w:t>
            </w:r>
          </w:p>
        </w:tc>
      </w:tr>
      <w:tr w:rsidR="00A3501B" w:rsidRPr="002732DD" w14:paraId="5F3CEE88" w14:textId="77777777" w:rsidTr="00BB366C">
        <w:trPr>
          <w:trHeight w:val="300"/>
        </w:trPr>
        <w:tc>
          <w:tcPr>
            <w:tcW w:w="846" w:type="dxa"/>
            <w:noWrap/>
            <w:vAlign w:val="center"/>
            <w:hideMark/>
          </w:tcPr>
          <w:p w14:paraId="6BB718D7" w14:textId="77777777" w:rsidR="00A3501B" w:rsidRPr="002732DD" w:rsidRDefault="00A3501B" w:rsidP="00BB366C">
            <w:pPr>
              <w:jc w:val="center"/>
              <w:rPr>
                <w:spacing w:val="0"/>
                <w:sz w:val="18"/>
                <w:szCs w:val="18"/>
              </w:rPr>
            </w:pPr>
            <w:r w:rsidRPr="002732DD">
              <w:rPr>
                <w:spacing w:val="0"/>
                <w:sz w:val="18"/>
                <w:szCs w:val="18"/>
              </w:rPr>
              <w:t>20</w:t>
            </w:r>
          </w:p>
        </w:tc>
        <w:tc>
          <w:tcPr>
            <w:tcW w:w="7500" w:type="dxa"/>
            <w:vAlign w:val="center"/>
            <w:hideMark/>
          </w:tcPr>
          <w:p w14:paraId="6A40E0CC" w14:textId="77777777" w:rsidR="00A3501B" w:rsidRPr="002732DD" w:rsidRDefault="00A3501B" w:rsidP="00BB366C">
            <w:pPr>
              <w:jc w:val="center"/>
              <w:rPr>
                <w:spacing w:val="0"/>
                <w:sz w:val="18"/>
                <w:szCs w:val="18"/>
              </w:rPr>
            </w:pPr>
            <w:r w:rsidRPr="002732DD">
              <w:rPr>
                <w:spacing w:val="0"/>
                <w:sz w:val="18"/>
                <w:szCs w:val="18"/>
              </w:rPr>
              <w:t>Depósitos a plazo (mayor o igual a 6 meses y menor a 1 año) de Mayoristas Extranjeros</w:t>
            </w:r>
          </w:p>
        </w:tc>
        <w:tc>
          <w:tcPr>
            <w:tcW w:w="767" w:type="dxa"/>
            <w:vAlign w:val="center"/>
            <w:hideMark/>
          </w:tcPr>
          <w:p w14:paraId="55FCD324" w14:textId="77777777" w:rsidR="00A3501B" w:rsidRPr="002732DD" w:rsidRDefault="00A3501B" w:rsidP="00BB366C">
            <w:pPr>
              <w:jc w:val="center"/>
              <w:rPr>
                <w:spacing w:val="0"/>
                <w:sz w:val="18"/>
                <w:szCs w:val="18"/>
              </w:rPr>
            </w:pPr>
            <w:r w:rsidRPr="002732DD">
              <w:rPr>
                <w:spacing w:val="0"/>
                <w:sz w:val="18"/>
                <w:szCs w:val="18"/>
              </w:rPr>
              <w:t>50%</w:t>
            </w:r>
          </w:p>
        </w:tc>
      </w:tr>
      <w:tr w:rsidR="00A3501B" w:rsidRPr="002732DD" w14:paraId="16AE4FFE" w14:textId="77777777" w:rsidTr="00BB366C">
        <w:trPr>
          <w:trHeight w:val="300"/>
        </w:trPr>
        <w:tc>
          <w:tcPr>
            <w:tcW w:w="846" w:type="dxa"/>
            <w:noWrap/>
            <w:vAlign w:val="center"/>
            <w:hideMark/>
          </w:tcPr>
          <w:p w14:paraId="3F97CB2C" w14:textId="77777777" w:rsidR="00A3501B" w:rsidRPr="002732DD" w:rsidRDefault="00A3501B" w:rsidP="00BB366C">
            <w:pPr>
              <w:jc w:val="center"/>
              <w:rPr>
                <w:spacing w:val="0"/>
                <w:sz w:val="18"/>
                <w:szCs w:val="18"/>
              </w:rPr>
            </w:pPr>
            <w:r w:rsidRPr="002732DD">
              <w:rPr>
                <w:spacing w:val="0"/>
                <w:sz w:val="18"/>
                <w:szCs w:val="18"/>
              </w:rPr>
              <w:t>21</w:t>
            </w:r>
          </w:p>
        </w:tc>
        <w:tc>
          <w:tcPr>
            <w:tcW w:w="7500" w:type="dxa"/>
            <w:vAlign w:val="center"/>
            <w:hideMark/>
          </w:tcPr>
          <w:p w14:paraId="3D5A22D0" w14:textId="77777777" w:rsidR="00A3501B" w:rsidRPr="002732DD" w:rsidRDefault="00A3501B" w:rsidP="00BB366C">
            <w:pPr>
              <w:jc w:val="center"/>
              <w:rPr>
                <w:spacing w:val="0"/>
                <w:sz w:val="18"/>
                <w:szCs w:val="18"/>
              </w:rPr>
            </w:pPr>
            <w:r w:rsidRPr="002732DD">
              <w:rPr>
                <w:spacing w:val="0"/>
                <w:sz w:val="18"/>
                <w:szCs w:val="18"/>
              </w:rPr>
              <w:t>Depósitos a plazo (mayor o igual a 6 meses y menor a 1 año) de Entidades Financieras Vigiladas</w:t>
            </w:r>
          </w:p>
        </w:tc>
        <w:tc>
          <w:tcPr>
            <w:tcW w:w="767" w:type="dxa"/>
            <w:vAlign w:val="center"/>
            <w:hideMark/>
          </w:tcPr>
          <w:p w14:paraId="45F65882" w14:textId="77777777" w:rsidR="00A3501B" w:rsidRPr="002732DD" w:rsidRDefault="00A3501B" w:rsidP="00BB366C">
            <w:pPr>
              <w:jc w:val="center"/>
              <w:rPr>
                <w:spacing w:val="0"/>
                <w:sz w:val="18"/>
                <w:szCs w:val="18"/>
              </w:rPr>
            </w:pPr>
            <w:r w:rsidRPr="002732DD">
              <w:rPr>
                <w:spacing w:val="0"/>
                <w:sz w:val="18"/>
                <w:szCs w:val="18"/>
              </w:rPr>
              <w:t>50%</w:t>
            </w:r>
          </w:p>
        </w:tc>
      </w:tr>
      <w:tr w:rsidR="00A3501B" w:rsidRPr="002732DD" w14:paraId="0AC3E00C" w14:textId="77777777" w:rsidTr="00BB366C">
        <w:trPr>
          <w:trHeight w:val="300"/>
        </w:trPr>
        <w:tc>
          <w:tcPr>
            <w:tcW w:w="846" w:type="dxa"/>
            <w:noWrap/>
            <w:vAlign w:val="center"/>
            <w:hideMark/>
          </w:tcPr>
          <w:p w14:paraId="383F71CE" w14:textId="77777777" w:rsidR="00A3501B" w:rsidRPr="002732DD" w:rsidRDefault="00A3501B" w:rsidP="00BB366C">
            <w:pPr>
              <w:jc w:val="center"/>
              <w:rPr>
                <w:spacing w:val="0"/>
                <w:sz w:val="18"/>
                <w:szCs w:val="18"/>
              </w:rPr>
            </w:pPr>
            <w:r w:rsidRPr="002732DD">
              <w:rPr>
                <w:spacing w:val="0"/>
                <w:sz w:val="18"/>
                <w:szCs w:val="18"/>
              </w:rPr>
              <w:t>22</w:t>
            </w:r>
          </w:p>
        </w:tc>
        <w:tc>
          <w:tcPr>
            <w:tcW w:w="7500" w:type="dxa"/>
            <w:vAlign w:val="center"/>
            <w:hideMark/>
          </w:tcPr>
          <w:p w14:paraId="74FDBDF4" w14:textId="77777777" w:rsidR="00A3501B" w:rsidRPr="002732DD" w:rsidRDefault="00A3501B" w:rsidP="00BB366C">
            <w:pPr>
              <w:jc w:val="center"/>
              <w:rPr>
                <w:spacing w:val="0"/>
                <w:sz w:val="18"/>
                <w:szCs w:val="18"/>
              </w:rPr>
            </w:pPr>
            <w:r w:rsidRPr="002732DD">
              <w:rPr>
                <w:spacing w:val="0"/>
                <w:sz w:val="18"/>
                <w:szCs w:val="18"/>
              </w:rPr>
              <w:t>Depósitos a plazo (mayor o igual a 6 meses y menor a 1 año) de FICs Abiertos sin Pacto de Permanencia</w:t>
            </w:r>
          </w:p>
        </w:tc>
        <w:tc>
          <w:tcPr>
            <w:tcW w:w="767" w:type="dxa"/>
            <w:vAlign w:val="center"/>
            <w:hideMark/>
          </w:tcPr>
          <w:p w14:paraId="456D3CD7" w14:textId="77777777" w:rsidR="00A3501B" w:rsidRPr="002732DD" w:rsidRDefault="00A3501B" w:rsidP="00BB366C">
            <w:pPr>
              <w:jc w:val="center"/>
              <w:rPr>
                <w:spacing w:val="0"/>
                <w:sz w:val="18"/>
                <w:szCs w:val="18"/>
              </w:rPr>
            </w:pPr>
            <w:r w:rsidRPr="002732DD">
              <w:rPr>
                <w:spacing w:val="0"/>
                <w:sz w:val="18"/>
                <w:szCs w:val="18"/>
              </w:rPr>
              <w:t>50%</w:t>
            </w:r>
          </w:p>
        </w:tc>
      </w:tr>
      <w:tr w:rsidR="00A3501B" w:rsidRPr="002732DD" w14:paraId="59606D99" w14:textId="77777777" w:rsidTr="00BB366C">
        <w:trPr>
          <w:trHeight w:val="300"/>
        </w:trPr>
        <w:tc>
          <w:tcPr>
            <w:tcW w:w="846" w:type="dxa"/>
            <w:noWrap/>
            <w:vAlign w:val="center"/>
            <w:hideMark/>
          </w:tcPr>
          <w:p w14:paraId="1776DAF8" w14:textId="77777777" w:rsidR="00A3501B" w:rsidRPr="002732DD" w:rsidRDefault="00A3501B" w:rsidP="00BB366C">
            <w:pPr>
              <w:jc w:val="center"/>
              <w:rPr>
                <w:spacing w:val="0"/>
                <w:sz w:val="18"/>
                <w:szCs w:val="18"/>
              </w:rPr>
            </w:pPr>
            <w:r w:rsidRPr="002732DD">
              <w:rPr>
                <w:spacing w:val="0"/>
                <w:sz w:val="18"/>
                <w:szCs w:val="18"/>
              </w:rPr>
              <w:t>23</w:t>
            </w:r>
          </w:p>
        </w:tc>
        <w:tc>
          <w:tcPr>
            <w:tcW w:w="7500" w:type="dxa"/>
            <w:vAlign w:val="center"/>
            <w:hideMark/>
          </w:tcPr>
          <w:p w14:paraId="45BB0ED2" w14:textId="77777777" w:rsidR="00A3501B" w:rsidRPr="002732DD" w:rsidRDefault="00A3501B" w:rsidP="00BB366C">
            <w:pPr>
              <w:jc w:val="center"/>
              <w:rPr>
                <w:spacing w:val="0"/>
                <w:sz w:val="18"/>
                <w:szCs w:val="18"/>
              </w:rPr>
            </w:pPr>
            <w:r w:rsidRPr="002732DD">
              <w:rPr>
                <w:spacing w:val="0"/>
                <w:sz w:val="18"/>
                <w:szCs w:val="18"/>
              </w:rPr>
              <w:t>Depósitos a plazo (menor a 6 meses) de Mayoristas Extranjeros</w:t>
            </w:r>
          </w:p>
        </w:tc>
        <w:tc>
          <w:tcPr>
            <w:tcW w:w="767" w:type="dxa"/>
            <w:vAlign w:val="center"/>
            <w:hideMark/>
          </w:tcPr>
          <w:p w14:paraId="34346701" w14:textId="77777777" w:rsidR="00A3501B" w:rsidRPr="002732DD" w:rsidRDefault="00A3501B" w:rsidP="00BB366C">
            <w:pPr>
              <w:jc w:val="center"/>
              <w:rPr>
                <w:spacing w:val="0"/>
                <w:sz w:val="18"/>
                <w:szCs w:val="18"/>
              </w:rPr>
            </w:pPr>
            <w:r w:rsidRPr="002732DD">
              <w:rPr>
                <w:spacing w:val="0"/>
                <w:sz w:val="18"/>
                <w:szCs w:val="18"/>
              </w:rPr>
              <w:t>25%</w:t>
            </w:r>
          </w:p>
        </w:tc>
      </w:tr>
      <w:tr w:rsidR="00A3501B" w:rsidRPr="002732DD" w14:paraId="17C8ABF6" w14:textId="77777777" w:rsidTr="00BB366C">
        <w:trPr>
          <w:trHeight w:val="300"/>
        </w:trPr>
        <w:tc>
          <w:tcPr>
            <w:tcW w:w="846" w:type="dxa"/>
            <w:noWrap/>
            <w:vAlign w:val="center"/>
            <w:hideMark/>
          </w:tcPr>
          <w:p w14:paraId="6359776C" w14:textId="77777777" w:rsidR="00A3501B" w:rsidRPr="002732DD" w:rsidRDefault="00A3501B" w:rsidP="00BB366C">
            <w:pPr>
              <w:jc w:val="center"/>
              <w:rPr>
                <w:spacing w:val="0"/>
                <w:sz w:val="18"/>
                <w:szCs w:val="18"/>
              </w:rPr>
            </w:pPr>
            <w:r w:rsidRPr="002732DD">
              <w:rPr>
                <w:spacing w:val="0"/>
                <w:sz w:val="18"/>
                <w:szCs w:val="18"/>
              </w:rPr>
              <w:t>24</w:t>
            </w:r>
          </w:p>
        </w:tc>
        <w:tc>
          <w:tcPr>
            <w:tcW w:w="7500" w:type="dxa"/>
            <w:vAlign w:val="center"/>
            <w:hideMark/>
          </w:tcPr>
          <w:p w14:paraId="7A475933" w14:textId="77777777" w:rsidR="00A3501B" w:rsidRPr="002732DD" w:rsidRDefault="00A3501B" w:rsidP="00BB366C">
            <w:pPr>
              <w:jc w:val="center"/>
              <w:rPr>
                <w:spacing w:val="0"/>
                <w:sz w:val="18"/>
                <w:szCs w:val="18"/>
              </w:rPr>
            </w:pPr>
            <w:r w:rsidRPr="002732DD">
              <w:rPr>
                <w:spacing w:val="0"/>
                <w:sz w:val="18"/>
                <w:szCs w:val="18"/>
              </w:rPr>
              <w:t>Depósitos a plazo (menor a 6 meses) de Entidades Financieras Vigiladas</w:t>
            </w:r>
          </w:p>
        </w:tc>
        <w:tc>
          <w:tcPr>
            <w:tcW w:w="767" w:type="dxa"/>
            <w:vAlign w:val="center"/>
            <w:hideMark/>
          </w:tcPr>
          <w:p w14:paraId="1E35FA1B" w14:textId="77777777" w:rsidR="00A3501B" w:rsidRPr="002732DD" w:rsidRDefault="00A3501B" w:rsidP="00BB366C">
            <w:pPr>
              <w:jc w:val="center"/>
              <w:rPr>
                <w:spacing w:val="0"/>
                <w:sz w:val="18"/>
                <w:szCs w:val="18"/>
              </w:rPr>
            </w:pPr>
            <w:r>
              <w:rPr>
                <w:spacing w:val="0"/>
                <w:sz w:val="18"/>
                <w:szCs w:val="18"/>
              </w:rPr>
              <w:t>25</w:t>
            </w:r>
            <w:r w:rsidRPr="002732DD">
              <w:rPr>
                <w:spacing w:val="0"/>
                <w:sz w:val="18"/>
                <w:szCs w:val="18"/>
              </w:rPr>
              <w:t>%</w:t>
            </w:r>
            <w:r>
              <w:rPr>
                <w:spacing w:val="0"/>
                <w:sz w:val="18"/>
                <w:szCs w:val="18"/>
              </w:rPr>
              <w:t>*</w:t>
            </w:r>
          </w:p>
        </w:tc>
      </w:tr>
      <w:tr w:rsidR="00A3501B" w:rsidRPr="002732DD" w14:paraId="1AD2C9A9" w14:textId="77777777" w:rsidTr="00BB366C">
        <w:trPr>
          <w:trHeight w:val="300"/>
        </w:trPr>
        <w:tc>
          <w:tcPr>
            <w:tcW w:w="846" w:type="dxa"/>
            <w:noWrap/>
            <w:vAlign w:val="center"/>
            <w:hideMark/>
          </w:tcPr>
          <w:p w14:paraId="0879C128" w14:textId="77777777" w:rsidR="00A3501B" w:rsidRPr="002732DD" w:rsidRDefault="00A3501B" w:rsidP="00BB366C">
            <w:pPr>
              <w:jc w:val="center"/>
              <w:rPr>
                <w:spacing w:val="0"/>
                <w:sz w:val="18"/>
                <w:szCs w:val="18"/>
              </w:rPr>
            </w:pPr>
            <w:r w:rsidRPr="002732DD">
              <w:rPr>
                <w:spacing w:val="0"/>
                <w:sz w:val="18"/>
                <w:szCs w:val="18"/>
              </w:rPr>
              <w:t>25</w:t>
            </w:r>
          </w:p>
        </w:tc>
        <w:tc>
          <w:tcPr>
            <w:tcW w:w="7500" w:type="dxa"/>
            <w:vAlign w:val="center"/>
            <w:hideMark/>
          </w:tcPr>
          <w:p w14:paraId="41F3C544" w14:textId="77777777" w:rsidR="00A3501B" w:rsidRPr="002732DD" w:rsidRDefault="00A3501B" w:rsidP="00BB366C">
            <w:pPr>
              <w:jc w:val="center"/>
              <w:rPr>
                <w:spacing w:val="0"/>
                <w:sz w:val="18"/>
                <w:szCs w:val="18"/>
              </w:rPr>
            </w:pPr>
            <w:r w:rsidRPr="002732DD">
              <w:rPr>
                <w:spacing w:val="0"/>
                <w:sz w:val="18"/>
                <w:szCs w:val="18"/>
              </w:rPr>
              <w:t>Depósitos a plazo (menor a 6 meses) de FICs Abiertos sin Pacto de Permanencia</w:t>
            </w:r>
          </w:p>
        </w:tc>
        <w:tc>
          <w:tcPr>
            <w:tcW w:w="767" w:type="dxa"/>
            <w:vAlign w:val="center"/>
            <w:hideMark/>
          </w:tcPr>
          <w:p w14:paraId="3FE3A236" w14:textId="77777777" w:rsidR="00A3501B" w:rsidRPr="002732DD" w:rsidRDefault="00A3501B" w:rsidP="00BB366C">
            <w:pPr>
              <w:jc w:val="center"/>
              <w:rPr>
                <w:spacing w:val="0"/>
                <w:sz w:val="18"/>
                <w:szCs w:val="18"/>
              </w:rPr>
            </w:pPr>
            <w:r>
              <w:rPr>
                <w:spacing w:val="0"/>
                <w:sz w:val="18"/>
                <w:szCs w:val="18"/>
              </w:rPr>
              <w:t>25</w:t>
            </w:r>
            <w:r w:rsidRPr="002732DD">
              <w:rPr>
                <w:spacing w:val="0"/>
                <w:sz w:val="18"/>
                <w:szCs w:val="18"/>
              </w:rPr>
              <w:t>%</w:t>
            </w:r>
            <w:r>
              <w:rPr>
                <w:spacing w:val="0"/>
                <w:sz w:val="18"/>
                <w:szCs w:val="18"/>
              </w:rPr>
              <w:t>*</w:t>
            </w:r>
          </w:p>
        </w:tc>
      </w:tr>
      <w:tr w:rsidR="00A3501B" w:rsidRPr="002732DD" w14:paraId="58544B5C" w14:textId="77777777" w:rsidTr="00BB366C">
        <w:trPr>
          <w:trHeight w:val="300"/>
        </w:trPr>
        <w:tc>
          <w:tcPr>
            <w:tcW w:w="846" w:type="dxa"/>
            <w:noWrap/>
            <w:vAlign w:val="center"/>
            <w:hideMark/>
          </w:tcPr>
          <w:p w14:paraId="238F1C48" w14:textId="77777777" w:rsidR="00A3501B" w:rsidRPr="002732DD" w:rsidRDefault="00A3501B" w:rsidP="00BB366C">
            <w:pPr>
              <w:jc w:val="center"/>
              <w:rPr>
                <w:spacing w:val="0"/>
                <w:sz w:val="18"/>
                <w:szCs w:val="18"/>
              </w:rPr>
            </w:pPr>
            <w:r w:rsidRPr="002732DD">
              <w:rPr>
                <w:spacing w:val="0"/>
                <w:sz w:val="18"/>
                <w:szCs w:val="18"/>
              </w:rPr>
              <w:t>26</w:t>
            </w:r>
          </w:p>
        </w:tc>
        <w:tc>
          <w:tcPr>
            <w:tcW w:w="7500" w:type="dxa"/>
            <w:vAlign w:val="center"/>
            <w:hideMark/>
          </w:tcPr>
          <w:p w14:paraId="443CBF5C" w14:textId="77777777" w:rsidR="00A3501B" w:rsidRPr="002732DD" w:rsidRDefault="00A3501B" w:rsidP="00BB366C">
            <w:pPr>
              <w:jc w:val="center"/>
              <w:rPr>
                <w:spacing w:val="0"/>
                <w:sz w:val="18"/>
                <w:szCs w:val="18"/>
              </w:rPr>
            </w:pPr>
            <w:r w:rsidRPr="002732DD">
              <w:rPr>
                <w:spacing w:val="0"/>
                <w:sz w:val="18"/>
                <w:szCs w:val="18"/>
              </w:rPr>
              <w:t>Bonos con plazo mayor o igual a 1 año</w:t>
            </w:r>
          </w:p>
        </w:tc>
        <w:tc>
          <w:tcPr>
            <w:tcW w:w="767" w:type="dxa"/>
            <w:vAlign w:val="center"/>
            <w:hideMark/>
          </w:tcPr>
          <w:p w14:paraId="69861804" w14:textId="77777777" w:rsidR="00A3501B" w:rsidRPr="002732DD" w:rsidRDefault="00A3501B" w:rsidP="00BB366C">
            <w:pPr>
              <w:jc w:val="center"/>
              <w:rPr>
                <w:spacing w:val="0"/>
                <w:sz w:val="18"/>
                <w:szCs w:val="18"/>
              </w:rPr>
            </w:pPr>
            <w:r w:rsidRPr="002732DD">
              <w:rPr>
                <w:spacing w:val="0"/>
                <w:sz w:val="18"/>
                <w:szCs w:val="18"/>
              </w:rPr>
              <w:t>100%</w:t>
            </w:r>
          </w:p>
        </w:tc>
      </w:tr>
      <w:tr w:rsidR="00A3501B" w:rsidRPr="002732DD" w14:paraId="463EE5DC" w14:textId="77777777" w:rsidTr="00BB366C">
        <w:trPr>
          <w:trHeight w:val="300"/>
        </w:trPr>
        <w:tc>
          <w:tcPr>
            <w:tcW w:w="846" w:type="dxa"/>
            <w:noWrap/>
            <w:vAlign w:val="center"/>
            <w:hideMark/>
          </w:tcPr>
          <w:p w14:paraId="34DBF691" w14:textId="77777777" w:rsidR="00A3501B" w:rsidRPr="002732DD" w:rsidRDefault="00A3501B" w:rsidP="00BB366C">
            <w:pPr>
              <w:jc w:val="center"/>
              <w:rPr>
                <w:spacing w:val="0"/>
                <w:sz w:val="18"/>
                <w:szCs w:val="18"/>
              </w:rPr>
            </w:pPr>
            <w:r w:rsidRPr="002732DD">
              <w:rPr>
                <w:spacing w:val="0"/>
                <w:sz w:val="18"/>
                <w:szCs w:val="18"/>
              </w:rPr>
              <w:t>27</w:t>
            </w:r>
          </w:p>
        </w:tc>
        <w:tc>
          <w:tcPr>
            <w:tcW w:w="7500" w:type="dxa"/>
            <w:vAlign w:val="center"/>
            <w:hideMark/>
          </w:tcPr>
          <w:p w14:paraId="758EF2F6" w14:textId="77777777" w:rsidR="00A3501B" w:rsidRPr="002732DD" w:rsidRDefault="00A3501B" w:rsidP="00BB366C">
            <w:pPr>
              <w:jc w:val="center"/>
              <w:rPr>
                <w:spacing w:val="0"/>
                <w:sz w:val="18"/>
                <w:szCs w:val="18"/>
              </w:rPr>
            </w:pPr>
            <w:r w:rsidRPr="002732DD">
              <w:rPr>
                <w:spacing w:val="0"/>
                <w:sz w:val="18"/>
                <w:szCs w:val="18"/>
              </w:rPr>
              <w:t>Bonos y Papeles Comerciales con Plazo mayor o igual a 6 meses y menor a 1 año</w:t>
            </w:r>
          </w:p>
        </w:tc>
        <w:tc>
          <w:tcPr>
            <w:tcW w:w="767" w:type="dxa"/>
            <w:vAlign w:val="center"/>
            <w:hideMark/>
          </w:tcPr>
          <w:p w14:paraId="080BC2DA" w14:textId="77777777" w:rsidR="00A3501B" w:rsidRPr="002732DD" w:rsidRDefault="00A3501B" w:rsidP="00BB366C">
            <w:pPr>
              <w:jc w:val="center"/>
              <w:rPr>
                <w:spacing w:val="0"/>
                <w:sz w:val="18"/>
                <w:szCs w:val="18"/>
              </w:rPr>
            </w:pPr>
            <w:r w:rsidRPr="002732DD">
              <w:rPr>
                <w:spacing w:val="0"/>
                <w:sz w:val="18"/>
                <w:szCs w:val="18"/>
              </w:rPr>
              <w:t>95%</w:t>
            </w:r>
          </w:p>
        </w:tc>
      </w:tr>
      <w:tr w:rsidR="00A3501B" w:rsidRPr="002732DD" w14:paraId="5CE757EF" w14:textId="77777777" w:rsidTr="00BB366C">
        <w:trPr>
          <w:trHeight w:val="300"/>
        </w:trPr>
        <w:tc>
          <w:tcPr>
            <w:tcW w:w="846" w:type="dxa"/>
            <w:noWrap/>
            <w:vAlign w:val="center"/>
            <w:hideMark/>
          </w:tcPr>
          <w:p w14:paraId="7604F964" w14:textId="77777777" w:rsidR="00A3501B" w:rsidRPr="002732DD" w:rsidRDefault="00A3501B" w:rsidP="00BB366C">
            <w:pPr>
              <w:jc w:val="center"/>
              <w:rPr>
                <w:spacing w:val="0"/>
                <w:sz w:val="18"/>
                <w:szCs w:val="18"/>
              </w:rPr>
            </w:pPr>
            <w:r w:rsidRPr="002732DD">
              <w:rPr>
                <w:spacing w:val="0"/>
                <w:sz w:val="18"/>
                <w:szCs w:val="18"/>
              </w:rPr>
              <w:t>28</w:t>
            </w:r>
          </w:p>
        </w:tc>
        <w:tc>
          <w:tcPr>
            <w:tcW w:w="7500" w:type="dxa"/>
            <w:vAlign w:val="center"/>
            <w:hideMark/>
          </w:tcPr>
          <w:p w14:paraId="37E074AE" w14:textId="77777777" w:rsidR="00A3501B" w:rsidRPr="002732DD" w:rsidRDefault="00A3501B" w:rsidP="00BB366C">
            <w:pPr>
              <w:jc w:val="center"/>
              <w:rPr>
                <w:spacing w:val="0"/>
                <w:sz w:val="18"/>
                <w:szCs w:val="18"/>
              </w:rPr>
            </w:pPr>
            <w:r w:rsidRPr="002732DD">
              <w:rPr>
                <w:spacing w:val="0"/>
                <w:sz w:val="18"/>
                <w:szCs w:val="18"/>
              </w:rPr>
              <w:t>Bonos y Papeles Comerciales con plazo menor a 6 meses</w:t>
            </w:r>
          </w:p>
        </w:tc>
        <w:tc>
          <w:tcPr>
            <w:tcW w:w="767" w:type="dxa"/>
            <w:vAlign w:val="center"/>
            <w:hideMark/>
          </w:tcPr>
          <w:p w14:paraId="38E8FAB9" w14:textId="77777777" w:rsidR="00A3501B" w:rsidRPr="002732DD" w:rsidRDefault="00A3501B" w:rsidP="00BB366C">
            <w:pPr>
              <w:jc w:val="center"/>
              <w:rPr>
                <w:spacing w:val="0"/>
                <w:sz w:val="18"/>
                <w:szCs w:val="18"/>
              </w:rPr>
            </w:pPr>
            <w:r w:rsidRPr="002732DD">
              <w:rPr>
                <w:spacing w:val="0"/>
                <w:sz w:val="18"/>
                <w:szCs w:val="18"/>
              </w:rPr>
              <w:t>50%</w:t>
            </w:r>
          </w:p>
        </w:tc>
      </w:tr>
      <w:tr w:rsidR="00A3501B" w:rsidRPr="002732DD" w14:paraId="527267EB" w14:textId="77777777" w:rsidTr="00BB366C">
        <w:trPr>
          <w:trHeight w:val="300"/>
        </w:trPr>
        <w:tc>
          <w:tcPr>
            <w:tcW w:w="846" w:type="dxa"/>
            <w:noWrap/>
            <w:vAlign w:val="center"/>
            <w:hideMark/>
          </w:tcPr>
          <w:p w14:paraId="322545AA" w14:textId="77777777" w:rsidR="00A3501B" w:rsidRPr="002732DD" w:rsidRDefault="00A3501B" w:rsidP="00BB366C">
            <w:pPr>
              <w:jc w:val="center"/>
              <w:rPr>
                <w:spacing w:val="0"/>
                <w:sz w:val="18"/>
                <w:szCs w:val="18"/>
              </w:rPr>
            </w:pPr>
            <w:r w:rsidRPr="002732DD">
              <w:rPr>
                <w:spacing w:val="0"/>
                <w:sz w:val="18"/>
                <w:szCs w:val="18"/>
              </w:rPr>
              <w:t>29</w:t>
            </w:r>
          </w:p>
        </w:tc>
        <w:tc>
          <w:tcPr>
            <w:tcW w:w="7500" w:type="dxa"/>
            <w:vAlign w:val="center"/>
            <w:hideMark/>
          </w:tcPr>
          <w:p w14:paraId="5AEE5C6E" w14:textId="77777777" w:rsidR="00A3501B" w:rsidRPr="002732DD" w:rsidRDefault="00A3501B" w:rsidP="00BB366C">
            <w:pPr>
              <w:jc w:val="center"/>
              <w:rPr>
                <w:spacing w:val="0"/>
                <w:sz w:val="18"/>
                <w:szCs w:val="18"/>
              </w:rPr>
            </w:pPr>
            <w:r w:rsidRPr="002732DD">
              <w:rPr>
                <w:spacing w:val="0"/>
                <w:sz w:val="18"/>
                <w:szCs w:val="18"/>
              </w:rPr>
              <w:t>Créditos y Otras Obligaciones Financieras con plazo mayor o igual a 1 año</w:t>
            </w:r>
          </w:p>
        </w:tc>
        <w:tc>
          <w:tcPr>
            <w:tcW w:w="767" w:type="dxa"/>
            <w:vAlign w:val="center"/>
            <w:hideMark/>
          </w:tcPr>
          <w:p w14:paraId="055CC15B" w14:textId="77777777" w:rsidR="00A3501B" w:rsidRPr="002732DD" w:rsidRDefault="00A3501B" w:rsidP="00BB366C">
            <w:pPr>
              <w:jc w:val="center"/>
              <w:rPr>
                <w:spacing w:val="0"/>
                <w:sz w:val="18"/>
                <w:szCs w:val="18"/>
              </w:rPr>
            </w:pPr>
            <w:r w:rsidRPr="002732DD">
              <w:rPr>
                <w:spacing w:val="0"/>
                <w:sz w:val="18"/>
                <w:szCs w:val="18"/>
              </w:rPr>
              <w:t>100%</w:t>
            </w:r>
          </w:p>
        </w:tc>
      </w:tr>
      <w:tr w:rsidR="00A3501B" w:rsidRPr="002732DD" w14:paraId="067E5A5B" w14:textId="77777777" w:rsidTr="00BB366C">
        <w:trPr>
          <w:trHeight w:val="480"/>
        </w:trPr>
        <w:tc>
          <w:tcPr>
            <w:tcW w:w="846" w:type="dxa"/>
            <w:noWrap/>
            <w:vAlign w:val="center"/>
            <w:hideMark/>
          </w:tcPr>
          <w:p w14:paraId="0A09947E" w14:textId="77777777" w:rsidR="00A3501B" w:rsidRPr="002732DD" w:rsidRDefault="00A3501B" w:rsidP="00BB366C">
            <w:pPr>
              <w:jc w:val="center"/>
              <w:rPr>
                <w:spacing w:val="0"/>
                <w:sz w:val="18"/>
                <w:szCs w:val="18"/>
              </w:rPr>
            </w:pPr>
            <w:r w:rsidRPr="002732DD">
              <w:rPr>
                <w:spacing w:val="0"/>
                <w:sz w:val="18"/>
                <w:szCs w:val="18"/>
              </w:rPr>
              <w:t>30</w:t>
            </w:r>
          </w:p>
        </w:tc>
        <w:tc>
          <w:tcPr>
            <w:tcW w:w="7500" w:type="dxa"/>
            <w:vAlign w:val="center"/>
            <w:hideMark/>
          </w:tcPr>
          <w:p w14:paraId="2C924B64" w14:textId="77777777" w:rsidR="00A3501B" w:rsidRPr="002732DD" w:rsidRDefault="00A3501B" w:rsidP="00BB366C">
            <w:pPr>
              <w:jc w:val="center"/>
              <w:rPr>
                <w:spacing w:val="0"/>
                <w:sz w:val="18"/>
                <w:szCs w:val="18"/>
              </w:rPr>
            </w:pPr>
            <w:r w:rsidRPr="002732DD">
              <w:rPr>
                <w:spacing w:val="0"/>
                <w:sz w:val="18"/>
                <w:szCs w:val="18"/>
              </w:rPr>
              <w:t>Créditos y Otras Obligaciones Financieras con Multilaterales, Soberanos, Entidades Públicas y Bancas de Desarrollo con plazo menor a 6 meses</w:t>
            </w:r>
          </w:p>
        </w:tc>
        <w:tc>
          <w:tcPr>
            <w:tcW w:w="767" w:type="dxa"/>
            <w:vAlign w:val="center"/>
            <w:hideMark/>
          </w:tcPr>
          <w:p w14:paraId="0362F5DA" w14:textId="77777777" w:rsidR="00A3501B" w:rsidRPr="002732DD" w:rsidRDefault="00A3501B" w:rsidP="00BB366C">
            <w:pPr>
              <w:jc w:val="center"/>
              <w:rPr>
                <w:spacing w:val="0"/>
                <w:sz w:val="18"/>
                <w:szCs w:val="18"/>
              </w:rPr>
            </w:pPr>
            <w:r w:rsidRPr="002732DD">
              <w:rPr>
                <w:spacing w:val="0"/>
                <w:sz w:val="18"/>
                <w:szCs w:val="18"/>
              </w:rPr>
              <w:t>50%</w:t>
            </w:r>
          </w:p>
        </w:tc>
      </w:tr>
      <w:tr w:rsidR="00A3501B" w:rsidRPr="002732DD" w14:paraId="5AE2E2EB" w14:textId="77777777" w:rsidTr="00BB366C">
        <w:trPr>
          <w:trHeight w:val="480"/>
        </w:trPr>
        <w:tc>
          <w:tcPr>
            <w:tcW w:w="846" w:type="dxa"/>
            <w:noWrap/>
            <w:vAlign w:val="center"/>
            <w:hideMark/>
          </w:tcPr>
          <w:p w14:paraId="385D0457" w14:textId="77777777" w:rsidR="00A3501B" w:rsidRPr="002732DD" w:rsidRDefault="00A3501B" w:rsidP="00BB366C">
            <w:pPr>
              <w:jc w:val="center"/>
              <w:rPr>
                <w:spacing w:val="0"/>
                <w:sz w:val="18"/>
                <w:szCs w:val="18"/>
              </w:rPr>
            </w:pPr>
            <w:r w:rsidRPr="002732DD">
              <w:rPr>
                <w:spacing w:val="0"/>
                <w:sz w:val="18"/>
                <w:szCs w:val="18"/>
              </w:rPr>
              <w:t>31</w:t>
            </w:r>
          </w:p>
        </w:tc>
        <w:tc>
          <w:tcPr>
            <w:tcW w:w="7500" w:type="dxa"/>
            <w:vAlign w:val="center"/>
            <w:hideMark/>
          </w:tcPr>
          <w:p w14:paraId="637C48AF" w14:textId="77777777" w:rsidR="00A3501B" w:rsidRPr="002732DD" w:rsidRDefault="00A3501B" w:rsidP="00BB366C">
            <w:pPr>
              <w:jc w:val="center"/>
              <w:rPr>
                <w:spacing w:val="0"/>
                <w:sz w:val="18"/>
                <w:szCs w:val="18"/>
              </w:rPr>
            </w:pPr>
            <w:r w:rsidRPr="002732DD">
              <w:rPr>
                <w:spacing w:val="0"/>
                <w:sz w:val="18"/>
                <w:szCs w:val="18"/>
              </w:rPr>
              <w:t>Créditos y Otras Obligaciones Financieras con Multilaterales, Soberanos, Entidades Públicas y Bancas de Desarrollo con plazo mayor o igual a 6 meses y menor a 1 año</w:t>
            </w:r>
          </w:p>
        </w:tc>
        <w:tc>
          <w:tcPr>
            <w:tcW w:w="767" w:type="dxa"/>
            <w:vAlign w:val="center"/>
            <w:hideMark/>
          </w:tcPr>
          <w:p w14:paraId="31FD3B90" w14:textId="77777777" w:rsidR="00A3501B" w:rsidRPr="002732DD" w:rsidRDefault="00A3501B" w:rsidP="00BB366C">
            <w:pPr>
              <w:jc w:val="center"/>
              <w:rPr>
                <w:spacing w:val="0"/>
                <w:sz w:val="18"/>
                <w:szCs w:val="18"/>
              </w:rPr>
            </w:pPr>
            <w:r w:rsidRPr="002732DD">
              <w:rPr>
                <w:spacing w:val="0"/>
                <w:sz w:val="18"/>
                <w:szCs w:val="18"/>
              </w:rPr>
              <w:t>50%</w:t>
            </w:r>
          </w:p>
        </w:tc>
      </w:tr>
      <w:tr w:rsidR="00A3501B" w:rsidRPr="002732DD" w14:paraId="794653F2" w14:textId="77777777" w:rsidTr="00BB366C">
        <w:trPr>
          <w:trHeight w:val="300"/>
        </w:trPr>
        <w:tc>
          <w:tcPr>
            <w:tcW w:w="846" w:type="dxa"/>
            <w:noWrap/>
            <w:vAlign w:val="center"/>
            <w:hideMark/>
          </w:tcPr>
          <w:p w14:paraId="4D2848E2" w14:textId="77777777" w:rsidR="00A3501B" w:rsidRPr="002732DD" w:rsidRDefault="00A3501B" w:rsidP="00BB366C">
            <w:pPr>
              <w:jc w:val="center"/>
              <w:rPr>
                <w:spacing w:val="0"/>
                <w:sz w:val="18"/>
                <w:szCs w:val="18"/>
              </w:rPr>
            </w:pPr>
            <w:r w:rsidRPr="002732DD">
              <w:rPr>
                <w:spacing w:val="0"/>
                <w:sz w:val="18"/>
                <w:szCs w:val="18"/>
              </w:rPr>
              <w:t>32</w:t>
            </w:r>
          </w:p>
        </w:tc>
        <w:tc>
          <w:tcPr>
            <w:tcW w:w="7500" w:type="dxa"/>
            <w:vAlign w:val="center"/>
            <w:hideMark/>
          </w:tcPr>
          <w:p w14:paraId="1D80D514" w14:textId="77777777" w:rsidR="00A3501B" w:rsidRPr="002732DD" w:rsidRDefault="00A3501B" w:rsidP="00BB366C">
            <w:pPr>
              <w:jc w:val="center"/>
              <w:rPr>
                <w:spacing w:val="0"/>
                <w:sz w:val="18"/>
                <w:szCs w:val="18"/>
              </w:rPr>
            </w:pPr>
            <w:r w:rsidRPr="002732DD">
              <w:rPr>
                <w:spacing w:val="0"/>
                <w:sz w:val="18"/>
                <w:szCs w:val="18"/>
              </w:rPr>
              <w:t>Créditos y Otras Obligaciones Financieras con Bancos Centrales con plazo mayor o igual a 6 meses y menor a 1 año</w:t>
            </w:r>
          </w:p>
        </w:tc>
        <w:tc>
          <w:tcPr>
            <w:tcW w:w="767" w:type="dxa"/>
            <w:vAlign w:val="center"/>
            <w:hideMark/>
          </w:tcPr>
          <w:p w14:paraId="727B24F9" w14:textId="77777777" w:rsidR="00A3501B" w:rsidRPr="002732DD" w:rsidRDefault="00A3501B" w:rsidP="00BB366C">
            <w:pPr>
              <w:jc w:val="center"/>
              <w:rPr>
                <w:spacing w:val="0"/>
                <w:sz w:val="18"/>
                <w:szCs w:val="18"/>
              </w:rPr>
            </w:pPr>
            <w:r w:rsidRPr="002732DD">
              <w:rPr>
                <w:spacing w:val="0"/>
                <w:sz w:val="18"/>
                <w:szCs w:val="18"/>
              </w:rPr>
              <w:t>50%</w:t>
            </w:r>
          </w:p>
        </w:tc>
      </w:tr>
      <w:tr w:rsidR="00A3501B" w:rsidRPr="002732DD" w14:paraId="5F174A46" w14:textId="77777777" w:rsidTr="00BB366C">
        <w:trPr>
          <w:trHeight w:val="300"/>
        </w:trPr>
        <w:tc>
          <w:tcPr>
            <w:tcW w:w="846" w:type="dxa"/>
            <w:noWrap/>
            <w:vAlign w:val="center"/>
            <w:hideMark/>
          </w:tcPr>
          <w:p w14:paraId="1A0F75E9" w14:textId="77777777" w:rsidR="00A3501B" w:rsidRPr="002732DD" w:rsidRDefault="00A3501B" w:rsidP="00BB366C">
            <w:pPr>
              <w:jc w:val="center"/>
              <w:rPr>
                <w:spacing w:val="0"/>
                <w:sz w:val="18"/>
                <w:szCs w:val="18"/>
              </w:rPr>
            </w:pPr>
            <w:r w:rsidRPr="002732DD">
              <w:rPr>
                <w:spacing w:val="0"/>
                <w:sz w:val="18"/>
                <w:szCs w:val="18"/>
              </w:rPr>
              <w:t>33</w:t>
            </w:r>
          </w:p>
        </w:tc>
        <w:tc>
          <w:tcPr>
            <w:tcW w:w="7500" w:type="dxa"/>
            <w:vAlign w:val="center"/>
            <w:hideMark/>
          </w:tcPr>
          <w:p w14:paraId="5E2B1D05" w14:textId="77777777" w:rsidR="00A3501B" w:rsidRPr="002732DD" w:rsidRDefault="00A3501B" w:rsidP="00BB366C">
            <w:pPr>
              <w:jc w:val="center"/>
              <w:rPr>
                <w:spacing w:val="0"/>
                <w:sz w:val="18"/>
                <w:szCs w:val="18"/>
              </w:rPr>
            </w:pPr>
            <w:r w:rsidRPr="002732DD">
              <w:rPr>
                <w:spacing w:val="0"/>
                <w:sz w:val="18"/>
                <w:szCs w:val="18"/>
              </w:rPr>
              <w:t>Créditos y Otras Obligaciones Financieras con Instituciones Financieras con plazo mayor o igual a 6 meses y menor a 1 año</w:t>
            </w:r>
          </w:p>
        </w:tc>
        <w:tc>
          <w:tcPr>
            <w:tcW w:w="767" w:type="dxa"/>
            <w:vAlign w:val="center"/>
            <w:hideMark/>
          </w:tcPr>
          <w:p w14:paraId="37053D8E" w14:textId="77777777" w:rsidR="00A3501B" w:rsidRPr="002732DD" w:rsidRDefault="00A3501B" w:rsidP="00BB366C">
            <w:pPr>
              <w:jc w:val="center"/>
              <w:rPr>
                <w:spacing w:val="0"/>
                <w:sz w:val="18"/>
                <w:szCs w:val="18"/>
              </w:rPr>
            </w:pPr>
            <w:r w:rsidRPr="002732DD">
              <w:rPr>
                <w:spacing w:val="0"/>
                <w:sz w:val="18"/>
                <w:szCs w:val="18"/>
              </w:rPr>
              <w:t>50%</w:t>
            </w:r>
          </w:p>
        </w:tc>
      </w:tr>
      <w:tr w:rsidR="00A3501B" w:rsidRPr="002732DD" w14:paraId="50283E19" w14:textId="77777777" w:rsidTr="00BB366C">
        <w:trPr>
          <w:trHeight w:val="300"/>
        </w:trPr>
        <w:tc>
          <w:tcPr>
            <w:tcW w:w="846" w:type="dxa"/>
            <w:noWrap/>
            <w:vAlign w:val="center"/>
            <w:hideMark/>
          </w:tcPr>
          <w:p w14:paraId="1B894988" w14:textId="77777777" w:rsidR="00A3501B" w:rsidRPr="002732DD" w:rsidRDefault="00A3501B" w:rsidP="00BB366C">
            <w:pPr>
              <w:jc w:val="center"/>
              <w:rPr>
                <w:spacing w:val="0"/>
                <w:sz w:val="18"/>
                <w:szCs w:val="18"/>
              </w:rPr>
            </w:pPr>
            <w:r w:rsidRPr="002732DD">
              <w:rPr>
                <w:spacing w:val="0"/>
                <w:sz w:val="18"/>
                <w:szCs w:val="18"/>
              </w:rPr>
              <w:t>34</w:t>
            </w:r>
          </w:p>
        </w:tc>
        <w:tc>
          <w:tcPr>
            <w:tcW w:w="7500" w:type="dxa"/>
            <w:vAlign w:val="center"/>
            <w:hideMark/>
          </w:tcPr>
          <w:p w14:paraId="7CD6A1AC" w14:textId="77777777" w:rsidR="00A3501B" w:rsidRPr="002732DD" w:rsidRDefault="00A3501B" w:rsidP="00BB366C">
            <w:pPr>
              <w:jc w:val="center"/>
              <w:rPr>
                <w:spacing w:val="0"/>
                <w:sz w:val="18"/>
                <w:szCs w:val="18"/>
              </w:rPr>
            </w:pPr>
            <w:r w:rsidRPr="002732DD">
              <w:rPr>
                <w:spacing w:val="0"/>
                <w:sz w:val="18"/>
                <w:szCs w:val="18"/>
              </w:rPr>
              <w:t>Créditos y Otras Obligaciones Financieras con Otras Contrapartes con plazo mayor o igual a 6 meses y menor a 1 año</w:t>
            </w:r>
          </w:p>
        </w:tc>
        <w:tc>
          <w:tcPr>
            <w:tcW w:w="767" w:type="dxa"/>
            <w:vAlign w:val="center"/>
            <w:hideMark/>
          </w:tcPr>
          <w:p w14:paraId="51053753" w14:textId="77777777" w:rsidR="00A3501B" w:rsidRPr="002732DD" w:rsidRDefault="00A3501B" w:rsidP="00BB366C">
            <w:pPr>
              <w:jc w:val="center"/>
              <w:rPr>
                <w:spacing w:val="0"/>
                <w:sz w:val="18"/>
                <w:szCs w:val="18"/>
              </w:rPr>
            </w:pPr>
            <w:r w:rsidRPr="002732DD">
              <w:rPr>
                <w:spacing w:val="0"/>
                <w:sz w:val="18"/>
                <w:szCs w:val="18"/>
              </w:rPr>
              <w:t>50%</w:t>
            </w:r>
          </w:p>
        </w:tc>
      </w:tr>
      <w:tr w:rsidR="00A3501B" w:rsidRPr="002732DD" w14:paraId="51E96E1E" w14:textId="77777777" w:rsidTr="00BB366C">
        <w:trPr>
          <w:trHeight w:val="300"/>
        </w:trPr>
        <w:tc>
          <w:tcPr>
            <w:tcW w:w="846" w:type="dxa"/>
            <w:noWrap/>
            <w:vAlign w:val="center"/>
            <w:hideMark/>
          </w:tcPr>
          <w:p w14:paraId="32E321D8" w14:textId="77777777" w:rsidR="00A3501B" w:rsidRPr="002732DD" w:rsidRDefault="00A3501B" w:rsidP="00BB366C">
            <w:pPr>
              <w:jc w:val="center"/>
              <w:rPr>
                <w:spacing w:val="0"/>
                <w:sz w:val="18"/>
                <w:szCs w:val="18"/>
              </w:rPr>
            </w:pPr>
            <w:r w:rsidRPr="002732DD">
              <w:rPr>
                <w:spacing w:val="0"/>
                <w:sz w:val="18"/>
                <w:szCs w:val="18"/>
              </w:rPr>
              <w:t>35</w:t>
            </w:r>
          </w:p>
        </w:tc>
        <w:tc>
          <w:tcPr>
            <w:tcW w:w="7500" w:type="dxa"/>
            <w:vAlign w:val="center"/>
            <w:hideMark/>
          </w:tcPr>
          <w:p w14:paraId="4E96305D" w14:textId="77777777" w:rsidR="00A3501B" w:rsidRPr="002732DD" w:rsidRDefault="00A3501B" w:rsidP="00BB366C">
            <w:pPr>
              <w:jc w:val="center"/>
              <w:rPr>
                <w:spacing w:val="0"/>
                <w:sz w:val="18"/>
                <w:szCs w:val="18"/>
              </w:rPr>
            </w:pPr>
            <w:r w:rsidRPr="002732DD">
              <w:rPr>
                <w:spacing w:val="0"/>
                <w:sz w:val="18"/>
                <w:szCs w:val="18"/>
              </w:rPr>
              <w:t>Créditos y Otras Obligaciones Financieras con Bancos Centrales con plazo menor a 6 meses</w:t>
            </w:r>
          </w:p>
        </w:tc>
        <w:tc>
          <w:tcPr>
            <w:tcW w:w="767" w:type="dxa"/>
            <w:vAlign w:val="center"/>
            <w:hideMark/>
          </w:tcPr>
          <w:p w14:paraId="72CA31E7" w14:textId="77777777" w:rsidR="00A3501B" w:rsidRPr="002732DD" w:rsidRDefault="00A3501B" w:rsidP="00BB366C">
            <w:pPr>
              <w:jc w:val="center"/>
              <w:rPr>
                <w:spacing w:val="0"/>
                <w:sz w:val="18"/>
                <w:szCs w:val="18"/>
              </w:rPr>
            </w:pPr>
            <w:r w:rsidRPr="002732DD">
              <w:rPr>
                <w:spacing w:val="0"/>
                <w:sz w:val="18"/>
                <w:szCs w:val="18"/>
              </w:rPr>
              <w:t>0%</w:t>
            </w:r>
          </w:p>
        </w:tc>
      </w:tr>
      <w:tr w:rsidR="00A3501B" w:rsidRPr="002732DD" w14:paraId="51CC49F9" w14:textId="77777777" w:rsidTr="00BB366C">
        <w:trPr>
          <w:trHeight w:val="300"/>
        </w:trPr>
        <w:tc>
          <w:tcPr>
            <w:tcW w:w="846" w:type="dxa"/>
            <w:noWrap/>
            <w:vAlign w:val="center"/>
            <w:hideMark/>
          </w:tcPr>
          <w:p w14:paraId="033250D7" w14:textId="77777777" w:rsidR="00A3501B" w:rsidRPr="002732DD" w:rsidRDefault="00A3501B" w:rsidP="00BB366C">
            <w:pPr>
              <w:jc w:val="center"/>
              <w:rPr>
                <w:spacing w:val="0"/>
                <w:sz w:val="18"/>
                <w:szCs w:val="18"/>
              </w:rPr>
            </w:pPr>
            <w:r w:rsidRPr="002732DD">
              <w:rPr>
                <w:spacing w:val="0"/>
                <w:sz w:val="18"/>
                <w:szCs w:val="18"/>
              </w:rPr>
              <w:t>36</w:t>
            </w:r>
          </w:p>
        </w:tc>
        <w:tc>
          <w:tcPr>
            <w:tcW w:w="7500" w:type="dxa"/>
            <w:vAlign w:val="center"/>
            <w:hideMark/>
          </w:tcPr>
          <w:p w14:paraId="3C53F6B6" w14:textId="77777777" w:rsidR="00A3501B" w:rsidRPr="002732DD" w:rsidRDefault="00A3501B" w:rsidP="00BB366C">
            <w:pPr>
              <w:jc w:val="center"/>
              <w:rPr>
                <w:spacing w:val="0"/>
                <w:sz w:val="18"/>
                <w:szCs w:val="18"/>
              </w:rPr>
            </w:pPr>
            <w:r w:rsidRPr="002732DD">
              <w:rPr>
                <w:spacing w:val="0"/>
                <w:sz w:val="18"/>
                <w:szCs w:val="18"/>
              </w:rPr>
              <w:t>Créditos y Otras Obligaciones Financieras con Instituciones Financieras con plazo menor a 6 meses</w:t>
            </w:r>
          </w:p>
        </w:tc>
        <w:tc>
          <w:tcPr>
            <w:tcW w:w="767" w:type="dxa"/>
            <w:vAlign w:val="center"/>
            <w:hideMark/>
          </w:tcPr>
          <w:p w14:paraId="7C2C7D35" w14:textId="77777777" w:rsidR="00A3501B" w:rsidRPr="002732DD" w:rsidRDefault="00A3501B" w:rsidP="00BB366C">
            <w:pPr>
              <w:jc w:val="center"/>
              <w:rPr>
                <w:spacing w:val="0"/>
                <w:sz w:val="18"/>
                <w:szCs w:val="18"/>
              </w:rPr>
            </w:pPr>
            <w:r w:rsidRPr="002732DD">
              <w:rPr>
                <w:spacing w:val="0"/>
                <w:sz w:val="18"/>
                <w:szCs w:val="18"/>
              </w:rPr>
              <w:t>0%</w:t>
            </w:r>
          </w:p>
        </w:tc>
      </w:tr>
      <w:tr w:rsidR="00A3501B" w:rsidRPr="002732DD" w14:paraId="72C27650" w14:textId="77777777" w:rsidTr="00BB366C">
        <w:trPr>
          <w:trHeight w:val="300"/>
        </w:trPr>
        <w:tc>
          <w:tcPr>
            <w:tcW w:w="846" w:type="dxa"/>
            <w:noWrap/>
            <w:vAlign w:val="center"/>
            <w:hideMark/>
          </w:tcPr>
          <w:p w14:paraId="253EA8B4" w14:textId="77777777" w:rsidR="00A3501B" w:rsidRPr="002732DD" w:rsidRDefault="00A3501B" w:rsidP="00BB366C">
            <w:pPr>
              <w:jc w:val="center"/>
              <w:rPr>
                <w:spacing w:val="0"/>
                <w:sz w:val="18"/>
                <w:szCs w:val="18"/>
              </w:rPr>
            </w:pPr>
            <w:r w:rsidRPr="002732DD">
              <w:rPr>
                <w:spacing w:val="0"/>
                <w:sz w:val="18"/>
                <w:szCs w:val="18"/>
              </w:rPr>
              <w:t>37</w:t>
            </w:r>
          </w:p>
        </w:tc>
        <w:tc>
          <w:tcPr>
            <w:tcW w:w="7500" w:type="dxa"/>
            <w:vAlign w:val="center"/>
            <w:hideMark/>
          </w:tcPr>
          <w:p w14:paraId="6FDAD3A9" w14:textId="77777777" w:rsidR="00A3501B" w:rsidRPr="002732DD" w:rsidRDefault="00A3501B" w:rsidP="00BB366C">
            <w:pPr>
              <w:jc w:val="center"/>
              <w:rPr>
                <w:spacing w:val="0"/>
                <w:sz w:val="18"/>
                <w:szCs w:val="18"/>
              </w:rPr>
            </w:pPr>
            <w:r w:rsidRPr="002732DD">
              <w:rPr>
                <w:spacing w:val="0"/>
                <w:sz w:val="18"/>
                <w:szCs w:val="18"/>
              </w:rPr>
              <w:t>Créditos y Otras Obligaciones Financieras con Otras Contrapartes con plazo menor a 6 meses</w:t>
            </w:r>
          </w:p>
        </w:tc>
        <w:tc>
          <w:tcPr>
            <w:tcW w:w="767" w:type="dxa"/>
            <w:vAlign w:val="center"/>
            <w:hideMark/>
          </w:tcPr>
          <w:p w14:paraId="38F6E52B" w14:textId="77777777" w:rsidR="00A3501B" w:rsidRPr="002732DD" w:rsidRDefault="00A3501B" w:rsidP="00BB366C">
            <w:pPr>
              <w:jc w:val="center"/>
              <w:rPr>
                <w:spacing w:val="0"/>
                <w:sz w:val="18"/>
                <w:szCs w:val="18"/>
              </w:rPr>
            </w:pPr>
            <w:r w:rsidRPr="002732DD">
              <w:rPr>
                <w:spacing w:val="0"/>
                <w:sz w:val="18"/>
                <w:szCs w:val="18"/>
              </w:rPr>
              <w:t>0%</w:t>
            </w:r>
          </w:p>
        </w:tc>
      </w:tr>
      <w:tr w:rsidR="00A3501B" w:rsidRPr="002732DD" w14:paraId="4B6A68C7" w14:textId="77777777" w:rsidTr="00BB366C">
        <w:trPr>
          <w:trHeight w:val="300"/>
        </w:trPr>
        <w:tc>
          <w:tcPr>
            <w:tcW w:w="846" w:type="dxa"/>
            <w:noWrap/>
            <w:vAlign w:val="center"/>
            <w:hideMark/>
          </w:tcPr>
          <w:p w14:paraId="2941D725" w14:textId="77777777" w:rsidR="00A3501B" w:rsidRPr="002732DD" w:rsidRDefault="00A3501B" w:rsidP="00BB366C">
            <w:pPr>
              <w:jc w:val="center"/>
              <w:rPr>
                <w:spacing w:val="0"/>
                <w:sz w:val="18"/>
                <w:szCs w:val="18"/>
              </w:rPr>
            </w:pPr>
            <w:r w:rsidRPr="002732DD">
              <w:rPr>
                <w:spacing w:val="0"/>
                <w:sz w:val="18"/>
                <w:szCs w:val="18"/>
              </w:rPr>
              <w:t>38</w:t>
            </w:r>
          </w:p>
        </w:tc>
        <w:tc>
          <w:tcPr>
            <w:tcW w:w="7500" w:type="dxa"/>
            <w:vAlign w:val="center"/>
            <w:hideMark/>
          </w:tcPr>
          <w:p w14:paraId="5DE7787D" w14:textId="77777777" w:rsidR="00A3501B" w:rsidRPr="002732DD" w:rsidRDefault="00A3501B" w:rsidP="00BB366C">
            <w:pPr>
              <w:jc w:val="center"/>
              <w:rPr>
                <w:spacing w:val="0"/>
                <w:sz w:val="18"/>
                <w:szCs w:val="18"/>
              </w:rPr>
            </w:pPr>
            <w:r w:rsidRPr="002732DD">
              <w:rPr>
                <w:spacing w:val="0"/>
                <w:sz w:val="18"/>
                <w:szCs w:val="18"/>
              </w:rPr>
              <w:t>Pasivo por impuesto diferido</w:t>
            </w:r>
          </w:p>
        </w:tc>
        <w:tc>
          <w:tcPr>
            <w:tcW w:w="767" w:type="dxa"/>
            <w:vAlign w:val="center"/>
            <w:hideMark/>
          </w:tcPr>
          <w:p w14:paraId="14062948" w14:textId="77777777" w:rsidR="00A3501B" w:rsidRPr="002732DD" w:rsidRDefault="00A3501B" w:rsidP="00BB366C">
            <w:pPr>
              <w:jc w:val="center"/>
              <w:rPr>
                <w:spacing w:val="0"/>
                <w:sz w:val="18"/>
                <w:szCs w:val="18"/>
              </w:rPr>
            </w:pPr>
            <w:r w:rsidRPr="002732DD">
              <w:rPr>
                <w:spacing w:val="0"/>
                <w:sz w:val="18"/>
                <w:szCs w:val="18"/>
              </w:rPr>
              <w:t>0%</w:t>
            </w:r>
          </w:p>
        </w:tc>
      </w:tr>
      <w:tr w:rsidR="00A3501B" w:rsidRPr="002732DD" w14:paraId="74A2FF36" w14:textId="77777777" w:rsidTr="00BB366C">
        <w:trPr>
          <w:trHeight w:val="480"/>
        </w:trPr>
        <w:tc>
          <w:tcPr>
            <w:tcW w:w="846" w:type="dxa"/>
            <w:noWrap/>
            <w:vAlign w:val="center"/>
            <w:hideMark/>
          </w:tcPr>
          <w:p w14:paraId="4C4267EB" w14:textId="77777777" w:rsidR="00A3501B" w:rsidRPr="002732DD" w:rsidRDefault="00A3501B" w:rsidP="00BB366C">
            <w:pPr>
              <w:jc w:val="center"/>
              <w:rPr>
                <w:spacing w:val="0"/>
                <w:sz w:val="18"/>
                <w:szCs w:val="18"/>
              </w:rPr>
            </w:pPr>
            <w:r w:rsidRPr="002732DD">
              <w:rPr>
                <w:spacing w:val="0"/>
                <w:sz w:val="18"/>
                <w:szCs w:val="18"/>
              </w:rPr>
              <w:t>39</w:t>
            </w:r>
          </w:p>
        </w:tc>
        <w:tc>
          <w:tcPr>
            <w:tcW w:w="7500" w:type="dxa"/>
            <w:vAlign w:val="center"/>
            <w:hideMark/>
          </w:tcPr>
          <w:p w14:paraId="2A99831B" w14:textId="77777777" w:rsidR="00A3501B" w:rsidRPr="002732DD" w:rsidRDefault="00A3501B" w:rsidP="00BB366C">
            <w:pPr>
              <w:jc w:val="center"/>
              <w:rPr>
                <w:spacing w:val="0"/>
                <w:sz w:val="18"/>
                <w:szCs w:val="18"/>
              </w:rPr>
            </w:pPr>
            <w:r w:rsidRPr="002732DD">
              <w:rPr>
                <w:spacing w:val="0"/>
                <w:sz w:val="18"/>
                <w:szCs w:val="18"/>
              </w:rPr>
              <w:t>Derivados pasivos a efectos del CFEN netos de derivados activos a efectos del CFEN si los primeros son superiores a los segundos</w:t>
            </w:r>
          </w:p>
        </w:tc>
        <w:tc>
          <w:tcPr>
            <w:tcW w:w="767" w:type="dxa"/>
            <w:vAlign w:val="center"/>
            <w:hideMark/>
          </w:tcPr>
          <w:p w14:paraId="5E476964" w14:textId="77777777" w:rsidR="00A3501B" w:rsidRPr="002732DD" w:rsidRDefault="00A3501B" w:rsidP="00BB366C">
            <w:pPr>
              <w:jc w:val="center"/>
              <w:rPr>
                <w:spacing w:val="0"/>
                <w:sz w:val="18"/>
                <w:szCs w:val="18"/>
              </w:rPr>
            </w:pPr>
            <w:r w:rsidRPr="002732DD">
              <w:rPr>
                <w:spacing w:val="0"/>
                <w:sz w:val="18"/>
                <w:szCs w:val="18"/>
              </w:rPr>
              <w:t>0%</w:t>
            </w:r>
          </w:p>
        </w:tc>
      </w:tr>
    </w:tbl>
    <w:p w14:paraId="2C25AB50" w14:textId="77777777" w:rsidR="00A3501B" w:rsidRDefault="00A3501B" w:rsidP="00A3501B">
      <w:pPr>
        <w:jc w:val="both"/>
        <w:rPr>
          <w:spacing w:val="0"/>
          <w:sz w:val="18"/>
          <w:szCs w:val="18"/>
          <w:highlight w:val="yellow"/>
          <w:lang w:val="es-CO"/>
        </w:rPr>
      </w:pPr>
    </w:p>
    <w:p w14:paraId="3C29D6BB" w14:textId="23FD2DB3" w:rsidR="00A3501B" w:rsidRPr="00F45664" w:rsidRDefault="00A3501B" w:rsidP="00C057ED">
      <w:pPr>
        <w:pBdr>
          <w:left w:val="single" w:sz="4" w:space="4" w:color="auto"/>
        </w:pBdr>
        <w:jc w:val="both"/>
        <w:rPr>
          <w:spacing w:val="0"/>
          <w:sz w:val="18"/>
          <w:szCs w:val="18"/>
          <w:lang w:val="es-CO"/>
        </w:rPr>
      </w:pPr>
      <w:r w:rsidRPr="00F45664">
        <w:rPr>
          <w:spacing w:val="0"/>
          <w:sz w:val="18"/>
          <w:szCs w:val="18"/>
          <w:lang w:val="es-CO"/>
        </w:rPr>
        <w:t xml:space="preserve">*Para estos rubros, el factor será de 0% a partir del corte del </w:t>
      </w:r>
      <w:r w:rsidRPr="00C057ED">
        <w:rPr>
          <w:b/>
          <w:bCs/>
          <w:spacing w:val="0"/>
          <w:sz w:val="18"/>
          <w:szCs w:val="18"/>
          <w:lang w:val="es-CO"/>
        </w:rPr>
        <w:t>31 de marzo de 202</w:t>
      </w:r>
      <w:r w:rsidR="00C057ED" w:rsidRPr="00C057ED">
        <w:rPr>
          <w:b/>
          <w:bCs/>
          <w:spacing w:val="0"/>
          <w:sz w:val="18"/>
          <w:szCs w:val="18"/>
          <w:lang w:val="es-CO"/>
        </w:rPr>
        <w:t>3</w:t>
      </w:r>
      <w:r w:rsidRPr="00C057ED">
        <w:rPr>
          <w:b/>
          <w:bCs/>
          <w:spacing w:val="0"/>
          <w:sz w:val="18"/>
          <w:szCs w:val="18"/>
          <w:lang w:val="es-CO"/>
        </w:rPr>
        <w:t>.</w:t>
      </w:r>
    </w:p>
    <w:p w14:paraId="2C1FA664" w14:textId="77777777" w:rsidR="00A3501B" w:rsidRPr="00F45664" w:rsidRDefault="00A3501B" w:rsidP="00A3501B">
      <w:pPr>
        <w:jc w:val="both"/>
        <w:rPr>
          <w:b/>
          <w:spacing w:val="0"/>
          <w:sz w:val="18"/>
          <w:szCs w:val="18"/>
          <w:lang w:val="es-CO"/>
        </w:rPr>
      </w:pPr>
    </w:p>
    <w:p w14:paraId="553F17BA" w14:textId="77777777" w:rsidR="00A3501B" w:rsidRPr="002F042A" w:rsidRDefault="00A3501B" w:rsidP="00A3501B">
      <w:pPr>
        <w:jc w:val="both"/>
        <w:rPr>
          <w:b/>
          <w:spacing w:val="0"/>
          <w:sz w:val="18"/>
          <w:szCs w:val="18"/>
          <w:lang w:val="es-CO"/>
        </w:rPr>
      </w:pPr>
      <w:r w:rsidRPr="00F45664">
        <w:rPr>
          <w:b/>
          <w:spacing w:val="0"/>
          <w:sz w:val="18"/>
          <w:szCs w:val="18"/>
          <w:lang w:val="es-CO"/>
        </w:rPr>
        <w:t>2.1.2 Tratamiento de los derivados pasivos</w:t>
      </w:r>
      <w:r w:rsidR="00061194" w:rsidRPr="00F45664">
        <w:rPr>
          <w:b/>
          <w:spacing w:val="0"/>
          <w:sz w:val="18"/>
          <w:szCs w:val="18"/>
          <w:lang w:val="es-CO"/>
        </w:rPr>
        <w:t xml:space="preserve"> para efectos del FED</w:t>
      </w:r>
    </w:p>
    <w:p w14:paraId="707E2CC2" w14:textId="77777777" w:rsidR="00A3501B" w:rsidRDefault="00A3501B" w:rsidP="00A3501B">
      <w:pPr>
        <w:jc w:val="both"/>
        <w:rPr>
          <w:spacing w:val="0"/>
          <w:sz w:val="18"/>
          <w:szCs w:val="18"/>
          <w:lang w:val="es-CO"/>
        </w:rPr>
      </w:pPr>
    </w:p>
    <w:p w14:paraId="7E7852BE" w14:textId="5F655AA3" w:rsidR="00E57EFD" w:rsidRDefault="00A3501B" w:rsidP="009D1144">
      <w:pPr>
        <w:jc w:val="both"/>
        <w:rPr>
          <w:sz w:val="18"/>
          <w:szCs w:val="18"/>
          <w:lang w:val="es-CO"/>
        </w:rPr>
      </w:pPr>
      <w:r>
        <w:rPr>
          <w:spacing w:val="0"/>
          <w:sz w:val="18"/>
          <w:szCs w:val="18"/>
          <w:lang w:val="es-CO"/>
        </w:rPr>
        <w:t xml:space="preserve">Los derivados pasivos se calculan con base en su valor razonable. Para calcular el monto de los derivados pasivos para efectos del FED, primero deben descontarse las garantías totales constituidas por concepto de margen de variación y posteriormente hacerse el neteo con el monto de derivados activos (calculados con base en el numeral 2.2.2 del presente anexo), siempre y cuando el monto pasivo sea superior al monto activo. En caso contrario, el monto de derivados pasivos para efectos del FED será </w:t>
      </w:r>
      <w:r w:rsidR="00DB3030">
        <w:rPr>
          <w:spacing w:val="0"/>
          <w:sz w:val="18"/>
          <w:szCs w:val="18"/>
          <w:lang w:val="es-CO"/>
        </w:rPr>
        <w:t>cero.</w:t>
      </w:r>
    </w:p>
    <w:p w14:paraId="50E4CF56" w14:textId="77777777" w:rsidR="00E57EFD" w:rsidRPr="00E57EFD" w:rsidRDefault="00E57EFD" w:rsidP="00E57EFD">
      <w:pPr>
        <w:rPr>
          <w:sz w:val="18"/>
          <w:szCs w:val="18"/>
          <w:lang w:val="es-CO"/>
        </w:rPr>
      </w:pPr>
    </w:p>
    <w:p w14:paraId="4E531AFF" w14:textId="74F2F4B9" w:rsidR="00E57EFD" w:rsidRDefault="00E57EFD" w:rsidP="00E57EFD">
      <w:pPr>
        <w:rPr>
          <w:sz w:val="18"/>
          <w:szCs w:val="18"/>
          <w:lang w:val="es-CO"/>
        </w:rPr>
      </w:pPr>
    </w:p>
    <w:p w14:paraId="27A35F49" w14:textId="77777777" w:rsidR="00DB3030" w:rsidRPr="00E57EFD" w:rsidRDefault="00DB3030" w:rsidP="00E57EFD">
      <w:pPr>
        <w:ind w:firstLine="708"/>
        <w:rPr>
          <w:sz w:val="18"/>
          <w:szCs w:val="18"/>
          <w:lang w:val="es-CO"/>
        </w:rPr>
      </w:pPr>
    </w:p>
    <w:sectPr w:rsidR="00DB3030" w:rsidRPr="00E57EFD" w:rsidSect="00E57EFD">
      <w:headerReference w:type="even" r:id="rId8"/>
      <w:headerReference w:type="default" r:id="rId9"/>
      <w:footerReference w:type="even" r:id="rId10"/>
      <w:footerReference w:type="default" r:id="rId11"/>
      <w:headerReference w:type="first" r:id="rId12"/>
      <w:footerReference w:type="first" r:id="rId13"/>
      <w:pgSz w:w="12242" w:h="18722" w:code="14"/>
      <w:pgMar w:top="1701" w:right="1418" w:bottom="851" w:left="1701" w:header="567" w:footer="806" w:gutter="0"/>
      <w:paperSrc w:first="2" w:other="2"/>
      <w:pgNumType w:start="3"/>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4995C" w14:textId="77777777" w:rsidR="00F51908" w:rsidRDefault="00F51908" w:rsidP="00A3501B">
      <w:r>
        <w:separator/>
      </w:r>
    </w:p>
  </w:endnote>
  <w:endnote w:type="continuationSeparator" w:id="0">
    <w:p w14:paraId="17AB2DC0" w14:textId="77777777" w:rsidR="00F51908" w:rsidRDefault="00F51908" w:rsidP="00A35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B7D8C" w14:textId="77777777" w:rsidR="005975C2" w:rsidRDefault="005975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7B98F" w14:textId="28FF4764" w:rsidR="00150ABF" w:rsidRPr="00044A2F" w:rsidRDefault="00150ABF" w:rsidP="00150ABF">
    <w:pPr>
      <w:jc w:val="both"/>
      <w:outlineLvl w:val="0"/>
      <w:rPr>
        <w:b/>
        <w:bCs/>
        <w:spacing w:val="0"/>
        <w:sz w:val="18"/>
        <w:szCs w:val="18"/>
      </w:rPr>
    </w:pPr>
    <w:r w:rsidRPr="00F93DB1">
      <w:rPr>
        <w:rStyle w:val="Nmerodepgina"/>
        <w:b/>
        <w:bCs/>
        <w:spacing w:val="0"/>
        <w:sz w:val="18"/>
        <w:szCs w:val="18"/>
      </w:rPr>
      <w:t>Anexo I</w:t>
    </w:r>
    <w:r>
      <w:rPr>
        <w:rStyle w:val="Nmerodepgina"/>
        <w:b/>
        <w:bCs/>
        <w:spacing w:val="0"/>
        <w:sz w:val="18"/>
        <w:szCs w:val="18"/>
      </w:rPr>
      <w:t xml:space="preserve"> </w:t>
    </w:r>
    <w:r w:rsidRPr="00F93DB1">
      <w:rPr>
        <w:rStyle w:val="Nmerodepgina"/>
        <w:b/>
        <w:bCs/>
        <w:spacing w:val="0"/>
        <w:sz w:val="20"/>
        <w:szCs w:val="20"/>
      </w:rPr>
      <w:t>-</w:t>
    </w:r>
    <w:r>
      <w:rPr>
        <w:rStyle w:val="Nmerodepgina"/>
        <w:b/>
        <w:bCs/>
        <w:spacing w:val="0"/>
        <w:sz w:val="20"/>
        <w:szCs w:val="20"/>
      </w:rPr>
      <w:t xml:space="preserve"> </w:t>
    </w:r>
    <w:r w:rsidRPr="00F93DB1">
      <w:rPr>
        <w:rStyle w:val="Nmerodepgina"/>
        <w:b/>
        <w:bCs/>
        <w:spacing w:val="0"/>
        <w:sz w:val="20"/>
        <w:szCs w:val="20"/>
      </w:rPr>
      <w:t>M</w:t>
    </w:r>
    <w:r w:rsidRPr="00044A2F">
      <w:rPr>
        <w:b/>
        <w:bCs/>
        <w:spacing w:val="0"/>
        <w:sz w:val="18"/>
        <w:szCs w:val="18"/>
      </w:rPr>
      <w:t xml:space="preserve">etodología para la </w:t>
    </w:r>
    <w:r>
      <w:rPr>
        <w:b/>
        <w:bCs/>
        <w:spacing w:val="0"/>
        <w:sz w:val="18"/>
        <w:szCs w:val="18"/>
      </w:rPr>
      <w:t>medición y reporte estándar</w:t>
    </w:r>
    <w:r w:rsidRPr="00044A2F">
      <w:rPr>
        <w:b/>
        <w:bCs/>
        <w:spacing w:val="0"/>
        <w:sz w:val="18"/>
        <w:szCs w:val="18"/>
      </w:rPr>
      <w:t xml:space="preserve"> del </w:t>
    </w:r>
    <w:r>
      <w:rPr>
        <w:b/>
        <w:bCs/>
        <w:spacing w:val="0"/>
        <w:sz w:val="18"/>
        <w:szCs w:val="18"/>
      </w:rPr>
      <w:t>Coeficiente de Financiación Estable Neto (CFEN)</w:t>
    </w:r>
  </w:p>
  <w:p w14:paraId="737675D1" w14:textId="77777777" w:rsidR="00150ABF" w:rsidRPr="00CD01DC" w:rsidRDefault="00150ABF" w:rsidP="00150ABF">
    <w:pPr>
      <w:pStyle w:val="Piedepgina"/>
      <w:rPr>
        <w:rStyle w:val="Nmerodepgina"/>
        <w:b/>
        <w:bCs/>
        <w:spacing w:val="0"/>
        <w:sz w:val="20"/>
        <w:szCs w:val="20"/>
      </w:rPr>
    </w:pPr>
  </w:p>
  <w:p w14:paraId="2292CF16" w14:textId="6DF38B8A" w:rsidR="00150ABF" w:rsidRPr="001A3E3E" w:rsidRDefault="00150ABF" w:rsidP="00150ABF">
    <w:pPr>
      <w:pStyle w:val="Piedepgina"/>
      <w:rPr>
        <w:sz w:val="18"/>
        <w:szCs w:val="18"/>
        <w:lang w:val="pt-BR"/>
      </w:rPr>
    </w:pPr>
    <w:r w:rsidRPr="00953A58">
      <w:rPr>
        <w:rStyle w:val="Nmerodepgina"/>
        <w:b/>
        <w:bCs/>
        <w:spacing w:val="0"/>
        <w:sz w:val="18"/>
        <w:szCs w:val="18"/>
        <w:lang w:val="pt-BR"/>
      </w:rPr>
      <w:t xml:space="preserve">Circular Externa </w:t>
    </w:r>
    <w:r w:rsidR="005975C2">
      <w:rPr>
        <w:rStyle w:val="Nmerodepgina"/>
        <w:b/>
        <w:bCs/>
        <w:spacing w:val="0"/>
        <w:sz w:val="18"/>
        <w:szCs w:val="18"/>
        <w:lang w:val="pt-BR"/>
      </w:rPr>
      <w:t>025</w:t>
    </w:r>
    <w:r>
      <w:rPr>
        <w:rStyle w:val="Nmerodepgina"/>
        <w:b/>
        <w:bCs/>
        <w:spacing w:val="0"/>
        <w:sz w:val="18"/>
        <w:szCs w:val="18"/>
        <w:lang w:val="pt-BR"/>
      </w:rPr>
      <w:t xml:space="preserve">  </w:t>
    </w:r>
    <w:r w:rsidRPr="00953A58">
      <w:rPr>
        <w:rStyle w:val="Nmerodepgina"/>
        <w:b/>
        <w:bCs/>
        <w:spacing w:val="0"/>
        <w:sz w:val="18"/>
        <w:szCs w:val="18"/>
        <w:lang w:val="pt-BR"/>
      </w:rPr>
      <w:t>de 20</w:t>
    </w:r>
    <w:r>
      <w:rPr>
        <w:rStyle w:val="Nmerodepgina"/>
        <w:b/>
        <w:bCs/>
        <w:spacing w:val="0"/>
        <w:sz w:val="18"/>
        <w:szCs w:val="18"/>
        <w:lang w:val="pt-BR"/>
      </w:rPr>
      <w:t>21</w:t>
    </w:r>
    <w:r>
      <w:rPr>
        <w:rStyle w:val="Nmerodepgina"/>
        <w:b/>
        <w:bCs/>
        <w:spacing w:val="0"/>
        <w:sz w:val="18"/>
        <w:szCs w:val="18"/>
        <w:lang w:val="pt-BR"/>
      </w:rPr>
      <w:tab/>
    </w:r>
    <w:r>
      <w:rPr>
        <w:rStyle w:val="Nmerodepgina"/>
        <w:b/>
        <w:bCs/>
        <w:spacing w:val="0"/>
        <w:sz w:val="18"/>
        <w:szCs w:val="18"/>
        <w:lang w:val="pt-BR"/>
      </w:rPr>
      <w:tab/>
      <w:t xml:space="preserve">           Octubre de</w:t>
    </w:r>
    <w:r w:rsidRPr="00953A58">
      <w:rPr>
        <w:rStyle w:val="Nmerodepgina"/>
        <w:b/>
        <w:bCs/>
        <w:spacing w:val="0"/>
        <w:sz w:val="18"/>
        <w:szCs w:val="18"/>
        <w:lang w:val="pt-BR"/>
      </w:rPr>
      <w:t xml:space="preserve"> 20</w:t>
    </w:r>
    <w:r>
      <w:rPr>
        <w:rStyle w:val="Nmerodepgina"/>
        <w:b/>
        <w:bCs/>
        <w:spacing w:val="0"/>
        <w:sz w:val="18"/>
        <w:szCs w:val="18"/>
        <w:lang w:val="pt-BR"/>
      </w:rPr>
      <w:t>21</w:t>
    </w:r>
  </w:p>
  <w:p w14:paraId="646FC732" w14:textId="77777777" w:rsidR="00150ABF" w:rsidRPr="00150ABF" w:rsidRDefault="00150ABF">
    <w:pPr>
      <w:pStyle w:val="Piedepgina"/>
      <w:rPr>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7D83" w14:textId="77777777" w:rsidR="005975C2" w:rsidRDefault="005975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DCA42" w14:textId="77777777" w:rsidR="00F51908" w:rsidRDefault="00F51908" w:rsidP="00A3501B">
      <w:r>
        <w:separator/>
      </w:r>
    </w:p>
  </w:footnote>
  <w:footnote w:type="continuationSeparator" w:id="0">
    <w:p w14:paraId="2813E64A" w14:textId="77777777" w:rsidR="00F51908" w:rsidRDefault="00F51908" w:rsidP="00A35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75F6E" w14:textId="77777777" w:rsidR="005975C2" w:rsidRDefault="005975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B49DB" w14:textId="77777777" w:rsidR="00A3501B" w:rsidRDefault="00A3501B" w:rsidP="001A3E3E">
    <w:pPr>
      <w:pStyle w:val="Encabezado"/>
      <w:jc w:val="center"/>
      <w:rPr>
        <w:rFonts w:ascii="Arial (W1)" w:hAnsi="Arial (W1)"/>
        <w:b/>
        <w:spacing w:val="0"/>
        <w:sz w:val="24"/>
        <w:szCs w:val="24"/>
      </w:rPr>
    </w:pPr>
    <w:r>
      <w:rPr>
        <w:rFonts w:ascii="Arial (W1)" w:hAnsi="Arial (W1)"/>
        <w:b/>
        <w:spacing w:val="0"/>
        <w:sz w:val="24"/>
        <w:szCs w:val="24"/>
      </w:rPr>
      <w:t>SUPERINTENDENCIA FINANCIERA DE COLOMBIA</w:t>
    </w:r>
  </w:p>
  <w:p w14:paraId="73FD03D0" w14:textId="77777777" w:rsidR="00A3501B" w:rsidRPr="001A3E3E" w:rsidRDefault="00A3501B" w:rsidP="001A3E3E">
    <w:pPr>
      <w:pStyle w:val="Encabezado"/>
      <w:jc w:val="center"/>
      <w:rPr>
        <w:rFonts w:ascii="Arial (W1)" w:hAnsi="Arial (W1)"/>
        <w:b/>
        <w:spacing w:val="0"/>
        <w:sz w:val="18"/>
        <w:szCs w:val="18"/>
      </w:rPr>
    </w:pPr>
  </w:p>
  <w:p w14:paraId="4C8837AD" w14:textId="77777777" w:rsidR="00A3501B" w:rsidRPr="001A3E3E" w:rsidRDefault="00A3501B" w:rsidP="001A3E3E">
    <w:pPr>
      <w:pStyle w:val="Encabezado"/>
      <w:ind w:right="-21"/>
      <w:rPr>
        <w:rFonts w:ascii="Arial (W1)" w:hAnsi="Arial (W1)"/>
        <w:b/>
        <w:spacing w:val="0"/>
        <w:sz w:val="18"/>
        <w:szCs w:val="18"/>
      </w:rPr>
    </w:pPr>
    <w:r>
      <w:rPr>
        <w:rFonts w:ascii="Arial (W1)" w:hAnsi="Arial (W1)"/>
        <w:b/>
        <w:spacing w:val="0"/>
        <w:sz w:val="18"/>
        <w:szCs w:val="18"/>
      </w:rPr>
      <w:t xml:space="preserve">CAPITULO </w:t>
    </w:r>
    <w:r w:rsidRPr="001A3E3E">
      <w:rPr>
        <w:rFonts w:ascii="Arial (W1)" w:hAnsi="Arial (W1)"/>
        <w:b/>
        <w:spacing w:val="0"/>
        <w:sz w:val="18"/>
        <w:szCs w:val="18"/>
      </w:rPr>
      <w:t>VI REGLAS RELATIVAS AL SISTEMA DE ADMINISTRACIÓN DEL RIESGO DE LIQUIDEZ</w:t>
    </w:r>
  </w:p>
  <w:p w14:paraId="20CCBE18" w14:textId="0D66A0A9" w:rsidR="00A3501B" w:rsidRDefault="00A3501B" w:rsidP="001A3E3E">
    <w:pPr>
      <w:pStyle w:val="Encabezado"/>
      <w:rPr>
        <w:rFonts w:ascii="Arial (W1)" w:hAnsi="Arial (W1)"/>
        <w:b/>
        <w:spacing w:val="0"/>
        <w:sz w:val="18"/>
        <w:szCs w:val="18"/>
      </w:rPr>
    </w:pPr>
    <w:r w:rsidRPr="001A3E3E">
      <w:rPr>
        <w:rFonts w:ascii="Arial (W1)" w:hAnsi="Arial (W1)"/>
        <w:b/>
        <w:spacing w:val="0"/>
        <w:sz w:val="18"/>
        <w:szCs w:val="18"/>
      </w:rPr>
      <w:t>Página</w:t>
    </w:r>
    <w:r>
      <w:rPr>
        <w:rFonts w:ascii="Arial (W1)" w:hAnsi="Arial (W1)"/>
        <w:b/>
        <w:spacing w:val="0"/>
        <w:sz w:val="18"/>
        <w:szCs w:val="18"/>
      </w:rPr>
      <w:t xml:space="preserve"> </w:t>
    </w:r>
    <w:r w:rsidR="005A5224">
      <w:rPr>
        <w:rFonts w:ascii="Arial (W1)" w:hAnsi="Arial (W1)"/>
        <w:b/>
        <w:spacing w:val="0"/>
        <w:sz w:val="18"/>
        <w:szCs w:val="18"/>
      </w:rPr>
      <w:t>2</w:t>
    </w:r>
  </w:p>
  <w:p w14:paraId="69A554D1" w14:textId="77777777" w:rsidR="00A3501B" w:rsidRPr="001A3E3E" w:rsidRDefault="00A3501B" w:rsidP="001A3E3E">
    <w:pPr>
      <w:pStyle w:val="Encabezado"/>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28DC" w14:textId="77777777" w:rsidR="005975C2" w:rsidRDefault="005975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32932"/>
    <w:multiLevelType w:val="multilevel"/>
    <w:tmpl w:val="2ECE13F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15:restartNumberingAfterBreak="0">
    <w:nsid w:val="628A2688"/>
    <w:multiLevelType w:val="hybridMultilevel"/>
    <w:tmpl w:val="439E53F0"/>
    <w:lvl w:ilvl="0" w:tplc="C6507078">
      <w:start w:val="1"/>
      <w:numFmt w:val="decimal"/>
      <w:lvlText w:val="%1"/>
      <w:lvlJc w:val="left"/>
      <w:pPr>
        <w:tabs>
          <w:tab w:val="num" w:pos="360"/>
        </w:tabs>
        <w:ind w:left="360" w:hanging="360"/>
      </w:pPr>
      <w:rPr>
        <w:rFonts w:hint="default"/>
      </w:rPr>
    </w:lvl>
    <w:lvl w:ilvl="1" w:tplc="F69A02BC">
      <w:numFmt w:val="none"/>
      <w:lvlText w:val=""/>
      <w:lvlJc w:val="left"/>
      <w:pPr>
        <w:tabs>
          <w:tab w:val="num" w:pos="360"/>
        </w:tabs>
      </w:pPr>
    </w:lvl>
    <w:lvl w:ilvl="2" w:tplc="2C38E55E">
      <w:numFmt w:val="none"/>
      <w:lvlText w:val=""/>
      <w:lvlJc w:val="left"/>
      <w:pPr>
        <w:tabs>
          <w:tab w:val="num" w:pos="360"/>
        </w:tabs>
      </w:pPr>
    </w:lvl>
    <w:lvl w:ilvl="3" w:tplc="FF6C6FE2">
      <w:numFmt w:val="none"/>
      <w:lvlText w:val=""/>
      <w:lvlJc w:val="left"/>
      <w:pPr>
        <w:tabs>
          <w:tab w:val="num" w:pos="360"/>
        </w:tabs>
      </w:pPr>
    </w:lvl>
    <w:lvl w:ilvl="4" w:tplc="A586B800">
      <w:numFmt w:val="none"/>
      <w:lvlText w:val=""/>
      <w:lvlJc w:val="left"/>
      <w:pPr>
        <w:tabs>
          <w:tab w:val="num" w:pos="360"/>
        </w:tabs>
      </w:pPr>
    </w:lvl>
    <w:lvl w:ilvl="5" w:tplc="4BC40FC4">
      <w:numFmt w:val="none"/>
      <w:lvlText w:val=""/>
      <w:lvlJc w:val="left"/>
      <w:pPr>
        <w:tabs>
          <w:tab w:val="num" w:pos="360"/>
        </w:tabs>
      </w:pPr>
    </w:lvl>
    <w:lvl w:ilvl="6" w:tplc="5492E5B0">
      <w:numFmt w:val="none"/>
      <w:lvlText w:val=""/>
      <w:lvlJc w:val="left"/>
      <w:pPr>
        <w:tabs>
          <w:tab w:val="num" w:pos="360"/>
        </w:tabs>
      </w:pPr>
    </w:lvl>
    <w:lvl w:ilvl="7" w:tplc="3B9C4C36">
      <w:numFmt w:val="none"/>
      <w:lvlText w:val=""/>
      <w:lvlJc w:val="left"/>
      <w:pPr>
        <w:tabs>
          <w:tab w:val="num" w:pos="360"/>
        </w:tabs>
      </w:pPr>
    </w:lvl>
    <w:lvl w:ilvl="8" w:tplc="32CAC3CE">
      <w:numFmt w:val="none"/>
      <w:lvlText w:val=""/>
      <w:lvlJc w:val="left"/>
      <w:pPr>
        <w:tabs>
          <w:tab w:val="num" w:pos="360"/>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1B"/>
    <w:rsid w:val="00022F65"/>
    <w:rsid w:val="00061194"/>
    <w:rsid w:val="000E0813"/>
    <w:rsid w:val="00150ABF"/>
    <w:rsid w:val="00200A43"/>
    <w:rsid w:val="00280BDA"/>
    <w:rsid w:val="00361694"/>
    <w:rsid w:val="003D5578"/>
    <w:rsid w:val="00434185"/>
    <w:rsid w:val="00491403"/>
    <w:rsid w:val="00495489"/>
    <w:rsid w:val="004C4D09"/>
    <w:rsid w:val="004E6C16"/>
    <w:rsid w:val="0050346F"/>
    <w:rsid w:val="005975C2"/>
    <w:rsid w:val="005A5224"/>
    <w:rsid w:val="005F4B97"/>
    <w:rsid w:val="00664C2B"/>
    <w:rsid w:val="00672DAC"/>
    <w:rsid w:val="00735494"/>
    <w:rsid w:val="00915AA6"/>
    <w:rsid w:val="009D1144"/>
    <w:rsid w:val="00A3501B"/>
    <w:rsid w:val="00C057ED"/>
    <w:rsid w:val="00DB3030"/>
    <w:rsid w:val="00DB43F0"/>
    <w:rsid w:val="00E109BA"/>
    <w:rsid w:val="00E55C64"/>
    <w:rsid w:val="00E57EFD"/>
    <w:rsid w:val="00E75760"/>
    <w:rsid w:val="00F43DA8"/>
    <w:rsid w:val="00F45664"/>
    <w:rsid w:val="00F51908"/>
    <w:rsid w:val="00FC029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B9BF96E"/>
  <w15:docId w15:val="{BB67D3F9-7924-4947-AEC8-A34866EB6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501B"/>
    <w:pPr>
      <w:spacing w:after="0" w:line="240" w:lineRule="auto"/>
    </w:pPr>
    <w:rPr>
      <w:rFonts w:ascii="Arial" w:eastAsia="Times New Roman" w:hAnsi="Arial" w:cs="Arial"/>
      <w:spacing w:val="20"/>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3501B"/>
    <w:pPr>
      <w:jc w:val="both"/>
    </w:pPr>
    <w:rPr>
      <w:sz w:val="24"/>
      <w:szCs w:val="24"/>
      <w:lang w:val="es-MX"/>
    </w:rPr>
  </w:style>
  <w:style w:type="character" w:customStyle="1" w:styleId="TextoindependienteCar">
    <w:name w:val="Texto independiente Car"/>
    <w:basedOn w:val="Fuentedeprrafopredeter"/>
    <w:link w:val="Textoindependiente"/>
    <w:rsid w:val="00A3501B"/>
    <w:rPr>
      <w:rFonts w:ascii="Arial" w:eastAsia="Times New Roman" w:hAnsi="Arial" w:cs="Arial"/>
      <w:spacing w:val="20"/>
      <w:sz w:val="24"/>
      <w:szCs w:val="24"/>
      <w:lang w:eastAsia="es-ES"/>
    </w:rPr>
  </w:style>
  <w:style w:type="paragraph" w:styleId="Piedepgina">
    <w:name w:val="footer"/>
    <w:basedOn w:val="Normal"/>
    <w:link w:val="PiedepginaCar"/>
    <w:rsid w:val="00A3501B"/>
    <w:pPr>
      <w:tabs>
        <w:tab w:val="center" w:pos="4252"/>
        <w:tab w:val="right" w:pos="8504"/>
      </w:tabs>
    </w:pPr>
  </w:style>
  <w:style w:type="character" w:customStyle="1" w:styleId="PiedepginaCar">
    <w:name w:val="Pie de página Car"/>
    <w:basedOn w:val="Fuentedeprrafopredeter"/>
    <w:link w:val="Piedepgina"/>
    <w:rsid w:val="00A3501B"/>
    <w:rPr>
      <w:rFonts w:ascii="Arial" w:eastAsia="Times New Roman" w:hAnsi="Arial" w:cs="Arial"/>
      <w:spacing w:val="20"/>
      <w:sz w:val="28"/>
      <w:szCs w:val="28"/>
      <w:lang w:val="es-ES" w:eastAsia="es-ES"/>
    </w:rPr>
  </w:style>
  <w:style w:type="character" w:styleId="Nmerodepgina">
    <w:name w:val="page number"/>
    <w:rsid w:val="00A3501B"/>
    <w:rPr>
      <w:rFonts w:cs="Times New Roman"/>
    </w:rPr>
  </w:style>
  <w:style w:type="paragraph" w:styleId="Encabezado">
    <w:name w:val="header"/>
    <w:basedOn w:val="Normal"/>
    <w:link w:val="EncabezadoCar"/>
    <w:uiPriority w:val="99"/>
    <w:rsid w:val="00A3501B"/>
    <w:pPr>
      <w:tabs>
        <w:tab w:val="center" w:pos="4252"/>
        <w:tab w:val="right" w:pos="8504"/>
      </w:tabs>
    </w:pPr>
  </w:style>
  <w:style w:type="character" w:customStyle="1" w:styleId="EncabezadoCar">
    <w:name w:val="Encabezado Car"/>
    <w:basedOn w:val="Fuentedeprrafopredeter"/>
    <w:link w:val="Encabezado"/>
    <w:uiPriority w:val="99"/>
    <w:rsid w:val="00A3501B"/>
    <w:rPr>
      <w:rFonts w:ascii="Arial" w:eastAsia="Times New Roman" w:hAnsi="Arial" w:cs="Arial"/>
      <w:spacing w:val="20"/>
      <w:sz w:val="28"/>
      <w:szCs w:val="28"/>
      <w:lang w:val="es-ES" w:eastAsia="es-ES"/>
    </w:rPr>
  </w:style>
  <w:style w:type="paragraph" w:customStyle="1" w:styleId="Normal9pt">
    <w:name w:val="Normal + 9 pt"/>
    <w:aliases w:val="Sin Expandido / Comprimido"/>
    <w:basedOn w:val="Textoindependiente"/>
    <w:rsid w:val="00A3501B"/>
    <w:pPr>
      <w:numPr>
        <w:numId w:val="1"/>
      </w:numPr>
    </w:pPr>
    <w:rPr>
      <w:spacing w:val="0"/>
      <w:sz w:val="18"/>
      <w:szCs w:val="18"/>
    </w:rPr>
  </w:style>
  <w:style w:type="table" w:styleId="Tablaconcuadrcula">
    <w:name w:val="Table Grid"/>
    <w:basedOn w:val="Tablanormal"/>
    <w:uiPriority w:val="39"/>
    <w:rsid w:val="00A3501B"/>
    <w:pPr>
      <w:spacing w:after="0" w:line="240" w:lineRule="auto"/>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4EA28-EDE3-4DC1-9516-D536B3976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557</Words>
  <Characters>3065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Guzman Isaza</dc:creator>
  <cp:keywords/>
  <dc:description/>
  <cp:lastModifiedBy>Gabriel Armando Ospina Garcia</cp:lastModifiedBy>
  <cp:revision>6</cp:revision>
  <dcterms:created xsi:type="dcterms:W3CDTF">2021-10-07T12:11:00Z</dcterms:created>
  <dcterms:modified xsi:type="dcterms:W3CDTF">2021-10-25T20:10:00Z</dcterms:modified>
</cp:coreProperties>
</file>