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E2C63" w14:textId="28A51AEE" w:rsidR="00E97EB6" w:rsidRPr="00B57B7D" w:rsidRDefault="00E97EB6" w:rsidP="00B57B7D">
      <w:pPr>
        <w:jc w:val="both"/>
        <w:rPr>
          <w:rFonts w:ascii="Arial" w:hAnsi="Arial" w:cs="Arial"/>
          <w:spacing w:val="-3"/>
          <w:sz w:val="16"/>
          <w:szCs w:val="16"/>
        </w:rPr>
      </w:pPr>
      <w:r w:rsidRPr="00B57B7D">
        <w:rPr>
          <w:rFonts w:ascii="Arial" w:hAnsi="Arial" w:cs="Arial"/>
          <w:spacing w:val="-3"/>
          <w:sz w:val="16"/>
          <w:szCs w:val="16"/>
        </w:rPr>
        <w:t xml:space="preserve">inversionista que tenga o vaya a tener bajo su administración, sin que sea necesario verificar si el inversionista es propietario de más </w:t>
      </w:r>
      <w:r w:rsidR="001B4EA2" w:rsidRPr="00B57B7D">
        <w:rPr>
          <w:rFonts w:ascii="Arial" w:hAnsi="Arial" w:cs="Arial"/>
          <w:spacing w:val="-3"/>
          <w:sz w:val="16"/>
          <w:szCs w:val="16"/>
        </w:rPr>
        <w:t>acciones</w:t>
      </w:r>
      <w:r w:rsidRPr="00B57B7D">
        <w:rPr>
          <w:rFonts w:ascii="Arial" w:hAnsi="Arial" w:cs="Arial"/>
          <w:spacing w:val="-3"/>
          <w:sz w:val="16"/>
          <w:szCs w:val="16"/>
        </w:rPr>
        <w:t xml:space="preserve"> cuya administración esté en cabeza de otra SCBV</w:t>
      </w:r>
      <w:r w:rsidR="008A166D" w:rsidRPr="00B57B7D">
        <w:rPr>
          <w:rFonts w:ascii="Arial" w:hAnsi="Arial" w:cs="Arial"/>
          <w:spacing w:val="-3"/>
          <w:sz w:val="16"/>
          <w:szCs w:val="16"/>
        </w:rPr>
        <w:t xml:space="preserve"> u otro depositante directo</w:t>
      </w:r>
      <w:r w:rsidRPr="00B57B7D">
        <w:rPr>
          <w:rFonts w:ascii="Arial" w:hAnsi="Arial" w:cs="Arial"/>
          <w:spacing w:val="-3"/>
          <w:sz w:val="16"/>
          <w:szCs w:val="16"/>
        </w:rPr>
        <w:t xml:space="preserve">. </w:t>
      </w:r>
    </w:p>
    <w:p w14:paraId="7C198C08" w14:textId="77777777" w:rsidR="00673C00" w:rsidRPr="00B57B7D" w:rsidRDefault="00673C00" w:rsidP="00B57B7D">
      <w:pPr>
        <w:jc w:val="both"/>
        <w:rPr>
          <w:rFonts w:ascii="Arial" w:hAnsi="Arial" w:cs="Arial"/>
          <w:spacing w:val="-3"/>
          <w:sz w:val="16"/>
          <w:szCs w:val="16"/>
        </w:rPr>
      </w:pPr>
    </w:p>
    <w:p w14:paraId="23D4DEB4" w14:textId="77777777" w:rsidR="00AC7C8A" w:rsidRPr="00AC7C8A" w:rsidRDefault="00AC7C8A" w:rsidP="00AC7C8A">
      <w:pPr>
        <w:jc w:val="both"/>
        <w:rPr>
          <w:rFonts w:ascii="Arial" w:hAnsi="Arial" w:cs="Arial"/>
          <w:bCs/>
          <w:spacing w:val="-3"/>
          <w:sz w:val="16"/>
          <w:szCs w:val="16"/>
        </w:rPr>
      </w:pPr>
      <w:r>
        <w:rPr>
          <w:rFonts w:ascii="Arial" w:hAnsi="Arial" w:cs="Arial"/>
          <w:bCs/>
          <w:spacing w:val="-3"/>
          <w:sz w:val="16"/>
          <w:szCs w:val="16"/>
        </w:rPr>
        <w:t xml:space="preserve">4.1.3. </w:t>
      </w:r>
      <w:r w:rsidRPr="000C4759">
        <w:rPr>
          <w:rFonts w:ascii="Arial" w:hAnsi="Arial" w:cs="Arial"/>
          <w:spacing w:val="-3"/>
          <w:sz w:val="16"/>
          <w:szCs w:val="16"/>
        </w:rPr>
        <w:t>El</w:t>
      </w:r>
      <w:r>
        <w:rPr>
          <w:rFonts w:ascii="Arial" w:hAnsi="Arial" w:cs="Arial"/>
          <w:bCs/>
          <w:spacing w:val="-3"/>
          <w:sz w:val="16"/>
          <w:szCs w:val="16"/>
        </w:rPr>
        <w:t xml:space="preserve"> </w:t>
      </w:r>
      <w:r w:rsidRPr="00AC7C8A">
        <w:rPr>
          <w:rFonts w:ascii="Arial" w:hAnsi="Arial" w:cs="Arial"/>
          <w:bCs/>
          <w:spacing w:val="-3"/>
          <w:sz w:val="16"/>
          <w:szCs w:val="16"/>
        </w:rPr>
        <w:t>monto total mensual de las operaciones que impliquen la entrega de recursos al inversionista o a un tercero, o la compraventa de acciones por fuera de los módulos o sistemas transaccionales de una bolsa de valores no superen en el mes calendario sesenta y seis mil Unidades de Valor Real (66.000 UVR) vigentes al 31 de diciembre del año inmediatamente anterior.</w:t>
      </w:r>
    </w:p>
    <w:p w14:paraId="38706932" w14:textId="77777777" w:rsidR="00AC7C8A" w:rsidRDefault="00AC7C8A" w:rsidP="00AC7C8A">
      <w:pPr>
        <w:jc w:val="both"/>
        <w:rPr>
          <w:rFonts w:ascii="Arial" w:hAnsi="Arial" w:cs="Arial"/>
          <w:bCs/>
          <w:spacing w:val="-3"/>
          <w:sz w:val="16"/>
          <w:szCs w:val="16"/>
        </w:rPr>
      </w:pPr>
    </w:p>
    <w:p w14:paraId="4B8079C8"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Para el cálculo del monto definido en este subnumeral 4.1.3, la SCBV tendrá en cuenta los montos de todas las operaciones sin que sea necesario verificar si el inversionista realizó otras operaciones a través de un intermediario de valores distinto u otro depositante directo.</w:t>
      </w:r>
    </w:p>
    <w:p w14:paraId="1ACCC699" w14:textId="77777777" w:rsidR="00AC7C8A" w:rsidRDefault="00AC7C8A" w:rsidP="00AC7C8A">
      <w:pPr>
        <w:jc w:val="both"/>
        <w:rPr>
          <w:rFonts w:ascii="Arial" w:hAnsi="Arial" w:cs="Arial"/>
          <w:b/>
          <w:spacing w:val="-3"/>
          <w:sz w:val="16"/>
          <w:szCs w:val="16"/>
        </w:rPr>
      </w:pPr>
    </w:p>
    <w:p w14:paraId="3CEBA65C" w14:textId="77777777" w:rsidR="00AC7C8A" w:rsidRDefault="00AC7C8A" w:rsidP="00AC7C8A">
      <w:pPr>
        <w:jc w:val="both"/>
        <w:rPr>
          <w:rFonts w:ascii="Arial" w:hAnsi="Arial" w:cs="Arial"/>
          <w:b/>
          <w:spacing w:val="-3"/>
          <w:sz w:val="16"/>
          <w:szCs w:val="16"/>
        </w:rPr>
      </w:pPr>
      <w:r>
        <w:rPr>
          <w:rFonts w:ascii="Arial" w:hAnsi="Arial" w:cs="Arial"/>
          <w:b/>
          <w:spacing w:val="-3"/>
          <w:sz w:val="16"/>
          <w:szCs w:val="16"/>
        </w:rPr>
        <w:t>4.2. Vinculación simplificada</w:t>
      </w:r>
    </w:p>
    <w:p w14:paraId="3759FBE7" w14:textId="77777777" w:rsidR="00AC7C8A" w:rsidRDefault="00AC7C8A" w:rsidP="00AC7C8A">
      <w:pPr>
        <w:jc w:val="both"/>
        <w:rPr>
          <w:rFonts w:ascii="Arial" w:hAnsi="Arial" w:cs="Arial"/>
          <w:b/>
          <w:spacing w:val="-3"/>
          <w:sz w:val="16"/>
          <w:szCs w:val="16"/>
        </w:rPr>
      </w:pPr>
    </w:p>
    <w:p w14:paraId="122196A7" w14:textId="77777777" w:rsidR="00AC7C8A" w:rsidRDefault="00AC7C8A" w:rsidP="00AC7C8A">
      <w:pPr>
        <w:jc w:val="both"/>
        <w:rPr>
          <w:rFonts w:ascii="Arial" w:hAnsi="Arial" w:cs="Arial"/>
          <w:b/>
          <w:spacing w:val="-3"/>
          <w:sz w:val="16"/>
          <w:szCs w:val="16"/>
        </w:rPr>
      </w:pPr>
    </w:p>
    <w:p w14:paraId="2D9D2DF4" w14:textId="77777777" w:rsidR="00AC7C8A" w:rsidRPr="00AC7C8A" w:rsidRDefault="00AC7C8A" w:rsidP="00AC7C8A">
      <w:pPr>
        <w:jc w:val="both"/>
        <w:rPr>
          <w:rFonts w:ascii="Arial" w:hAnsi="Arial" w:cs="Arial"/>
          <w:bCs/>
          <w:spacing w:val="-3"/>
          <w:sz w:val="16"/>
          <w:szCs w:val="16"/>
        </w:rPr>
      </w:pPr>
      <w:r>
        <w:rPr>
          <w:rFonts w:ascii="Arial" w:hAnsi="Arial" w:cs="Arial"/>
          <w:bCs/>
          <w:spacing w:val="-3"/>
          <w:sz w:val="16"/>
          <w:szCs w:val="16"/>
        </w:rPr>
        <w:t xml:space="preserve">Las SCBV pueden vincular inversionistas mediante el trámite contemplado en el presente numeral para la celebración de operaciones de intermediación de bajo monto en el mercado de valores. En estos casos, el proceso para llevar a cabo el conocimiento de los clientes debe comprender la individualización de éstos a través de la verificación de la siguiente información </w:t>
      </w:r>
      <w:r w:rsidRPr="00AC7C8A">
        <w:rPr>
          <w:rFonts w:ascii="Arial" w:hAnsi="Arial" w:cs="Arial"/>
          <w:bCs/>
          <w:spacing w:val="-3"/>
          <w:sz w:val="16"/>
          <w:szCs w:val="16"/>
        </w:rPr>
        <w:t>contenida en el documento de identidad de los clientes: el tipo de documento de identidad, el nombre, el número y la fecha de expedición. Esta verificación se debe llevar a cabo al momento de la vinculación del cliente. Adicionalmente, las entidades deben dar cumplimiento a lo dispuesto en los subnumerales 4.2.2.1.4. y 4.2.2.2.1.1.2 del Capítulo IV del Título IV de la Parte I de la CBJ.</w:t>
      </w:r>
    </w:p>
    <w:p w14:paraId="01F8C6B5" w14:textId="77777777" w:rsidR="00AC7C8A" w:rsidRDefault="00AC7C8A" w:rsidP="00AC7C8A">
      <w:pPr>
        <w:jc w:val="both"/>
        <w:rPr>
          <w:rFonts w:ascii="Arial" w:hAnsi="Arial" w:cs="Arial"/>
          <w:bCs/>
          <w:spacing w:val="-3"/>
          <w:sz w:val="16"/>
          <w:szCs w:val="16"/>
        </w:rPr>
      </w:pPr>
    </w:p>
    <w:p w14:paraId="3FEBB1CB"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 xml:space="preserve">Las excepciones y reglas especiales contenidas en el presente numeral para la vinculación aplican únicamente para las </w:t>
      </w:r>
      <w:r w:rsidRPr="00AC7C8A">
        <w:rPr>
          <w:rFonts w:ascii="Arial" w:hAnsi="Arial" w:cs="Arial"/>
          <w:bCs/>
          <w:spacing w:val="-3"/>
          <w:sz w:val="16"/>
          <w:szCs w:val="16"/>
        </w:rPr>
        <w:t xml:space="preserve">operaciones de intermediación de bajo monto en el mercado de valores. Por lo tanto, en el evento en que el inversionista decida realizar una operación o adquirir un servicio diferente, las SCBV deben obtener la información requerida </w:t>
      </w:r>
      <w:r w:rsidRPr="00AC7C8A">
        <w:rPr>
          <w:rFonts w:ascii="Arial" w:hAnsi="Arial" w:cs="Arial"/>
          <w:bCs/>
          <w:iCs/>
          <w:spacing w:val="-3"/>
          <w:sz w:val="16"/>
          <w:szCs w:val="16"/>
          <w:lang w:val="es-ES"/>
        </w:rPr>
        <w:t xml:space="preserve">en el subnumeral 4.2.2.2.1.1.3. del </w:t>
      </w:r>
      <w:r w:rsidRPr="00AC7C8A">
        <w:rPr>
          <w:rFonts w:ascii="Arial" w:hAnsi="Arial" w:cs="Arial"/>
          <w:bCs/>
          <w:spacing w:val="-3"/>
          <w:sz w:val="16"/>
          <w:szCs w:val="16"/>
          <w:lang w:val="es-CO"/>
        </w:rPr>
        <w:t>Capítulo IV del Título IV de la Parte I de la CBJ</w:t>
      </w:r>
      <w:r w:rsidRPr="00AC7C8A">
        <w:rPr>
          <w:rFonts w:ascii="Arial" w:hAnsi="Arial" w:cs="Arial"/>
          <w:bCs/>
          <w:spacing w:val="-3"/>
          <w:sz w:val="16"/>
          <w:szCs w:val="16"/>
        </w:rPr>
        <w:t>, de acuerdo a las disposiciones vigentes, de manera previa a la adquisición del nuevo servicio.</w:t>
      </w:r>
      <w:r>
        <w:rPr>
          <w:rFonts w:ascii="Arial" w:hAnsi="Arial" w:cs="Arial"/>
          <w:bCs/>
          <w:spacing w:val="-3"/>
          <w:sz w:val="16"/>
          <w:szCs w:val="16"/>
        </w:rPr>
        <w:t xml:space="preserve"> </w:t>
      </w:r>
    </w:p>
    <w:p w14:paraId="5010A0C0" w14:textId="77777777" w:rsidR="00AC7C8A" w:rsidRDefault="00AC7C8A" w:rsidP="00AC7C8A">
      <w:pPr>
        <w:jc w:val="both"/>
        <w:rPr>
          <w:rFonts w:ascii="Arial" w:hAnsi="Arial" w:cs="Arial"/>
          <w:bCs/>
          <w:spacing w:val="-3"/>
          <w:sz w:val="16"/>
          <w:szCs w:val="16"/>
        </w:rPr>
      </w:pPr>
    </w:p>
    <w:p w14:paraId="28F3B4BA"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 xml:space="preserve">En todo caso, las SCBV deben establecer procedimientos que les permitan verificar el cumplimiento de las condiciones establecidas en el subnumeral 4.1. del presente Capitulo, así como el contenido y veracidad de la información suministrada por el inversionista. </w:t>
      </w:r>
    </w:p>
    <w:p w14:paraId="28690848" w14:textId="77777777" w:rsidR="00AC7C8A" w:rsidRDefault="00AC7C8A" w:rsidP="00AC7C8A">
      <w:pPr>
        <w:jc w:val="both"/>
        <w:rPr>
          <w:rFonts w:ascii="Arial" w:hAnsi="Arial" w:cs="Arial"/>
          <w:bCs/>
          <w:spacing w:val="-3"/>
          <w:sz w:val="16"/>
          <w:szCs w:val="16"/>
        </w:rPr>
      </w:pPr>
    </w:p>
    <w:p w14:paraId="606F7B49"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 xml:space="preserve">4.3. Información a los inversionistas </w:t>
      </w:r>
    </w:p>
    <w:p w14:paraId="2FD98426" w14:textId="77777777" w:rsidR="00AC7C8A" w:rsidRDefault="00AC7C8A" w:rsidP="00AC7C8A">
      <w:pPr>
        <w:jc w:val="both"/>
        <w:rPr>
          <w:rFonts w:ascii="Arial" w:hAnsi="Arial" w:cs="Arial"/>
          <w:bCs/>
          <w:spacing w:val="-3"/>
          <w:sz w:val="16"/>
          <w:szCs w:val="16"/>
        </w:rPr>
      </w:pPr>
    </w:p>
    <w:p w14:paraId="46AF7D79"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Las SCBV deben informar claramente a los inversionistas todas las características y restricciones aplicables a estas operaciones, así como los efectos de su incumplimiento.</w:t>
      </w:r>
    </w:p>
    <w:p w14:paraId="556D525D" w14:textId="77777777" w:rsidR="00AC7C8A" w:rsidRDefault="00AC7C8A" w:rsidP="00AC7C8A">
      <w:pPr>
        <w:jc w:val="both"/>
        <w:rPr>
          <w:rFonts w:ascii="Arial" w:hAnsi="Arial" w:cs="Arial"/>
          <w:bCs/>
          <w:spacing w:val="-3"/>
          <w:sz w:val="16"/>
          <w:szCs w:val="16"/>
        </w:rPr>
      </w:pPr>
    </w:p>
    <w:p w14:paraId="5DFD9798"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De otra parte, las SCBV deben suministrar a los clientes información clara, completa y oportuna sobre los medios y canales habilitados para la realización de operaciones y transacciones.</w:t>
      </w:r>
    </w:p>
    <w:p w14:paraId="64AD8BF1" w14:textId="77777777" w:rsidR="00AC7C8A" w:rsidRDefault="00AC7C8A" w:rsidP="00AC7C8A">
      <w:pPr>
        <w:jc w:val="both"/>
        <w:rPr>
          <w:rFonts w:ascii="Arial" w:hAnsi="Arial" w:cs="Arial"/>
          <w:bCs/>
          <w:spacing w:val="-3"/>
          <w:sz w:val="16"/>
          <w:szCs w:val="16"/>
        </w:rPr>
      </w:pPr>
    </w:p>
    <w:p w14:paraId="70DE81B4"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 xml:space="preserve">4.4. Instrucciones especiales respecto de la administración de los riesgos de lavado de activos y financiación del terrorismo </w:t>
      </w:r>
    </w:p>
    <w:p w14:paraId="2322B879" w14:textId="77777777" w:rsidR="00AC7C8A" w:rsidRDefault="00AC7C8A" w:rsidP="00AC7C8A">
      <w:pPr>
        <w:jc w:val="both"/>
        <w:rPr>
          <w:rFonts w:ascii="Arial" w:hAnsi="Arial" w:cs="Arial"/>
          <w:bCs/>
          <w:spacing w:val="-3"/>
          <w:sz w:val="16"/>
          <w:szCs w:val="16"/>
        </w:rPr>
      </w:pPr>
    </w:p>
    <w:p w14:paraId="060BCAF5"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4.4.1. Las SCBV deben adoptar mecanismos especiales en sus políticas de administración de riesgo de lavado de activos y financiación del terrorismo que les permita administrar los riesgos asociados a las operaciones de intermediación de bajo monto en el mercado de valores, para lo cual pueden:</w:t>
      </w:r>
    </w:p>
    <w:p w14:paraId="0D75DA0C" w14:textId="77777777" w:rsidR="00AC7C8A" w:rsidRDefault="00AC7C8A" w:rsidP="00AC7C8A">
      <w:pPr>
        <w:jc w:val="both"/>
        <w:rPr>
          <w:rFonts w:ascii="Arial" w:hAnsi="Arial" w:cs="Arial"/>
          <w:bCs/>
          <w:spacing w:val="-3"/>
          <w:sz w:val="16"/>
          <w:szCs w:val="16"/>
        </w:rPr>
      </w:pPr>
    </w:p>
    <w:p w14:paraId="7D3AA4F2"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4.4.1.1. Establecer un número y monto máximo de operaciones permitidas para conservar las características previstas en el subnumeral 4.1 de este Capítulo.</w:t>
      </w:r>
    </w:p>
    <w:p w14:paraId="4DD6C6A8" w14:textId="77777777" w:rsidR="00AC7C8A" w:rsidRDefault="00AC7C8A" w:rsidP="00AC7C8A">
      <w:pPr>
        <w:jc w:val="both"/>
        <w:rPr>
          <w:rFonts w:ascii="Arial" w:hAnsi="Arial" w:cs="Arial"/>
          <w:bCs/>
          <w:spacing w:val="-3"/>
          <w:sz w:val="16"/>
          <w:szCs w:val="16"/>
        </w:rPr>
      </w:pPr>
    </w:p>
    <w:p w14:paraId="439006DA"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4.4.1.2. Limitar los canales a través de los cuales se pueden realizar operaciones y transacciones.</w:t>
      </w:r>
    </w:p>
    <w:p w14:paraId="0763C1A6" w14:textId="77777777" w:rsidR="00AC7C8A" w:rsidRDefault="00AC7C8A" w:rsidP="00AC7C8A">
      <w:pPr>
        <w:jc w:val="both"/>
        <w:rPr>
          <w:rFonts w:ascii="Arial" w:hAnsi="Arial" w:cs="Arial"/>
          <w:bCs/>
          <w:spacing w:val="-3"/>
          <w:sz w:val="16"/>
          <w:szCs w:val="16"/>
        </w:rPr>
      </w:pPr>
    </w:p>
    <w:p w14:paraId="1908B8BA"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4.4.1.3. Las demás que consideren necesarias.</w:t>
      </w:r>
    </w:p>
    <w:p w14:paraId="7EA36C9E" w14:textId="77777777" w:rsidR="00AC7C8A" w:rsidRDefault="00AC7C8A" w:rsidP="00AC7C8A">
      <w:pPr>
        <w:jc w:val="both"/>
        <w:rPr>
          <w:rFonts w:ascii="Arial" w:hAnsi="Arial" w:cs="Arial"/>
          <w:bCs/>
          <w:spacing w:val="-3"/>
          <w:sz w:val="16"/>
          <w:szCs w:val="16"/>
        </w:rPr>
      </w:pPr>
    </w:p>
    <w:p w14:paraId="5E8ADA50" w14:textId="77777777" w:rsidR="00AC7C8A" w:rsidRPr="00AC7C8A" w:rsidRDefault="00AC7C8A" w:rsidP="00AC7C8A">
      <w:pPr>
        <w:jc w:val="both"/>
        <w:rPr>
          <w:rFonts w:ascii="Arial" w:hAnsi="Arial" w:cs="Arial"/>
          <w:bCs/>
          <w:spacing w:val="-3"/>
          <w:sz w:val="16"/>
          <w:szCs w:val="16"/>
        </w:rPr>
      </w:pPr>
      <w:r>
        <w:rPr>
          <w:rFonts w:ascii="Arial" w:hAnsi="Arial" w:cs="Arial"/>
          <w:bCs/>
          <w:spacing w:val="-3"/>
          <w:sz w:val="16"/>
          <w:szCs w:val="16"/>
        </w:rPr>
        <w:t xml:space="preserve">4.4.2. </w:t>
      </w:r>
      <w:r w:rsidRPr="00AC7C8A">
        <w:rPr>
          <w:rFonts w:ascii="Arial" w:hAnsi="Arial" w:cs="Arial"/>
          <w:bCs/>
          <w:spacing w:val="-3"/>
          <w:sz w:val="16"/>
          <w:szCs w:val="16"/>
        </w:rPr>
        <w:t xml:space="preserve">En el evento en que el inversionista que se haya vinculado a través de este trámite simplificado realice una operación que resulte en que el monto total de las acciones de su propiedad supere los sesenta y seis mil Unidades de Valor Real (66.000 UVR) vigentes al 31 de diciembre del año inmediatamente anterior, las SCBV deben obtener la información requerida </w:t>
      </w:r>
      <w:r w:rsidRPr="00AC7C8A">
        <w:rPr>
          <w:rFonts w:ascii="Arial" w:hAnsi="Arial" w:cs="Arial"/>
          <w:bCs/>
          <w:iCs/>
          <w:spacing w:val="-3"/>
          <w:sz w:val="16"/>
          <w:szCs w:val="16"/>
          <w:lang w:val="es-ES"/>
        </w:rPr>
        <w:t xml:space="preserve">en el subnumeral 4.2.2.2.1.1.3. del </w:t>
      </w:r>
      <w:r w:rsidRPr="00AC7C8A">
        <w:rPr>
          <w:rFonts w:ascii="Arial" w:hAnsi="Arial" w:cs="Arial"/>
          <w:bCs/>
          <w:spacing w:val="-3"/>
          <w:sz w:val="16"/>
          <w:szCs w:val="16"/>
          <w:lang w:val="es-CO"/>
        </w:rPr>
        <w:t xml:space="preserve">Capítulo IV del Título IV de la Parte I de la CBJ </w:t>
      </w:r>
      <w:r w:rsidRPr="00AC7C8A">
        <w:rPr>
          <w:rFonts w:ascii="Arial" w:hAnsi="Arial" w:cs="Arial"/>
          <w:bCs/>
          <w:spacing w:val="-3"/>
          <w:sz w:val="16"/>
          <w:szCs w:val="16"/>
        </w:rPr>
        <w:t xml:space="preserve">de manera previa a la realización de cualquier operación. </w:t>
      </w:r>
    </w:p>
    <w:p w14:paraId="0FE62514" w14:textId="77777777" w:rsidR="00AC7C8A" w:rsidRDefault="00AC7C8A" w:rsidP="00AC7C8A">
      <w:pPr>
        <w:jc w:val="both"/>
        <w:rPr>
          <w:rFonts w:ascii="Arial" w:hAnsi="Arial" w:cs="Arial"/>
          <w:bCs/>
          <w:spacing w:val="-3"/>
          <w:sz w:val="16"/>
          <w:szCs w:val="16"/>
        </w:rPr>
      </w:pPr>
    </w:p>
    <w:p w14:paraId="0B2926F8" w14:textId="77777777" w:rsidR="00AC7C8A" w:rsidRDefault="00AC7C8A" w:rsidP="00AC7C8A">
      <w:pPr>
        <w:jc w:val="both"/>
        <w:rPr>
          <w:rFonts w:ascii="Arial" w:hAnsi="Arial" w:cs="Arial"/>
          <w:bCs/>
          <w:spacing w:val="-3"/>
          <w:sz w:val="16"/>
          <w:szCs w:val="16"/>
        </w:rPr>
      </w:pPr>
      <w:r>
        <w:rPr>
          <w:rFonts w:ascii="Arial" w:hAnsi="Arial" w:cs="Arial"/>
          <w:bCs/>
          <w:spacing w:val="-3"/>
          <w:sz w:val="16"/>
          <w:szCs w:val="16"/>
        </w:rPr>
        <w:t xml:space="preserve">4.5. </w:t>
      </w:r>
      <w:r>
        <w:rPr>
          <w:rFonts w:ascii="Arial" w:hAnsi="Arial" w:cs="Arial"/>
          <w:b/>
          <w:spacing w:val="-3"/>
          <w:sz w:val="16"/>
          <w:szCs w:val="16"/>
        </w:rPr>
        <w:t>Obtención de información requerida para adelantar el procedimiento de conocimiento del cliente</w:t>
      </w:r>
      <w:r>
        <w:rPr>
          <w:rFonts w:ascii="Arial" w:hAnsi="Arial" w:cs="Arial"/>
          <w:bCs/>
          <w:spacing w:val="-3"/>
          <w:sz w:val="16"/>
          <w:szCs w:val="16"/>
        </w:rPr>
        <w:t xml:space="preserve"> </w:t>
      </w:r>
    </w:p>
    <w:p w14:paraId="44C89C22" w14:textId="77777777" w:rsidR="00AC7C8A" w:rsidRDefault="00AC7C8A" w:rsidP="00AC7C8A">
      <w:pPr>
        <w:jc w:val="both"/>
        <w:rPr>
          <w:rFonts w:ascii="Arial" w:hAnsi="Arial" w:cs="Arial"/>
          <w:bCs/>
          <w:spacing w:val="-3"/>
          <w:sz w:val="16"/>
          <w:szCs w:val="16"/>
        </w:rPr>
      </w:pPr>
    </w:p>
    <w:p w14:paraId="5F1AAC5A" w14:textId="77777777" w:rsidR="00AC7C8A" w:rsidRPr="00AC7C8A" w:rsidRDefault="00AC7C8A" w:rsidP="00AC7C8A">
      <w:pPr>
        <w:jc w:val="both"/>
        <w:rPr>
          <w:rFonts w:ascii="Arial" w:hAnsi="Arial" w:cs="Arial"/>
          <w:bCs/>
          <w:spacing w:val="-3"/>
          <w:sz w:val="16"/>
          <w:szCs w:val="16"/>
        </w:rPr>
      </w:pPr>
      <w:r w:rsidRPr="00AC7C8A">
        <w:rPr>
          <w:rFonts w:ascii="Arial" w:hAnsi="Arial" w:cs="Arial"/>
          <w:bCs/>
          <w:spacing w:val="-3"/>
          <w:sz w:val="16"/>
          <w:szCs w:val="16"/>
        </w:rPr>
        <w:t xml:space="preserve">Cuando el inversionista solicite la entrega de recursos provenientes de las operaciones de intermediación de bajo monto en el mercado de valores o alguna de las partes decida dar por terminada la relación contractual, por cualquiera de las causales previamente acordadas, la SCBV debe obtener la información requerida </w:t>
      </w:r>
      <w:r w:rsidRPr="00AC7C8A">
        <w:rPr>
          <w:rFonts w:ascii="Arial" w:hAnsi="Arial" w:cs="Arial"/>
          <w:bCs/>
          <w:iCs/>
          <w:spacing w:val="-3"/>
          <w:sz w:val="16"/>
          <w:szCs w:val="16"/>
          <w:lang w:val="es-ES"/>
        </w:rPr>
        <w:t xml:space="preserve">en el subnumeral 4.2.2.2.1.1.3. del </w:t>
      </w:r>
      <w:r w:rsidRPr="00AC7C8A">
        <w:rPr>
          <w:rFonts w:ascii="Arial" w:hAnsi="Arial" w:cs="Arial"/>
          <w:bCs/>
          <w:spacing w:val="-3"/>
          <w:sz w:val="16"/>
          <w:szCs w:val="16"/>
          <w:lang w:val="es-CO"/>
        </w:rPr>
        <w:t>Capítulo IV del Título IV de la Parte I de la CBJ</w:t>
      </w:r>
      <w:r w:rsidRPr="00AC7C8A">
        <w:rPr>
          <w:rFonts w:ascii="Arial" w:hAnsi="Arial" w:cs="Arial"/>
          <w:bCs/>
          <w:spacing w:val="-3"/>
          <w:sz w:val="16"/>
          <w:szCs w:val="16"/>
        </w:rPr>
        <w:t xml:space="preserve">, previo a que la SCBV proceda a entregar y/o trasladar los valores y/o el dinero que tenía bajo su administración, siempre que en dicho momento el monto de los valores y/o el dinero de propiedad del inversionista administrados por la SCBV supere los sesenta y seis mil Unidades de Valor Real (66.000 UVR) vigentes al 31 de diciembre del año inmediatamente anterior. </w:t>
      </w:r>
    </w:p>
    <w:p w14:paraId="2B316A2C" w14:textId="68B690A8" w:rsidR="00DF6892" w:rsidRDefault="00DF6892" w:rsidP="00B57B7D">
      <w:pPr>
        <w:jc w:val="both"/>
        <w:rPr>
          <w:rFonts w:ascii="Arial" w:hAnsi="Arial" w:cs="Arial"/>
          <w:spacing w:val="-3"/>
          <w:sz w:val="16"/>
          <w:szCs w:val="16"/>
        </w:rPr>
      </w:pPr>
    </w:p>
    <w:p w14:paraId="3ED8761E" w14:textId="77777777" w:rsidR="00C82A72" w:rsidRPr="00B57B7D" w:rsidRDefault="00C82A72" w:rsidP="00B57B7D">
      <w:pPr>
        <w:jc w:val="both"/>
        <w:rPr>
          <w:rFonts w:ascii="Arial" w:hAnsi="Arial" w:cs="Arial"/>
          <w:spacing w:val="-3"/>
          <w:sz w:val="16"/>
          <w:szCs w:val="16"/>
        </w:rPr>
      </w:pPr>
    </w:p>
    <w:p w14:paraId="21C2EA16" w14:textId="77777777" w:rsidR="005917F9" w:rsidRPr="00542A58" w:rsidRDefault="00673C00" w:rsidP="00B57B7D">
      <w:pPr>
        <w:tabs>
          <w:tab w:val="left" w:pos="0"/>
        </w:tabs>
        <w:jc w:val="both"/>
        <w:rPr>
          <w:rFonts w:ascii="Arial" w:hAnsi="Arial" w:cs="Arial"/>
          <w:b/>
          <w:spacing w:val="-3"/>
          <w:sz w:val="16"/>
          <w:szCs w:val="16"/>
        </w:rPr>
      </w:pPr>
      <w:r w:rsidRPr="00542A58">
        <w:rPr>
          <w:rFonts w:ascii="Arial" w:hAnsi="Arial" w:cs="Arial"/>
          <w:b/>
          <w:spacing w:val="-3"/>
          <w:sz w:val="16"/>
          <w:szCs w:val="16"/>
        </w:rPr>
        <w:t>5.</w:t>
      </w:r>
      <w:r w:rsidR="005917F9" w:rsidRPr="00542A58">
        <w:rPr>
          <w:rFonts w:ascii="Arial" w:hAnsi="Arial" w:cs="Arial"/>
          <w:b/>
          <w:spacing w:val="-3"/>
          <w:sz w:val="16"/>
          <w:szCs w:val="16"/>
        </w:rPr>
        <w:t xml:space="preserve"> ASESORÍA Y DEBER DE INFORMACIÓN EN OPERACIONES DE ADQUISICIÓN DE ACCIONES CUANDO EL EMISOR ACTÚE COMO DEPOSITANTE DIRECTO</w:t>
      </w:r>
    </w:p>
    <w:p w14:paraId="4D9B0823" w14:textId="77777777" w:rsidR="005917F9" w:rsidRPr="00B57B7D" w:rsidRDefault="005917F9" w:rsidP="00B57B7D">
      <w:pPr>
        <w:jc w:val="both"/>
        <w:rPr>
          <w:rFonts w:ascii="Arial" w:hAnsi="Arial" w:cs="Arial"/>
          <w:spacing w:val="-3"/>
          <w:sz w:val="16"/>
          <w:szCs w:val="16"/>
        </w:rPr>
      </w:pPr>
    </w:p>
    <w:p w14:paraId="3F9500A7" w14:textId="36DAEAD6" w:rsidR="00C82A72" w:rsidRPr="00B57B7D" w:rsidRDefault="005917F9" w:rsidP="00542A58">
      <w:pPr>
        <w:pBdr>
          <w:left w:val="single" w:sz="4" w:space="4" w:color="auto"/>
        </w:pBdr>
        <w:jc w:val="both"/>
        <w:rPr>
          <w:rFonts w:ascii="Arial" w:hAnsi="Arial" w:cs="Arial"/>
          <w:spacing w:val="-3"/>
          <w:sz w:val="16"/>
          <w:szCs w:val="16"/>
        </w:rPr>
      </w:pPr>
      <w:r w:rsidRPr="00B57B7D">
        <w:rPr>
          <w:rFonts w:ascii="Arial" w:hAnsi="Arial" w:cs="Arial"/>
          <w:spacing w:val="-3"/>
          <w:sz w:val="16"/>
          <w:szCs w:val="16"/>
        </w:rPr>
        <w:t xml:space="preserve">Cuando </w:t>
      </w:r>
      <w:bookmarkStart w:id="0" w:name="_Hlk509611571"/>
      <w:r w:rsidR="00A263CE" w:rsidRPr="00B57B7D">
        <w:rPr>
          <w:rFonts w:ascii="Arial" w:hAnsi="Arial" w:cs="Arial"/>
          <w:spacing w:val="-3"/>
          <w:sz w:val="16"/>
          <w:szCs w:val="16"/>
        </w:rPr>
        <w:t>un</w:t>
      </w:r>
      <w:r w:rsidRPr="00B57B7D">
        <w:rPr>
          <w:rFonts w:ascii="Arial" w:hAnsi="Arial" w:cs="Arial"/>
          <w:spacing w:val="-3"/>
          <w:sz w:val="16"/>
          <w:szCs w:val="16"/>
        </w:rPr>
        <w:t xml:space="preserve"> inversionista </w:t>
      </w:r>
      <w:r w:rsidR="00EA1F48" w:rsidRPr="00B57B7D">
        <w:rPr>
          <w:rFonts w:ascii="Arial" w:hAnsi="Arial" w:cs="Arial"/>
          <w:spacing w:val="-3"/>
          <w:sz w:val="16"/>
          <w:szCs w:val="16"/>
        </w:rPr>
        <w:t>vaya a adquirir</w:t>
      </w:r>
      <w:r w:rsidR="00A263CE" w:rsidRPr="00B57B7D">
        <w:rPr>
          <w:rFonts w:ascii="Arial" w:hAnsi="Arial" w:cs="Arial"/>
          <w:spacing w:val="-3"/>
          <w:sz w:val="16"/>
          <w:szCs w:val="16"/>
        </w:rPr>
        <w:t xml:space="preserve"> acciones de un emisor que ha deci</w:t>
      </w:r>
      <w:r w:rsidR="008A166D" w:rsidRPr="00B57B7D">
        <w:rPr>
          <w:rFonts w:ascii="Arial" w:hAnsi="Arial" w:cs="Arial"/>
          <w:spacing w:val="-3"/>
          <w:sz w:val="16"/>
          <w:szCs w:val="16"/>
        </w:rPr>
        <w:t>di</w:t>
      </w:r>
      <w:r w:rsidR="00A263CE" w:rsidRPr="00B57B7D">
        <w:rPr>
          <w:rFonts w:ascii="Arial" w:hAnsi="Arial" w:cs="Arial"/>
          <w:spacing w:val="-3"/>
          <w:sz w:val="16"/>
          <w:szCs w:val="16"/>
        </w:rPr>
        <w:t xml:space="preserve">do actuar como depositante directo de las mismas y el inversionista </w:t>
      </w:r>
      <w:r w:rsidRPr="00B57B7D">
        <w:rPr>
          <w:rFonts w:ascii="Arial" w:hAnsi="Arial" w:cs="Arial"/>
          <w:spacing w:val="-3"/>
          <w:sz w:val="16"/>
          <w:szCs w:val="16"/>
        </w:rPr>
        <w:t xml:space="preserve">acepte que el emisor actúe </w:t>
      </w:r>
      <w:r w:rsidR="00A263CE" w:rsidRPr="00B57B7D">
        <w:rPr>
          <w:rFonts w:ascii="Arial" w:hAnsi="Arial" w:cs="Arial"/>
          <w:spacing w:val="-3"/>
          <w:sz w:val="16"/>
          <w:szCs w:val="16"/>
        </w:rPr>
        <w:t>en tal condición respecto de sus acciones</w:t>
      </w:r>
      <w:r w:rsidRPr="00B57B7D">
        <w:rPr>
          <w:rFonts w:ascii="Arial" w:hAnsi="Arial" w:cs="Arial"/>
          <w:spacing w:val="-3"/>
          <w:sz w:val="16"/>
          <w:szCs w:val="16"/>
        </w:rPr>
        <w:t xml:space="preserve">, las SCBV </w:t>
      </w:r>
      <w:r w:rsidR="00A92A04" w:rsidRPr="00B57B7D">
        <w:rPr>
          <w:rFonts w:ascii="Arial" w:hAnsi="Arial" w:cs="Arial"/>
          <w:spacing w:val="-3"/>
          <w:sz w:val="16"/>
          <w:szCs w:val="16"/>
        </w:rPr>
        <w:t xml:space="preserve">a través de las cuales adquieren las </w:t>
      </w:r>
      <w:r w:rsidR="00DF6892" w:rsidRPr="00B57B7D">
        <w:rPr>
          <w:rFonts w:ascii="Arial" w:hAnsi="Arial" w:cs="Arial"/>
          <w:spacing w:val="-3"/>
          <w:sz w:val="16"/>
          <w:szCs w:val="16"/>
        </w:rPr>
        <w:t xml:space="preserve">mencionadas </w:t>
      </w:r>
      <w:r w:rsidR="00A92A04" w:rsidRPr="00B57B7D">
        <w:rPr>
          <w:rFonts w:ascii="Arial" w:hAnsi="Arial" w:cs="Arial"/>
          <w:spacing w:val="-3"/>
          <w:sz w:val="16"/>
          <w:szCs w:val="16"/>
        </w:rPr>
        <w:t xml:space="preserve">acciones </w:t>
      </w:r>
      <w:r w:rsidRPr="00B57B7D">
        <w:rPr>
          <w:rFonts w:ascii="Arial" w:hAnsi="Arial" w:cs="Arial"/>
          <w:spacing w:val="-3"/>
          <w:sz w:val="16"/>
          <w:szCs w:val="16"/>
        </w:rPr>
        <w:t>deben prestar asesoría</w:t>
      </w:r>
      <w:r w:rsidR="00542A58">
        <w:rPr>
          <w:rFonts w:ascii="Arial" w:hAnsi="Arial" w:cs="Arial"/>
          <w:b/>
          <w:spacing w:val="-3"/>
          <w:sz w:val="16"/>
          <w:szCs w:val="16"/>
        </w:rPr>
        <w:t xml:space="preserve">, sin perjuicio de que los inversionistas puedan solicitar que esta operación se realice a través de servicios de solo ejecución, de acuerdo con las disposiciones contenidas en el artículo 7.8.1.1.1 del Decreto 2555 de 2010. En todo caso las SCBV deben </w:t>
      </w:r>
      <w:r w:rsidRPr="00B57B7D">
        <w:rPr>
          <w:rFonts w:ascii="Arial" w:hAnsi="Arial" w:cs="Arial"/>
          <w:spacing w:val="-3"/>
          <w:sz w:val="16"/>
          <w:szCs w:val="16"/>
        </w:rPr>
        <w:t>cumplir con el deber especial de información</w:t>
      </w:r>
      <w:r w:rsidR="00DF6892" w:rsidRPr="00B57B7D">
        <w:rPr>
          <w:rFonts w:ascii="Arial" w:hAnsi="Arial" w:cs="Arial"/>
          <w:spacing w:val="-3"/>
          <w:sz w:val="16"/>
          <w:szCs w:val="16"/>
        </w:rPr>
        <w:t xml:space="preserve"> establecido</w:t>
      </w:r>
      <w:r w:rsidR="00A92A04" w:rsidRPr="00B57B7D">
        <w:rPr>
          <w:rFonts w:ascii="Arial" w:hAnsi="Arial" w:cs="Arial"/>
          <w:spacing w:val="-3"/>
          <w:sz w:val="16"/>
          <w:szCs w:val="16"/>
        </w:rPr>
        <w:t xml:space="preserve"> en el Libro 3 de la Parte 7 del Decreto 2555 de 2010. Estos deberes se deben cumplir</w:t>
      </w:r>
      <w:r w:rsidRPr="00B57B7D">
        <w:rPr>
          <w:rFonts w:ascii="Arial" w:hAnsi="Arial" w:cs="Arial"/>
          <w:spacing w:val="-3"/>
          <w:sz w:val="16"/>
          <w:szCs w:val="16"/>
        </w:rPr>
        <w:t xml:space="preserve"> </w:t>
      </w:r>
      <w:r w:rsidR="00A92A04" w:rsidRPr="00B57B7D">
        <w:rPr>
          <w:rFonts w:ascii="Arial" w:hAnsi="Arial" w:cs="Arial"/>
          <w:spacing w:val="-3"/>
          <w:sz w:val="16"/>
          <w:szCs w:val="16"/>
        </w:rPr>
        <w:t>en el momento de la adquisición</w:t>
      </w:r>
      <w:r w:rsidR="00DF6892" w:rsidRPr="00B57B7D">
        <w:rPr>
          <w:rFonts w:ascii="Arial" w:hAnsi="Arial" w:cs="Arial"/>
          <w:spacing w:val="-3"/>
          <w:sz w:val="16"/>
          <w:szCs w:val="16"/>
        </w:rPr>
        <w:t>,</w:t>
      </w:r>
      <w:r w:rsidR="00A92A04" w:rsidRPr="00B57B7D">
        <w:rPr>
          <w:rFonts w:ascii="Arial" w:hAnsi="Arial" w:cs="Arial"/>
          <w:spacing w:val="-3"/>
          <w:sz w:val="16"/>
          <w:szCs w:val="16"/>
        </w:rPr>
        <w:t xml:space="preserve"> c</w:t>
      </w:r>
      <w:r w:rsidRPr="00B57B7D">
        <w:rPr>
          <w:rFonts w:ascii="Arial" w:hAnsi="Arial" w:cs="Arial"/>
          <w:spacing w:val="-3"/>
          <w:sz w:val="16"/>
          <w:szCs w:val="16"/>
        </w:rPr>
        <w:t xml:space="preserve">onforme </w:t>
      </w:r>
      <w:r w:rsidR="00A92A04" w:rsidRPr="00B57B7D">
        <w:rPr>
          <w:rFonts w:ascii="Arial" w:hAnsi="Arial" w:cs="Arial"/>
          <w:spacing w:val="-3"/>
          <w:sz w:val="16"/>
          <w:szCs w:val="16"/>
        </w:rPr>
        <w:t>a las siguientes instrucciones.</w:t>
      </w:r>
    </w:p>
    <w:p w14:paraId="7BA11C5C" w14:textId="77777777" w:rsidR="00786F98" w:rsidRPr="00B57B7D" w:rsidRDefault="00786F98" w:rsidP="00B57B7D">
      <w:pPr>
        <w:jc w:val="both"/>
        <w:rPr>
          <w:rFonts w:ascii="Arial" w:hAnsi="Arial" w:cs="Arial"/>
          <w:spacing w:val="-3"/>
          <w:sz w:val="16"/>
          <w:szCs w:val="16"/>
        </w:rPr>
      </w:pPr>
    </w:p>
    <w:p w14:paraId="6EC9E4FD" w14:textId="77777777" w:rsidR="00786F98" w:rsidRPr="00B57B7D" w:rsidRDefault="00786F98" w:rsidP="00B57B7D">
      <w:pPr>
        <w:jc w:val="both"/>
        <w:rPr>
          <w:rFonts w:ascii="Arial" w:hAnsi="Arial" w:cs="Arial"/>
          <w:spacing w:val="-3"/>
          <w:sz w:val="16"/>
          <w:szCs w:val="16"/>
        </w:rPr>
      </w:pPr>
      <w:r w:rsidRPr="00B57B7D">
        <w:rPr>
          <w:rFonts w:ascii="Arial" w:hAnsi="Arial" w:cs="Arial"/>
          <w:spacing w:val="-3"/>
          <w:sz w:val="16"/>
          <w:szCs w:val="16"/>
        </w:rPr>
        <w:t>La referida manifestación de aceptación del inversionista para que el emisor actúe como depositante directo de sus acciones puede hacerse por cualquier medio verificable que habilite la SCBV para el efecto.</w:t>
      </w:r>
    </w:p>
    <w:bookmarkEnd w:id="0"/>
    <w:p w14:paraId="5262A995" w14:textId="03144CED" w:rsidR="005917F9" w:rsidRDefault="005917F9" w:rsidP="00B57B7D">
      <w:pPr>
        <w:jc w:val="both"/>
        <w:rPr>
          <w:rFonts w:ascii="Arial" w:hAnsi="Arial" w:cs="Arial"/>
          <w:spacing w:val="-3"/>
          <w:sz w:val="16"/>
          <w:szCs w:val="16"/>
        </w:rPr>
      </w:pPr>
    </w:p>
    <w:p w14:paraId="030270E3" w14:textId="77777777" w:rsidR="00C82A72" w:rsidRDefault="00C82A72" w:rsidP="00B57B7D">
      <w:pPr>
        <w:jc w:val="both"/>
        <w:rPr>
          <w:rFonts w:ascii="Arial" w:hAnsi="Arial" w:cs="Arial"/>
          <w:spacing w:val="-3"/>
          <w:sz w:val="16"/>
          <w:szCs w:val="16"/>
        </w:rPr>
      </w:pPr>
    </w:p>
    <w:p w14:paraId="2E1093B8" w14:textId="77777777" w:rsidR="005917F9" w:rsidRPr="00B57B7D" w:rsidRDefault="00673C00" w:rsidP="00B57B7D">
      <w:pPr>
        <w:jc w:val="both"/>
        <w:rPr>
          <w:rFonts w:ascii="Arial" w:hAnsi="Arial" w:cs="Arial"/>
          <w:b/>
          <w:spacing w:val="-3"/>
          <w:sz w:val="16"/>
          <w:szCs w:val="16"/>
        </w:rPr>
      </w:pPr>
      <w:r w:rsidRPr="00B57B7D">
        <w:rPr>
          <w:rFonts w:ascii="Arial" w:hAnsi="Arial" w:cs="Arial"/>
          <w:b/>
          <w:spacing w:val="-3"/>
          <w:sz w:val="16"/>
          <w:szCs w:val="16"/>
        </w:rPr>
        <w:lastRenderedPageBreak/>
        <w:t>5.</w:t>
      </w:r>
      <w:r w:rsidR="005917F9" w:rsidRPr="00B57B7D">
        <w:rPr>
          <w:rFonts w:ascii="Arial" w:hAnsi="Arial" w:cs="Arial"/>
          <w:b/>
          <w:spacing w:val="-3"/>
          <w:sz w:val="16"/>
          <w:szCs w:val="16"/>
        </w:rPr>
        <w:t>1. Deber de información</w:t>
      </w:r>
    </w:p>
    <w:p w14:paraId="4CFFC479" w14:textId="77777777" w:rsidR="005917F9" w:rsidRPr="00B57B7D" w:rsidRDefault="005917F9" w:rsidP="00B57B7D">
      <w:pPr>
        <w:jc w:val="both"/>
        <w:rPr>
          <w:rFonts w:ascii="Arial" w:hAnsi="Arial" w:cs="Arial"/>
          <w:spacing w:val="-3"/>
          <w:sz w:val="16"/>
          <w:szCs w:val="16"/>
        </w:rPr>
      </w:pPr>
    </w:p>
    <w:p w14:paraId="0B212C81" w14:textId="77777777" w:rsidR="005917F9" w:rsidRPr="00542A58" w:rsidRDefault="005917F9" w:rsidP="00542A58">
      <w:pPr>
        <w:jc w:val="both"/>
        <w:rPr>
          <w:rFonts w:ascii="Arial" w:hAnsi="Arial" w:cs="Arial"/>
          <w:spacing w:val="-3"/>
          <w:sz w:val="16"/>
          <w:szCs w:val="16"/>
        </w:rPr>
      </w:pPr>
      <w:r w:rsidRPr="00542A58">
        <w:rPr>
          <w:rFonts w:ascii="Arial" w:hAnsi="Arial" w:cs="Arial"/>
          <w:spacing w:val="-3"/>
          <w:sz w:val="16"/>
          <w:szCs w:val="16"/>
        </w:rPr>
        <w:t>Las SCBV deben informar lo siguiente a los inversionistas</w:t>
      </w:r>
      <w:r w:rsidR="00DF6892" w:rsidRPr="00542A58">
        <w:rPr>
          <w:rFonts w:ascii="Arial" w:hAnsi="Arial" w:cs="Arial"/>
          <w:spacing w:val="-3"/>
          <w:sz w:val="16"/>
          <w:szCs w:val="16"/>
        </w:rPr>
        <w:t>,</w:t>
      </w:r>
      <w:r w:rsidRPr="00542A58">
        <w:rPr>
          <w:rFonts w:ascii="Arial" w:hAnsi="Arial" w:cs="Arial"/>
          <w:spacing w:val="-3"/>
          <w:sz w:val="16"/>
          <w:szCs w:val="16"/>
        </w:rPr>
        <w:t xml:space="preserve"> de manera previa y por medios físicos o electrónicos verificables, que pueden incorporar el uso de mecanismos tecnológicos, automatizados o estandarizados:</w:t>
      </w:r>
    </w:p>
    <w:p w14:paraId="12B4FC7A" w14:textId="77777777" w:rsidR="005917F9" w:rsidRPr="00542A58" w:rsidRDefault="005917F9" w:rsidP="00542A58">
      <w:pPr>
        <w:jc w:val="both"/>
        <w:rPr>
          <w:rFonts w:ascii="Arial" w:hAnsi="Arial" w:cs="Arial"/>
          <w:spacing w:val="-3"/>
          <w:sz w:val="16"/>
          <w:szCs w:val="16"/>
        </w:rPr>
      </w:pPr>
    </w:p>
    <w:p w14:paraId="44467CDB" w14:textId="77777777" w:rsidR="005917F9" w:rsidRPr="00542A58" w:rsidRDefault="00673C00" w:rsidP="00542A58">
      <w:pPr>
        <w:jc w:val="both"/>
        <w:rPr>
          <w:rFonts w:ascii="Arial" w:hAnsi="Arial" w:cs="Arial"/>
          <w:spacing w:val="-3"/>
          <w:sz w:val="16"/>
          <w:szCs w:val="16"/>
        </w:rPr>
      </w:pPr>
      <w:r w:rsidRPr="00542A58">
        <w:rPr>
          <w:rFonts w:ascii="Arial" w:hAnsi="Arial" w:cs="Arial"/>
          <w:spacing w:val="-3"/>
          <w:sz w:val="16"/>
          <w:szCs w:val="16"/>
        </w:rPr>
        <w:t>5.</w:t>
      </w:r>
      <w:r w:rsidR="005917F9" w:rsidRPr="00542A58">
        <w:rPr>
          <w:rFonts w:ascii="Arial" w:hAnsi="Arial" w:cs="Arial"/>
          <w:spacing w:val="-3"/>
          <w:sz w:val="16"/>
          <w:szCs w:val="16"/>
        </w:rPr>
        <w:t>1.1. Que las acciones se encuentran o encontrarán bajo la administración del emisor que actú</w:t>
      </w:r>
      <w:r w:rsidR="00265BA0" w:rsidRPr="00542A58">
        <w:rPr>
          <w:rFonts w:ascii="Arial" w:hAnsi="Arial" w:cs="Arial"/>
          <w:spacing w:val="-3"/>
          <w:sz w:val="16"/>
          <w:szCs w:val="16"/>
        </w:rPr>
        <w:t>a como depositante directo de las misma</w:t>
      </w:r>
      <w:r w:rsidR="005917F9" w:rsidRPr="00542A58">
        <w:rPr>
          <w:rFonts w:ascii="Arial" w:hAnsi="Arial" w:cs="Arial"/>
          <w:spacing w:val="-3"/>
          <w:sz w:val="16"/>
          <w:szCs w:val="16"/>
        </w:rPr>
        <w:t>s en un depósito centralizado de valores.</w:t>
      </w:r>
    </w:p>
    <w:p w14:paraId="5F30C1A9" w14:textId="77777777" w:rsidR="005917F9" w:rsidRPr="00542A58" w:rsidRDefault="005917F9" w:rsidP="00542A58">
      <w:pPr>
        <w:jc w:val="both"/>
        <w:rPr>
          <w:rFonts w:ascii="Arial" w:hAnsi="Arial" w:cs="Arial"/>
          <w:spacing w:val="-3"/>
          <w:sz w:val="16"/>
          <w:szCs w:val="16"/>
        </w:rPr>
      </w:pPr>
    </w:p>
    <w:p w14:paraId="6C826402" w14:textId="77777777" w:rsidR="005917F9" w:rsidRPr="00542A58" w:rsidRDefault="00673C00" w:rsidP="00542A58">
      <w:pPr>
        <w:jc w:val="both"/>
        <w:rPr>
          <w:rFonts w:ascii="Arial" w:hAnsi="Arial" w:cs="Arial"/>
          <w:spacing w:val="-3"/>
          <w:sz w:val="16"/>
          <w:szCs w:val="16"/>
        </w:rPr>
      </w:pPr>
      <w:r w:rsidRPr="00542A58">
        <w:rPr>
          <w:rFonts w:ascii="Arial" w:hAnsi="Arial" w:cs="Arial"/>
          <w:spacing w:val="-3"/>
          <w:sz w:val="16"/>
          <w:szCs w:val="16"/>
        </w:rPr>
        <w:t>5.</w:t>
      </w:r>
      <w:r w:rsidR="005917F9" w:rsidRPr="00542A58">
        <w:rPr>
          <w:rFonts w:ascii="Arial" w:hAnsi="Arial" w:cs="Arial"/>
          <w:spacing w:val="-3"/>
          <w:sz w:val="16"/>
          <w:szCs w:val="16"/>
        </w:rPr>
        <w:t>1.2. El contenido del prospecto que corresponde a la emisión y/o el programa de enajenación y reglamento del proceso de democratización, lo cual se podrá hacer con la entrega física o electrónica de estos documentos o indicando claramente la ruta a seguir para ubicarlos en la página web del emisor o en los mecanismos de divulgación de información al público previstos en el Decreto 2555 de 2010. Cuando se trate de acciones negociadas en el mercado secundario, las SCBV deben indicar que la información actualizada del emisor se debe consultar en el Registro Nacional de Valores y Emisores (RNVE).</w:t>
      </w:r>
    </w:p>
    <w:p w14:paraId="614384FB" w14:textId="77777777" w:rsidR="005917F9" w:rsidRPr="00542A58" w:rsidRDefault="005917F9" w:rsidP="00542A58">
      <w:pPr>
        <w:jc w:val="both"/>
        <w:rPr>
          <w:rFonts w:ascii="Arial" w:hAnsi="Arial" w:cs="Arial"/>
          <w:spacing w:val="-3"/>
          <w:sz w:val="16"/>
          <w:szCs w:val="16"/>
        </w:rPr>
      </w:pPr>
    </w:p>
    <w:p w14:paraId="76516C85" w14:textId="77777777" w:rsidR="005917F9" w:rsidRPr="00542A58" w:rsidRDefault="00673C00" w:rsidP="00542A58">
      <w:pPr>
        <w:jc w:val="both"/>
        <w:rPr>
          <w:rFonts w:ascii="Arial" w:hAnsi="Arial" w:cs="Arial"/>
          <w:spacing w:val="-3"/>
          <w:sz w:val="16"/>
          <w:szCs w:val="16"/>
        </w:rPr>
      </w:pPr>
      <w:r w:rsidRPr="00542A58">
        <w:rPr>
          <w:rFonts w:ascii="Arial" w:hAnsi="Arial" w:cs="Arial"/>
          <w:spacing w:val="-3"/>
          <w:sz w:val="16"/>
          <w:szCs w:val="16"/>
        </w:rPr>
        <w:t>5.</w:t>
      </w:r>
      <w:r w:rsidR="005917F9" w:rsidRPr="00542A58">
        <w:rPr>
          <w:rFonts w:ascii="Arial" w:hAnsi="Arial" w:cs="Arial"/>
          <w:spacing w:val="-3"/>
          <w:sz w:val="16"/>
          <w:szCs w:val="16"/>
        </w:rPr>
        <w:t xml:space="preserve">1.3. Que la actuación </w:t>
      </w:r>
      <w:bookmarkStart w:id="1" w:name="_Hlk509612768"/>
      <w:r w:rsidR="005917F9" w:rsidRPr="00542A58">
        <w:rPr>
          <w:rFonts w:ascii="Arial" w:hAnsi="Arial" w:cs="Arial"/>
          <w:spacing w:val="-3"/>
          <w:sz w:val="16"/>
          <w:szCs w:val="16"/>
        </w:rPr>
        <w:t xml:space="preserve">de la SCBV abarca únicamente la operación de adquisición </w:t>
      </w:r>
      <w:bookmarkEnd w:id="1"/>
      <w:r w:rsidR="005917F9" w:rsidRPr="00542A58">
        <w:rPr>
          <w:rFonts w:ascii="Arial" w:hAnsi="Arial" w:cs="Arial"/>
          <w:spacing w:val="-3"/>
          <w:sz w:val="16"/>
          <w:szCs w:val="16"/>
        </w:rPr>
        <w:t xml:space="preserve">de las mencionadas acciones </w:t>
      </w:r>
      <w:r w:rsidR="00A92A04" w:rsidRPr="00542A58">
        <w:rPr>
          <w:rFonts w:ascii="Arial" w:hAnsi="Arial" w:cs="Arial"/>
          <w:spacing w:val="-3"/>
          <w:sz w:val="16"/>
          <w:szCs w:val="16"/>
        </w:rPr>
        <w:t>y,</w:t>
      </w:r>
      <w:r w:rsidR="005917F9" w:rsidRPr="00542A58">
        <w:rPr>
          <w:rFonts w:ascii="Arial" w:hAnsi="Arial" w:cs="Arial"/>
          <w:spacing w:val="-3"/>
          <w:sz w:val="16"/>
          <w:szCs w:val="16"/>
        </w:rPr>
        <w:t xml:space="preserve"> por ende, una vez se perfeccione esta operación se terminará la relación contractual entre el inversionista y la SCBV, subsistiendo únicamente la relación entre el inversionista y el emisor, en su calidad de depositante directo.</w:t>
      </w:r>
    </w:p>
    <w:p w14:paraId="2CBD1444" w14:textId="77777777" w:rsidR="005917F9" w:rsidRPr="00542A58" w:rsidRDefault="005917F9" w:rsidP="00542A58">
      <w:pPr>
        <w:jc w:val="both"/>
        <w:rPr>
          <w:rFonts w:ascii="Arial" w:hAnsi="Arial" w:cs="Arial"/>
          <w:spacing w:val="-3"/>
          <w:sz w:val="16"/>
          <w:szCs w:val="16"/>
        </w:rPr>
      </w:pPr>
    </w:p>
    <w:p w14:paraId="6CBF488C" w14:textId="77777777" w:rsidR="005917F9" w:rsidRPr="00542A58" w:rsidRDefault="00673C00" w:rsidP="00542A58">
      <w:pPr>
        <w:jc w:val="both"/>
        <w:rPr>
          <w:rFonts w:ascii="Arial" w:hAnsi="Arial" w:cs="Arial"/>
          <w:spacing w:val="-3"/>
          <w:sz w:val="16"/>
          <w:szCs w:val="16"/>
        </w:rPr>
      </w:pPr>
      <w:r w:rsidRPr="00542A58">
        <w:rPr>
          <w:rFonts w:ascii="Arial" w:hAnsi="Arial" w:cs="Arial"/>
          <w:spacing w:val="-3"/>
          <w:sz w:val="16"/>
          <w:szCs w:val="16"/>
        </w:rPr>
        <w:t>5.</w:t>
      </w:r>
      <w:r w:rsidR="005917F9" w:rsidRPr="00542A58">
        <w:rPr>
          <w:rFonts w:ascii="Arial" w:hAnsi="Arial" w:cs="Arial"/>
          <w:spacing w:val="-3"/>
          <w:sz w:val="16"/>
          <w:szCs w:val="16"/>
        </w:rPr>
        <w:t>1.4. Los mecanismos a través de los cuales el inversionista podrá realizar operaciones posteriores de venta de las mencionadas acciones, incluyendo la posibilidad de que en caso que desee enajenarlas por un monto inferior a sesenta y seis mil (66.000) unidades de valor real (UVR), lo podrá hacer en el mercado mostrador, por fuera de los módulos o sistemas transaccionales de la bolsa de valores y sin necesidad de vincularse a una SCBV, siempre y cuando se cumpla con las previsiones dispuestas en la normatividad aplicable.</w:t>
      </w:r>
    </w:p>
    <w:p w14:paraId="014F0685" w14:textId="77777777" w:rsidR="005917F9" w:rsidRPr="00542A58" w:rsidRDefault="005917F9" w:rsidP="00542A58">
      <w:pPr>
        <w:jc w:val="both"/>
        <w:rPr>
          <w:rFonts w:ascii="Arial" w:hAnsi="Arial" w:cs="Arial"/>
          <w:spacing w:val="-3"/>
          <w:sz w:val="16"/>
          <w:szCs w:val="16"/>
        </w:rPr>
      </w:pPr>
    </w:p>
    <w:p w14:paraId="4FB9BFE8" w14:textId="1C0CEA1E" w:rsidR="00801BE9" w:rsidRPr="00542A58" w:rsidRDefault="00673C00" w:rsidP="00542A58">
      <w:pPr>
        <w:pBdr>
          <w:left w:val="single" w:sz="4" w:space="4" w:color="auto"/>
        </w:pBdr>
        <w:jc w:val="both"/>
        <w:rPr>
          <w:rFonts w:ascii="Arial" w:hAnsi="Arial" w:cs="Arial"/>
          <w:spacing w:val="-3"/>
          <w:sz w:val="16"/>
          <w:szCs w:val="16"/>
        </w:rPr>
      </w:pPr>
      <w:r w:rsidRPr="00542A58">
        <w:rPr>
          <w:rFonts w:ascii="Arial" w:hAnsi="Arial" w:cs="Arial"/>
          <w:spacing w:val="-3"/>
          <w:sz w:val="16"/>
          <w:szCs w:val="16"/>
        </w:rPr>
        <w:t>5.</w:t>
      </w:r>
      <w:r w:rsidR="005917F9" w:rsidRPr="00542A58">
        <w:rPr>
          <w:rFonts w:ascii="Arial" w:hAnsi="Arial" w:cs="Arial"/>
          <w:spacing w:val="-3"/>
          <w:sz w:val="16"/>
          <w:szCs w:val="16"/>
        </w:rPr>
        <w:t xml:space="preserve">1.5. </w:t>
      </w:r>
      <w:r w:rsidR="00801BE9" w:rsidRPr="00542A58">
        <w:rPr>
          <w:rFonts w:ascii="Arial" w:hAnsi="Arial" w:cs="Arial"/>
          <w:spacing w:val="-3"/>
          <w:sz w:val="16"/>
          <w:szCs w:val="16"/>
        </w:rPr>
        <w:t>Los mecanismos a través de los cuales</w:t>
      </w:r>
      <w:r w:rsidR="00144355" w:rsidRPr="00542A58">
        <w:rPr>
          <w:rFonts w:ascii="Arial" w:hAnsi="Arial" w:cs="Arial"/>
          <w:spacing w:val="-3"/>
          <w:sz w:val="16"/>
          <w:szCs w:val="16"/>
        </w:rPr>
        <w:t xml:space="preserve"> el inversionista podrá adelantar un proceso de vinculación ante las SCBV con el fin de realizar operaciones de venta posteriores sobre</w:t>
      </w:r>
      <w:r w:rsidR="00801BE9" w:rsidRPr="00542A58">
        <w:rPr>
          <w:rFonts w:ascii="Arial" w:hAnsi="Arial" w:cs="Arial"/>
          <w:spacing w:val="-3"/>
          <w:sz w:val="16"/>
          <w:szCs w:val="16"/>
        </w:rPr>
        <w:t xml:space="preserve"> </w:t>
      </w:r>
      <w:r w:rsidR="00144355" w:rsidRPr="00542A58">
        <w:rPr>
          <w:rFonts w:ascii="Arial" w:hAnsi="Arial" w:cs="Arial"/>
          <w:spacing w:val="-3"/>
          <w:sz w:val="16"/>
          <w:szCs w:val="16"/>
        </w:rPr>
        <w:t xml:space="preserve">dichas </w:t>
      </w:r>
      <w:r w:rsidR="00801BE9" w:rsidRPr="00542A58">
        <w:rPr>
          <w:rFonts w:ascii="Arial" w:hAnsi="Arial" w:cs="Arial"/>
          <w:spacing w:val="-3"/>
          <w:sz w:val="16"/>
          <w:szCs w:val="16"/>
        </w:rPr>
        <w:t>acciones, incluyendo la posibilidad de aplicar lo establecido en el subnumeral 5.</w:t>
      </w:r>
      <w:r w:rsidR="00981925" w:rsidRPr="00542A58">
        <w:rPr>
          <w:rFonts w:ascii="Arial" w:hAnsi="Arial" w:cs="Arial"/>
          <w:spacing w:val="-3"/>
          <w:sz w:val="16"/>
          <w:szCs w:val="16"/>
        </w:rPr>
        <w:t>3</w:t>
      </w:r>
      <w:r w:rsidR="00801BE9" w:rsidRPr="00542A58">
        <w:rPr>
          <w:rFonts w:ascii="Arial" w:hAnsi="Arial" w:cs="Arial"/>
          <w:spacing w:val="-3"/>
          <w:sz w:val="16"/>
          <w:szCs w:val="16"/>
        </w:rPr>
        <w:t>. del presente Capítulo</w:t>
      </w:r>
      <w:r w:rsidR="00542A58">
        <w:rPr>
          <w:rFonts w:ascii="Arial" w:hAnsi="Arial" w:cs="Arial"/>
          <w:b/>
          <w:spacing w:val="-3"/>
          <w:sz w:val="16"/>
          <w:szCs w:val="16"/>
        </w:rPr>
        <w:t>, y la posibilidad de que los inversionistas puedan solicitar que esta operación se realice a través de servicios de solo ejecución</w:t>
      </w:r>
      <w:r w:rsidR="009C5318">
        <w:rPr>
          <w:rFonts w:ascii="Arial" w:hAnsi="Arial" w:cs="Arial"/>
          <w:b/>
          <w:spacing w:val="-3"/>
          <w:sz w:val="16"/>
          <w:szCs w:val="16"/>
        </w:rPr>
        <w:t>,</w:t>
      </w:r>
      <w:r w:rsidR="00542A58">
        <w:rPr>
          <w:rFonts w:ascii="Arial" w:hAnsi="Arial" w:cs="Arial"/>
          <w:b/>
          <w:spacing w:val="-3"/>
          <w:sz w:val="16"/>
          <w:szCs w:val="16"/>
        </w:rPr>
        <w:t xml:space="preserve"> de acuerdo a las disposiciones contenidas en el artículo 7.8.1.1.1 del Decreto 2555 de 2010.</w:t>
      </w:r>
      <w:r w:rsidR="00C82A72">
        <w:rPr>
          <w:rFonts w:ascii="Arial" w:hAnsi="Arial" w:cs="Arial"/>
          <w:b/>
          <w:spacing w:val="-3"/>
          <w:sz w:val="16"/>
          <w:szCs w:val="16"/>
        </w:rPr>
        <w:t xml:space="preserve"> </w:t>
      </w:r>
      <w:r w:rsidR="00801BE9" w:rsidRPr="00542A58">
        <w:rPr>
          <w:rFonts w:ascii="Arial" w:hAnsi="Arial" w:cs="Arial"/>
          <w:spacing w:val="-3"/>
          <w:sz w:val="16"/>
          <w:szCs w:val="16"/>
        </w:rPr>
        <w:t>Asimismo, las SCBV deben informar si existe un programa de recompra por parte del emisor y las condiciones de éste, de ser el caso.</w:t>
      </w:r>
    </w:p>
    <w:p w14:paraId="24040BD7" w14:textId="77777777" w:rsidR="005917F9" w:rsidRPr="00542A58" w:rsidRDefault="005917F9" w:rsidP="00542A58">
      <w:pPr>
        <w:jc w:val="both"/>
        <w:rPr>
          <w:rFonts w:ascii="Arial" w:hAnsi="Arial" w:cs="Arial"/>
          <w:spacing w:val="-3"/>
          <w:sz w:val="16"/>
          <w:szCs w:val="16"/>
        </w:rPr>
      </w:pPr>
    </w:p>
    <w:p w14:paraId="4A46ECE7" w14:textId="77777777" w:rsidR="005917F9" w:rsidRPr="00542A58" w:rsidRDefault="00673C00" w:rsidP="00542A58">
      <w:pPr>
        <w:jc w:val="both"/>
        <w:rPr>
          <w:rFonts w:ascii="Arial" w:hAnsi="Arial" w:cs="Arial"/>
          <w:spacing w:val="-3"/>
          <w:sz w:val="16"/>
          <w:szCs w:val="16"/>
        </w:rPr>
      </w:pPr>
      <w:r w:rsidRPr="00542A58">
        <w:rPr>
          <w:rFonts w:ascii="Arial" w:hAnsi="Arial" w:cs="Arial"/>
          <w:spacing w:val="-3"/>
          <w:sz w:val="16"/>
          <w:szCs w:val="16"/>
        </w:rPr>
        <w:t>5.</w:t>
      </w:r>
      <w:r w:rsidR="005917F9" w:rsidRPr="00542A58">
        <w:rPr>
          <w:rFonts w:ascii="Arial" w:hAnsi="Arial" w:cs="Arial"/>
          <w:spacing w:val="-3"/>
          <w:sz w:val="16"/>
          <w:szCs w:val="16"/>
        </w:rPr>
        <w:t xml:space="preserve">1.6. Las tarifas derivadas de la operación de adquisición de las mencionadas acciones, que deberán estar publicadas en su página web, las </w:t>
      </w:r>
      <w:r w:rsidR="00481C8F" w:rsidRPr="00542A58">
        <w:rPr>
          <w:rFonts w:ascii="Arial" w:hAnsi="Arial" w:cs="Arial"/>
          <w:spacing w:val="-3"/>
          <w:sz w:val="16"/>
          <w:szCs w:val="16"/>
        </w:rPr>
        <w:t>cuales,</w:t>
      </w:r>
      <w:r w:rsidR="005917F9" w:rsidRPr="00542A58">
        <w:rPr>
          <w:rFonts w:ascii="Arial" w:hAnsi="Arial" w:cs="Arial"/>
          <w:spacing w:val="-3"/>
          <w:sz w:val="16"/>
          <w:szCs w:val="16"/>
        </w:rPr>
        <w:t xml:space="preserve"> en todo caso, deben reflejar las actividades que efectivamente realiza la SCBV.</w:t>
      </w:r>
    </w:p>
    <w:p w14:paraId="1DFB43CB" w14:textId="77777777" w:rsidR="005917F9" w:rsidRPr="00542A58" w:rsidRDefault="005917F9" w:rsidP="00542A58">
      <w:pPr>
        <w:jc w:val="both"/>
        <w:rPr>
          <w:rFonts w:ascii="Arial" w:hAnsi="Arial" w:cs="Arial"/>
          <w:spacing w:val="-3"/>
          <w:sz w:val="16"/>
          <w:szCs w:val="16"/>
        </w:rPr>
      </w:pPr>
    </w:p>
    <w:p w14:paraId="24F0270E" w14:textId="228F56D9" w:rsidR="00673C00" w:rsidRDefault="00673C00" w:rsidP="00C82A72">
      <w:pPr>
        <w:pBdr>
          <w:left w:val="single" w:sz="4" w:space="4" w:color="auto"/>
        </w:pBdr>
        <w:jc w:val="both"/>
        <w:rPr>
          <w:rFonts w:ascii="Arial" w:hAnsi="Arial" w:cs="Arial"/>
          <w:spacing w:val="-3"/>
          <w:sz w:val="16"/>
          <w:szCs w:val="16"/>
        </w:rPr>
      </w:pPr>
    </w:p>
    <w:p w14:paraId="7003873D" w14:textId="52682925" w:rsidR="00C82A72" w:rsidRDefault="00C82A72" w:rsidP="00C82A72">
      <w:pPr>
        <w:pBdr>
          <w:left w:val="single" w:sz="4" w:space="4" w:color="auto"/>
        </w:pBdr>
        <w:jc w:val="both"/>
        <w:rPr>
          <w:rFonts w:ascii="Arial" w:hAnsi="Arial" w:cs="Arial"/>
          <w:spacing w:val="-3"/>
          <w:sz w:val="16"/>
          <w:szCs w:val="16"/>
        </w:rPr>
      </w:pPr>
    </w:p>
    <w:p w14:paraId="00FF3F32" w14:textId="5B2810F8" w:rsidR="00C82A72" w:rsidRDefault="00C82A72" w:rsidP="00C82A72">
      <w:pPr>
        <w:pBdr>
          <w:left w:val="single" w:sz="4" w:space="4" w:color="auto"/>
        </w:pBdr>
        <w:jc w:val="both"/>
        <w:rPr>
          <w:rFonts w:ascii="Arial" w:hAnsi="Arial" w:cs="Arial"/>
          <w:spacing w:val="-3"/>
          <w:sz w:val="16"/>
          <w:szCs w:val="16"/>
        </w:rPr>
      </w:pPr>
    </w:p>
    <w:p w14:paraId="2B1FCF97" w14:textId="7E6B9C75" w:rsidR="00C82A72" w:rsidRDefault="00C82A72" w:rsidP="00C82A72">
      <w:pPr>
        <w:pBdr>
          <w:left w:val="single" w:sz="4" w:space="4" w:color="auto"/>
        </w:pBdr>
        <w:jc w:val="both"/>
        <w:rPr>
          <w:rFonts w:ascii="Arial" w:hAnsi="Arial" w:cs="Arial"/>
          <w:spacing w:val="-3"/>
          <w:sz w:val="16"/>
          <w:szCs w:val="16"/>
        </w:rPr>
      </w:pPr>
    </w:p>
    <w:p w14:paraId="015E3516" w14:textId="162734C8" w:rsidR="00C82A72" w:rsidRDefault="00C82A72" w:rsidP="00C82A72">
      <w:pPr>
        <w:pBdr>
          <w:left w:val="single" w:sz="4" w:space="4" w:color="auto"/>
        </w:pBdr>
        <w:jc w:val="both"/>
        <w:rPr>
          <w:rFonts w:ascii="Arial" w:hAnsi="Arial" w:cs="Arial"/>
          <w:spacing w:val="-3"/>
          <w:sz w:val="16"/>
          <w:szCs w:val="16"/>
        </w:rPr>
      </w:pPr>
    </w:p>
    <w:p w14:paraId="7920A170" w14:textId="73DE47A6" w:rsidR="00C82A72" w:rsidRDefault="00C82A72" w:rsidP="00C82A72">
      <w:pPr>
        <w:pBdr>
          <w:left w:val="single" w:sz="4" w:space="4" w:color="auto"/>
        </w:pBdr>
        <w:jc w:val="both"/>
        <w:rPr>
          <w:rFonts w:ascii="Arial" w:hAnsi="Arial" w:cs="Arial"/>
          <w:spacing w:val="-3"/>
          <w:sz w:val="16"/>
          <w:szCs w:val="16"/>
        </w:rPr>
      </w:pPr>
    </w:p>
    <w:p w14:paraId="316F9A93" w14:textId="2189C934" w:rsidR="00C82A72" w:rsidRDefault="00C82A72" w:rsidP="00C82A72">
      <w:pPr>
        <w:pBdr>
          <w:left w:val="single" w:sz="4" w:space="4" w:color="auto"/>
        </w:pBdr>
        <w:jc w:val="both"/>
        <w:rPr>
          <w:rFonts w:ascii="Arial" w:hAnsi="Arial" w:cs="Arial"/>
          <w:spacing w:val="-3"/>
          <w:sz w:val="16"/>
          <w:szCs w:val="16"/>
        </w:rPr>
      </w:pPr>
    </w:p>
    <w:p w14:paraId="3DF89487" w14:textId="0466C135" w:rsidR="00C82A72" w:rsidRDefault="00C82A72" w:rsidP="00C82A72">
      <w:pPr>
        <w:pBdr>
          <w:left w:val="single" w:sz="4" w:space="4" w:color="auto"/>
        </w:pBdr>
        <w:jc w:val="both"/>
        <w:rPr>
          <w:rFonts w:ascii="Arial" w:hAnsi="Arial" w:cs="Arial"/>
          <w:spacing w:val="-3"/>
          <w:sz w:val="16"/>
          <w:szCs w:val="16"/>
        </w:rPr>
      </w:pPr>
    </w:p>
    <w:p w14:paraId="538089B0" w14:textId="70B84C74" w:rsidR="00C82A72" w:rsidRDefault="00C82A72" w:rsidP="00C82A72">
      <w:pPr>
        <w:pBdr>
          <w:left w:val="single" w:sz="4" w:space="4" w:color="auto"/>
        </w:pBdr>
        <w:jc w:val="both"/>
        <w:rPr>
          <w:rFonts w:ascii="Arial" w:hAnsi="Arial" w:cs="Arial"/>
          <w:spacing w:val="-3"/>
          <w:sz w:val="16"/>
          <w:szCs w:val="16"/>
        </w:rPr>
      </w:pPr>
    </w:p>
    <w:p w14:paraId="6959F413" w14:textId="77777777" w:rsidR="00045EF8" w:rsidRDefault="00045EF8" w:rsidP="00C82A72">
      <w:pPr>
        <w:pBdr>
          <w:left w:val="single" w:sz="4" w:space="4" w:color="auto"/>
        </w:pBdr>
        <w:jc w:val="both"/>
        <w:rPr>
          <w:rFonts w:ascii="Arial" w:hAnsi="Arial" w:cs="Arial"/>
          <w:spacing w:val="-3"/>
          <w:sz w:val="16"/>
          <w:szCs w:val="16"/>
        </w:rPr>
      </w:pPr>
    </w:p>
    <w:p w14:paraId="7595199C" w14:textId="74047559" w:rsidR="00C82A72" w:rsidRDefault="00C82A72" w:rsidP="00C82A72">
      <w:pPr>
        <w:pBdr>
          <w:left w:val="single" w:sz="4" w:space="4" w:color="auto"/>
        </w:pBdr>
        <w:jc w:val="both"/>
        <w:rPr>
          <w:rFonts w:ascii="Arial" w:hAnsi="Arial" w:cs="Arial"/>
          <w:spacing w:val="-3"/>
          <w:sz w:val="16"/>
          <w:szCs w:val="16"/>
        </w:rPr>
      </w:pPr>
    </w:p>
    <w:p w14:paraId="6A16C4F3" w14:textId="068E9498" w:rsidR="00C82A72" w:rsidRDefault="00C82A72" w:rsidP="00C82A72">
      <w:pPr>
        <w:pBdr>
          <w:left w:val="single" w:sz="4" w:space="4" w:color="auto"/>
        </w:pBdr>
        <w:jc w:val="both"/>
        <w:rPr>
          <w:rFonts w:ascii="Arial" w:hAnsi="Arial" w:cs="Arial"/>
          <w:spacing w:val="-3"/>
          <w:sz w:val="16"/>
          <w:szCs w:val="16"/>
        </w:rPr>
      </w:pPr>
    </w:p>
    <w:p w14:paraId="26E7376E" w14:textId="0F4630E2" w:rsidR="00C82A72" w:rsidRDefault="00C82A72" w:rsidP="00C82A72">
      <w:pPr>
        <w:pBdr>
          <w:left w:val="single" w:sz="4" w:space="4" w:color="auto"/>
        </w:pBdr>
        <w:jc w:val="both"/>
        <w:rPr>
          <w:rFonts w:ascii="Arial" w:hAnsi="Arial" w:cs="Arial"/>
          <w:spacing w:val="-3"/>
          <w:sz w:val="16"/>
          <w:szCs w:val="16"/>
        </w:rPr>
      </w:pPr>
    </w:p>
    <w:p w14:paraId="12CE113E" w14:textId="0678216A" w:rsidR="00C82A72" w:rsidRDefault="00C82A72" w:rsidP="00C82A72">
      <w:pPr>
        <w:pBdr>
          <w:left w:val="single" w:sz="4" w:space="4" w:color="auto"/>
        </w:pBdr>
        <w:jc w:val="both"/>
        <w:rPr>
          <w:rFonts w:ascii="Arial" w:hAnsi="Arial" w:cs="Arial"/>
          <w:spacing w:val="-3"/>
          <w:sz w:val="16"/>
          <w:szCs w:val="16"/>
        </w:rPr>
      </w:pPr>
    </w:p>
    <w:p w14:paraId="49A6813A" w14:textId="13B85DDF" w:rsidR="00C82A72" w:rsidRDefault="00C82A72" w:rsidP="00C82A72">
      <w:pPr>
        <w:pBdr>
          <w:left w:val="single" w:sz="4" w:space="4" w:color="auto"/>
        </w:pBdr>
        <w:jc w:val="both"/>
        <w:rPr>
          <w:rFonts w:ascii="Arial" w:hAnsi="Arial" w:cs="Arial"/>
          <w:spacing w:val="-3"/>
          <w:sz w:val="16"/>
          <w:szCs w:val="16"/>
        </w:rPr>
      </w:pPr>
    </w:p>
    <w:p w14:paraId="22F5F8A6" w14:textId="6592786F" w:rsidR="00C82A72" w:rsidRDefault="00C82A72" w:rsidP="00C82A72">
      <w:pPr>
        <w:pBdr>
          <w:left w:val="single" w:sz="4" w:space="4" w:color="auto"/>
        </w:pBdr>
        <w:jc w:val="both"/>
        <w:rPr>
          <w:rFonts w:ascii="Arial" w:hAnsi="Arial" w:cs="Arial"/>
          <w:spacing w:val="-3"/>
          <w:sz w:val="16"/>
          <w:szCs w:val="16"/>
        </w:rPr>
      </w:pPr>
    </w:p>
    <w:p w14:paraId="3F2327A5" w14:textId="77777777" w:rsidR="00A80FDB" w:rsidRDefault="00A80FDB" w:rsidP="00C82A72">
      <w:pPr>
        <w:pBdr>
          <w:left w:val="single" w:sz="4" w:space="4" w:color="auto"/>
        </w:pBdr>
        <w:jc w:val="both"/>
        <w:rPr>
          <w:rFonts w:ascii="Arial" w:hAnsi="Arial" w:cs="Arial"/>
          <w:spacing w:val="-3"/>
          <w:sz w:val="16"/>
          <w:szCs w:val="16"/>
        </w:rPr>
      </w:pPr>
    </w:p>
    <w:p w14:paraId="5B6D16E6" w14:textId="77777777" w:rsidR="00C82A72" w:rsidRPr="00542A58" w:rsidRDefault="00C82A72" w:rsidP="00C82A72">
      <w:pPr>
        <w:pBdr>
          <w:left w:val="single" w:sz="4" w:space="4" w:color="auto"/>
        </w:pBdr>
        <w:jc w:val="both"/>
        <w:rPr>
          <w:rFonts w:ascii="Arial" w:hAnsi="Arial" w:cs="Arial"/>
          <w:spacing w:val="-3"/>
          <w:sz w:val="16"/>
          <w:szCs w:val="16"/>
        </w:rPr>
      </w:pPr>
    </w:p>
    <w:p w14:paraId="2C17002E" w14:textId="77777777" w:rsidR="005917F9" w:rsidRPr="00B527C6" w:rsidRDefault="005917F9" w:rsidP="004635D9">
      <w:pPr>
        <w:jc w:val="both"/>
        <w:rPr>
          <w:rFonts w:ascii="Arial" w:hAnsi="Arial" w:cs="Arial"/>
          <w:b/>
          <w:spacing w:val="-3"/>
          <w:sz w:val="16"/>
          <w:szCs w:val="16"/>
        </w:rPr>
      </w:pPr>
    </w:p>
    <w:p w14:paraId="096EB21E" w14:textId="77777777" w:rsidR="005917F9" w:rsidRDefault="00673C00" w:rsidP="004635D9">
      <w:pPr>
        <w:jc w:val="both"/>
        <w:rPr>
          <w:rFonts w:ascii="Arial" w:hAnsi="Arial" w:cs="Arial"/>
          <w:b/>
          <w:spacing w:val="-3"/>
          <w:sz w:val="16"/>
          <w:szCs w:val="16"/>
        </w:rPr>
      </w:pPr>
      <w:r w:rsidRPr="00B527C6">
        <w:rPr>
          <w:rFonts w:ascii="Arial" w:hAnsi="Arial" w:cs="Arial"/>
          <w:b/>
          <w:spacing w:val="-3"/>
          <w:sz w:val="16"/>
          <w:szCs w:val="16"/>
        </w:rPr>
        <w:t>6.</w:t>
      </w:r>
      <w:r w:rsidR="005917F9" w:rsidRPr="00B527C6">
        <w:rPr>
          <w:rFonts w:ascii="Arial" w:hAnsi="Arial" w:cs="Arial"/>
          <w:b/>
          <w:spacing w:val="-3"/>
          <w:sz w:val="16"/>
          <w:szCs w:val="16"/>
        </w:rPr>
        <w:t xml:space="preserve"> DEBER DE INFORMACIÓN FRENTE A INVERSIONISTAS CON INVERSIONES EXISTENTES EN ACCIONES.</w:t>
      </w:r>
    </w:p>
    <w:p w14:paraId="76B3CE5C" w14:textId="77777777" w:rsidR="0028236A" w:rsidRPr="00B527C6" w:rsidRDefault="0028236A" w:rsidP="004635D9">
      <w:pPr>
        <w:jc w:val="both"/>
        <w:rPr>
          <w:rFonts w:ascii="Arial" w:hAnsi="Arial" w:cs="Arial"/>
          <w:b/>
          <w:spacing w:val="-3"/>
          <w:sz w:val="16"/>
          <w:szCs w:val="16"/>
        </w:rPr>
      </w:pPr>
    </w:p>
    <w:p w14:paraId="6B0098BA" w14:textId="77777777" w:rsidR="0028236A" w:rsidRPr="004635D9" w:rsidRDefault="00BA1146" w:rsidP="004635D9">
      <w:pPr>
        <w:jc w:val="both"/>
        <w:rPr>
          <w:rFonts w:ascii="Arial" w:hAnsi="Arial" w:cs="Arial"/>
          <w:spacing w:val="-3"/>
          <w:sz w:val="16"/>
          <w:szCs w:val="16"/>
        </w:rPr>
      </w:pPr>
      <w:r w:rsidRPr="004635D9">
        <w:rPr>
          <w:rFonts w:ascii="Arial" w:hAnsi="Arial" w:cs="Arial"/>
          <w:spacing w:val="-3"/>
          <w:sz w:val="16"/>
          <w:szCs w:val="16"/>
        </w:rPr>
        <w:t>En desarrollo de su función de administrar el libro de registro de accionistas de la compañía, e</w:t>
      </w:r>
      <w:r w:rsidR="0028236A" w:rsidRPr="004635D9">
        <w:rPr>
          <w:rFonts w:ascii="Arial" w:hAnsi="Arial" w:cs="Arial"/>
          <w:spacing w:val="-3"/>
          <w:sz w:val="16"/>
          <w:szCs w:val="16"/>
        </w:rPr>
        <w:t>l emisor, en cualquier momento, puede tomar la decisión de actuar en calidad de depositante directo de sus acciones ante el respectivo depósito centralizado de valores</w:t>
      </w:r>
      <w:r w:rsidR="0035332E" w:rsidRPr="004635D9">
        <w:rPr>
          <w:rFonts w:ascii="Arial" w:hAnsi="Arial" w:cs="Arial"/>
          <w:spacing w:val="-3"/>
          <w:sz w:val="16"/>
          <w:szCs w:val="16"/>
        </w:rPr>
        <w:t>, en las condiciones que considere pertinentes</w:t>
      </w:r>
      <w:r w:rsidR="0028236A" w:rsidRPr="004635D9">
        <w:rPr>
          <w:rFonts w:ascii="Arial" w:hAnsi="Arial" w:cs="Arial"/>
          <w:spacing w:val="-3"/>
          <w:sz w:val="16"/>
          <w:szCs w:val="16"/>
        </w:rPr>
        <w:t>. En estos casos, el emisor debe manifestar esta decisión expresamente, a través de los mecanismos de divulgación de información al público previstos en el Decreto 2555 de 2010, indicando las condiciones en las cuales va a actuar en esta calidad</w:t>
      </w:r>
      <w:r w:rsidR="008A166D" w:rsidRPr="004635D9">
        <w:rPr>
          <w:rFonts w:ascii="Arial" w:hAnsi="Arial" w:cs="Arial"/>
          <w:spacing w:val="-3"/>
          <w:sz w:val="16"/>
          <w:szCs w:val="16"/>
        </w:rPr>
        <w:t>,</w:t>
      </w:r>
      <w:r w:rsidR="0028236A" w:rsidRPr="004635D9">
        <w:rPr>
          <w:rFonts w:ascii="Arial" w:hAnsi="Arial" w:cs="Arial"/>
          <w:spacing w:val="-3"/>
          <w:sz w:val="16"/>
          <w:szCs w:val="16"/>
        </w:rPr>
        <w:t xml:space="preserve"> el plazo mínimo de antelación con el cual informará cualquier cambio en esta situación</w:t>
      </w:r>
      <w:r w:rsidR="008A166D" w:rsidRPr="004635D9">
        <w:rPr>
          <w:rFonts w:ascii="Arial" w:hAnsi="Arial" w:cs="Arial"/>
          <w:spacing w:val="-3"/>
          <w:sz w:val="16"/>
          <w:szCs w:val="16"/>
        </w:rPr>
        <w:t>, los costos que éste asumirá y/o aquellos que trasladará a los accionistas, los mecanismos que utilizará para informar cualquier modificación en los mencionados costos, el procedimiento que se llevará a cabo para realizar el traslado de depositante directo y cualquier otra que considere relevante</w:t>
      </w:r>
      <w:r w:rsidR="0028236A" w:rsidRPr="004635D9">
        <w:rPr>
          <w:rFonts w:ascii="Arial" w:hAnsi="Arial" w:cs="Arial"/>
          <w:spacing w:val="-3"/>
          <w:sz w:val="16"/>
          <w:szCs w:val="16"/>
        </w:rPr>
        <w:t>. Así mismo, el emisor deberá informar a través de estos mismos mecanismos, cualquier modificación que se presente en relación con las situaciones antes descritas.</w:t>
      </w:r>
    </w:p>
    <w:p w14:paraId="10F01AC6" w14:textId="77777777" w:rsidR="00B4704A" w:rsidRPr="004635D9" w:rsidRDefault="00B4704A" w:rsidP="004635D9">
      <w:pPr>
        <w:jc w:val="both"/>
        <w:rPr>
          <w:rFonts w:ascii="Arial" w:hAnsi="Arial" w:cs="Arial"/>
          <w:spacing w:val="-3"/>
          <w:sz w:val="16"/>
          <w:szCs w:val="16"/>
        </w:rPr>
      </w:pPr>
    </w:p>
    <w:p w14:paraId="663FD380" w14:textId="77777777" w:rsidR="005917F9" w:rsidRPr="004635D9" w:rsidRDefault="00B4704A" w:rsidP="004635D9">
      <w:pPr>
        <w:jc w:val="both"/>
        <w:rPr>
          <w:rFonts w:ascii="Arial" w:hAnsi="Arial" w:cs="Arial"/>
          <w:spacing w:val="-3"/>
          <w:sz w:val="16"/>
          <w:szCs w:val="16"/>
        </w:rPr>
      </w:pPr>
      <w:r w:rsidRPr="004635D9">
        <w:rPr>
          <w:rFonts w:ascii="Arial" w:hAnsi="Arial" w:cs="Arial"/>
          <w:spacing w:val="-3"/>
          <w:sz w:val="16"/>
          <w:szCs w:val="16"/>
        </w:rPr>
        <w:t>Los emisores que actúan como depositantes directos de los inversionistas en los términos de este Capítulo, no asumen las obligaciones propias de los intermediarios del mercado de valores.</w:t>
      </w:r>
      <w:r w:rsidR="005C6C6B" w:rsidRPr="004635D9">
        <w:rPr>
          <w:rFonts w:ascii="Arial" w:hAnsi="Arial" w:cs="Arial"/>
          <w:spacing w:val="-3"/>
          <w:sz w:val="16"/>
          <w:szCs w:val="16"/>
        </w:rPr>
        <w:t xml:space="preserve"> A</w:t>
      </w:r>
      <w:r w:rsidRPr="004635D9">
        <w:rPr>
          <w:rFonts w:ascii="Arial" w:hAnsi="Arial" w:cs="Arial"/>
          <w:spacing w:val="-3"/>
          <w:sz w:val="16"/>
          <w:szCs w:val="16"/>
        </w:rPr>
        <w:t xml:space="preserve"> partir del momento en que se trasladen los inversionistas al emisor depositante directo, éste debe atender las instrucciones </w:t>
      </w:r>
      <w:r w:rsidR="005C6C6B" w:rsidRPr="004635D9">
        <w:rPr>
          <w:rFonts w:ascii="Arial" w:hAnsi="Arial" w:cs="Arial"/>
          <w:spacing w:val="-3"/>
          <w:sz w:val="16"/>
          <w:szCs w:val="16"/>
        </w:rPr>
        <w:t xml:space="preserve">en materia de prevención y control de lavado de activos y de la financiación del terrorismo contempladas en el Capítulo VII del Título I de la Parte III de esta Circular. Para los eventos de negociación en el mercado secundario, el emisor de valores que actúe como depositante directo debe cumplir con las instrucciones </w:t>
      </w:r>
      <w:r w:rsidRPr="004635D9">
        <w:rPr>
          <w:rFonts w:ascii="Arial" w:hAnsi="Arial" w:cs="Arial"/>
          <w:spacing w:val="-3"/>
          <w:sz w:val="16"/>
          <w:szCs w:val="16"/>
        </w:rPr>
        <w:t xml:space="preserve">contenidas en el subnumeral 2.4.2 </w:t>
      </w:r>
      <w:r w:rsidR="005C6C6B" w:rsidRPr="004635D9">
        <w:rPr>
          <w:rFonts w:ascii="Arial" w:hAnsi="Arial" w:cs="Arial"/>
          <w:spacing w:val="-3"/>
          <w:sz w:val="16"/>
          <w:szCs w:val="16"/>
        </w:rPr>
        <w:t>de</w:t>
      </w:r>
      <w:r w:rsidR="00860A3F" w:rsidRPr="004635D9">
        <w:rPr>
          <w:rFonts w:ascii="Arial" w:hAnsi="Arial" w:cs="Arial"/>
          <w:spacing w:val="-3"/>
          <w:sz w:val="16"/>
          <w:szCs w:val="16"/>
        </w:rPr>
        <w:t>l mencionado Capítulo VII del Título I de la Parte III</w:t>
      </w:r>
      <w:r w:rsidRPr="004635D9">
        <w:rPr>
          <w:rFonts w:ascii="Arial" w:hAnsi="Arial" w:cs="Arial"/>
          <w:spacing w:val="-3"/>
          <w:sz w:val="16"/>
          <w:szCs w:val="16"/>
        </w:rPr>
        <w:t>.</w:t>
      </w:r>
    </w:p>
    <w:p w14:paraId="39A1D0D5" w14:textId="77777777" w:rsidR="005C6C6B" w:rsidRPr="004635D9" w:rsidRDefault="005C6C6B" w:rsidP="004635D9">
      <w:pPr>
        <w:jc w:val="both"/>
        <w:rPr>
          <w:rFonts w:ascii="Arial" w:hAnsi="Arial" w:cs="Arial"/>
          <w:spacing w:val="-3"/>
          <w:sz w:val="16"/>
          <w:szCs w:val="16"/>
        </w:rPr>
      </w:pPr>
    </w:p>
    <w:p w14:paraId="0FD55479" w14:textId="77777777" w:rsidR="005C6C6B" w:rsidRPr="004635D9" w:rsidRDefault="005C6C6B" w:rsidP="004635D9">
      <w:pPr>
        <w:jc w:val="both"/>
        <w:rPr>
          <w:rFonts w:ascii="Arial" w:hAnsi="Arial" w:cs="Arial"/>
          <w:spacing w:val="-3"/>
          <w:sz w:val="16"/>
          <w:szCs w:val="16"/>
        </w:rPr>
      </w:pPr>
      <w:r w:rsidRPr="004635D9">
        <w:rPr>
          <w:rFonts w:ascii="Arial" w:hAnsi="Arial" w:cs="Arial"/>
          <w:spacing w:val="-3"/>
          <w:sz w:val="16"/>
          <w:szCs w:val="16"/>
        </w:rPr>
        <w:t xml:space="preserve">Los emisores de valores a los que se refiere este numeral 6 pueden </w:t>
      </w:r>
      <w:r w:rsidR="007F2EC2" w:rsidRPr="004635D9">
        <w:rPr>
          <w:rFonts w:ascii="Arial" w:hAnsi="Arial" w:cs="Arial"/>
          <w:spacing w:val="-3"/>
          <w:sz w:val="16"/>
          <w:szCs w:val="16"/>
        </w:rPr>
        <w:t>llevar a cabo los procedimientos para el conocimiento de los inversionistas en el mercado secundario a los que se refiere el subnumeral 2.4.2 el Capítulo VII del Título I de la Parte III de esta Circular a través de</w:t>
      </w:r>
      <w:r w:rsidRPr="004635D9">
        <w:rPr>
          <w:rFonts w:ascii="Arial" w:hAnsi="Arial" w:cs="Arial"/>
          <w:spacing w:val="-3"/>
          <w:sz w:val="16"/>
          <w:szCs w:val="16"/>
        </w:rPr>
        <w:t xml:space="preserve"> entidades vigiladas, en cuyo caso </w:t>
      </w:r>
      <w:r w:rsidR="007F2EC2" w:rsidRPr="004635D9">
        <w:rPr>
          <w:rFonts w:ascii="Arial" w:hAnsi="Arial" w:cs="Arial"/>
          <w:spacing w:val="-3"/>
          <w:sz w:val="16"/>
          <w:szCs w:val="16"/>
        </w:rPr>
        <w:t>estas</w:t>
      </w:r>
      <w:r w:rsidRPr="004635D9">
        <w:rPr>
          <w:rFonts w:ascii="Arial" w:hAnsi="Arial" w:cs="Arial"/>
          <w:spacing w:val="-3"/>
          <w:sz w:val="16"/>
          <w:szCs w:val="16"/>
        </w:rPr>
        <w:t xml:space="preserve"> entidad</w:t>
      </w:r>
      <w:r w:rsidR="007F2EC2" w:rsidRPr="004635D9">
        <w:rPr>
          <w:rFonts w:ascii="Arial" w:hAnsi="Arial" w:cs="Arial"/>
          <w:spacing w:val="-3"/>
          <w:sz w:val="16"/>
          <w:szCs w:val="16"/>
        </w:rPr>
        <w:t>es</w:t>
      </w:r>
      <w:r w:rsidRPr="004635D9">
        <w:rPr>
          <w:rFonts w:ascii="Arial" w:hAnsi="Arial" w:cs="Arial"/>
          <w:spacing w:val="-3"/>
          <w:sz w:val="16"/>
          <w:szCs w:val="16"/>
        </w:rPr>
        <w:t xml:space="preserve"> vigilada</w:t>
      </w:r>
      <w:r w:rsidR="007F2EC2" w:rsidRPr="004635D9">
        <w:rPr>
          <w:rFonts w:ascii="Arial" w:hAnsi="Arial" w:cs="Arial"/>
          <w:spacing w:val="-3"/>
          <w:sz w:val="16"/>
          <w:szCs w:val="16"/>
        </w:rPr>
        <w:t>s</w:t>
      </w:r>
      <w:r w:rsidRPr="004635D9">
        <w:rPr>
          <w:rFonts w:ascii="Arial" w:hAnsi="Arial" w:cs="Arial"/>
          <w:spacing w:val="-3"/>
          <w:sz w:val="16"/>
          <w:szCs w:val="16"/>
        </w:rPr>
        <w:t xml:space="preserve"> deberá</w:t>
      </w:r>
      <w:r w:rsidR="007F2EC2" w:rsidRPr="004635D9">
        <w:rPr>
          <w:rFonts w:ascii="Arial" w:hAnsi="Arial" w:cs="Arial"/>
          <w:spacing w:val="-3"/>
          <w:sz w:val="16"/>
          <w:szCs w:val="16"/>
        </w:rPr>
        <w:t>n</w:t>
      </w:r>
      <w:r w:rsidRPr="004635D9">
        <w:rPr>
          <w:rFonts w:ascii="Arial" w:hAnsi="Arial" w:cs="Arial"/>
          <w:spacing w:val="-3"/>
          <w:sz w:val="16"/>
          <w:szCs w:val="16"/>
        </w:rPr>
        <w:t xml:space="preserve"> cumplir con las instrucciones contenidas en el mencionado subnumeral 2.4.2.</w:t>
      </w:r>
    </w:p>
    <w:p w14:paraId="06165850" w14:textId="77777777" w:rsidR="00B4704A" w:rsidRPr="00B527C6" w:rsidRDefault="00B4704A" w:rsidP="004635D9">
      <w:pPr>
        <w:jc w:val="both"/>
        <w:rPr>
          <w:rFonts w:ascii="Arial" w:hAnsi="Arial" w:cs="Arial"/>
          <w:b/>
          <w:spacing w:val="-3"/>
          <w:sz w:val="16"/>
          <w:szCs w:val="16"/>
        </w:rPr>
      </w:pPr>
    </w:p>
    <w:p w14:paraId="790EB7D1" w14:textId="77777777" w:rsidR="00A80FDB" w:rsidRDefault="00673C00" w:rsidP="00A80FDB">
      <w:pPr>
        <w:jc w:val="both"/>
        <w:rPr>
          <w:rFonts w:ascii="Arial" w:hAnsi="Arial" w:cs="Arial"/>
          <w:b/>
          <w:spacing w:val="-3"/>
          <w:sz w:val="16"/>
          <w:szCs w:val="16"/>
        </w:rPr>
      </w:pPr>
      <w:r w:rsidRPr="00B527C6">
        <w:rPr>
          <w:rFonts w:ascii="Arial" w:hAnsi="Arial" w:cs="Arial"/>
          <w:b/>
          <w:spacing w:val="-3"/>
          <w:sz w:val="16"/>
          <w:szCs w:val="16"/>
        </w:rPr>
        <w:t>6.</w:t>
      </w:r>
      <w:r w:rsidR="005917F9" w:rsidRPr="00B527C6">
        <w:rPr>
          <w:rFonts w:ascii="Arial" w:hAnsi="Arial" w:cs="Arial"/>
          <w:b/>
          <w:spacing w:val="-3"/>
          <w:sz w:val="16"/>
          <w:szCs w:val="16"/>
        </w:rPr>
        <w:t xml:space="preserve">1. </w:t>
      </w:r>
      <w:r w:rsidR="00E50F77">
        <w:rPr>
          <w:rFonts w:ascii="Arial" w:hAnsi="Arial" w:cs="Arial"/>
          <w:b/>
          <w:spacing w:val="-3"/>
          <w:sz w:val="16"/>
          <w:szCs w:val="16"/>
        </w:rPr>
        <w:t>Inversionistas con información de contacto actualizada que opten porque el emisor actúe como su depositante directo</w:t>
      </w:r>
    </w:p>
    <w:p w14:paraId="7DE120AF" w14:textId="77777777" w:rsidR="00A80FDB" w:rsidRDefault="00A80FDB" w:rsidP="00A80FDB">
      <w:pPr>
        <w:jc w:val="both"/>
        <w:rPr>
          <w:rFonts w:ascii="Arial" w:hAnsi="Arial" w:cs="Arial"/>
          <w:b/>
          <w:spacing w:val="-3"/>
          <w:sz w:val="16"/>
          <w:szCs w:val="16"/>
        </w:rPr>
      </w:pPr>
    </w:p>
    <w:p w14:paraId="1E6DA25A" w14:textId="40AFDB0D" w:rsidR="00A80FDB" w:rsidRPr="00A80FDB" w:rsidRDefault="005917F9" w:rsidP="00A80FDB">
      <w:pPr>
        <w:jc w:val="both"/>
        <w:rPr>
          <w:rFonts w:ascii="Arial" w:hAnsi="Arial" w:cs="Arial"/>
          <w:b/>
          <w:spacing w:val="-3"/>
          <w:sz w:val="16"/>
          <w:szCs w:val="16"/>
        </w:rPr>
      </w:pPr>
      <w:r w:rsidRPr="00C82A72">
        <w:rPr>
          <w:rFonts w:ascii="Arial" w:hAnsi="Arial" w:cs="Arial"/>
          <w:spacing w:val="-3"/>
          <w:sz w:val="16"/>
          <w:szCs w:val="16"/>
        </w:rPr>
        <w:t xml:space="preserve">Cuando un inversionista </w:t>
      </w:r>
      <w:r w:rsidR="00E50F77" w:rsidRPr="00C82A72">
        <w:rPr>
          <w:rFonts w:ascii="Arial" w:hAnsi="Arial" w:cs="Arial"/>
          <w:spacing w:val="-3"/>
          <w:sz w:val="16"/>
          <w:szCs w:val="16"/>
        </w:rPr>
        <w:t xml:space="preserve">que </w:t>
      </w:r>
      <w:r w:rsidRPr="00C82A72">
        <w:rPr>
          <w:rFonts w:ascii="Arial" w:hAnsi="Arial" w:cs="Arial"/>
          <w:spacing w:val="-3"/>
          <w:sz w:val="16"/>
          <w:szCs w:val="16"/>
        </w:rPr>
        <w:t xml:space="preserve">tenga acciones frente a las cuales el emisor ha decidido actuar como depositante directo, </w:t>
      </w:r>
      <w:r w:rsidR="008A166D" w:rsidRPr="00C82A72">
        <w:rPr>
          <w:rFonts w:ascii="Arial" w:hAnsi="Arial" w:cs="Arial"/>
          <w:spacing w:val="-3"/>
          <w:sz w:val="16"/>
          <w:szCs w:val="16"/>
        </w:rPr>
        <w:t xml:space="preserve">le informe a su SCBV que ha decido </w:t>
      </w:r>
      <w:r w:rsidR="00E50F77" w:rsidRPr="00C82A72">
        <w:rPr>
          <w:rFonts w:ascii="Arial" w:hAnsi="Arial" w:cs="Arial"/>
          <w:spacing w:val="-3"/>
          <w:sz w:val="16"/>
          <w:szCs w:val="16"/>
        </w:rPr>
        <w:t>opt</w:t>
      </w:r>
      <w:r w:rsidR="008A166D" w:rsidRPr="00C82A72">
        <w:rPr>
          <w:rFonts w:ascii="Arial" w:hAnsi="Arial" w:cs="Arial"/>
          <w:spacing w:val="-3"/>
          <w:sz w:val="16"/>
          <w:szCs w:val="16"/>
        </w:rPr>
        <w:t>ar</w:t>
      </w:r>
      <w:r w:rsidR="00E50F77" w:rsidRPr="00C82A72">
        <w:rPr>
          <w:rFonts w:ascii="Arial" w:hAnsi="Arial" w:cs="Arial"/>
          <w:spacing w:val="-3"/>
          <w:sz w:val="16"/>
          <w:szCs w:val="16"/>
        </w:rPr>
        <w:t xml:space="preserve"> porque </w:t>
      </w:r>
      <w:r w:rsidR="008A166D" w:rsidRPr="00C82A72">
        <w:rPr>
          <w:rFonts w:ascii="Arial" w:hAnsi="Arial" w:cs="Arial"/>
          <w:spacing w:val="-3"/>
          <w:sz w:val="16"/>
          <w:szCs w:val="16"/>
        </w:rPr>
        <w:t>dicho</w:t>
      </w:r>
      <w:r w:rsidR="00E50F77" w:rsidRPr="00C82A72">
        <w:rPr>
          <w:rFonts w:ascii="Arial" w:hAnsi="Arial" w:cs="Arial"/>
          <w:spacing w:val="-3"/>
          <w:sz w:val="16"/>
          <w:szCs w:val="16"/>
        </w:rPr>
        <w:t xml:space="preserve"> emisor actúe </w:t>
      </w:r>
      <w:r w:rsidR="008A166D" w:rsidRPr="00C82A72">
        <w:rPr>
          <w:rFonts w:ascii="Arial" w:hAnsi="Arial" w:cs="Arial"/>
          <w:spacing w:val="-3"/>
          <w:sz w:val="16"/>
          <w:szCs w:val="16"/>
        </w:rPr>
        <w:t>como depositante directo</w:t>
      </w:r>
      <w:r w:rsidR="00E50F77" w:rsidRPr="00C82A72">
        <w:rPr>
          <w:rFonts w:ascii="Arial" w:hAnsi="Arial" w:cs="Arial"/>
          <w:spacing w:val="-3"/>
          <w:sz w:val="16"/>
          <w:szCs w:val="16"/>
        </w:rPr>
        <w:t xml:space="preserve"> respecto de sus acciones</w:t>
      </w:r>
      <w:r w:rsidR="00E50F77" w:rsidRPr="00EA43DB">
        <w:rPr>
          <w:rFonts w:ascii="Arial" w:hAnsi="Arial" w:cs="Arial"/>
          <w:spacing w:val="-3"/>
          <w:sz w:val="16"/>
          <w:szCs w:val="16"/>
        </w:rPr>
        <w:t>,</w:t>
      </w:r>
      <w:r w:rsidRPr="00EA43DB">
        <w:rPr>
          <w:rFonts w:ascii="Arial" w:hAnsi="Arial" w:cs="Arial"/>
          <w:spacing w:val="-3"/>
          <w:sz w:val="16"/>
          <w:szCs w:val="16"/>
        </w:rPr>
        <w:t xml:space="preserve"> </w:t>
      </w:r>
      <w:r w:rsidR="00EA43DB" w:rsidRPr="00EA43DB">
        <w:rPr>
          <w:rFonts w:ascii="Arial" w:hAnsi="Arial" w:cs="Arial"/>
          <w:spacing w:val="-3"/>
          <w:sz w:val="16"/>
          <w:szCs w:val="16"/>
        </w:rPr>
        <w:t>las SCBV deben cumplir con el deber especial de información establecido en el Libro 3 de la Parte 7 del Decreto 2555 de</w:t>
      </w:r>
    </w:p>
    <w:sectPr w:rsidR="00A80FDB" w:rsidRPr="00A80FDB" w:rsidSect="00C54F6D">
      <w:headerReference w:type="default" r:id="rId11"/>
      <w:footerReference w:type="default" r:id="rId12"/>
      <w:type w:val="continuous"/>
      <w:pgSz w:w="12242" w:h="18711" w:code="166"/>
      <w:pgMar w:top="1418" w:right="1701" w:bottom="1418" w:left="1701" w:header="1134" w:footer="1134"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B0C28" w14:textId="77777777" w:rsidR="004836FF" w:rsidRDefault="004836FF" w:rsidP="00D34696">
      <w:r>
        <w:separator/>
      </w:r>
    </w:p>
    <w:p w14:paraId="3C4E5424" w14:textId="77777777" w:rsidR="004836FF" w:rsidRDefault="004836FF"/>
    <w:p w14:paraId="23FEBB5A" w14:textId="77777777" w:rsidR="004836FF" w:rsidRDefault="004836FF" w:rsidP="005917F9"/>
  </w:endnote>
  <w:endnote w:type="continuationSeparator" w:id="0">
    <w:p w14:paraId="31504F6E" w14:textId="77777777" w:rsidR="004836FF" w:rsidRDefault="004836FF" w:rsidP="00D34696">
      <w:r>
        <w:continuationSeparator/>
      </w:r>
    </w:p>
    <w:p w14:paraId="7103FDB5" w14:textId="77777777" w:rsidR="004836FF" w:rsidRDefault="004836FF"/>
    <w:p w14:paraId="41290549" w14:textId="77777777" w:rsidR="004836FF" w:rsidRDefault="004836FF" w:rsidP="005917F9"/>
  </w:endnote>
  <w:endnote w:type="continuationNotice" w:id="1">
    <w:p w14:paraId="26FFF156" w14:textId="77777777" w:rsidR="004836FF" w:rsidRDefault="004836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CF9C" w14:textId="71AB8F3C" w:rsidR="00174F88" w:rsidRPr="00CE4D97" w:rsidRDefault="00174F88" w:rsidP="00CF54AE">
    <w:pPr>
      <w:framePr w:wrap="around" w:vAnchor="text" w:hAnchor="page" w:x="10393" w:y="191"/>
      <w:tabs>
        <w:tab w:val="center" w:pos="4252"/>
        <w:tab w:val="right" w:pos="8504"/>
      </w:tabs>
      <w:rPr>
        <w:rFonts w:ascii="Arial" w:hAnsi="Arial" w:cs="Arial"/>
        <w:b/>
        <w:sz w:val="18"/>
        <w:szCs w:val="18"/>
      </w:rPr>
    </w:pPr>
    <w:r w:rsidRPr="00CE4D97">
      <w:rPr>
        <w:rFonts w:ascii="Arial" w:hAnsi="Arial" w:cs="Arial"/>
        <w:b/>
        <w:sz w:val="18"/>
        <w:szCs w:val="18"/>
      </w:rPr>
      <w:fldChar w:fldCharType="begin"/>
    </w:r>
    <w:r>
      <w:rPr>
        <w:rFonts w:ascii="Arial" w:hAnsi="Arial" w:cs="Arial"/>
        <w:b/>
        <w:sz w:val="18"/>
        <w:szCs w:val="18"/>
      </w:rPr>
      <w:instrText>PAGE</w:instrText>
    </w:r>
    <w:r w:rsidRPr="00CE4D97">
      <w:rPr>
        <w:rFonts w:ascii="Arial" w:hAnsi="Arial" w:cs="Arial"/>
        <w:b/>
        <w:sz w:val="18"/>
        <w:szCs w:val="18"/>
      </w:rPr>
      <w:instrText xml:space="preserve">  </w:instrText>
    </w:r>
    <w:r w:rsidRPr="00CE4D97">
      <w:rPr>
        <w:rFonts w:ascii="Arial" w:hAnsi="Arial" w:cs="Arial"/>
        <w:b/>
        <w:sz w:val="18"/>
        <w:szCs w:val="18"/>
      </w:rPr>
      <w:fldChar w:fldCharType="separate"/>
    </w:r>
    <w:r w:rsidR="0093609E">
      <w:rPr>
        <w:rFonts w:ascii="Arial" w:hAnsi="Arial" w:cs="Arial"/>
        <w:b/>
        <w:noProof/>
        <w:sz w:val="18"/>
        <w:szCs w:val="18"/>
      </w:rPr>
      <w:t>2</w:t>
    </w:r>
    <w:r w:rsidRPr="00CE4D97">
      <w:rPr>
        <w:rFonts w:ascii="Arial" w:hAnsi="Arial" w:cs="Arial"/>
        <w:b/>
        <w:sz w:val="18"/>
        <w:szCs w:val="18"/>
      </w:rPr>
      <w:fldChar w:fldCharType="end"/>
    </w:r>
  </w:p>
  <w:p w14:paraId="1616408F" w14:textId="77777777" w:rsidR="00174F88" w:rsidRDefault="00174F88" w:rsidP="00D34696">
    <w:pPr>
      <w:pStyle w:val="Piedepgina"/>
      <w:rPr>
        <w:rFonts w:ascii="Arial" w:hAnsi="Arial" w:cs="Arial"/>
        <w:b/>
        <w:sz w:val="18"/>
        <w:szCs w:val="18"/>
      </w:rPr>
    </w:pPr>
  </w:p>
  <w:p w14:paraId="6EB759DB" w14:textId="77777777" w:rsidR="00174F88" w:rsidRPr="00D34696" w:rsidRDefault="00174F88" w:rsidP="00D34696">
    <w:pPr>
      <w:pStyle w:val="Piedepgina"/>
      <w:rPr>
        <w:rFonts w:ascii="Arial" w:hAnsi="Arial" w:cs="Arial"/>
        <w:b/>
        <w:sz w:val="18"/>
        <w:szCs w:val="18"/>
      </w:rPr>
    </w:pPr>
    <w:r w:rsidRPr="00D34696">
      <w:rPr>
        <w:rFonts w:ascii="Arial" w:hAnsi="Arial" w:cs="Arial"/>
        <w:b/>
        <w:sz w:val="18"/>
        <w:szCs w:val="18"/>
      </w:rPr>
      <w:t>PARTE III – TÍTULO III – CAPÍTULO I</w:t>
    </w:r>
    <w:r w:rsidRPr="00D34696">
      <w:rPr>
        <w:rFonts w:ascii="Arial" w:hAnsi="Arial" w:cs="Arial"/>
        <w:b/>
        <w:sz w:val="18"/>
        <w:szCs w:val="18"/>
      </w:rPr>
      <w:tab/>
    </w:r>
    <w:r w:rsidRPr="00D34696">
      <w:rPr>
        <w:rFonts w:ascii="Arial" w:hAnsi="Arial" w:cs="Arial"/>
        <w:b/>
        <w:sz w:val="18"/>
        <w:szCs w:val="18"/>
      </w:rPr>
      <w:tab/>
      <w:t xml:space="preserve">PÁGINA  </w:t>
    </w:r>
  </w:p>
  <w:p w14:paraId="1E298E63" w14:textId="62328FF5" w:rsidR="00045EF8" w:rsidRPr="00B527C6" w:rsidRDefault="00045EF8" w:rsidP="00045EF8">
    <w:pPr>
      <w:pStyle w:val="Piedepgina"/>
      <w:rPr>
        <w:rFonts w:ascii="Arial" w:hAnsi="Arial" w:cs="Arial"/>
        <w:b/>
        <w:sz w:val="18"/>
        <w:szCs w:val="18"/>
      </w:rPr>
    </w:pPr>
    <w:r w:rsidRPr="00B527C6">
      <w:rPr>
        <w:rFonts w:ascii="Arial" w:hAnsi="Arial" w:cs="Arial"/>
        <w:b/>
        <w:sz w:val="18"/>
        <w:szCs w:val="18"/>
      </w:rPr>
      <w:t xml:space="preserve">Circular </w:t>
    </w:r>
    <w:proofErr w:type="gramStart"/>
    <w:r w:rsidRPr="00B527C6">
      <w:rPr>
        <w:rFonts w:ascii="Arial" w:hAnsi="Arial" w:cs="Arial"/>
        <w:b/>
        <w:sz w:val="18"/>
        <w:szCs w:val="18"/>
      </w:rPr>
      <w:t>Externa</w:t>
    </w:r>
    <w:r>
      <w:rPr>
        <w:rFonts w:ascii="Arial" w:hAnsi="Arial" w:cs="Arial"/>
        <w:b/>
        <w:sz w:val="18"/>
        <w:szCs w:val="18"/>
      </w:rPr>
      <w:t xml:space="preserve"> </w:t>
    </w:r>
    <w:r w:rsidRPr="00B527C6">
      <w:rPr>
        <w:rFonts w:ascii="Arial" w:hAnsi="Arial" w:cs="Arial"/>
        <w:b/>
        <w:sz w:val="18"/>
        <w:szCs w:val="18"/>
      </w:rPr>
      <w:t xml:space="preserve"> </w:t>
    </w:r>
    <w:r w:rsidR="00E23CD8">
      <w:rPr>
        <w:rFonts w:ascii="Arial" w:hAnsi="Arial" w:cs="Arial"/>
        <w:b/>
        <w:sz w:val="18"/>
        <w:szCs w:val="18"/>
      </w:rPr>
      <w:t>019</w:t>
    </w:r>
    <w:proofErr w:type="gramEnd"/>
    <w:r>
      <w:rPr>
        <w:rFonts w:ascii="Arial" w:hAnsi="Arial" w:cs="Arial"/>
        <w:b/>
        <w:sz w:val="18"/>
        <w:szCs w:val="18"/>
      </w:rPr>
      <w:t xml:space="preserve">  </w:t>
    </w:r>
    <w:r w:rsidRPr="00B527C6">
      <w:rPr>
        <w:rFonts w:ascii="Arial" w:hAnsi="Arial" w:cs="Arial"/>
        <w:b/>
        <w:sz w:val="18"/>
        <w:szCs w:val="18"/>
      </w:rPr>
      <w:t>de 20</w:t>
    </w:r>
    <w:r w:rsidR="00C31BFD">
      <w:rPr>
        <w:rFonts w:ascii="Arial" w:hAnsi="Arial" w:cs="Arial"/>
        <w:b/>
        <w:sz w:val="18"/>
        <w:szCs w:val="18"/>
      </w:rPr>
      <w:t>21</w:t>
    </w:r>
    <w:r w:rsidRPr="00B527C6">
      <w:rPr>
        <w:rFonts w:ascii="Arial" w:hAnsi="Arial" w:cs="Arial"/>
        <w:b/>
        <w:sz w:val="18"/>
        <w:szCs w:val="18"/>
      </w:rPr>
      <w:t xml:space="preserve">                                                                 </w:t>
    </w:r>
    <w:r>
      <w:rPr>
        <w:rFonts w:ascii="Arial" w:hAnsi="Arial" w:cs="Arial"/>
        <w:b/>
        <w:sz w:val="18"/>
        <w:szCs w:val="18"/>
      </w:rPr>
      <w:t xml:space="preserve">      </w:t>
    </w:r>
    <w:r w:rsidR="006313F6">
      <w:rPr>
        <w:rFonts w:ascii="Arial" w:hAnsi="Arial" w:cs="Arial"/>
        <w:b/>
        <w:sz w:val="18"/>
        <w:szCs w:val="18"/>
      </w:rPr>
      <w:t xml:space="preserve">                   </w:t>
    </w:r>
    <w:r>
      <w:rPr>
        <w:rFonts w:ascii="Arial" w:hAnsi="Arial" w:cs="Arial"/>
        <w:b/>
        <w:sz w:val="18"/>
        <w:szCs w:val="18"/>
      </w:rPr>
      <w:t xml:space="preserve"> </w:t>
    </w:r>
    <w:r w:rsidR="0093609E">
      <w:rPr>
        <w:rFonts w:ascii="Arial" w:hAnsi="Arial" w:cs="Arial"/>
        <w:b/>
        <w:sz w:val="18"/>
        <w:szCs w:val="18"/>
      </w:rPr>
      <w:t xml:space="preserve">      Octubre</w:t>
    </w:r>
    <w:r w:rsidR="006313F6">
      <w:rPr>
        <w:rFonts w:ascii="Arial" w:hAnsi="Arial" w:cs="Arial"/>
        <w:b/>
        <w:sz w:val="18"/>
        <w:szCs w:val="18"/>
      </w:rPr>
      <w:t xml:space="preserve"> </w:t>
    </w:r>
    <w:r w:rsidRPr="00B527C6">
      <w:rPr>
        <w:rFonts w:ascii="Arial" w:hAnsi="Arial" w:cs="Arial"/>
        <w:b/>
        <w:sz w:val="18"/>
        <w:szCs w:val="18"/>
      </w:rPr>
      <w:t>de 20</w:t>
    </w:r>
    <w:r w:rsidR="00C31BFD">
      <w:rPr>
        <w:rFonts w:ascii="Arial" w:hAnsi="Arial" w:cs="Arial"/>
        <w:b/>
        <w:sz w:val="18"/>
        <w:szCs w:val="18"/>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3212F" w14:textId="77777777" w:rsidR="004836FF" w:rsidRDefault="004836FF" w:rsidP="00D34696">
      <w:r>
        <w:separator/>
      </w:r>
    </w:p>
    <w:p w14:paraId="098CC9F1" w14:textId="77777777" w:rsidR="004836FF" w:rsidRDefault="004836FF"/>
    <w:p w14:paraId="792BC910" w14:textId="77777777" w:rsidR="004836FF" w:rsidRDefault="004836FF" w:rsidP="005917F9"/>
  </w:footnote>
  <w:footnote w:type="continuationSeparator" w:id="0">
    <w:p w14:paraId="22E6345D" w14:textId="77777777" w:rsidR="004836FF" w:rsidRDefault="004836FF" w:rsidP="00D34696">
      <w:r>
        <w:continuationSeparator/>
      </w:r>
    </w:p>
    <w:p w14:paraId="74738E87" w14:textId="77777777" w:rsidR="004836FF" w:rsidRDefault="004836FF"/>
    <w:p w14:paraId="102FBA78" w14:textId="77777777" w:rsidR="004836FF" w:rsidRDefault="004836FF" w:rsidP="005917F9"/>
  </w:footnote>
  <w:footnote w:type="continuationNotice" w:id="1">
    <w:p w14:paraId="3E417B73" w14:textId="77777777" w:rsidR="004836FF" w:rsidRDefault="004836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C43BF" w14:textId="77777777" w:rsidR="00045EF8" w:rsidRDefault="00045EF8" w:rsidP="00045EF8">
    <w:pPr>
      <w:jc w:val="center"/>
      <w:rPr>
        <w:rFonts w:ascii="Arial" w:hAnsi="Arial" w:cs="Arial"/>
        <w:b/>
        <w:bCs/>
        <w:lang w:val="es-CO"/>
      </w:rPr>
    </w:pPr>
    <w:r>
      <w:rPr>
        <w:rFonts w:ascii="Arial" w:hAnsi="Arial" w:cs="Arial"/>
        <w:b/>
        <w:bCs/>
        <w:lang w:val="es-CO"/>
      </w:rPr>
      <w:t>SUPERINTENDENCIA FINANCIERA DE COLOMBIA</w:t>
    </w:r>
  </w:p>
  <w:p w14:paraId="4C4FB879" w14:textId="77777777" w:rsidR="00045EF8" w:rsidRPr="00CF54AE" w:rsidRDefault="00045EF8" w:rsidP="00045EF8">
    <w:pPr>
      <w:pStyle w:val="Encabezad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28EF1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C414AD0"/>
    <w:multiLevelType w:val="hybridMultilevel"/>
    <w:tmpl w:val="83889A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32C2CCC"/>
    <w:multiLevelType w:val="hybridMultilevel"/>
    <w:tmpl w:val="F1AE2E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59D"/>
    <w:rsid w:val="00002C04"/>
    <w:rsid w:val="000435CA"/>
    <w:rsid w:val="00045EF8"/>
    <w:rsid w:val="0008513E"/>
    <w:rsid w:val="00087FB0"/>
    <w:rsid w:val="00092B2F"/>
    <w:rsid w:val="000A209B"/>
    <w:rsid w:val="000C10C0"/>
    <w:rsid w:val="000C41C4"/>
    <w:rsid w:val="000C4759"/>
    <w:rsid w:val="00100F04"/>
    <w:rsid w:val="00111CA4"/>
    <w:rsid w:val="00122BC5"/>
    <w:rsid w:val="0013024D"/>
    <w:rsid w:val="00144355"/>
    <w:rsid w:val="00174F88"/>
    <w:rsid w:val="001832FE"/>
    <w:rsid w:val="00186840"/>
    <w:rsid w:val="001B30D2"/>
    <w:rsid w:val="001B4EA2"/>
    <w:rsid w:val="001C4AA0"/>
    <w:rsid w:val="001D6B90"/>
    <w:rsid w:val="001E3DE5"/>
    <w:rsid w:val="001F12EE"/>
    <w:rsid w:val="00206ADE"/>
    <w:rsid w:val="00227E6C"/>
    <w:rsid w:val="002412B3"/>
    <w:rsid w:val="00265BA0"/>
    <w:rsid w:val="00267AD4"/>
    <w:rsid w:val="0028236A"/>
    <w:rsid w:val="002827EE"/>
    <w:rsid w:val="002B7BD6"/>
    <w:rsid w:val="002C16D9"/>
    <w:rsid w:val="002D5FC6"/>
    <w:rsid w:val="002E5DAC"/>
    <w:rsid w:val="002F6922"/>
    <w:rsid w:val="003308E3"/>
    <w:rsid w:val="0033234C"/>
    <w:rsid w:val="00334300"/>
    <w:rsid w:val="0034695F"/>
    <w:rsid w:val="0035332E"/>
    <w:rsid w:val="00362486"/>
    <w:rsid w:val="003648D8"/>
    <w:rsid w:val="0037740C"/>
    <w:rsid w:val="00387754"/>
    <w:rsid w:val="003A2E0B"/>
    <w:rsid w:val="003A5264"/>
    <w:rsid w:val="003A61E2"/>
    <w:rsid w:val="003B4149"/>
    <w:rsid w:val="003C50D8"/>
    <w:rsid w:val="003D6133"/>
    <w:rsid w:val="003E22C9"/>
    <w:rsid w:val="003E45F2"/>
    <w:rsid w:val="003E6991"/>
    <w:rsid w:val="003F0A13"/>
    <w:rsid w:val="003F7FC9"/>
    <w:rsid w:val="0041053E"/>
    <w:rsid w:val="004635D9"/>
    <w:rsid w:val="00467D9E"/>
    <w:rsid w:val="00480D92"/>
    <w:rsid w:val="00481C8F"/>
    <w:rsid w:val="004836FF"/>
    <w:rsid w:val="00491CA6"/>
    <w:rsid w:val="004B6280"/>
    <w:rsid w:val="004C00BC"/>
    <w:rsid w:val="004D26EF"/>
    <w:rsid w:val="004F03AE"/>
    <w:rsid w:val="004F4DAF"/>
    <w:rsid w:val="00502177"/>
    <w:rsid w:val="00515343"/>
    <w:rsid w:val="00537C0D"/>
    <w:rsid w:val="00542A58"/>
    <w:rsid w:val="005917F9"/>
    <w:rsid w:val="005C6C6B"/>
    <w:rsid w:val="00612046"/>
    <w:rsid w:val="00612D52"/>
    <w:rsid w:val="006313F6"/>
    <w:rsid w:val="00641219"/>
    <w:rsid w:val="00661720"/>
    <w:rsid w:val="006623D5"/>
    <w:rsid w:val="00673C00"/>
    <w:rsid w:val="0068531E"/>
    <w:rsid w:val="00685CE9"/>
    <w:rsid w:val="006B59B3"/>
    <w:rsid w:val="006C27F4"/>
    <w:rsid w:val="006F0E97"/>
    <w:rsid w:val="006F53BF"/>
    <w:rsid w:val="00714A72"/>
    <w:rsid w:val="00765531"/>
    <w:rsid w:val="00766B9B"/>
    <w:rsid w:val="007863ED"/>
    <w:rsid w:val="00786F98"/>
    <w:rsid w:val="007B475A"/>
    <w:rsid w:val="007F2EC2"/>
    <w:rsid w:val="00801BE9"/>
    <w:rsid w:val="0082259D"/>
    <w:rsid w:val="00830DF8"/>
    <w:rsid w:val="008325CD"/>
    <w:rsid w:val="00860A3F"/>
    <w:rsid w:val="00881638"/>
    <w:rsid w:val="008A166D"/>
    <w:rsid w:val="008A26B5"/>
    <w:rsid w:val="008D111C"/>
    <w:rsid w:val="008D25CE"/>
    <w:rsid w:val="00900564"/>
    <w:rsid w:val="009058B1"/>
    <w:rsid w:val="00926CB1"/>
    <w:rsid w:val="0093609E"/>
    <w:rsid w:val="00981925"/>
    <w:rsid w:val="00996FAF"/>
    <w:rsid w:val="009C1324"/>
    <w:rsid w:val="009C5318"/>
    <w:rsid w:val="009D3D7D"/>
    <w:rsid w:val="009D53E3"/>
    <w:rsid w:val="00A00DB6"/>
    <w:rsid w:val="00A263CE"/>
    <w:rsid w:val="00A34242"/>
    <w:rsid w:val="00A36758"/>
    <w:rsid w:val="00A77D39"/>
    <w:rsid w:val="00A80FDB"/>
    <w:rsid w:val="00A92A04"/>
    <w:rsid w:val="00A972CF"/>
    <w:rsid w:val="00AB4016"/>
    <w:rsid w:val="00AB7D6F"/>
    <w:rsid w:val="00AC7C8A"/>
    <w:rsid w:val="00AD24CF"/>
    <w:rsid w:val="00AD26D6"/>
    <w:rsid w:val="00AF1591"/>
    <w:rsid w:val="00AF71E0"/>
    <w:rsid w:val="00B05724"/>
    <w:rsid w:val="00B126EA"/>
    <w:rsid w:val="00B13303"/>
    <w:rsid w:val="00B4704A"/>
    <w:rsid w:val="00B527C6"/>
    <w:rsid w:val="00B57B7D"/>
    <w:rsid w:val="00B61B8C"/>
    <w:rsid w:val="00B72974"/>
    <w:rsid w:val="00B90291"/>
    <w:rsid w:val="00B92C48"/>
    <w:rsid w:val="00B92F7B"/>
    <w:rsid w:val="00BA1146"/>
    <w:rsid w:val="00BC45B9"/>
    <w:rsid w:val="00BF49DC"/>
    <w:rsid w:val="00BF4F6A"/>
    <w:rsid w:val="00C26375"/>
    <w:rsid w:val="00C319C5"/>
    <w:rsid w:val="00C31BFD"/>
    <w:rsid w:val="00C50E3C"/>
    <w:rsid w:val="00C54F6D"/>
    <w:rsid w:val="00C82A72"/>
    <w:rsid w:val="00C91AB9"/>
    <w:rsid w:val="00CB33C2"/>
    <w:rsid w:val="00CC71AF"/>
    <w:rsid w:val="00CE69A3"/>
    <w:rsid w:val="00CF0E13"/>
    <w:rsid w:val="00CF4B91"/>
    <w:rsid w:val="00CF54AE"/>
    <w:rsid w:val="00D07E56"/>
    <w:rsid w:val="00D21956"/>
    <w:rsid w:val="00D34696"/>
    <w:rsid w:val="00D63B31"/>
    <w:rsid w:val="00D710A4"/>
    <w:rsid w:val="00D8107C"/>
    <w:rsid w:val="00DC7CE8"/>
    <w:rsid w:val="00DE0F0C"/>
    <w:rsid w:val="00DF5DA6"/>
    <w:rsid w:val="00DF6892"/>
    <w:rsid w:val="00E02ED1"/>
    <w:rsid w:val="00E144BB"/>
    <w:rsid w:val="00E23CD8"/>
    <w:rsid w:val="00E36A78"/>
    <w:rsid w:val="00E47F95"/>
    <w:rsid w:val="00E50F77"/>
    <w:rsid w:val="00E5479B"/>
    <w:rsid w:val="00E57A70"/>
    <w:rsid w:val="00E64BC7"/>
    <w:rsid w:val="00E97EB6"/>
    <w:rsid w:val="00EA0C94"/>
    <w:rsid w:val="00EA1F48"/>
    <w:rsid w:val="00EA3E54"/>
    <w:rsid w:val="00EA43DB"/>
    <w:rsid w:val="00EB6CE0"/>
    <w:rsid w:val="00EE02F2"/>
    <w:rsid w:val="00EE62A4"/>
    <w:rsid w:val="00EE7F7B"/>
    <w:rsid w:val="00F25428"/>
    <w:rsid w:val="00F447A4"/>
    <w:rsid w:val="00F639A3"/>
    <w:rsid w:val="00F80A74"/>
    <w:rsid w:val="00F81949"/>
    <w:rsid w:val="00F86407"/>
    <w:rsid w:val="00F93722"/>
    <w:rsid w:val="00FA4B0D"/>
    <w:rsid w:val="00FD05E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1FD3534"/>
  <w15:chartTrackingRefBased/>
  <w15:docId w15:val="{702B91A6-0EE5-4EBE-92E2-17383720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eastAsia="es-ES"/>
    </w:rPr>
  </w:style>
  <w:style w:type="paragraph" w:styleId="Ttulo1">
    <w:name w:val="heading 1"/>
    <w:basedOn w:val="Normal"/>
    <w:next w:val="Normal"/>
    <w:link w:val="Ttulo1Car"/>
    <w:uiPriority w:val="9"/>
    <w:qFormat/>
    <w:rsid w:val="005917F9"/>
    <w:pPr>
      <w:tabs>
        <w:tab w:val="left" w:pos="189"/>
      </w:tabs>
      <w:ind w:left="47" w:firstLine="142"/>
      <w:outlineLvl w:val="0"/>
    </w:pPr>
    <w:rPr>
      <w:rFonts w:ascii="Arial" w:hAnsi="Arial" w:cs="Arial"/>
      <w:b/>
      <w:sz w:val="16"/>
      <w:szCs w:val="16"/>
    </w:rPr>
  </w:style>
  <w:style w:type="paragraph" w:styleId="Ttulo2">
    <w:name w:val="heading 2"/>
    <w:basedOn w:val="Ttulo1"/>
    <w:next w:val="Normal"/>
    <w:link w:val="Ttulo2Car"/>
    <w:uiPriority w:val="9"/>
    <w:unhideWhenUsed/>
    <w:qFormat/>
    <w:rsid w:val="005917F9"/>
    <w:pPr>
      <w:outlineLvl w:val="1"/>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rsid w:val="0082259D"/>
    <w:pPr>
      <w:spacing w:before="150" w:after="150"/>
      <w:ind w:left="675" w:right="525"/>
    </w:pPr>
    <w:rPr>
      <w:rFonts w:ascii="Times New Roman" w:eastAsia="Times New Roman" w:hAnsi="Times New Roman"/>
      <w:sz w:val="19"/>
      <w:szCs w:val="19"/>
      <w:lang w:val="es-ES" w:eastAsia="x-none"/>
    </w:rPr>
  </w:style>
  <w:style w:type="character" w:customStyle="1" w:styleId="NormalWebCar">
    <w:name w:val="Normal (Web) Car"/>
    <w:link w:val="NormalWeb"/>
    <w:locked/>
    <w:rsid w:val="0082259D"/>
    <w:rPr>
      <w:rFonts w:ascii="Times New Roman" w:eastAsia="Times New Roman" w:hAnsi="Times New Roman" w:cs="Times New Roman"/>
      <w:sz w:val="19"/>
      <w:szCs w:val="19"/>
      <w:lang w:val="es-ES" w:eastAsia="x-none"/>
    </w:rPr>
  </w:style>
  <w:style w:type="paragraph" w:styleId="Encabezado">
    <w:name w:val="header"/>
    <w:basedOn w:val="Normal"/>
    <w:link w:val="EncabezadoCar"/>
    <w:uiPriority w:val="99"/>
    <w:unhideWhenUsed/>
    <w:rsid w:val="00D34696"/>
    <w:pPr>
      <w:tabs>
        <w:tab w:val="center" w:pos="4252"/>
        <w:tab w:val="right" w:pos="8504"/>
      </w:tabs>
    </w:pPr>
  </w:style>
  <w:style w:type="character" w:customStyle="1" w:styleId="EncabezadoCar">
    <w:name w:val="Encabezado Car"/>
    <w:basedOn w:val="Fuentedeprrafopredeter"/>
    <w:link w:val="Encabezado"/>
    <w:uiPriority w:val="99"/>
    <w:rsid w:val="00D34696"/>
  </w:style>
  <w:style w:type="paragraph" w:styleId="Piedepgina">
    <w:name w:val="footer"/>
    <w:basedOn w:val="Normal"/>
    <w:link w:val="PiedepginaCar"/>
    <w:unhideWhenUsed/>
    <w:rsid w:val="00D34696"/>
    <w:pPr>
      <w:tabs>
        <w:tab w:val="center" w:pos="4252"/>
        <w:tab w:val="right" w:pos="8504"/>
      </w:tabs>
    </w:pPr>
  </w:style>
  <w:style w:type="character" w:customStyle="1" w:styleId="PiedepginaCar">
    <w:name w:val="Pie de página Car"/>
    <w:basedOn w:val="Fuentedeprrafopredeter"/>
    <w:link w:val="Piedepgina"/>
    <w:rsid w:val="00D34696"/>
  </w:style>
  <w:style w:type="character" w:customStyle="1" w:styleId="Ttulo1Car">
    <w:name w:val="Título 1 Car"/>
    <w:link w:val="Ttulo1"/>
    <w:uiPriority w:val="9"/>
    <w:rsid w:val="005917F9"/>
    <w:rPr>
      <w:rFonts w:ascii="Arial" w:hAnsi="Arial" w:cs="Arial"/>
      <w:b/>
      <w:sz w:val="16"/>
      <w:szCs w:val="16"/>
      <w:lang w:val="es-ES_tradnl" w:eastAsia="es-ES"/>
    </w:rPr>
  </w:style>
  <w:style w:type="paragraph" w:styleId="TtuloTDC">
    <w:name w:val="TOC Heading"/>
    <w:basedOn w:val="Ttulo1"/>
    <w:next w:val="Normal"/>
    <w:uiPriority w:val="39"/>
    <w:unhideWhenUsed/>
    <w:qFormat/>
    <w:rsid w:val="00CF54AE"/>
    <w:pPr>
      <w:keepNext/>
      <w:keepLines/>
      <w:spacing w:before="480" w:line="276" w:lineRule="auto"/>
      <w:outlineLvl w:val="9"/>
    </w:pPr>
    <w:rPr>
      <w:rFonts w:ascii="Cambria" w:eastAsia="Times New Roman" w:hAnsi="Cambria" w:cs="Times New Roman"/>
      <w:bCs/>
      <w:color w:val="365F91"/>
      <w:sz w:val="28"/>
      <w:szCs w:val="28"/>
      <w:lang w:val="es-CO" w:eastAsia="es-CO"/>
    </w:rPr>
  </w:style>
  <w:style w:type="paragraph" w:styleId="TDC1">
    <w:name w:val="toc 1"/>
    <w:basedOn w:val="Normal"/>
    <w:next w:val="Normal"/>
    <w:autoRedefine/>
    <w:uiPriority w:val="39"/>
    <w:unhideWhenUsed/>
    <w:rsid w:val="00CF54AE"/>
    <w:pPr>
      <w:spacing w:before="240" w:after="120"/>
      <w:jc w:val="both"/>
    </w:pPr>
    <w:rPr>
      <w:rFonts w:ascii="Arial" w:hAnsi="Arial"/>
      <w:b/>
      <w:bCs/>
      <w:sz w:val="16"/>
      <w:szCs w:val="20"/>
    </w:rPr>
  </w:style>
  <w:style w:type="character" w:styleId="Hipervnculo">
    <w:name w:val="Hyperlink"/>
    <w:uiPriority w:val="99"/>
    <w:unhideWhenUsed/>
    <w:rsid w:val="00CF54AE"/>
    <w:rPr>
      <w:color w:val="0000FF"/>
      <w:u w:val="single"/>
    </w:rPr>
  </w:style>
  <w:style w:type="paragraph" w:styleId="TDC2">
    <w:name w:val="toc 2"/>
    <w:basedOn w:val="Normal"/>
    <w:next w:val="Normal"/>
    <w:autoRedefine/>
    <w:uiPriority w:val="39"/>
    <w:unhideWhenUsed/>
    <w:rsid w:val="00CF54AE"/>
    <w:pPr>
      <w:spacing w:before="120"/>
      <w:ind w:left="240"/>
    </w:pPr>
    <w:rPr>
      <w:rFonts w:ascii="Calibri" w:hAnsi="Calibri"/>
      <w:i/>
      <w:iCs/>
      <w:sz w:val="20"/>
      <w:szCs w:val="20"/>
    </w:rPr>
  </w:style>
  <w:style w:type="paragraph" w:styleId="TDC3">
    <w:name w:val="toc 3"/>
    <w:basedOn w:val="Normal"/>
    <w:next w:val="Normal"/>
    <w:autoRedefine/>
    <w:uiPriority w:val="39"/>
    <w:unhideWhenUsed/>
    <w:rsid w:val="00CF54AE"/>
    <w:pPr>
      <w:ind w:left="480"/>
    </w:pPr>
    <w:rPr>
      <w:rFonts w:ascii="Calibri" w:hAnsi="Calibri"/>
      <w:sz w:val="20"/>
      <w:szCs w:val="20"/>
    </w:rPr>
  </w:style>
  <w:style w:type="paragraph" w:styleId="TDC4">
    <w:name w:val="toc 4"/>
    <w:basedOn w:val="Normal"/>
    <w:next w:val="Normal"/>
    <w:autoRedefine/>
    <w:uiPriority w:val="39"/>
    <w:unhideWhenUsed/>
    <w:rsid w:val="00CF54AE"/>
    <w:pPr>
      <w:ind w:left="720"/>
    </w:pPr>
    <w:rPr>
      <w:rFonts w:ascii="Calibri" w:hAnsi="Calibri"/>
      <w:sz w:val="20"/>
      <w:szCs w:val="20"/>
    </w:rPr>
  </w:style>
  <w:style w:type="paragraph" w:styleId="TDC5">
    <w:name w:val="toc 5"/>
    <w:basedOn w:val="Normal"/>
    <w:next w:val="Normal"/>
    <w:autoRedefine/>
    <w:uiPriority w:val="39"/>
    <w:unhideWhenUsed/>
    <w:rsid w:val="00CF54AE"/>
    <w:pPr>
      <w:ind w:left="960"/>
    </w:pPr>
    <w:rPr>
      <w:rFonts w:ascii="Calibri" w:hAnsi="Calibri"/>
      <w:sz w:val="20"/>
      <w:szCs w:val="20"/>
    </w:rPr>
  </w:style>
  <w:style w:type="paragraph" w:styleId="TDC6">
    <w:name w:val="toc 6"/>
    <w:basedOn w:val="Normal"/>
    <w:next w:val="Normal"/>
    <w:autoRedefine/>
    <w:uiPriority w:val="39"/>
    <w:unhideWhenUsed/>
    <w:rsid w:val="00CF54AE"/>
    <w:pPr>
      <w:ind w:left="1200"/>
    </w:pPr>
    <w:rPr>
      <w:rFonts w:ascii="Calibri" w:hAnsi="Calibri"/>
      <w:sz w:val="20"/>
      <w:szCs w:val="20"/>
    </w:rPr>
  </w:style>
  <w:style w:type="paragraph" w:styleId="TDC7">
    <w:name w:val="toc 7"/>
    <w:basedOn w:val="Normal"/>
    <w:next w:val="Normal"/>
    <w:autoRedefine/>
    <w:uiPriority w:val="39"/>
    <w:unhideWhenUsed/>
    <w:rsid w:val="00CF54AE"/>
    <w:pPr>
      <w:ind w:left="1440"/>
    </w:pPr>
    <w:rPr>
      <w:rFonts w:ascii="Calibri" w:hAnsi="Calibri"/>
      <w:sz w:val="20"/>
      <w:szCs w:val="20"/>
    </w:rPr>
  </w:style>
  <w:style w:type="paragraph" w:styleId="TDC8">
    <w:name w:val="toc 8"/>
    <w:basedOn w:val="Normal"/>
    <w:next w:val="Normal"/>
    <w:autoRedefine/>
    <w:uiPriority w:val="39"/>
    <w:unhideWhenUsed/>
    <w:rsid w:val="00CF54AE"/>
    <w:pPr>
      <w:ind w:left="1680"/>
    </w:pPr>
    <w:rPr>
      <w:rFonts w:ascii="Calibri" w:hAnsi="Calibri"/>
      <w:sz w:val="20"/>
      <w:szCs w:val="20"/>
    </w:rPr>
  </w:style>
  <w:style w:type="paragraph" w:styleId="TDC9">
    <w:name w:val="toc 9"/>
    <w:basedOn w:val="Normal"/>
    <w:next w:val="Normal"/>
    <w:autoRedefine/>
    <w:uiPriority w:val="39"/>
    <w:unhideWhenUsed/>
    <w:rsid w:val="00CF54AE"/>
    <w:pPr>
      <w:ind w:left="1920"/>
    </w:pPr>
    <w:rPr>
      <w:rFonts w:ascii="Calibri" w:hAnsi="Calibri"/>
      <w:sz w:val="20"/>
      <w:szCs w:val="20"/>
    </w:rPr>
  </w:style>
  <w:style w:type="character" w:customStyle="1" w:styleId="Ttulo2Car">
    <w:name w:val="Título 2 Car"/>
    <w:link w:val="Ttulo2"/>
    <w:uiPriority w:val="9"/>
    <w:rsid w:val="005917F9"/>
    <w:rPr>
      <w:rFonts w:ascii="Arial" w:hAnsi="Arial" w:cs="Arial"/>
      <w:b/>
      <w:sz w:val="16"/>
      <w:szCs w:val="16"/>
      <w:lang w:val="es-ES_tradnl" w:eastAsia="es-ES"/>
    </w:rPr>
  </w:style>
  <w:style w:type="character" w:styleId="Refdecomentario">
    <w:name w:val="annotation reference"/>
    <w:uiPriority w:val="99"/>
    <w:semiHidden/>
    <w:unhideWhenUsed/>
    <w:rsid w:val="00A77D39"/>
    <w:rPr>
      <w:sz w:val="16"/>
      <w:szCs w:val="16"/>
    </w:rPr>
  </w:style>
  <w:style w:type="paragraph" w:styleId="Textocomentario">
    <w:name w:val="annotation text"/>
    <w:basedOn w:val="Normal"/>
    <w:link w:val="TextocomentarioCar"/>
    <w:uiPriority w:val="99"/>
    <w:semiHidden/>
    <w:unhideWhenUsed/>
    <w:rsid w:val="00A77D39"/>
    <w:rPr>
      <w:sz w:val="20"/>
      <w:szCs w:val="20"/>
    </w:rPr>
  </w:style>
  <w:style w:type="character" w:customStyle="1" w:styleId="TextocomentarioCar">
    <w:name w:val="Texto comentario Car"/>
    <w:link w:val="Textocomentario"/>
    <w:uiPriority w:val="99"/>
    <w:semiHidden/>
    <w:rsid w:val="00A77D39"/>
    <w:rPr>
      <w:lang w:val="es-ES_tradnl"/>
    </w:rPr>
  </w:style>
  <w:style w:type="paragraph" w:styleId="Asuntodelcomentario">
    <w:name w:val="annotation subject"/>
    <w:basedOn w:val="Textocomentario"/>
    <w:next w:val="Textocomentario"/>
    <w:link w:val="AsuntodelcomentarioCar"/>
    <w:uiPriority w:val="99"/>
    <w:semiHidden/>
    <w:unhideWhenUsed/>
    <w:rsid w:val="00A77D39"/>
    <w:rPr>
      <w:b/>
      <w:bCs/>
    </w:rPr>
  </w:style>
  <w:style w:type="character" w:customStyle="1" w:styleId="AsuntodelcomentarioCar">
    <w:name w:val="Asunto del comentario Car"/>
    <w:link w:val="Asuntodelcomentario"/>
    <w:uiPriority w:val="99"/>
    <w:semiHidden/>
    <w:rsid w:val="00A77D39"/>
    <w:rPr>
      <w:b/>
      <w:bCs/>
      <w:lang w:val="es-ES_tradnl"/>
    </w:rPr>
  </w:style>
  <w:style w:type="paragraph" w:styleId="Textodeglobo">
    <w:name w:val="Balloon Text"/>
    <w:basedOn w:val="Normal"/>
    <w:link w:val="TextodegloboCar"/>
    <w:uiPriority w:val="99"/>
    <w:semiHidden/>
    <w:unhideWhenUsed/>
    <w:rsid w:val="00A77D39"/>
    <w:rPr>
      <w:rFonts w:ascii="Tahoma" w:hAnsi="Tahoma" w:cs="Tahoma"/>
      <w:sz w:val="16"/>
      <w:szCs w:val="16"/>
    </w:rPr>
  </w:style>
  <w:style w:type="character" w:customStyle="1" w:styleId="TextodegloboCar">
    <w:name w:val="Texto de globo Car"/>
    <w:link w:val="Textodeglobo"/>
    <w:uiPriority w:val="99"/>
    <w:semiHidden/>
    <w:rsid w:val="00A77D39"/>
    <w:rPr>
      <w:rFonts w:ascii="Tahoma"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8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079D3F7F71F843963C03BA03E5231F" ma:contentTypeVersion="2" ma:contentTypeDescription="Create a new document." ma:contentTypeScope="" ma:versionID="ddbf0f1a36dcd266d994d48b07449a89">
  <xsd:schema xmlns:xsd="http://www.w3.org/2001/XMLSchema" xmlns:xs="http://www.w3.org/2001/XMLSchema" xmlns:p="http://schemas.microsoft.com/office/2006/metadata/properties" xmlns:ns2="b2ceadfd-915e-452a-89f7-57f78d473c05" targetNamespace="http://schemas.microsoft.com/office/2006/metadata/properties" ma:root="true" ma:fieldsID="e464227111b122801af2e5ede1d9ea98" ns2:_="">
    <xsd:import namespace="b2ceadfd-915e-452a-89f7-57f78d473c0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eadfd-915e-452a-89f7-57f78d473c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2353A2-BABA-4611-8B0B-8A916B17D5AA}">
  <ds:schemaRefs>
    <ds:schemaRef ds:uri="http://schemas.microsoft.com/sharepoint/v3/contenttype/forms"/>
  </ds:schemaRefs>
</ds:datastoreItem>
</file>

<file path=customXml/itemProps2.xml><?xml version="1.0" encoding="utf-8"?>
<ds:datastoreItem xmlns:ds="http://schemas.openxmlformats.org/officeDocument/2006/customXml" ds:itemID="{CC5E2D23-423A-4B96-8626-531441BB1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eadfd-915e-452a-89f7-57f78d473c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C643AC-8F34-44C1-9727-BF928C3DE940}">
  <ds:schemaRefs>
    <ds:schemaRef ds:uri="http://schemas.openxmlformats.org/officeDocument/2006/bibliography"/>
  </ds:schemaRefs>
</ds:datastoreItem>
</file>

<file path=customXml/itemProps4.xml><?xml version="1.0" encoding="utf-8"?>
<ds:datastoreItem xmlns:ds="http://schemas.openxmlformats.org/officeDocument/2006/customXml" ds:itemID="{2F18AC91-1D19-4B60-B426-2804BF696B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1801</Words>
  <Characters>9910</Characters>
  <Application>Microsoft Office Word</Application>
  <DocSecurity>0</DocSecurity>
  <Lines>82</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superfinanciera</Company>
  <LinksUpToDate>false</LinksUpToDate>
  <CharactersWithSpaces>11688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daechavarria</dc:creator>
  <cp:keywords/>
  <cp:lastModifiedBy>Gabriel Armando Ospina Garcia</cp:lastModifiedBy>
  <cp:revision>7</cp:revision>
  <cp:lastPrinted>2021-10-07T15:36:00Z</cp:lastPrinted>
  <dcterms:created xsi:type="dcterms:W3CDTF">2021-09-23T19:21:00Z</dcterms:created>
  <dcterms:modified xsi:type="dcterms:W3CDTF">2021-10-08T00:03:00Z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0x0101006F079D3F7F71F843963C03BA03E5231F</vt:lpwstr>
  </property>
</Properties>
</file>