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BDCD8" w14:textId="77777777" w:rsidR="00E621B5" w:rsidRPr="00BE6198" w:rsidRDefault="00E621B5" w:rsidP="00E621B5">
      <w:pPr>
        <w:tabs>
          <w:tab w:val="left" w:pos="709"/>
        </w:tabs>
        <w:contextualSpacing/>
        <w:jc w:val="both"/>
        <w:rPr>
          <w:rFonts w:ascii="Arial" w:hAnsi="Arial" w:cs="Arial"/>
          <w:sz w:val="16"/>
          <w:szCs w:val="16"/>
        </w:rPr>
      </w:pPr>
    </w:p>
    <w:p w14:paraId="1814258C" w14:textId="77777777" w:rsidR="00E621B5" w:rsidRPr="00BE6198" w:rsidRDefault="00E621B5" w:rsidP="00E621B5">
      <w:pPr>
        <w:tabs>
          <w:tab w:val="left" w:pos="709"/>
        </w:tabs>
        <w:contextualSpacing/>
        <w:jc w:val="both"/>
        <w:rPr>
          <w:rFonts w:ascii="Arial" w:hAnsi="Arial" w:cs="Arial"/>
          <w:sz w:val="16"/>
          <w:szCs w:val="16"/>
        </w:rPr>
      </w:pPr>
      <w:r w:rsidRPr="006B16ED">
        <w:rPr>
          <w:rFonts w:ascii="Arial" w:hAnsi="Arial" w:cs="Arial"/>
          <w:sz w:val="16"/>
          <w:szCs w:val="16"/>
        </w:rPr>
        <w:t>1.2.2. No p</w:t>
      </w:r>
      <w:r w:rsidR="002B583B" w:rsidRPr="006B16ED">
        <w:rPr>
          <w:rFonts w:ascii="Arial" w:hAnsi="Arial" w:cs="Arial"/>
          <w:sz w:val="16"/>
          <w:szCs w:val="16"/>
        </w:rPr>
        <w:t>uede</w:t>
      </w:r>
      <w:r w:rsidRPr="006B16ED">
        <w:rPr>
          <w:rFonts w:ascii="Arial" w:hAnsi="Arial" w:cs="Arial"/>
          <w:sz w:val="16"/>
          <w:szCs w:val="16"/>
        </w:rPr>
        <w:t xml:space="preserve"> realizar operaciones por cuenta propia sobre los valores objeto de negociación y para los cuales suscribió el contrato como formador de liquidez con el emisor.</w:t>
      </w:r>
    </w:p>
    <w:p w14:paraId="57F12A33" w14:textId="77777777" w:rsidR="00E621B5" w:rsidRPr="00BE6198" w:rsidRDefault="00E621B5" w:rsidP="00E621B5">
      <w:pPr>
        <w:tabs>
          <w:tab w:val="left" w:pos="709"/>
        </w:tabs>
        <w:contextualSpacing/>
        <w:jc w:val="both"/>
        <w:rPr>
          <w:rFonts w:ascii="Arial" w:hAnsi="Arial" w:cs="Arial"/>
          <w:sz w:val="16"/>
          <w:szCs w:val="16"/>
        </w:rPr>
      </w:pPr>
    </w:p>
    <w:p w14:paraId="59ECC529" w14:textId="77777777" w:rsidR="00E621B5" w:rsidRPr="00BE6198" w:rsidRDefault="00E621B5" w:rsidP="00E621B5">
      <w:pPr>
        <w:tabs>
          <w:tab w:val="left" w:pos="709"/>
        </w:tabs>
        <w:contextualSpacing/>
        <w:jc w:val="both"/>
        <w:rPr>
          <w:rFonts w:ascii="Arial" w:hAnsi="Arial" w:cs="Arial"/>
          <w:sz w:val="16"/>
          <w:szCs w:val="16"/>
        </w:rPr>
      </w:pPr>
      <w:r w:rsidRPr="00BE6198">
        <w:rPr>
          <w:rFonts w:ascii="Arial" w:hAnsi="Arial" w:cs="Arial"/>
          <w:sz w:val="16"/>
          <w:szCs w:val="16"/>
        </w:rPr>
        <w:t>1.2.3. P</w:t>
      </w:r>
      <w:r w:rsidR="002B583B">
        <w:rPr>
          <w:rFonts w:ascii="Arial" w:hAnsi="Arial" w:cs="Arial"/>
          <w:sz w:val="16"/>
          <w:szCs w:val="16"/>
        </w:rPr>
        <w:t>uede</w:t>
      </w:r>
      <w:r w:rsidRPr="00BE6198">
        <w:rPr>
          <w:rFonts w:ascii="Arial" w:hAnsi="Arial" w:cs="Arial"/>
          <w:sz w:val="16"/>
          <w:szCs w:val="16"/>
        </w:rPr>
        <w:t xml:space="preserve"> pactar beneficios tarifarios o reputacionales con las bolsas de valores o con los sistemas de negociación de valores.</w:t>
      </w:r>
    </w:p>
    <w:p w14:paraId="6B549F8B" w14:textId="77777777" w:rsidR="00E621B5" w:rsidRPr="00BE6198" w:rsidRDefault="00E621B5" w:rsidP="00E621B5">
      <w:pPr>
        <w:jc w:val="both"/>
        <w:rPr>
          <w:rFonts w:ascii="Arial" w:hAnsi="Arial" w:cs="Arial"/>
          <w:sz w:val="16"/>
          <w:szCs w:val="16"/>
        </w:rPr>
      </w:pPr>
    </w:p>
    <w:p w14:paraId="287975AF" w14:textId="77777777" w:rsidR="00E621B5" w:rsidRPr="00BE6198" w:rsidRDefault="00E621B5" w:rsidP="00E621B5">
      <w:pPr>
        <w:contextualSpacing/>
        <w:jc w:val="both"/>
        <w:rPr>
          <w:rFonts w:ascii="Arial" w:hAnsi="Arial" w:cs="Arial"/>
          <w:sz w:val="16"/>
          <w:szCs w:val="16"/>
        </w:rPr>
      </w:pPr>
      <w:r w:rsidRPr="00BE6198">
        <w:rPr>
          <w:rFonts w:ascii="Arial" w:hAnsi="Arial" w:cs="Arial"/>
          <w:sz w:val="16"/>
          <w:szCs w:val="16"/>
        </w:rPr>
        <w:t>1.2.4. Debe ejecutar el contrato de manera autónoma y con total independencia del administrador del patrimonio autónomo y del emisor.</w:t>
      </w:r>
    </w:p>
    <w:p w14:paraId="56A47A7D" w14:textId="77777777" w:rsidR="00835069" w:rsidRPr="00BE6198" w:rsidRDefault="00835069" w:rsidP="00E621B5">
      <w:pPr>
        <w:tabs>
          <w:tab w:val="left" w:pos="6960"/>
        </w:tabs>
        <w:contextualSpacing/>
        <w:jc w:val="both"/>
        <w:rPr>
          <w:rFonts w:ascii="Arial" w:hAnsi="Arial" w:cs="Arial"/>
          <w:sz w:val="16"/>
          <w:szCs w:val="16"/>
          <w:lang w:val="es-CO"/>
        </w:rPr>
      </w:pPr>
    </w:p>
    <w:p w14:paraId="7EFBE4EC" w14:textId="77777777" w:rsidR="00E621B5" w:rsidRPr="00835069" w:rsidRDefault="00E621B5" w:rsidP="00835069">
      <w:pPr>
        <w:pStyle w:val="Ttulo1"/>
      </w:pPr>
      <w:bookmarkStart w:id="0" w:name="_Toc399408327"/>
      <w:r w:rsidRPr="00835069">
        <w:t>2. Obligaciones del formador de liquidez</w:t>
      </w:r>
      <w:bookmarkEnd w:id="0"/>
    </w:p>
    <w:p w14:paraId="208A37EF" w14:textId="77777777" w:rsidR="00E621B5" w:rsidRPr="00BE6198" w:rsidRDefault="00E621B5" w:rsidP="00E621B5">
      <w:pPr>
        <w:widowControl w:val="0"/>
        <w:autoSpaceDE w:val="0"/>
        <w:autoSpaceDN w:val="0"/>
        <w:adjustRightInd w:val="0"/>
        <w:jc w:val="both"/>
        <w:rPr>
          <w:rFonts w:ascii="Arial" w:hAnsi="Arial" w:cs="Arial"/>
          <w:sz w:val="16"/>
          <w:szCs w:val="16"/>
        </w:rPr>
      </w:pPr>
    </w:p>
    <w:p w14:paraId="71908B96" w14:textId="77777777" w:rsidR="00E621B5" w:rsidRPr="00BE6198" w:rsidRDefault="00E621B5" w:rsidP="00E621B5">
      <w:pPr>
        <w:widowControl w:val="0"/>
        <w:autoSpaceDE w:val="0"/>
        <w:autoSpaceDN w:val="0"/>
        <w:adjustRightInd w:val="0"/>
        <w:contextualSpacing/>
        <w:jc w:val="both"/>
        <w:rPr>
          <w:rFonts w:ascii="Arial" w:hAnsi="Arial" w:cs="Arial"/>
          <w:sz w:val="16"/>
          <w:szCs w:val="16"/>
        </w:rPr>
      </w:pPr>
      <w:r w:rsidRPr="00BE6198">
        <w:rPr>
          <w:rFonts w:ascii="Arial" w:hAnsi="Arial" w:cs="Arial"/>
          <w:sz w:val="16"/>
          <w:szCs w:val="16"/>
        </w:rPr>
        <w:t>Además de las obligaciones generales establecidas en el art</w:t>
      </w:r>
      <w:r>
        <w:rPr>
          <w:rFonts w:ascii="Arial" w:hAnsi="Arial" w:cs="Arial"/>
          <w:sz w:val="16"/>
          <w:szCs w:val="16"/>
        </w:rPr>
        <w:t>.</w:t>
      </w:r>
      <w:r w:rsidRPr="00BE6198">
        <w:rPr>
          <w:rFonts w:ascii="Arial" w:hAnsi="Arial" w:cs="Arial"/>
          <w:sz w:val="16"/>
          <w:szCs w:val="16"/>
        </w:rPr>
        <w:t xml:space="preserve"> 2.9.17.1.6 del Decreto 2555 de 2010 y de las que le resulten aplicables en su condición de intermediario de valores, el formador de liquidez debe:</w:t>
      </w:r>
    </w:p>
    <w:p w14:paraId="5147E96F" w14:textId="77777777" w:rsidR="00E621B5" w:rsidRPr="00BE6198" w:rsidRDefault="00E621B5" w:rsidP="00E621B5">
      <w:pPr>
        <w:widowControl w:val="0"/>
        <w:autoSpaceDE w:val="0"/>
        <w:autoSpaceDN w:val="0"/>
        <w:adjustRightInd w:val="0"/>
        <w:contextualSpacing/>
        <w:jc w:val="both"/>
        <w:rPr>
          <w:rFonts w:ascii="Arial" w:hAnsi="Arial" w:cs="Arial"/>
          <w:sz w:val="16"/>
          <w:szCs w:val="16"/>
        </w:rPr>
      </w:pPr>
    </w:p>
    <w:p w14:paraId="4ED32F8D"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2.1. </w:t>
      </w:r>
      <w:r w:rsidRPr="00BE6198">
        <w:rPr>
          <w:rFonts w:cs="Arial"/>
          <w:sz w:val="16"/>
          <w:szCs w:val="16"/>
        </w:rPr>
        <w:t xml:space="preserve">Anunciar al público en general, a través de su página web y/o el empleo de cualquier otro medio de comunicación que permita difundir y mantener actualizada la información, su condición de formador de liquidez y los valores objeto de dicha actividad, así como el mecanismo </w:t>
      </w:r>
      <w:r w:rsidRPr="00BE6198">
        <w:rPr>
          <w:rFonts w:cs="Arial"/>
          <w:sz w:val="16"/>
          <w:szCs w:val="16"/>
          <w:lang w:val="es-CO"/>
        </w:rPr>
        <w:t>a través del cual desarrolla las actuaciones y operaciones como formador de liquidez</w:t>
      </w:r>
      <w:r w:rsidRPr="00BE6198">
        <w:rPr>
          <w:rFonts w:cs="Arial"/>
          <w:sz w:val="16"/>
          <w:szCs w:val="16"/>
        </w:rPr>
        <w:t>. Lo anterior sin perjuicio de las obligaciones de información relevante que le asisten al emisor.</w:t>
      </w:r>
    </w:p>
    <w:p w14:paraId="16D4011A" w14:textId="77777777" w:rsidR="00E621B5" w:rsidRPr="00BE6198" w:rsidRDefault="00E621B5" w:rsidP="00E621B5">
      <w:pPr>
        <w:pStyle w:val="Titulo"/>
        <w:numPr>
          <w:ilvl w:val="0"/>
          <w:numId w:val="0"/>
        </w:numPr>
        <w:ind w:left="720"/>
        <w:contextualSpacing/>
        <w:jc w:val="both"/>
        <w:rPr>
          <w:rFonts w:cs="Arial"/>
          <w:sz w:val="16"/>
          <w:szCs w:val="16"/>
        </w:rPr>
      </w:pPr>
    </w:p>
    <w:p w14:paraId="5E3B03DB"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2.2. </w:t>
      </w:r>
      <w:r w:rsidRPr="00BE6198">
        <w:rPr>
          <w:rFonts w:cs="Arial"/>
          <w:sz w:val="16"/>
          <w:szCs w:val="16"/>
        </w:rPr>
        <w:t>Cumplir con los criterios, reglas y parámetros aplicables al respectivo programa o contrato para actuar como formador de liquidez, sin que esto implique el logro o compromiso de un resultado específico de precio o tasa de negociación del respectivo valor.</w:t>
      </w:r>
    </w:p>
    <w:p w14:paraId="190FD85B" w14:textId="77777777" w:rsidR="00E621B5" w:rsidRPr="00BE6198" w:rsidRDefault="00E621B5" w:rsidP="00E621B5">
      <w:pPr>
        <w:pStyle w:val="Titulo"/>
        <w:numPr>
          <w:ilvl w:val="0"/>
          <w:numId w:val="0"/>
        </w:numPr>
        <w:ind w:left="720"/>
        <w:contextualSpacing/>
        <w:jc w:val="both"/>
        <w:rPr>
          <w:rFonts w:cs="Arial"/>
          <w:sz w:val="16"/>
          <w:szCs w:val="16"/>
        </w:rPr>
      </w:pPr>
    </w:p>
    <w:p w14:paraId="0FEBCED6"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2.3. </w:t>
      </w:r>
      <w:r w:rsidRPr="00BE6198">
        <w:rPr>
          <w:rFonts w:cs="Arial"/>
          <w:sz w:val="16"/>
          <w:szCs w:val="16"/>
        </w:rPr>
        <w:t>Elaborar y presentar a su respectiva junta directiva u órgano de administración equivalente, un informe trimestral de la evolución y comportamiento de sus actividades como formador de liquidez y remitir copia de dicho informe a la SFC y al organismo de autorregulación del mercado de valores, dentro de los 10 días hábiles siguientes a su presentación en la respectiva sesión de junta directiva.</w:t>
      </w:r>
    </w:p>
    <w:p w14:paraId="646AAEEC" w14:textId="77777777" w:rsidR="00E621B5" w:rsidRPr="00BE6198" w:rsidRDefault="00E621B5" w:rsidP="00E621B5">
      <w:pPr>
        <w:pStyle w:val="Titulo"/>
        <w:numPr>
          <w:ilvl w:val="0"/>
          <w:numId w:val="0"/>
        </w:numPr>
        <w:ind w:left="720"/>
        <w:contextualSpacing/>
        <w:jc w:val="both"/>
        <w:rPr>
          <w:rFonts w:cs="Arial"/>
          <w:sz w:val="16"/>
          <w:szCs w:val="16"/>
        </w:rPr>
      </w:pPr>
    </w:p>
    <w:p w14:paraId="6BC58300" w14:textId="77777777" w:rsidR="00E621B5" w:rsidRPr="00BE6198" w:rsidRDefault="002B583B" w:rsidP="00E621B5">
      <w:pPr>
        <w:pStyle w:val="Titulo"/>
        <w:numPr>
          <w:ilvl w:val="0"/>
          <w:numId w:val="0"/>
        </w:numPr>
        <w:contextualSpacing/>
        <w:jc w:val="both"/>
        <w:rPr>
          <w:rFonts w:cs="Arial"/>
          <w:sz w:val="16"/>
          <w:szCs w:val="16"/>
        </w:rPr>
      </w:pPr>
      <w:r>
        <w:rPr>
          <w:rFonts w:cs="Arial"/>
          <w:sz w:val="16"/>
          <w:szCs w:val="16"/>
        </w:rPr>
        <w:t>2</w:t>
      </w:r>
      <w:r w:rsidR="00E621B5">
        <w:rPr>
          <w:rFonts w:cs="Arial"/>
          <w:sz w:val="16"/>
          <w:szCs w:val="16"/>
        </w:rPr>
        <w:t xml:space="preserve">.4. </w:t>
      </w:r>
      <w:r w:rsidR="00E621B5" w:rsidRPr="00BE6198">
        <w:rPr>
          <w:rFonts w:cs="Arial"/>
          <w:sz w:val="16"/>
          <w:szCs w:val="16"/>
        </w:rPr>
        <w:t xml:space="preserve">Establecer políticas, procedimientos y controles para evitar que sus administradores y demás funcionarios, en cuanto participen de manera directa o indirecta en la realización de actividades propias como formador de liquidez, compren o vendan de manera directa o indirecta para sí o para aquellas personas con las que ostenten la calidad de un mismo beneficiario real, los valores objeto de la actividad de formadores de liquidez. Para estos efectos, se considera un mismo beneficiario real a las personas definidas en el </w:t>
      </w:r>
      <w:r w:rsidR="00E621B5" w:rsidRPr="00755778">
        <w:rPr>
          <w:rFonts w:cs="Arial"/>
          <w:sz w:val="16"/>
          <w:szCs w:val="16"/>
        </w:rPr>
        <w:t>art. 6.1.1.1.3 del Decreto 2555 de 2010.</w:t>
      </w:r>
    </w:p>
    <w:p w14:paraId="133F8D17" w14:textId="77777777" w:rsidR="00E621B5" w:rsidRPr="00BE6198" w:rsidRDefault="00E621B5" w:rsidP="00E621B5">
      <w:pPr>
        <w:pStyle w:val="Titulo"/>
        <w:numPr>
          <w:ilvl w:val="0"/>
          <w:numId w:val="0"/>
        </w:numPr>
        <w:ind w:left="720"/>
        <w:contextualSpacing/>
        <w:jc w:val="both"/>
        <w:rPr>
          <w:rFonts w:cs="Arial"/>
          <w:sz w:val="16"/>
          <w:szCs w:val="16"/>
        </w:rPr>
      </w:pPr>
    </w:p>
    <w:p w14:paraId="08146906"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2.5. </w:t>
      </w:r>
      <w:r w:rsidRPr="00BE6198">
        <w:rPr>
          <w:rFonts w:cs="Arial"/>
          <w:sz w:val="16"/>
          <w:szCs w:val="16"/>
        </w:rPr>
        <w:t xml:space="preserve">La auditoría interna y el contralor normativo deben realizar un seguimiento permanente, adecuado e independiente al cumplimiento de los requisitos, obligaciones, prohibiciones y demás responsabilidades que adquiera la sociedad comisionista de bolsa de valores como formador de liquidez. Los informes como resultado de estas auditorías deben presentarse al menos trimestralmente a la junta directiva de la entidad y estar a disposición de la SFC y el organismo de autorregulación del mercado de valores.  </w:t>
      </w:r>
    </w:p>
    <w:p w14:paraId="120DD177" w14:textId="77777777" w:rsidR="00E621B5" w:rsidRPr="00BE6198" w:rsidRDefault="00E621B5" w:rsidP="00E621B5">
      <w:pPr>
        <w:pStyle w:val="Titulo"/>
        <w:numPr>
          <w:ilvl w:val="0"/>
          <w:numId w:val="0"/>
        </w:numPr>
        <w:contextualSpacing/>
        <w:jc w:val="both"/>
        <w:rPr>
          <w:rFonts w:cs="Arial"/>
          <w:sz w:val="16"/>
          <w:szCs w:val="16"/>
        </w:rPr>
      </w:pPr>
    </w:p>
    <w:p w14:paraId="3729843E"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2.6. </w:t>
      </w:r>
      <w:r w:rsidRPr="00BE6198">
        <w:rPr>
          <w:rFonts w:cs="Arial"/>
          <w:sz w:val="16"/>
          <w:szCs w:val="16"/>
        </w:rPr>
        <w:t>Incorporar en sus sistemas de administración de riesgos las políticas, procedimientos y mecanismos a través de los cuales hará un adecuado seguimiento y control a las actuaciones y operaciones que realice como formador de liquidez, indicando expresamente las áreas o personas responsables definidas por la junta directiva para dichos efectos.</w:t>
      </w:r>
    </w:p>
    <w:p w14:paraId="4EC31956" w14:textId="77777777" w:rsidR="00E621B5" w:rsidRPr="00BE6198" w:rsidRDefault="00E621B5" w:rsidP="00E621B5">
      <w:pPr>
        <w:pStyle w:val="Titulo"/>
        <w:numPr>
          <w:ilvl w:val="0"/>
          <w:numId w:val="0"/>
        </w:numPr>
        <w:contextualSpacing/>
        <w:jc w:val="both"/>
        <w:rPr>
          <w:rFonts w:cs="Arial"/>
          <w:sz w:val="16"/>
          <w:szCs w:val="16"/>
        </w:rPr>
      </w:pPr>
    </w:p>
    <w:p w14:paraId="2DAFD7C7"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2.7. </w:t>
      </w:r>
      <w:r w:rsidRPr="00BE6198">
        <w:rPr>
          <w:rFonts w:cs="Arial"/>
          <w:sz w:val="16"/>
          <w:szCs w:val="16"/>
        </w:rPr>
        <w:t>Informar a la SFC y al organismo de autorregulación del mercado de valores, su condición como formador de liquidez, así como los sistemas de negociación de valores o bolsas de valores en los cuales se va a desempeñar como tal, la fecha de inicio de la actividad y la fecha de retiro, suspensión o cancelación, en caso de ocurrir.</w:t>
      </w:r>
    </w:p>
    <w:p w14:paraId="4DF5B779" w14:textId="77777777" w:rsidR="00E621B5" w:rsidRPr="00BE6198" w:rsidRDefault="00E621B5" w:rsidP="00E621B5">
      <w:pPr>
        <w:pStyle w:val="Titulo"/>
        <w:numPr>
          <w:ilvl w:val="0"/>
          <w:numId w:val="0"/>
        </w:numPr>
        <w:ind w:left="720"/>
        <w:contextualSpacing/>
        <w:jc w:val="both"/>
        <w:rPr>
          <w:rFonts w:cs="Arial"/>
          <w:sz w:val="16"/>
          <w:szCs w:val="16"/>
        </w:rPr>
      </w:pPr>
    </w:p>
    <w:p w14:paraId="668C700D"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2.8. </w:t>
      </w:r>
      <w:r w:rsidRPr="00BE6198">
        <w:rPr>
          <w:rFonts w:cs="Arial"/>
          <w:sz w:val="16"/>
          <w:szCs w:val="16"/>
        </w:rPr>
        <w:t>Adoptar políticas y procedimientos adecuados encaminados a prevenir y administrar los conflictos de interés respecto de sus clientes, los fondos de inversión que administran o gestionan y los propios de la sociedad comisionista de bolsa de valores.</w:t>
      </w:r>
    </w:p>
    <w:p w14:paraId="34B38D6C" w14:textId="77777777" w:rsidR="00835069" w:rsidRPr="00BE6198" w:rsidRDefault="00835069" w:rsidP="00E621B5">
      <w:pPr>
        <w:widowControl w:val="0"/>
        <w:autoSpaceDE w:val="0"/>
        <w:autoSpaceDN w:val="0"/>
        <w:adjustRightInd w:val="0"/>
        <w:contextualSpacing/>
        <w:jc w:val="both"/>
        <w:rPr>
          <w:rFonts w:ascii="Arial" w:hAnsi="Arial" w:cs="Arial"/>
          <w:sz w:val="16"/>
          <w:szCs w:val="16"/>
        </w:rPr>
      </w:pPr>
    </w:p>
    <w:p w14:paraId="674534E2" w14:textId="77777777" w:rsidR="00E621B5" w:rsidRPr="00835069" w:rsidRDefault="00E621B5" w:rsidP="00835069">
      <w:pPr>
        <w:pStyle w:val="Ttulo1"/>
      </w:pPr>
      <w:bookmarkStart w:id="1" w:name="_Toc399408328"/>
      <w:r w:rsidRPr="00835069">
        <w:t>3. Prohibiciones aplicables al formador de liquidez</w:t>
      </w:r>
      <w:bookmarkEnd w:id="1"/>
    </w:p>
    <w:p w14:paraId="650ABB55" w14:textId="77777777" w:rsidR="00E621B5" w:rsidRPr="00BE6198" w:rsidRDefault="00E621B5" w:rsidP="002B583B">
      <w:pPr>
        <w:pStyle w:val="Ttulo1"/>
        <w:rPr>
          <w:rFonts w:cs="Arial"/>
          <w:szCs w:val="16"/>
          <w:lang w:val="es-CO"/>
        </w:rPr>
      </w:pPr>
    </w:p>
    <w:p w14:paraId="67C1A808" w14:textId="77777777" w:rsidR="00E621B5" w:rsidRPr="00BE6198" w:rsidRDefault="00E621B5" w:rsidP="00E621B5">
      <w:pPr>
        <w:widowControl w:val="0"/>
        <w:autoSpaceDE w:val="0"/>
        <w:autoSpaceDN w:val="0"/>
        <w:adjustRightInd w:val="0"/>
        <w:contextualSpacing/>
        <w:jc w:val="both"/>
        <w:rPr>
          <w:rFonts w:ascii="Arial" w:hAnsi="Arial" w:cs="Arial"/>
          <w:sz w:val="16"/>
          <w:szCs w:val="16"/>
        </w:rPr>
      </w:pPr>
      <w:r w:rsidRPr="00BE6198">
        <w:rPr>
          <w:rFonts w:ascii="Arial" w:hAnsi="Arial" w:cs="Arial"/>
          <w:sz w:val="16"/>
          <w:szCs w:val="16"/>
          <w:lang w:val="es-CO"/>
        </w:rPr>
        <w:t xml:space="preserve">Además de </w:t>
      </w:r>
      <w:r w:rsidRPr="00BE6198">
        <w:rPr>
          <w:rFonts w:ascii="Arial" w:hAnsi="Arial" w:cs="Arial"/>
          <w:sz w:val="16"/>
          <w:szCs w:val="16"/>
        </w:rPr>
        <w:t xml:space="preserve">lo establecido en </w:t>
      </w:r>
      <w:r w:rsidRPr="00755778">
        <w:rPr>
          <w:rFonts w:ascii="Arial" w:hAnsi="Arial" w:cs="Arial"/>
          <w:sz w:val="16"/>
          <w:szCs w:val="16"/>
        </w:rPr>
        <w:t>el parágrafo 3 del art. 2.9.17.1.2 y en el art. 2.9.17.1.7 del Decreto 2555 de 2010 y</w:t>
      </w:r>
      <w:r w:rsidRPr="00BE6198">
        <w:rPr>
          <w:rFonts w:ascii="Arial" w:hAnsi="Arial" w:cs="Arial"/>
          <w:sz w:val="16"/>
          <w:szCs w:val="16"/>
        </w:rPr>
        <w:t xml:space="preserve"> las demás propias de su actividad como intermediario de valores, le está prohibido al formador de liquidez:</w:t>
      </w:r>
    </w:p>
    <w:p w14:paraId="0B583A4A" w14:textId="77777777" w:rsidR="00E621B5" w:rsidRPr="00BE6198" w:rsidRDefault="00E621B5" w:rsidP="00E621B5">
      <w:pPr>
        <w:widowControl w:val="0"/>
        <w:autoSpaceDE w:val="0"/>
        <w:autoSpaceDN w:val="0"/>
        <w:adjustRightInd w:val="0"/>
        <w:contextualSpacing/>
        <w:jc w:val="both"/>
        <w:rPr>
          <w:rFonts w:ascii="Arial" w:hAnsi="Arial" w:cs="Arial"/>
          <w:sz w:val="16"/>
          <w:szCs w:val="16"/>
        </w:rPr>
      </w:pPr>
    </w:p>
    <w:p w14:paraId="52C0D444"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3.1. </w:t>
      </w:r>
      <w:r w:rsidRPr="00BE6198">
        <w:rPr>
          <w:rFonts w:cs="Arial"/>
          <w:sz w:val="16"/>
          <w:szCs w:val="16"/>
        </w:rPr>
        <w:t xml:space="preserve">Celebrar operaciones por cuenta propia sobre los valores del emisor respecto de los cuales haya suscrito un contrato para el desarrollo de actividades de formador de liquidez con recursos de dicho emisor. </w:t>
      </w:r>
    </w:p>
    <w:p w14:paraId="4A9C1510" w14:textId="77777777" w:rsidR="00E621B5" w:rsidRPr="00BE6198" w:rsidRDefault="00E621B5" w:rsidP="00E621B5">
      <w:pPr>
        <w:pStyle w:val="Titulo"/>
        <w:numPr>
          <w:ilvl w:val="0"/>
          <w:numId w:val="0"/>
        </w:numPr>
        <w:ind w:left="720"/>
        <w:contextualSpacing/>
        <w:jc w:val="both"/>
        <w:rPr>
          <w:rFonts w:cs="Arial"/>
          <w:sz w:val="16"/>
          <w:szCs w:val="16"/>
        </w:rPr>
      </w:pPr>
    </w:p>
    <w:p w14:paraId="60E0D0EA"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3.2. </w:t>
      </w:r>
      <w:r w:rsidRPr="00BE6198">
        <w:rPr>
          <w:rFonts w:cs="Arial"/>
          <w:sz w:val="16"/>
          <w:szCs w:val="16"/>
        </w:rPr>
        <w:t>Realizar operaciones que correspondan a su actuación como formador de liquidez en detrimento de los intereses de sus clientes y de los fondos de inversión colectiva que administre o gestione. Esto incluye aquellas operaciones que realice la sociedad comisionista de bolsa de valores producto de la finalización de su condición como formador de liquidez.</w:t>
      </w:r>
    </w:p>
    <w:p w14:paraId="2BBB9380" w14:textId="77777777" w:rsidR="00E621B5" w:rsidRPr="00BE6198" w:rsidRDefault="00E621B5" w:rsidP="00E621B5">
      <w:pPr>
        <w:pStyle w:val="Titulo"/>
        <w:numPr>
          <w:ilvl w:val="0"/>
          <w:numId w:val="0"/>
        </w:numPr>
        <w:contextualSpacing/>
        <w:jc w:val="both"/>
        <w:rPr>
          <w:rFonts w:cs="Arial"/>
          <w:sz w:val="16"/>
          <w:szCs w:val="16"/>
        </w:rPr>
      </w:pPr>
    </w:p>
    <w:p w14:paraId="56165DF4"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3.3. </w:t>
      </w:r>
      <w:r w:rsidRPr="00BE6198">
        <w:rPr>
          <w:rFonts w:cs="Arial"/>
          <w:sz w:val="16"/>
          <w:szCs w:val="16"/>
        </w:rPr>
        <w:t xml:space="preserve">Comprometerse de manera directa o indirecta con el emisor o con cualquier tercero a obtener un determinado precio o tasa del valor a través de las operaciones que realice como formador de liquidez. </w:t>
      </w:r>
    </w:p>
    <w:p w14:paraId="331F4C48" w14:textId="77777777" w:rsidR="00E621B5" w:rsidRPr="00BE6198" w:rsidRDefault="00E621B5" w:rsidP="00E621B5">
      <w:pPr>
        <w:pStyle w:val="Titulo"/>
        <w:numPr>
          <w:ilvl w:val="0"/>
          <w:numId w:val="0"/>
        </w:numPr>
        <w:contextualSpacing/>
        <w:jc w:val="both"/>
        <w:rPr>
          <w:rFonts w:cs="Arial"/>
          <w:sz w:val="16"/>
          <w:szCs w:val="16"/>
        </w:rPr>
      </w:pPr>
    </w:p>
    <w:p w14:paraId="52BE3C8C"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3.4. </w:t>
      </w:r>
      <w:r w:rsidRPr="00BE6198">
        <w:rPr>
          <w:rFonts w:cs="Arial"/>
          <w:sz w:val="16"/>
          <w:szCs w:val="16"/>
        </w:rPr>
        <w:t>Tomar decisiones que puedan vulnerar la independencia de la sociedad comisionista de bolsa de valores respecto de los intereses del emisor.</w:t>
      </w:r>
    </w:p>
    <w:p w14:paraId="6725B141" w14:textId="77777777" w:rsidR="00E621B5" w:rsidRPr="00BE6198" w:rsidRDefault="00E621B5" w:rsidP="00E621B5">
      <w:pPr>
        <w:pStyle w:val="Titulo"/>
        <w:numPr>
          <w:ilvl w:val="0"/>
          <w:numId w:val="0"/>
        </w:numPr>
        <w:ind w:left="567" w:hanging="567"/>
        <w:contextualSpacing/>
        <w:jc w:val="both"/>
        <w:rPr>
          <w:rFonts w:cs="Arial"/>
          <w:sz w:val="16"/>
          <w:szCs w:val="16"/>
        </w:rPr>
      </w:pPr>
    </w:p>
    <w:p w14:paraId="2C0E081F" w14:textId="77777777" w:rsidR="00E621B5" w:rsidRPr="00BE6198" w:rsidRDefault="00E621B5" w:rsidP="00E621B5">
      <w:pPr>
        <w:pStyle w:val="Titulo"/>
        <w:numPr>
          <w:ilvl w:val="0"/>
          <w:numId w:val="0"/>
        </w:numPr>
        <w:contextualSpacing/>
        <w:jc w:val="both"/>
        <w:rPr>
          <w:rFonts w:cs="Arial"/>
          <w:sz w:val="16"/>
          <w:szCs w:val="16"/>
        </w:rPr>
      </w:pPr>
      <w:r>
        <w:rPr>
          <w:rFonts w:cs="Arial"/>
          <w:sz w:val="16"/>
          <w:szCs w:val="16"/>
        </w:rPr>
        <w:t xml:space="preserve">3.5. </w:t>
      </w:r>
      <w:r w:rsidRPr="00BE6198">
        <w:rPr>
          <w:rFonts w:cs="Arial"/>
          <w:sz w:val="16"/>
          <w:szCs w:val="16"/>
        </w:rPr>
        <w:t xml:space="preserve">Realizar operaciones dentro del esquema de formadores de liquidez en las cuales entre en conflicto el interés de la sociedad comisionista de bolsa de valores, la integridad y transparencia del mercado. </w:t>
      </w:r>
    </w:p>
    <w:p w14:paraId="315A4A41" w14:textId="77777777" w:rsidR="00E621B5" w:rsidRPr="00BE6198" w:rsidRDefault="00E621B5" w:rsidP="00E621B5">
      <w:pPr>
        <w:pStyle w:val="Titulo"/>
        <w:numPr>
          <w:ilvl w:val="0"/>
          <w:numId w:val="0"/>
        </w:numPr>
        <w:ind w:left="720"/>
        <w:contextualSpacing/>
        <w:jc w:val="both"/>
        <w:rPr>
          <w:rFonts w:cs="Arial"/>
          <w:sz w:val="16"/>
          <w:szCs w:val="16"/>
        </w:rPr>
      </w:pPr>
    </w:p>
    <w:p w14:paraId="6FDF73E8" w14:textId="77777777" w:rsidR="00F218FB" w:rsidRDefault="00793097" w:rsidP="006B16ED">
      <w:pPr>
        <w:pStyle w:val="Titulo"/>
        <w:numPr>
          <w:ilvl w:val="0"/>
          <w:numId w:val="0"/>
        </w:numPr>
        <w:pBdr>
          <w:left w:val="single" w:sz="4" w:space="4" w:color="auto"/>
        </w:pBdr>
        <w:contextualSpacing/>
        <w:jc w:val="both"/>
        <w:rPr>
          <w:rFonts w:cs="Arial"/>
          <w:b/>
          <w:sz w:val="16"/>
          <w:szCs w:val="16"/>
        </w:rPr>
      </w:pPr>
      <w:r w:rsidRPr="006B16ED">
        <w:rPr>
          <w:rFonts w:cs="Arial"/>
          <w:b/>
          <w:sz w:val="16"/>
          <w:szCs w:val="16"/>
        </w:rPr>
        <w:t>3.6. Realizar en forma simultánea</w:t>
      </w:r>
      <w:r w:rsidR="00F218FB">
        <w:rPr>
          <w:rFonts w:cs="Arial"/>
          <w:b/>
          <w:sz w:val="16"/>
          <w:szCs w:val="16"/>
        </w:rPr>
        <w:t xml:space="preserve"> operaciones que correspondan a su actividad como formador de liquidez de un valor y actuar como colocador en una oferta pública del mismo valor.</w:t>
      </w:r>
    </w:p>
    <w:p w14:paraId="6A6E7261" w14:textId="77777777" w:rsidR="00793097" w:rsidRPr="00BE6198" w:rsidRDefault="00793097" w:rsidP="00E621B5">
      <w:pPr>
        <w:pStyle w:val="Titulo"/>
        <w:numPr>
          <w:ilvl w:val="0"/>
          <w:numId w:val="0"/>
        </w:numPr>
        <w:contextualSpacing/>
        <w:jc w:val="both"/>
        <w:rPr>
          <w:rFonts w:cs="Arial"/>
          <w:sz w:val="16"/>
          <w:szCs w:val="16"/>
        </w:rPr>
      </w:pPr>
    </w:p>
    <w:p w14:paraId="2A26F10B" w14:textId="77777777" w:rsidR="00E02ED1" w:rsidRPr="006B16ED" w:rsidRDefault="00E621B5" w:rsidP="006B16ED">
      <w:pPr>
        <w:pStyle w:val="Titulo"/>
        <w:numPr>
          <w:ilvl w:val="0"/>
          <w:numId w:val="0"/>
        </w:numPr>
        <w:contextualSpacing/>
        <w:jc w:val="both"/>
        <w:rPr>
          <w:rFonts w:cs="Arial"/>
          <w:sz w:val="16"/>
          <w:szCs w:val="16"/>
        </w:rPr>
      </w:pPr>
      <w:r w:rsidRPr="006B16ED">
        <w:rPr>
          <w:rFonts w:cs="Arial"/>
          <w:sz w:val="16"/>
          <w:szCs w:val="16"/>
        </w:rPr>
        <w:t>La disposición en virtud de la cual se prohíbe al formador de liquidez la celebración de operaciones por cuenta propia con valores respecto de los cuales haya suscrito y tenga vigente un contrato como formador de liquidez con el emisor del respectivo valor, prevista en el numeral 2 del art. 2.9.17.1.7 del Decreto 2555 de 2010, no es aplicable en los casos en los cuales el formador de liquidez desarrolle sus actividades en virtud de un contrato suscrito con el emisor, utilizando recursos propios.</w:t>
      </w:r>
    </w:p>
    <w:sectPr w:rsidR="00E02ED1" w:rsidRPr="006B16ED" w:rsidSect="003B021A">
      <w:headerReference w:type="default" r:id="rId11"/>
      <w:footerReference w:type="default" r:id="rId12"/>
      <w:pgSz w:w="12240" w:h="18720" w:code="148"/>
      <w:pgMar w:top="1418" w:right="1701" w:bottom="1418" w:left="1701" w:header="1134"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99957" w14:textId="77777777" w:rsidR="00023DFD" w:rsidRDefault="00023DFD" w:rsidP="00241EB4">
      <w:r>
        <w:separator/>
      </w:r>
    </w:p>
  </w:endnote>
  <w:endnote w:type="continuationSeparator" w:id="0">
    <w:p w14:paraId="139D7CF7" w14:textId="77777777" w:rsidR="00023DFD" w:rsidRDefault="00023DFD" w:rsidP="00241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807B3" w14:textId="77777777" w:rsidR="00144543" w:rsidRDefault="00144543">
    <w:pPr>
      <w:pStyle w:val="Piedepgina"/>
      <w:rPr>
        <w:rFonts w:ascii="Arial" w:hAnsi="Arial" w:cs="Arial"/>
        <w:b/>
        <w:sz w:val="18"/>
        <w:szCs w:val="18"/>
      </w:rPr>
    </w:pPr>
  </w:p>
  <w:p w14:paraId="42BC3385" w14:textId="77777777" w:rsidR="006B16ED" w:rsidRDefault="00144543">
    <w:pPr>
      <w:pStyle w:val="Piedepgina"/>
      <w:rPr>
        <w:rFonts w:ascii="Arial" w:hAnsi="Arial" w:cs="Arial"/>
        <w:b/>
        <w:sz w:val="18"/>
        <w:szCs w:val="18"/>
      </w:rPr>
    </w:pPr>
    <w:r>
      <w:rPr>
        <w:rFonts w:ascii="Arial" w:hAnsi="Arial" w:cs="Arial"/>
        <w:b/>
        <w:sz w:val="18"/>
        <w:szCs w:val="18"/>
      </w:rPr>
      <w:t>PARTE III – TÍTULO III – CAPÍTULO IV</w:t>
    </w:r>
    <w:r>
      <w:rPr>
        <w:rFonts w:ascii="Arial" w:hAnsi="Arial" w:cs="Arial"/>
        <w:b/>
        <w:sz w:val="18"/>
        <w:szCs w:val="18"/>
      </w:rPr>
      <w:tab/>
      <w:t xml:space="preserve">                                                             </w:t>
    </w:r>
    <w:r w:rsidR="006B16ED">
      <w:rPr>
        <w:rFonts w:ascii="Arial" w:hAnsi="Arial" w:cs="Arial"/>
        <w:b/>
        <w:sz w:val="18"/>
        <w:szCs w:val="18"/>
      </w:rPr>
      <w:t xml:space="preserve">                                  </w:t>
    </w:r>
    <w:r>
      <w:rPr>
        <w:rFonts w:ascii="Arial" w:hAnsi="Arial" w:cs="Arial"/>
        <w:b/>
        <w:sz w:val="18"/>
        <w:szCs w:val="18"/>
      </w:rPr>
      <w:t>PÁGINA</w:t>
    </w:r>
    <w:r w:rsidR="006B16ED">
      <w:rPr>
        <w:rFonts w:ascii="Arial" w:hAnsi="Arial" w:cs="Arial"/>
        <w:b/>
        <w:sz w:val="18"/>
        <w:szCs w:val="18"/>
      </w:rPr>
      <w:t xml:space="preserve"> 2</w:t>
    </w:r>
  </w:p>
  <w:p w14:paraId="491158D2" w14:textId="418DFB06" w:rsidR="00144543" w:rsidRPr="006B16ED" w:rsidRDefault="006B16ED">
    <w:pPr>
      <w:pStyle w:val="Piedepgina"/>
      <w:rPr>
        <w:rFonts w:ascii="Arial" w:hAnsi="Arial" w:cs="Arial"/>
        <w:b/>
        <w:sz w:val="18"/>
        <w:szCs w:val="18"/>
        <w:lang w:val="es-ES_tradnl"/>
      </w:rPr>
    </w:pPr>
    <w:r>
      <w:rPr>
        <w:rFonts w:ascii="Arial" w:hAnsi="Arial" w:cs="Arial"/>
        <w:b/>
        <w:sz w:val="18"/>
        <w:szCs w:val="18"/>
      </w:rPr>
      <w:t xml:space="preserve">Circular </w:t>
    </w:r>
    <w:proofErr w:type="gramStart"/>
    <w:r>
      <w:rPr>
        <w:rFonts w:ascii="Arial" w:hAnsi="Arial" w:cs="Arial"/>
        <w:b/>
        <w:sz w:val="18"/>
        <w:szCs w:val="18"/>
      </w:rPr>
      <w:t xml:space="preserve">Externa  </w:t>
    </w:r>
    <w:r w:rsidR="007875A0">
      <w:rPr>
        <w:rFonts w:ascii="Arial" w:hAnsi="Arial" w:cs="Arial"/>
        <w:b/>
        <w:sz w:val="18"/>
        <w:szCs w:val="18"/>
      </w:rPr>
      <w:t>022</w:t>
    </w:r>
    <w:proofErr w:type="gramEnd"/>
    <w:r>
      <w:rPr>
        <w:rFonts w:ascii="Arial" w:hAnsi="Arial" w:cs="Arial"/>
        <w:b/>
        <w:sz w:val="18"/>
        <w:szCs w:val="18"/>
      </w:rPr>
      <w:t xml:space="preserve"> de 2021                                                                                            </w:t>
    </w:r>
    <w:r w:rsidR="00D57566">
      <w:rPr>
        <w:rFonts w:ascii="Arial" w:hAnsi="Arial" w:cs="Arial"/>
        <w:b/>
        <w:sz w:val="18"/>
        <w:szCs w:val="18"/>
      </w:rPr>
      <w:t xml:space="preserve">      </w:t>
    </w:r>
    <w:r w:rsidR="00E72355">
      <w:rPr>
        <w:rFonts w:ascii="Arial" w:hAnsi="Arial" w:cs="Arial"/>
        <w:b/>
        <w:sz w:val="18"/>
        <w:szCs w:val="18"/>
      </w:rPr>
      <w:t>Octubre</w:t>
    </w:r>
    <w:r>
      <w:rPr>
        <w:rFonts w:ascii="Arial" w:hAnsi="Arial" w:cs="Arial"/>
        <w:b/>
        <w:sz w:val="18"/>
        <w:szCs w:val="18"/>
      </w:rPr>
      <w:t xml:space="preserve">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5E119" w14:textId="77777777" w:rsidR="00023DFD" w:rsidRDefault="00023DFD" w:rsidP="00241EB4">
      <w:r>
        <w:separator/>
      </w:r>
    </w:p>
  </w:footnote>
  <w:footnote w:type="continuationSeparator" w:id="0">
    <w:p w14:paraId="20989925" w14:textId="77777777" w:rsidR="00023DFD" w:rsidRDefault="00023DFD" w:rsidP="00241E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46FE" w14:textId="77777777" w:rsidR="006B16ED" w:rsidRDefault="006B16ED" w:rsidP="006B16ED">
    <w:pPr>
      <w:pStyle w:val="Encabezado"/>
      <w:jc w:val="center"/>
      <w:rPr>
        <w:rFonts w:ascii="Arial" w:hAnsi="Arial" w:cs="Arial"/>
        <w:b/>
      </w:rPr>
    </w:pPr>
    <w:r>
      <w:rPr>
        <w:rFonts w:ascii="Arial" w:hAnsi="Arial" w:cs="Arial"/>
        <w:b/>
      </w:rPr>
      <w:t>SUPERINTENDENCIA FINANCIERA DE COLOMBIA</w:t>
    </w:r>
  </w:p>
  <w:p w14:paraId="3AD62B88" w14:textId="77777777" w:rsidR="006B16ED" w:rsidRDefault="006B16ED" w:rsidP="006B16ED">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3D870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466A93"/>
    <w:multiLevelType w:val="multilevel"/>
    <w:tmpl w:val="10C82FD8"/>
    <w:lvl w:ilvl="0">
      <w:start w:val="1"/>
      <w:numFmt w:val="decimal"/>
      <w:lvlText w:val="%1."/>
      <w:lvlJc w:val="left"/>
      <w:pPr>
        <w:tabs>
          <w:tab w:val="num" w:pos="360"/>
        </w:tabs>
        <w:ind w:left="360" w:hanging="360"/>
      </w:pPr>
      <w:rPr>
        <w:rFonts w:ascii="Arial" w:hAnsi="Arial" w:cs="Arial" w:hint="default"/>
        <w:b/>
        <w:sz w:val="18"/>
      </w:rPr>
    </w:lvl>
    <w:lvl w:ilvl="1">
      <w:start w:val="1"/>
      <w:numFmt w:val="decimal"/>
      <w:pStyle w:val="Titulo"/>
      <w:lvlText w:val="%1.%2."/>
      <w:lvlJc w:val="left"/>
      <w:pPr>
        <w:tabs>
          <w:tab w:val="num" w:pos="567"/>
        </w:tabs>
        <w:ind w:left="567" w:hanging="567"/>
      </w:pPr>
      <w:rPr>
        <w:rFonts w:ascii="Arial" w:hAnsi="Arial" w:cs="Arial" w:hint="default"/>
        <w:b/>
        <w:i w:val="0"/>
        <w:sz w:val="18"/>
      </w:rPr>
    </w:lvl>
    <w:lvl w:ilvl="2">
      <w:start w:val="1"/>
      <w:numFmt w:val="decimal"/>
      <w:lvlText w:val="%1.%2.%3."/>
      <w:lvlJc w:val="left"/>
      <w:pPr>
        <w:tabs>
          <w:tab w:val="num" w:pos="720"/>
        </w:tabs>
        <w:ind w:left="1077" w:hanging="720"/>
      </w:pPr>
      <w:rPr>
        <w:rFonts w:ascii="Arial" w:hAnsi="Arial" w:cs="Arial" w:hint="default"/>
        <w:b/>
        <w:i w:val="0"/>
        <w:sz w:val="18"/>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2" w15:restartNumberingAfterBreak="0">
    <w:nsid w:val="3A7E28A4"/>
    <w:multiLevelType w:val="multilevel"/>
    <w:tmpl w:val="A558C06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B7C797E"/>
    <w:multiLevelType w:val="hybridMultilevel"/>
    <w:tmpl w:val="40E2A978"/>
    <w:lvl w:ilvl="0" w:tplc="0C0A0017">
      <w:start w:val="1"/>
      <w:numFmt w:val="lowerLetter"/>
      <w:pStyle w:val="Listaconvietas"/>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64445FC8"/>
    <w:multiLevelType w:val="multilevel"/>
    <w:tmpl w:val="8EB8BF94"/>
    <w:lvl w:ilvl="0">
      <w:start w:val="2"/>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1B5"/>
    <w:rsid w:val="00023DFD"/>
    <w:rsid w:val="00025616"/>
    <w:rsid w:val="000E0188"/>
    <w:rsid w:val="00106041"/>
    <w:rsid w:val="00122BC5"/>
    <w:rsid w:val="00144543"/>
    <w:rsid w:val="00192C33"/>
    <w:rsid w:val="00241EB4"/>
    <w:rsid w:val="002B0A4D"/>
    <w:rsid w:val="002B583B"/>
    <w:rsid w:val="002C33F7"/>
    <w:rsid w:val="002E1CA6"/>
    <w:rsid w:val="00303AEB"/>
    <w:rsid w:val="003271BB"/>
    <w:rsid w:val="00332C9F"/>
    <w:rsid w:val="00375E68"/>
    <w:rsid w:val="003B021A"/>
    <w:rsid w:val="003E7F55"/>
    <w:rsid w:val="00412477"/>
    <w:rsid w:val="004A2927"/>
    <w:rsid w:val="004E2563"/>
    <w:rsid w:val="00527888"/>
    <w:rsid w:val="005C6622"/>
    <w:rsid w:val="005D1B5F"/>
    <w:rsid w:val="006572E0"/>
    <w:rsid w:val="006757E6"/>
    <w:rsid w:val="006B16ED"/>
    <w:rsid w:val="006C5A9A"/>
    <w:rsid w:val="006D0657"/>
    <w:rsid w:val="00747C44"/>
    <w:rsid w:val="007875A0"/>
    <w:rsid w:val="00793097"/>
    <w:rsid w:val="007F4BF9"/>
    <w:rsid w:val="00804D52"/>
    <w:rsid w:val="00835069"/>
    <w:rsid w:val="00941C46"/>
    <w:rsid w:val="00A55E4E"/>
    <w:rsid w:val="00AA67E2"/>
    <w:rsid w:val="00B61E78"/>
    <w:rsid w:val="00B90D56"/>
    <w:rsid w:val="00B91C77"/>
    <w:rsid w:val="00BA6651"/>
    <w:rsid w:val="00CF2E08"/>
    <w:rsid w:val="00D57566"/>
    <w:rsid w:val="00E02ED1"/>
    <w:rsid w:val="00E17E31"/>
    <w:rsid w:val="00E60559"/>
    <w:rsid w:val="00E621B5"/>
    <w:rsid w:val="00E72355"/>
    <w:rsid w:val="00F218FB"/>
    <w:rsid w:val="00F2682F"/>
    <w:rsid w:val="00F34759"/>
    <w:rsid w:val="00F7013A"/>
    <w:rsid w:val="00FB6D00"/>
    <w:rsid w:val="00FC560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14:docId w14:val="4E5B8CF4"/>
  <w15:chartTrackingRefBased/>
  <w15:docId w15:val="{E389E6AD-ED34-4640-AB15-2AB08654B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1B5"/>
    <w:rPr>
      <w:rFonts w:ascii="Times New Roman" w:eastAsia="Times New Roman" w:hAnsi="Times New Roman"/>
      <w:sz w:val="24"/>
      <w:szCs w:val="24"/>
      <w:lang w:val="es-ES" w:eastAsia="es-ES"/>
    </w:rPr>
  </w:style>
  <w:style w:type="paragraph" w:styleId="Ttulo1">
    <w:name w:val="heading 1"/>
    <w:basedOn w:val="Normal"/>
    <w:next w:val="Normal"/>
    <w:link w:val="Ttulo1Car"/>
    <w:uiPriority w:val="9"/>
    <w:qFormat/>
    <w:rsid w:val="00E621B5"/>
    <w:pPr>
      <w:keepNext/>
      <w:jc w:val="both"/>
      <w:outlineLvl w:val="0"/>
    </w:pPr>
    <w:rPr>
      <w:rFonts w:ascii="Arial" w:hAnsi="Arial"/>
      <w:b/>
      <w:bCs/>
      <w:caps/>
      <w:kern w:val="32"/>
      <w:sz w:val="16"/>
      <w:szCs w:val="32"/>
      <w:lang w:eastAsia="x-none"/>
    </w:rPr>
  </w:style>
  <w:style w:type="paragraph" w:styleId="Ttulo2">
    <w:name w:val="heading 2"/>
    <w:basedOn w:val="Normal"/>
    <w:next w:val="Normal"/>
    <w:link w:val="Ttulo2Car"/>
    <w:uiPriority w:val="9"/>
    <w:qFormat/>
    <w:rsid w:val="00E621B5"/>
    <w:pPr>
      <w:keepNext/>
      <w:jc w:val="both"/>
      <w:outlineLvl w:val="1"/>
    </w:pPr>
    <w:rPr>
      <w:rFonts w:ascii="Arial" w:eastAsia="MS Gothic" w:hAnsi="Arial"/>
      <w:b/>
      <w:bCs/>
      <w:iCs/>
      <w:sz w:val="16"/>
      <w:szCs w:val="28"/>
      <w:lang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E621B5"/>
    <w:rPr>
      <w:rFonts w:ascii="Arial" w:eastAsia="Times New Roman" w:hAnsi="Arial" w:cs="Times New Roman"/>
      <w:b/>
      <w:bCs/>
      <w:caps/>
      <w:kern w:val="32"/>
      <w:sz w:val="16"/>
      <w:szCs w:val="32"/>
      <w:lang w:val="es-ES"/>
    </w:rPr>
  </w:style>
  <w:style w:type="character" w:customStyle="1" w:styleId="Ttulo2Car">
    <w:name w:val="Título 2 Car"/>
    <w:link w:val="Ttulo2"/>
    <w:uiPriority w:val="9"/>
    <w:rsid w:val="00E621B5"/>
    <w:rPr>
      <w:rFonts w:ascii="Arial" w:eastAsia="MS Gothic" w:hAnsi="Arial" w:cs="Times New Roman"/>
      <w:b/>
      <w:bCs/>
      <w:iCs/>
      <w:sz w:val="16"/>
      <w:szCs w:val="28"/>
      <w:lang w:val="es-ES"/>
    </w:rPr>
  </w:style>
  <w:style w:type="paragraph" w:styleId="NormalWeb">
    <w:name w:val="Normal (Web)"/>
    <w:basedOn w:val="Normal"/>
    <w:link w:val="NormalWebCar"/>
    <w:rsid w:val="00E621B5"/>
    <w:pPr>
      <w:spacing w:before="150" w:after="150"/>
      <w:ind w:left="675" w:right="525"/>
    </w:pPr>
    <w:rPr>
      <w:sz w:val="19"/>
      <w:szCs w:val="19"/>
      <w:lang w:eastAsia="x-none"/>
    </w:rPr>
  </w:style>
  <w:style w:type="paragraph" w:styleId="Listaconvietas">
    <w:name w:val="List Bullet"/>
    <w:basedOn w:val="Normal"/>
    <w:uiPriority w:val="99"/>
    <w:rsid w:val="00E621B5"/>
    <w:pPr>
      <w:numPr>
        <w:numId w:val="1"/>
      </w:numPr>
      <w:tabs>
        <w:tab w:val="clear" w:pos="720"/>
        <w:tab w:val="num" w:pos="360"/>
      </w:tabs>
      <w:ind w:left="360"/>
      <w:contextualSpacing/>
    </w:pPr>
  </w:style>
  <w:style w:type="character" w:customStyle="1" w:styleId="NormalWebCar">
    <w:name w:val="Normal (Web) Car"/>
    <w:link w:val="NormalWeb"/>
    <w:locked/>
    <w:rsid w:val="00E621B5"/>
    <w:rPr>
      <w:rFonts w:ascii="Times New Roman" w:eastAsia="Times New Roman" w:hAnsi="Times New Roman" w:cs="Times New Roman"/>
      <w:sz w:val="19"/>
      <w:szCs w:val="19"/>
      <w:lang w:val="es-ES" w:eastAsia="x-none"/>
    </w:rPr>
  </w:style>
  <w:style w:type="paragraph" w:customStyle="1" w:styleId="Titulo">
    <w:name w:val="Titulo"/>
    <w:basedOn w:val="Normal"/>
    <w:rsid w:val="00E621B5"/>
    <w:pPr>
      <w:numPr>
        <w:ilvl w:val="1"/>
        <w:numId w:val="2"/>
      </w:numPr>
    </w:pPr>
    <w:rPr>
      <w:rFonts w:ascii="Arial" w:hAnsi="Arial"/>
    </w:rPr>
  </w:style>
  <w:style w:type="character" w:styleId="Refdecomentario">
    <w:name w:val="annotation reference"/>
    <w:uiPriority w:val="99"/>
    <w:semiHidden/>
    <w:unhideWhenUsed/>
    <w:rsid w:val="00B90D56"/>
    <w:rPr>
      <w:sz w:val="16"/>
      <w:szCs w:val="16"/>
    </w:rPr>
  </w:style>
  <w:style w:type="paragraph" w:styleId="Textocomentario">
    <w:name w:val="annotation text"/>
    <w:basedOn w:val="Normal"/>
    <w:link w:val="TextocomentarioCar"/>
    <w:uiPriority w:val="99"/>
    <w:semiHidden/>
    <w:unhideWhenUsed/>
    <w:rsid w:val="00B90D56"/>
    <w:rPr>
      <w:sz w:val="20"/>
      <w:szCs w:val="20"/>
      <w:lang w:val="x-none" w:eastAsia="x-none"/>
    </w:rPr>
  </w:style>
  <w:style w:type="character" w:customStyle="1" w:styleId="TextocomentarioCar">
    <w:name w:val="Texto comentario Car"/>
    <w:link w:val="Textocomentario"/>
    <w:uiPriority w:val="99"/>
    <w:semiHidden/>
    <w:rsid w:val="00B90D56"/>
    <w:rPr>
      <w:rFonts w:ascii="Times New Roman" w:eastAsia="Times New Roman" w:hAnsi="Times New Roman"/>
    </w:rPr>
  </w:style>
  <w:style w:type="paragraph" w:styleId="Asuntodelcomentario">
    <w:name w:val="annotation subject"/>
    <w:basedOn w:val="Textocomentario"/>
    <w:next w:val="Textocomentario"/>
    <w:link w:val="AsuntodelcomentarioCar"/>
    <w:uiPriority w:val="99"/>
    <w:semiHidden/>
    <w:unhideWhenUsed/>
    <w:rsid w:val="00B90D56"/>
    <w:rPr>
      <w:b/>
      <w:bCs/>
    </w:rPr>
  </w:style>
  <w:style w:type="character" w:customStyle="1" w:styleId="AsuntodelcomentarioCar">
    <w:name w:val="Asunto del comentario Car"/>
    <w:link w:val="Asuntodelcomentario"/>
    <w:uiPriority w:val="99"/>
    <w:semiHidden/>
    <w:rsid w:val="00B90D56"/>
    <w:rPr>
      <w:rFonts w:ascii="Times New Roman" w:eastAsia="Times New Roman" w:hAnsi="Times New Roman"/>
      <w:b/>
      <w:bCs/>
    </w:rPr>
  </w:style>
  <w:style w:type="paragraph" w:styleId="Textodeglobo">
    <w:name w:val="Balloon Text"/>
    <w:basedOn w:val="Normal"/>
    <w:link w:val="TextodegloboCar"/>
    <w:uiPriority w:val="99"/>
    <w:semiHidden/>
    <w:unhideWhenUsed/>
    <w:rsid w:val="00B90D56"/>
    <w:rPr>
      <w:rFonts w:ascii="Tahoma" w:hAnsi="Tahoma"/>
      <w:sz w:val="16"/>
      <w:szCs w:val="16"/>
      <w:lang w:val="x-none" w:eastAsia="x-none"/>
    </w:rPr>
  </w:style>
  <w:style w:type="character" w:customStyle="1" w:styleId="TextodegloboCar">
    <w:name w:val="Texto de globo Car"/>
    <w:link w:val="Textodeglobo"/>
    <w:uiPriority w:val="99"/>
    <w:semiHidden/>
    <w:rsid w:val="00B90D56"/>
    <w:rPr>
      <w:rFonts w:ascii="Tahoma" w:eastAsia="Times New Roman" w:hAnsi="Tahoma" w:cs="Tahoma"/>
      <w:sz w:val="16"/>
      <w:szCs w:val="16"/>
    </w:rPr>
  </w:style>
  <w:style w:type="paragraph" w:styleId="Encabezado">
    <w:name w:val="header"/>
    <w:basedOn w:val="Normal"/>
    <w:link w:val="EncabezadoCar"/>
    <w:uiPriority w:val="99"/>
    <w:unhideWhenUsed/>
    <w:rsid w:val="00241EB4"/>
    <w:pPr>
      <w:tabs>
        <w:tab w:val="center" w:pos="4419"/>
        <w:tab w:val="right" w:pos="8838"/>
      </w:tabs>
    </w:pPr>
  </w:style>
  <w:style w:type="character" w:customStyle="1" w:styleId="EncabezadoCar">
    <w:name w:val="Encabezado Car"/>
    <w:link w:val="Encabezado"/>
    <w:uiPriority w:val="99"/>
    <w:rsid w:val="00241EB4"/>
    <w:rPr>
      <w:rFonts w:ascii="Times New Roman" w:eastAsia="Times New Roman" w:hAnsi="Times New Roman"/>
      <w:sz w:val="24"/>
      <w:szCs w:val="24"/>
      <w:lang w:val="es-ES" w:eastAsia="es-ES"/>
    </w:rPr>
  </w:style>
  <w:style w:type="paragraph" w:styleId="Piedepgina">
    <w:name w:val="footer"/>
    <w:basedOn w:val="Normal"/>
    <w:link w:val="PiedepginaCar"/>
    <w:unhideWhenUsed/>
    <w:rsid w:val="00241EB4"/>
    <w:pPr>
      <w:tabs>
        <w:tab w:val="center" w:pos="4419"/>
        <w:tab w:val="right" w:pos="8838"/>
      </w:tabs>
    </w:pPr>
  </w:style>
  <w:style w:type="character" w:customStyle="1" w:styleId="PiedepginaCar">
    <w:name w:val="Pie de página Car"/>
    <w:link w:val="Piedepgina"/>
    <w:rsid w:val="00241EB4"/>
    <w:rPr>
      <w:rFonts w:ascii="Times New Roman" w:eastAsia="Times New Roman" w:hAnsi="Times New Roman"/>
      <w:sz w:val="24"/>
      <w:szCs w:val="24"/>
      <w:lang w:val="es-ES" w:eastAsia="es-ES"/>
    </w:rPr>
  </w:style>
  <w:style w:type="paragraph" w:customStyle="1" w:styleId="Encabezadodetabladecontenido">
    <w:name w:val="Encabezado de tabla de contenido"/>
    <w:basedOn w:val="Ttulo1"/>
    <w:next w:val="Normal"/>
    <w:uiPriority w:val="39"/>
    <w:semiHidden/>
    <w:unhideWhenUsed/>
    <w:qFormat/>
    <w:rsid w:val="006757E6"/>
    <w:pPr>
      <w:keepLines/>
      <w:spacing w:before="480" w:line="276" w:lineRule="auto"/>
      <w:jc w:val="left"/>
      <w:outlineLvl w:val="9"/>
    </w:pPr>
    <w:rPr>
      <w:rFonts w:ascii="Cambria" w:hAnsi="Cambria"/>
      <w:caps w:val="0"/>
      <w:color w:val="365F91"/>
      <w:kern w:val="0"/>
      <w:sz w:val="28"/>
      <w:szCs w:val="28"/>
      <w:lang w:val="es-CO" w:eastAsia="es-CO"/>
    </w:rPr>
  </w:style>
  <w:style w:type="paragraph" w:styleId="TDC1">
    <w:name w:val="toc 1"/>
    <w:basedOn w:val="Normal"/>
    <w:next w:val="Normal"/>
    <w:autoRedefine/>
    <w:uiPriority w:val="39"/>
    <w:unhideWhenUsed/>
    <w:rsid w:val="006757E6"/>
    <w:pPr>
      <w:spacing w:before="240" w:after="120"/>
      <w:jc w:val="both"/>
    </w:pPr>
    <w:rPr>
      <w:rFonts w:ascii="Arial" w:hAnsi="Arial"/>
      <w:b/>
      <w:bCs/>
      <w:caps/>
      <w:sz w:val="16"/>
      <w:szCs w:val="20"/>
    </w:rPr>
  </w:style>
  <w:style w:type="paragraph" w:styleId="TDC2">
    <w:name w:val="toc 2"/>
    <w:basedOn w:val="Normal"/>
    <w:next w:val="Normal"/>
    <w:autoRedefine/>
    <w:uiPriority w:val="39"/>
    <w:unhideWhenUsed/>
    <w:rsid w:val="006757E6"/>
    <w:pPr>
      <w:ind w:left="159"/>
      <w:jc w:val="both"/>
    </w:pPr>
    <w:rPr>
      <w:rFonts w:ascii="Arial" w:hAnsi="Arial"/>
      <w:iCs/>
      <w:sz w:val="16"/>
      <w:szCs w:val="20"/>
    </w:rPr>
  </w:style>
  <w:style w:type="character" w:styleId="Hipervnculo">
    <w:name w:val="Hyperlink"/>
    <w:uiPriority w:val="99"/>
    <w:unhideWhenUsed/>
    <w:rsid w:val="006757E6"/>
    <w:rPr>
      <w:color w:val="0000FF"/>
      <w:u w:val="single"/>
    </w:rPr>
  </w:style>
  <w:style w:type="paragraph" w:styleId="TDC3">
    <w:name w:val="toc 3"/>
    <w:basedOn w:val="Normal"/>
    <w:next w:val="Normal"/>
    <w:autoRedefine/>
    <w:uiPriority w:val="39"/>
    <w:unhideWhenUsed/>
    <w:rsid w:val="006757E6"/>
    <w:pPr>
      <w:ind w:left="480"/>
    </w:pPr>
    <w:rPr>
      <w:rFonts w:ascii="Calibri" w:hAnsi="Calibri"/>
      <w:sz w:val="20"/>
      <w:szCs w:val="20"/>
    </w:rPr>
  </w:style>
  <w:style w:type="paragraph" w:styleId="TDC4">
    <w:name w:val="toc 4"/>
    <w:basedOn w:val="Normal"/>
    <w:next w:val="Normal"/>
    <w:autoRedefine/>
    <w:uiPriority w:val="39"/>
    <w:unhideWhenUsed/>
    <w:rsid w:val="006757E6"/>
    <w:pPr>
      <w:ind w:left="720"/>
    </w:pPr>
    <w:rPr>
      <w:rFonts w:ascii="Calibri" w:hAnsi="Calibri"/>
      <w:sz w:val="20"/>
      <w:szCs w:val="20"/>
    </w:rPr>
  </w:style>
  <w:style w:type="paragraph" w:styleId="TDC5">
    <w:name w:val="toc 5"/>
    <w:basedOn w:val="Normal"/>
    <w:next w:val="Normal"/>
    <w:autoRedefine/>
    <w:uiPriority w:val="39"/>
    <w:unhideWhenUsed/>
    <w:rsid w:val="006757E6"/>
    <w:pPr>
      <w:ind w:left="960"/>
    </w:pPr>
    <w:rPr>
      <w:rFonts w:ascii="Calibri" w:hAnsi="Calibri"/>
      <w:sz w:val="20"/>
      <w:szCs w:val="20"/>
    </w:rPr>
  </w:style>
  <w:style w:type="paragraph" w:styleId="TDC6">
    <w:name w:val="toc 6"/>
    <w:basedOn w:val="Normal"/>
    <w:next w:val="Normal"/>
    <w:autoRedefine/>
    <w:uiPriority w:val="39"/>
    <w:unhideWhenUsed/>
    <w:rsid w:val="006757E6"/>
    <w:pPr>
      <w:ind w:left="1200"/>
    </w:pPr>
    <w:rPr>
      <w:rFonts w:ascii="Calibri" w:hAnsi="Calibri"/>
      <w:sz w:val="20"/>
      <w:szCs w:val="20"/>
    </w:rPr>
  </w:style>
  <w:style w:type="paragraph" w:styleId="TDC7">
    <w:name w:val="toc 7"/>
    <w:basedOn w:val="Normal"/>
    <w:next w:val="Normal"/>
    <w:autoRedefine/>
    <w:uiPriority w:val="39"/>
    <w:unhideWhenUsed/>
    <w:rsid w:val="006757E6"/>
    <w:pPr>
      <w:ind w:left="1440"/>
    </w:pPr>
    <w:rPr>
      <w:rFonts w:ascii="Calibri" w:hAnsi="Calibri"/>
      <w:sz w:val="20"/>
      <w:szCs w:val="20"/>
    </w:rPr>
  </w:style>
  <w:style w:type="paragraph" w:styleId="TDC8">
    <w:name w:val="toc 8"/>
    <w:basedOn w:val="Normal"/>
    <w:next w:val="Normal"/>
    <w:autoRedefine/>
    <w:uiPriority w:val="39"/>
    <w:unhideWhenUsed/>
    <w:rsid w:val="006757E6"/>
    <w:pPr>
      <w:ind w:left="1680"/>
    </w:pPr>
    <w:rPr>
      <w:rFonts w:ascii="Calibri" w:hAnsi="Calibri"/>
      <w:sz w:val="20"/>
      <w:szCs w:val="20"/>
    </w:rPr>
  </w:style>
  <w:style w:type="paragraph" w:styleId="TDC9">
    <w:name w:val="toc 9"/>
    <w:basedOn w:val="Normal"/>
    <w:next w:val="Normal"/>
    <w:autoRedefine/>
    <w:uiPriority w:val="39"/>
    <w:unhideWhenUsed/>
    <w:rsid w:val="006757E6"/>
    <w:pPr>
      <w:ind w:left="1920"/>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21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5774FEABD2EC4D837EFE231CB4A821" ma:contentTypeVersion="13" ma:contentTypeDescription="Create a new document." ma:contentTypeScope="" ma:versionID="4d297f54423cce130c416e8e77df392a">
  <xsd:schema xmlns:xsd="http://www.w3.org/2001/XMLSchema" xmlns:xs="http://www.w3.org/2001/XMLSchema" xmlns:p="http://schemas.microsoft.com/office/2006/metadata/properties" xmlns:ns3="09f3234f-540a-47d9-9911-831b2befbdf1" xmlns:ns4="4b7b0785-c4d7-436d-b897-38901db80b41" targetNamespace="http://schemas.microsoft.com/office/2006/metadata/properties" ma:root="true" ma:fieldsID="db0cd07da2b67890d60f9a9d7f9c98ce" ns3:_="" ns4:_="">
    <xsd:import namespace="09f3234f-540a-47d9-9911-831b2befbdf1"/>
    <xsd:import namespace="4b7b0785-c4d7-436d-b897-38901db80b4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f3234f-540a-47d9-9911-831b2befb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7b0785-c4d7-436d-b897-38901db80b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F8136-83B9-4E3D-9926-B2DE40D312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f3234f-540a-47d9-9911-831b2befbdf1"/>
    <ds:schemaRef ds:uri="4b7b0785-c4d7-436d-b897-38901db80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489684-D48D-4CDB-818F-11380AE1C684}">
  <ds:schemaRefs>
    <ds:schemaRef ds:uri="http://schemas.microsoft.com/sharepoint/v3/contenttype/forms"/>
  </ds:schemaRefs>
</ds:datastoreItem>
</file>

<file path=customXml/itemProps3.xml><?xml version="1.0" encoding="utf-8"?>
<ds:datastoreItem xmlns:ds="http://schemas.openxmlformats.org/officeDocument/2006/customXml" ds:itemID="{52E1941B-FF51-4D98-A44F-1A59A686E6A5}">
  <ds:schemaRefs>
    <ds:schemaRef ds:uri="http://purl.org/dc/elements/1.1/"/>
    <ds:schemaRef ds:uri="http://www.w3.org/XML/1998/namespace"/>
    <ds:schemaRef ds:uri="4b7b0785-c4d7-436d-b897-38901db80b41"/>
    <ds:schemaRef ds:uri="http://schemas.microsoft.com/office/2006/metadata/properties"/>
    <ds:schemaRef ds:uri="http://schemas.microsoft.com/office/infopath/2007/PartnerControls"/>
    <ds:schemaRef ds:uri="http://purl.org/dc/dcmitype/"/>
    <ds:schemaRef ds:uri="http://purl.org/dc/terms/"/>
    <ds:schemaRef ds:uri="http://schemas.microsoft.com/office/2006/documentManagement/types"/>
    <ds:schemaRef ds:uri="http://schemas.openxmlformats.org/package/2006/metadata/core-properties"/>
    <ds:schemaRef ds:uri="09f3234f-540a-47d9-9911-831b2befbdf1"/>
  </ds:schemaRefs>
</ds:datastoreItem>
</file>

<file path=customXml/itemProps4.xml><?xml version="1.0" encoding="utf-8"?>
<ds:datastoreItem xmlns:ds="http://schemas.openxmlformats.org/officeDocument/2006/customXml" ds:itemID="{AEFA7EA3-E5E8-4A3F-82EE-15F688BF8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912</Words>
  <Characters>5018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Camilo Zuluaga Gomez</dc:creator>
  <cp:keywords/>
  <cp:lastModifiedBy>Gabriel Armando Ospina Garcia</cp:lastModifiedBy>
  <cp:revision>4</cp:revision>
  <cp:lastPrinted>2021-09-21T19:43:00Z</cp:lastPrinted>
  <dcterms:created xsi:type="dcterms:W3CDTF">2021-10-19T12:55:00Z</dcterms:created>
  <dcterms:modified xsi:type="dcterms:W3CDTF">2021-10-19T15:38:00Z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0x010100C45774FEABD2EC4D837EFE231CB4A821</vt:lpwstr>
  </property>
</Properties>
</file>