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662" w:type="dxa"/>
        <w:tblInd w:w="55" w:type="dxa"/>
        <w:tblCellMar>
          <w:left w:w="70" w:type="dxa"/>
          <w:right w:w="70" w:type="dxa"/>
        </w:tblCellMar>
        <w:tblLook w:val="04A0" w:firstRow="1" w:lastRow="0" w:firstColumn="1" w:lastColumn="0" w:noHBand="0" w:noVBand="1"/>
      </w:tblPr>
      <w:tblGrid>
        <w:gridCol w:w="5118"/>
        <w:gridCol w:w="993"/>
        <w:gridCol w:w="1417"/>
        <w:gridCol w:w="1134"/>
      </w:tblGrid>
      <w:tr w:rsidR="003C06E2" w:rsidRPr="00415512" w14:paraId="79BDD171" w14:textId="77777777" w:rsidTr="000C1113">
        <w:trPr>
          <w:trHeight w:val="270"/>
          <w:tblHeader/>
        </w:trPr>
        <w:tc>
          <w:tcPr>
            <w:tcW w:w="5118" w:type="dxa"/>
            <w:vMerge w:val="restart"/>
            <w:tcBorders>
              <w:top w:val="single" w:sz="8" w:space="0" w:color="auto"/>
              <w:left w:val="single" w:sz="8" w:space="0" w:color="auto"/>
              <w:bottom w:val="single" w:sz="8" w:space="0" w:color="000000"/>
              <w:right w:val="single" w:sz="8" w:space="0" w:color="auto"/>
            </w:tcBorders>
            <w:shd w:val="clear" w:color="000000" w:fill="F2F2F2"/>
            <w:noWrap/>
            <w:vAlign w:val="center"/>
            <w:hideMark/>
          </w:tcPr>
          <w:p w14:paraId="33C1F47A" w14:textId="77777777" w:rsidR="003C06E2" w:rsidRPr="00415512" w:rsidRDefault="003C06E2" w:rsidP="000C1113">
            <w:pPr>
              <w:jc w:val="both"/>
              <w:rPr>
                <w:rFonts w:ascii="Arial" w:hAnsi="Arial" w:cs="Arial"/>
                <w:b/>
                <w:bCs/>
                <w:color w:val="000000"/>
                <w:sz w:val="16"/>
                <w:szCs w:val="16"/>
              </w:rPr>
            </w:pPr>
            <w:r w:rsidRPr="00415512">
              <w:rPr>
                <w:rFonts w:ascii="Arial" w:hAnsi="Arial" w:cs="Arial"/>
                <w:b/>
                <w:bCs/>
                <w:color w:val="000000"/>
                <w:sz w:val="16"/>
                <w:szCs w:val="16"/>
                <w:lang w:val="es-CO"/>
              </w:rPr>
              <w:t>Datos de Entrada</w:t>
            </w:r>
          </w:p>
        </w:tc>
        <w:tc>
          <w:tcPr>
            <w:tcW w:w="993" w:type="dxa"/>
            <w:tcBorders>
              <w:top w:val="single" w:sz="8" w:space="0" w:color="auto"/>
              <w:left w:val="nil"/>
              <w:bottom w:val="single" w:sz="8" w:space="0" w:color="auto"/>
              <w:right w:val="nil"/>
            </w:tcBorders>
            <w:shd w:val="clear" w:color="000000" w:fill="F2F2F2"/>
            <w:noWrap/>
            <w:vAlign w:val="center"/>
            <w:hideMark/>
          </w:tcPr>
          <w:p w14:paraId="32CCBFDE" w14:textId="77777777" w:rsidR="003C06E2" w:rsidRPr="00415512" w:rsidRDefault="003C06E2" w:rsidP="000C1113">
            <w:pPr>
              <w:jc w:val="center"/>
              <w:rPr>
                <w:rFonts w:ascii="Arial" w:hAnsi="Arial" w:cs="Arial"/>
                <w:b/>
                <w:bCs/>
                <w:color w:val="000000"/>
                <w:sz w:val="16"/>
                <w:szCs w:val="16"/>
              </w:rPr>
            </w:pPr>
            <w:r w:rsidRPr="00415512">
              <w:rPr>
                <w:rFonts w:ascii="Arial" w:hAnsi="Arial" w:cs="Arial"/>
                <w:b/>
                <w:bCs/>
                <w:color w:val="000000"/>
                <w:sz w:val="16"/>
                <w:szCs w:val="16"/>
                <w:lang w:val="es-CO"/>
              </w:rPr>
              <w:t>(RAIS)</w:t>
            </w:r>
          </w:p>
        </w:tc>
        <w:tc>
          <w:tcPr>
            <w:tcW w:w="1417" w:type="dxa"/>
            <w:tcBorders>
              <w:top w:val="single" w:sz="8" w:space="0" w:color="auto"/>
              <w:left w:val="single" w:sz="8" w:space="0" w:color="auto"/>
              <w:bottom w:val="single" w:sz="8" w:space="0" w:color="auto"/>
              <w:right w:val="single" w:sz="8" w:space="0" w:color="auto"/>
            </w:tcBorders>
            <w:shd w:val="clear" w:color="000000" w:fill="F2F2F2"/>
            <w:noWrap/>
            <w:vAlign w:val="center"/>
            <w:hideMark/>
          </w:tcPr>
          <w:p w14:paraId="73E96F6D" w14:textId="77777777" w:rsidR="003C06E2" w:rsidRPr="00415512" w:rsidRDefault="003C06E2" w:rsidP="000C1113">
            <w:pPr>
              <w:jc w:val="center"/>
              <w:rPr>
                <w:rFonts w:ascii="Arial" w:hAnsi="Arial" w:cs="Arial"/>
                <w:b/>
                <w:bCs/>
                <w:color w:val="000000"/>
                <w:sz w:val="16"/>
                <w:szCs w:val="16"/>
              </w:rPr>
            </w:pPr>
            <w:r w:rsidRPr="00415512">
              <w:rPr>
                <w:rFonts w:ascii="Arial" w:hAnsi="Arial" w:cs="Arial"/>
                <w:b/>
                <w:bCs/>
                <w:color w:val="000000"/>
                <w:sz w:val="16"/>
                <w:szCs w:val="16"/>
              </w:rPr>
              <w:t>RAIS Y RPM</w:t>
            </w:r>
          </w:p>
        </w:tc>
        <w:tc>
          <w:tcPr>
            <w:tcW w:w="1134" w:type="dxa"/>
            <w:tcBorders>
              <w:top w:val="single" w:sz="8" w:space="0" w:color="auto"/>
              <w:left w:val="nil"/>
              <w:bottom w:val="single" w:sz="8" w:space="0" w:color="auto"/>
              <w:right w:val="single" w:sz="8" w:space="0" w:color="auto"/>
            </w:tcBorders>
            <w:shd w:val="clear" w:color="000000" w:fill="F2F2F2"/>
            <w:noWrap/>
            <w:vAlign w:val="center"/>
            <w:hideMark/>
          </w:tcPr>
          <w:p w14:paraId="5D64A940" w14:textId="77777777" w:rsidR="003C06E2" w:rsidRPr="00415512" w:rsidRDefault="003C06E2" w:rsidP="000C1113">
            <w:pPr>
              <w:jc w:val="center"/>
              <w:rPr>
                <w:rFonts w:ascii="Arial" w:hAnsi="Arial" w:cs="Arial"/>
                <w:b/>
                <w:bCs/>
                <w:color w:val="000000"/>
                <w:sz w:val="16"/>
                <w:szCs w:val="16"/>
              </w:rPr>
            </w:pPr>
            <w:r w:rsidRPr="00415512">
              <w:rPr>
                <w:rFonts w:ascii="Arial" w:hAnsi="Arial" w:cs="Arial"/>
                <w:b/>
                <w:bCs/>
                <w:color w:val="000000"/>
                <w:sz w:val="16"/>
                <w:szCs w:val="16"/>
                <w:lang w:val="es-CO"/>
              </w:rPr>
              <w:t>(RPM)</w:t>
            </w:r>
          </w:p>
        </w:tc>
      </w:tr>
      <w:tr w:rsidR="003C06E2" w:rsidRPr="00415512" w14:paraId="50A3F462" w14:textId="77777777" w:rsidTr="000C1113">
        <w:trPr>
          <w:trHeight w:val="270"/>
          <w:tblHeader/>
        </w:trPr>
        <w:tc>
          <w:tcPr>
            <w:tcW w:w="5118" w:type="dxa"/>
            <w:vMerge/>
            <w:tcBorders>
              <w:top w:val="single" w:sz="8" w:space="0" w:color="auto"/>
              <w:left w:val="single" w:sz="8" w:space="0" w:color="auto"/>
              <w:bottom w:val="single" w:sz="8" w:space="0" w:color="000000"/>
              <w:right w:val="single" w:sz="8" w:space="0" w:color="auto"/>
            </w:tcBorders>
            <w:vAlign w:val="center"/>
            <w:hideMark/>
          </w:tcPr>
          <w:p w14:paraId="0218CA0D" w14:textId="77777777" w:rsidR="003C06E2" w:rsidRPr="00415512" w:rsidRDefault="003C06E2" w:rsidP="000C1113">
            <w:pPr>
              <w:jc w:val="both"/>
              <w:rPr>
                <w:rFonts w:ascii="Arial" w:hAnsi="Arial" w:cs="Arial"/>
                <w:b/>
                <w:bCs/>
                <w:color w:val="000000"/>
                <w:sz w:val="16"/>
                <w:szCs w:val="16"/>
              </w:rPr>
            </w:pPr>
          </w:p>
        </w:tc>
        <w:tc>
          <w:tcPr>
            <w:tcW w:w="993" w:type="dxa"/>
            <w:tcBorders>
              <w:top w:val="nil"/>
              <w:left w:val="nil"/>
              <w:bottom w:val="single" w:sz="8" w:space="0" w:color="auto"/>
              <w:right w:val="single" w:sz="8" w:space="0" w:color="auto"/>
            </w:tcBorders>
            <w:shd w:val="clear" w:color="000000" w:fill="F2F2F2"/>
            <w:noWrap/>
            <w:vAlign w:val="center"/>
            <w:hideMark/>
          </w:tcPr>
          <w:p w14:paraId="0C0BFAB7" w14:textId="77777777" w:rsidR="003C06E2" w:rsidRPr="00415512" w:rsidRDefault="003C06E2" w:rsidP="000C1113">
            <w:pPr>
              <w:jc w:val="center"/>
              <w:rPr>
                <w:rFonts w:ascii="Arial" w:hAnsi="Arial" w:cs="Arial"/>
                <w:b/>
                <w:bCs/>
                <w:color w:val="000000"/>
                <w:sz w:val="16"/>
                <w:szCs w:val="16"/>
              </w:rPr>
            </w:pPr>
            <w:r w:rsidRPr="00415512">
              <w:rPr>
                <w:rFonts w:ascii="Arial" w:hAnsi="Arial" w:cs="Arial"/>
                <w:b/>
                <w:bCs/>
                <w:color w:val="000000"/>
                <w:sz w:val="16"/>
                <w:szCs w:val="16"/>
                <w:lang w:val="es-CO"/>
              </w:rPr>
              <w:t>(X)</w:t>
            </w:r>
          </w:p>
        </w:tc>
        <w:tc>
          <w:tcPr>
            <w:tcW w:w="1417" w:type="dxa"/>
            <w:tcBorders>
              <w:top w:val="nil"/>
              <w:left w:val="nil"/>
              <w:bottom w:val="single" w:sz="8" w:space="0" w:color="auto"/>
              <w:right w:val="single" w:sz="8" w:space="0" w:color="auto"/>
            </w:tcBorders>
            <w:shd w:val="clear" w:color="000000" w:fill="F2F2F2"/>
            <w:noWrap/>
            <w:vAlign w:val="center"/>
            <w:hideMark/>
          </w:tcPr>
          <w:p w14:paraId="429DF57B" w14:textId="77777777" w:rsidR="003C06E2" w:rsidRPr="00415512" w:rsidRDefault="003C06E2" w:rsidP="000C1113">
            <w:pPr>
              <w:jc w:val="center"/>
              <w:rPr>
                <w:rFonts w:ascii="Arial" w:hAnsi="Arial" w:cs="Arial"/>
                <w:b/>
                <w:bCs/>
                <w:color w:val="000000"/>
                <w:sz w:val="16"/>
                <w:szCs w:val="16"/>
              </w:rPr>
            </w:pPr>
            <w:r w:rsidRPr="00415512">
              <w:rPr>
                <w:rFonts w:ascii="Arial" w:hAnsi="Arial" w:cs="Arial"/>
                <w:b/>
                <w:bCs/>
                <w:color w:val="000000"/>
                <w:sz w:val="16"/>
                <w:szCs w:val="16"/>
                <w:lang w:val="es-CO"/>
              </w:rPr>
              <w:t>(Y)</w:t>
            </w:r>
          </w:p>
        </w:tc>
        <w:tc>
          <w:tcPr>
            <w:tcW w:w="1134" w:type="dxa"/>
            <w:tcBorders>
              <w:top w:val="nil"/>
              <w:left w:val="nil"/>
              <w:bottom w:val="single" w:sz="8" w:space="0" w:color="auto"/>
              <w:right w:val="single" w:sz="8" w:space="0" w:color="auto"/>
            </w:tcBorders>
            <w:shd w:val="clear" w:color="000000" w:fill="F2F2F2"/>
            <w:noWrap/>
            <w:vAlign w:val="center"/>
            <w:hideMark/>
          </w:tcPr>
          <w:p w14:paraId="40DF4697" w14:textId="77777777" w:rsidR="003C06E2" w:rsidRPr="00415512" w:rsidRDefault="003C06E2" w:rsidP="000C1113">
            <w:pPr>
              <w:jc w:val="center"/>
              <w:rPr>
                <w:rFonts w:ascii="Arial" w:hAnsi="Arial" w:cs="Arial"/>
                <w:b/>
                <w:bCs/>
                <w:color w:val="000000"/>
                <w:sz w:val="16"/>
                <w:szCs w:val="16"/>
              </w:rPr>
            </w:pPr>
            <w:r w:rsidRPr="00415512">
              <w:rPr>
                <w:rFonts w:ascii="Arial" w:hAnsi="Arial" w:cs="Arial"/>
                <w:b/>
                <w:bCs/>
                <w:color w:val="000000"/>
                <w:sz w:val="16"/>
                <w:szCs w:val="16"/>
                <w:lang w:val="es-CO"/>
              </w:rPr>
              <w:t>(X)</w:t>
            </w:r>
          </w:p>
        </w:tc>
      </w:tr>
      <w:tr w:rsidR="003C06E2" w:rsidRPr="001F392D" w14:paraId="5D49DF32" w14:textId="77777777" w:rsidTr="000C1113">
        <w:trPr>
          <w:trHeight w:val="555"/>
        </w:trPr>
        <w:tc>
          <w:tcPr>
            <w:tcW w:w="5118" w:type="dxa"/>
            <w:tcBorders>
              <w:top w:val="nil"/>
              <w:left w:val="single" w:sz="8" w:space="0" w:color="auto"/>
              <w:bottom w:val="single" w:sz="8" w:space="0" w:color="auto"/>
              <w:right w:val="single" w:sz="8" w:space="0" w:color="auto"/>
            </w:tcBorders>
            <w:shd w:val="clear" w:color="auto" w:fill="auto"/>
            <w:vAlign w:val="center"/>
            <w:hideMark/>
          </w:tcPr>
          <w:p w14:paraId="3CE33229" w14:textId="77777777" w:rsidR="003C06E2" w:rsidRPr="00415512" w:rsidRDefault="003C06E2" w:rsidP="000C1113">
            <w:pPr>
              <w:jc w:val="both"/>
              <w:rPr>
                <w:rFonts w:ascii="Arial" w:hAnsi="Arial" w:cs="Arial"/>
                <w:color w:val="000000"/>
                <w:sz w:val="16"/>
                <w:szCs w:val="16"/>
              </w:rPr>
            </w:pPr>
            <w:r w:rsidRPr="00415512">
              <w:rPr>
                <w:rFonts w:ascii="Arial" w:hAnsi="Arial" w:cs="Arial"/>
                <w:color w:val="000000"/>
                <w:sz w:val="16"/>
                <w:szCs w:val="16"/>
                <w:lang w:val="es-CO"/>
              </w:rPr>
              <w:t>Tiempo de permanencia en el Tipo de Fondo Conservador (indicar en años)</w:t>
            </w:r>
          </w:p>
        </w:tc>
        <w:tc>
          <w:tcPr>
            <w:tcW w:w="993" w:type="dxa"/>
            <w:tcBorders>
              <w:top w:val="nil"/>
              <w:left w:val="nil"/>
              <w:bottom w:val="single" w:sz="8" w:space="0" w:color="auto"/>
              <w:right w:val="single" w:sz="8" w:space="0" w:color="auto"/>
            </w:tcBorders>
            <w:shd w:val="clear" w:color="auto" w:fill="auto"/>
            <w:vAlign w:val="center"/>
            <w:hideMark/>
          </w:tcPr>
          <w:p w14:paraId="73083193" w14:textId="77777777" w:rsidR="003C06E2" w:rsidRPr="001F392D" w:rsidRDefault="003C06E2" w:rsidP="000C1113">
            <w:pPr>
              <w:jc w:val="center"/>
              <w:rPr>
                <w:rFonts w:ascii="Wingdings" w:hAnsi="Wingdings" w:cs="Arial"/>
                <w:color w:val="000000"/>
              </w:rPr>
            </w:pPr>
            <w:r w:rsidRPr="00415512">
              <w:rPr>
                <w:rFonts w:ascii="Wingdings" w:hAnsi="Wingdings" w:cs="Arial"/>
                <w:color w:val="000000"/>
                <w:lang w:val="es-CO"/>
              </w:rPr>
              <w:t></w:t>
            </w:r>
          </w:p>
        </w:tc>
        <w:tc>
          <w:tcPr>
            <w:tcW w:w="1417" w:type="dxa"/>
            <w:tcBorders>
              <w:top w:val="nil"/>
              <w:left w:val="nil"/>
              <w:bottom w:val="single" w:sz="8" w:space="0" w:color="auto"/>
              <w:right w:val="single" w:sz="8" w:space="0" w:color="auto"/>
            </w:tcBorders>
            <w:shd w:val="clear" w:color="auto" w:fill="auto"/>
            <w:vAlign w:val="center"/>
            <w:hideMark/>
          </w:tcPr>
          <w:p w14:paraId="1C62B6B6" w14:textId="77777777" w:rsidR="003C06E2" w:rsidRPr="001F392D" w:rsidRDefault="003C06E2" w:rsidP="000C1113">
            <w:pPr>
              <w:jc w:val="center"/>
              <w:rPr>
                <w:rFonts w:ascii="Arial" w:hAnsi="Arial" w:cs="Arial"/>
                <w:b/>
                <w:bCs/>
                <w:color w:val="000000"/>
                <w:sz w:val="32"/>
                <w:szCs w:val="32"/>
              </w:rPr>
            </w:pPr>
          </w:p>
        </w:tc>
        <w:tc>
          <w:tcPr>
            <w:tcW w:w="1134" w:type="dxa"/>
            <w:tcBorders>
              <w:top w:val="nil"/>
              <w:left w:val="nil"/>
              <w:bottom w:val="single" w:sz="8" w:space="0" w:color="auto"/>
              <w:right w:val="single" w:sz="8" w:space="0" w:color="auto"/>
            </w:tcBorders>
            <w:shd w:val="clear" w:color="auto" w:fill="auto"/>
            <w:vAlign w:val="center"/>
            <w:hideMark/>
          </w:tcPr>
          <w:p w14:paraId="12082396" w14:textId="77777777" w:rsidR="003C06E2" w:rsidRPr="001F392D" w:rsidRDefault="003C06E2" w:rsidP="000C1113">
            <w:pPr>
              <w:jc w:val="center"/>
              <w:rPr>
                <w:rFonts w:ascii="Arial" w:hAnsi="Arial" w:cs="Arial"/>
                <w:b/>
                <w:bCs/>
                <w:color w:val="000000"/>
                <w:sz w:val="32"/>
                <w:szCs w:val="32"/>
              </w:rPr>
            </w:pPr>
          </w:p>
        </w:tc>
      </w:tr>
    </w:tbl>
    <w:p w14:paraId="760479B9" w14:textId="77777777" w:rsidR="003C06E2" w:rsidRPr="00C41D4A" w:rsidRDefault="003C06E2" w:rsidP="003C06E2">
      <w:pPr>
        <w:widowControl w:val="0"/>
        <w:tabs>
          <w:tab w:val="left" w:pos="0"/>
        </w:tabs>
        <w:autoSpaceDE w:val="0"/>
        <w:autoSpaceDN w:val="0"/>
        <w:adjustRightInd w:val="0"/>
        <w:ind w:right="20"/>
        <w:jc w:val="both"/>
        <w:rPr>
          <w:rFonts w:ascii="Arial" w:hAnsi="Arial" w:cs="Arial"/>
          <w:sz w:val="10"/>
          <w:szCs w:val="10"/>
        </w:rPr>
      </w:pPr>
    </w:p>
    <w:p w14:paraId="24BE9203" w14:textId="77777777" w:rsidR="003C06E2" w:rsidRPr="00415512" w:rsidRDefault="003C06E2" w:rsidP="00415512">
      <w:pPr>
        <w:widowControl w:val="0"/>
        <w:tabs>
          <w:tab w:val="left" w:pos="0"/>
        </w:tabs>
        <w:autoSpaceDE w:val="0"/>
        <w:autoSpaceDN w:val="0"/>
        <w:adjustRightInd w:val="0"/>
        <w:ind w:right="20"/>
        <w:jc w:val="both"/>
        <w:rPr>
          <w:rFonts w:ascii="Arial" w:hAnsi="Arial" w:cs="Arial"/>
          <w:bCs/>
          <w:sz w:val="16"/>
          <w:szCs w:val="16"/>
        </w:rPr>
      </w:pPr>
      <w:r w:rsidRPr="00415512">
        <w:rPr>
          <w:rFonts w:ascii="Arial" w:hAnsi="Arial" w:cs="Arial"/>
          <w:bCs/>
          <w:sz w:val="16"/>
          <w:szCs w:val="16"/>
        </w:rPr>
        <w:t>3.4.9.4.1.</w:t>
      </w:r>
      <w:r w:rsidRPr="00415512">
        <w:rPr>
          <w:bCs/>
        </w:rPr>
        <w:t xml:space="preserve"> </w:t>
      </w:r>
      <w:r w:rsidRPr="00415512">
        <w:rPr>
          <w:rFonts w:ascii="Arial" w:hAnsi="Arial" w:cs="Arial"/>
          <w:bCs/>
          <w:sz w:val="16"/>
          <w:szCs w:val="16"/>
        </w:rPr>
        <w:t>Con el fin de completar la información en los escenarios en los que se proyecten que al consumidor financiero le faltan menos de 10 años de cotización para la pensión, la herramienta debe solicitar como datos de entrada adicionales en los períodos faltantes como mínimo lo siguiente: el salario base cotización, desde la fecha expresada en día, mes y año y hasta la fecha expresada en día, mes y año.</w:t>
      </w:r>
    </w:p>
    <w:p w14:paraId="3DF454D5" w14:textId="77777777" w:rsidR="003C06E2" w:rsidRPr="00415512" w:rsidRDefault="003C06E2" w:rsidP="00415512">
      <w:pPr>
        <w:widowControl w:val="0"/>
        <w:tabs>
          <w:tab w:val="left" w:pos="0"/>
        </w:tabs>
        <w:autoSpaceDE w:val="0"/>
        <w:autoSpaceDN w:val="0"/>
        <w:adjustRightInd w:val="0"/>
        <w:ind w:right="20"/>
        <w:jc w:val="both"/>
        <w:rPr>
          <w:rFonts w:ascii="Arial" w:hAnsi="Arial" w:cs="Arial"/>
          <w:bCs/>
          <w:sz w:val="16"/>
          <w:szCs w:val="16"/>
        </w:rPr>
      </w:pPr>
    </w:p>
    <w:p w14:paraId="61673DC1" w14:textId="77777777" w:rsidR="003C06E2" w:rsidRPr="00926C7A" w:rsidRDefault="003C06E2" w:rsidP="003C06E2">
      <w:pPr>
        <w:widowControl w:val="0"/>
        <w:autoSpaceDE w:val="0"/>
        <w:autoSpaceDN w:val="0"/>
        <w:adjustRightInd w:val="0"/>
        <w:jc w:val="both"/>
        <w:rPr>
          <w:rFonts w:ascii="Arial" w:hAnsi="Arial" w:cs="Arial"/>
          <w:sz w:val="16"/>
          <w:szCs w:val="16"/>
        </w:rPr>
      </w:pPr>
      <w:r>
        <w:rPr>
          <w:rFonts w:ascii="Arial" w:hAnsi="Arial" w:cs="Arial"/>
          <w:sz w:val="16"/>
          <w:szCs w:val="16"/>
        </w:rPr>
        <w:t xml:space="preserve">3.4.9.5. </w:t>
      </w:r>
      <w:r w:rsidRPr="00926C7A">
        <w:rPr>
          <w:rFonts w:ascii="Arial" w:hAnsi="Arial" w:cs="Arial"/>
          <w:sz w:val="16"/>
          <w:szCs w:val="16"/>
        </w:rPr>
        <w:t>Evaluación previa de las herramientas financieras</w:t>
      </w:r>
    </w:p>
    <w:p w14:paraId="50B8EECD" w14:textId="77777777" w:rsidR="003C06E2" w:rsidRPr="00C41D4A" w:rsidRDefault="003C06E2" w:rsidP="003C06E2">
      <w:pPr>
        <w:widowControl w:val="0"/>
        <w:autoSpaceDE w:val="0"/>
        <w:autoSpaceDN w:val="0"/>
        <w:adjustRightInd w:val="0"/>
        <w:jc w:val="both"/>
        <w:rPr>
          <w:rFonts w:ascii="Arial" w:hAnsi="Arial" w:cs="Arial"/>
          <w:b/>
          <w:sz w:val="10"/>
          <w:szCs w:val="10"/>
        </w:rPr>
      </w:pPr>
    </w:p>
    <w:p w14:paraId="61AE1892" w14:textId="77777777" w:rsidR="003C06E2" w:rsidRPr="003972DC" w:rsidRDefault="003C06E2" w:rsidP="003C06E2">
      <w:pPr>
        <w:widowControl w:val="0"/>
        <w:autoSpaceDE w:val="0"/>
        <w:autoSpaceDN w:val="0"/>
        <w:adjustRightInd w:val="0"/>
        <w:jc w:val="both"/>
        <w:rPr>
          <w:rFonts w:ascii="Arial" w:hAnsi="Arial" w:cs="Arial"/>
          <w:sz w:val="16"/>
          <w:szCs w:val="16"/>
        </w:rPr>
      </w:pPr>
      <w:r w:rsidRPr="003972DC">
        <w:rPr>
          <w:rFonts w:ascii="Arial" w:hAnsi="Arial" w:cs="Arial"/>
          <w:sz w:val="16"/>
          <w:szCs w:val="16"/>
        </w:rPr>
        <w:t xml:space="preserve">Con el fin de evaluar las herramientas financieras en cuestión y en todo caso antes de ponerlas a disposición de los consumidores financieros, las entidades deben permitir el acceso a la </w:t>
      </w:r>
      <w:r>
        <w:rPr>
          <w:rFonts w:ascii="Arial" w:hAnsi="Arial" w:cs="Arial"/>
          <w:sz w:val="16"/>
          <w:szCs w:val="16"/>
        </w:rPr>
        <w:t>SFC</w:t>
      </w:r>
      <w:r w:rsidRPr="003972DC">
        <w:rPr>
          <w:rFonts w:ascii="Arial" w:hAnsi="Arial" w:cs="Arial"/>
          <w:sz w:val="16"/>
          <w:szCs w:val="16"/>
        </w:rPr>
        <w:t xml:space="preserve"> a un sitio de prueba en su página de internet para efectos de determinar la no objeción a la misma.</w:t>
      </w:r>
    </w:p>
    <w:p w14:paraId="6EF17AAB" w14:textId="77777777" w:rsidR="003C06E2" w:rsidRPr="003972DC" w:rsidRDefault="003C06E2" w:rsidP="003C06E2">
      <w:pPr>
        <w:widowControl w:val="0"/>
        <w:autoSpaceDE w:val="0"/>
        <w:autoSpaceDN w:val="0"/>
        <w:adjustRightInd w:val="0"/>
        <w:jc w:val="both"/>
        <w:rPr>
          <w:rFonts w:ascii="Arial" w:hAnsi="Arial" w:cs="Arial"/>
          <w:sz w:val="16"/>
          <w:szCs w:val="16"/>
        </w:rPr>
      </w:pPr>
    </w:p>
    <w:p w14:paraId="40FBE5F6" w14:textId="77777777" w:rsidR="003C06E2" w:rsidRPr="001F392D" w:rsidRDefault="003C06E2" w:rsidP="003C06E2">
      <w:pPr>
        <w:jc w:val="both"/>
        <w:rPr>
          <w:rFonts w:ascii="Arial" w:hAnsi="Arial" w:cs="Arial"/>
          <w:b/>
          <w:sz w:val="16"/>
          <w:szCs w:val="16"/>
        </w:rPr>
      </w:pPr>
      <w:r w:rsidRPr="003972DC">
        <w:rPr>
          <w:rFonts w:ascii="Arial" w:hAnsi="Arial" w:cs="Arial"/>
          <w:sz w:val="16"/>
          <w:szCs w:val="16"/>
        </w:rPr>
        <w:t xml:space="preserve">Para este propósito la disponibilidad del sitio de internet deberá ser informada por el </w:t>
      </w:r>
      <w:r>
        <w:rPr>
          <w:rFonts w:ascii="Arial" w:hAnsi="Arial" w:cs="Arial"/>
          <w:sz w:val="16"/>
          <w:szCs w:val="16"/>
        </w:rPr>
        <w:t>r</w:t>
      </w:r>
      <w:r w:rsidRPr="003972DC">
        <w:rPr>
          <w:rFonts w:ascii="Arial" w:hAnsi="Arial" w:cs="Arial"/>
          <w:sz w:val="16"/>
          <w:szCs w:val="16"/>
        </w:rPr>
        <w:t xml:space="preserve">epresentante </w:t>
      </w:r>
      <w:r>
        <w:rPr>
          <w:rFonts w:ascii="Arial" w:hAnsi="Arial" w:cs="Arial"/>
          <w:sz w:val="16"/>
          <w:szCs w:val="16"/>
        </w:rPr>
        <w:t>l</w:t>
      </w:r>
      <w:r w:rsidRPr="003972DC">
        <w:rPr>
          <w:rFonts w:ascii="Arial" w:hAnsi="Arial" w:cs="Arial"/>
          <w:sz w:val="16"/>
          <w:szCs w:val="16"/>
        </w:rPr>
        <w:t>egal de la administradora mediante comunicación dirigida a la Delegatura de Pensiones, Cesantías y Fiduciarias</w:t>
      </w:r>
      <w:r>
        <w:rPr>
          <w:rFonts w:ascii="Arial" w:hAnsi="Arial" w:cs="Arial"/>
          <w:sz w:val="16"/>
          <w:szCs w:val="16"/>
        </w:rPr>
        <w:t xml:space="preserve"> de la SFC</w:t>
      </w:r>
      <w:r w:rsidRPr="003972DC">
        <w:rPr>
          <w:rFonts w:ascii="Arial" w:hAnsi="Arial" w:cs="Arial"/>
          <w:sz w:val="16"/>
          <w:szCs w:val="16"/>
        </w:rPr>
        <w:t xml:space="preserve">. </w:t>
      </w:r>
    </w:p>
    <w:p w14:paraId="1AB1E151" w14:textId="77777777" w:rsidR="003C06E2" w:rsidRDefault="003C06E2" w:rsidP="003C06E2">
      <w:pPr>
        <w:jc w:val="both"/>
        <w:rPr>
          <w:rFonts w:ascii="Arial" w:hAnsi="Arial" w:cs="Arial"/>
          <w:b/>
          <w:sz w:val="18"/>
          <w:szCs w:val="18"/>
        </w:rPr>
      </w:pPr>
    </w:p>
    <w:p w14:paraId="351D96D3" w14:textId="77777777" w:rsidR="003C06E2" w:rsidRPr="008538B3" w:rsidRDefault="003C06E2" w:rsidP="003C06E2">
      <w:pPr>
        <w:jc w:val="both"/>
        <w:rPr>
          <w:rFonts w:ascii="Arial" w:hAnsi="Arial" w:cs="Arial"/>
          <w:sz w:val="16"/>
          <w:szCs w:val="16"/>
        </w:rPr>
      </w:pPr>
      <w:r w:rsidRPr="008538B3">
        <w:rPr>
          <w:rFonts w:ascii="Arial" w:hAnsi="Arial" w:cs="Arial"/>
          <w:sz w:val="16"/>
          <w:szCs w:val="16"/>
        </w:rPr>
        <w:t>3.4.</w:t>
      </w:r>
      <w:r>
        <w:rPr>
          <w:rFonts w:ascii="Arial" w:hAnsi="Arial" w:cs="Arial"/>
          <w:sz w:val="16"/>
          <w:szCs w:val="16"/>
        </w:rPr>
        <w:t>9.6</w:t>
      </w:r>
      <w:r w:rsidRPr="008538B3">
        <w:rPr>
          <w:rFonts w:ascii="Arial" w:hAnsi="Arial" w:cs="Arial"/>
          <w:sz w:val="16"/>
          <w:szCs w:val="16"/>
        </w:rPr>
        <w:t>. Publicación de rentabilidades, comisión de administración y seguros previsionales AFP y AFPC</w:t>
      </w:r>
    </w:p>
    <w:p w14:paraId="4B2FF18C" w14:textId="77777777" w:rsidR="003C06E2" w:rsidRPr="00A23D1D" w:rsidRDefault="003C06E2" w:rsidP="003C06E2">
      <w:pPr>
        <w:jc w:val="both"/>
        <w:rPr>
          <w:rFonts w:ascii="Arial" w:hAnsi="Arial" w:cs="Arial"/>
          <w:sz w:val="16"/>
          <w:szCs w:val="16"/>
        </w:rPr>
      </w:pPr>
    </w:p>
    <w:p w14:paraId="095259FC" w14:textId="77777777" w:rsidR="003C06E2" w:rsidRPr="00A23D1D" w:rsidRDefault="003C06E2" w:rsidP="003C06E2">
      <w:pPr>
        <w:jc w:val="both"/>
        <w:rPr>
          <w:rFonts w:ascii="Arial" w:hAnsi="Arial" w:cs="Arial"/>
          <w:sz w:val="16"/>
          <w:szCs w:val="16"/>
        </w:rPr>
      </w:pPr>
      <w:r w:rsidRPr="00A23D1D">
        <w:rPr>
          <w:rFonts w:ascii="Arial" w:hAnsi="Arial" w:cs="Arial"/>
          <w:sz w:val="16"/>
          <w:szCs w:val="16"/>
        </w:rPr>
        <w:t>Con el propósito de contribuir a una mayor transparencia, las sociedades administradoras de los tipos de fondos de pensiones establecidos en el esquema de multifondos y/o de los portafolios de cesantías deben suministrar a sus afiliados la información necesaria que les permita comparar las distintas opciones del mercado y se sujetarán a las siguientes disposiciones:</w:t>
      </w:r>
    </w:p>
    <w:p w14:paraId="3752CF05" w14:textId="77777777" w:rsidR="003C06E2" w:rsidRPr="00A23D1D" w:rsidRDefault="003C06E2" w:rsidP="003C06E2">
      <w:pPr>
        <w:jc w:val="both"/>
        <w:rPr>
          <w:rFonts w:ascii="Arial" w:hAnsi="Arial" w:cs="Arial"/>
          <w:sz w:val="16"/>
          <w:szCs w:val="16"/>
        </w:rPr>
      </w:pPr>
    </w:p>
    <w:p w14:paraId="7EDCCEAD" w14:textId="77777777" w:rsidR="003C06E2" w:rsidRPr="00A23D1D" w:rsidRDefault="003C06E2" w:rsidP="003C06E2">
      <w:pPr>
        <w:jc w:val="both"/>
        <w:rPr>
          <w:rFonts w:ascii="Arial" w:hAnsi="Arial" w:cs="Arial"/>
          <w:sz w:val="16"/>
          <w:szCs w:val="16"/>
        </w:rPr>
      </w:pPr>
      <w:r w:rsidRPr="00A23D1D">
        <w:rPr>
          <w:rFonts w:ascii="Arial" w:hAnsi="Arial" w:cs="Arial"/>
          <w:sz w:val="16"/>
          <w:szCs w:val="16"/>
        </w:rPr>
        <w:t>Las sociedades administradoras de los tipos de fondos de pensiones deben mantener publicada en una cartelera o tablero situado en los lugares de atención al público, en caracteres destacados, de tal manera que atraiga su atención y resulte fácilmente legible, presentando la última tabla de rentabilidades acumuladas de los tipos de fondos y rentabilidad mínima elaborada por esta Superintendencia, en la cual se señale el período objeto de cálculo, los porcentajes de seguros previsionales y las comisiones autorizadas a las administradoras, dentro de los 3 días hábiles siguientes a la divulgación que de la misma haga esta Entidad.</w:t>
      </w:r>
    </w:p>
    <w:p w14:paraId="77F1B735" w14:textId="77777777" w:rsidR="003C06E2" w:rsidRPr="00A23D1D" w:rsidRDefault="003C06E2" w:rsidP="003C06E2">
      <w:pPr>
        <w:jc w:val="both"/>
        <w:rPr>
          <w:rFonts w:ascii="Arial" w:hAnsi="Arial" w:cs="Arial"/>
          <w:sz w:val="16"/>
          <w:szCs w:val="16"/>
        </w:rPr>
      </w:pPr>
    </w:p>
    <w:p w14:paraId="0F0E6FE8" w14:textId="77777777" w:rsidR="003C06E2" w:rsidRPr="00A23D1D" w:rsidRDefault="003C06E2" w:rsidP="003C06E2">
      <w:pPr>
        <w:jc w:val="both"/>
        <w:rPr>
          <w:rFonts w:ascii="Arial" w:hAnsi="Arial" w:cs="Arial"/>
          <w:sz w:val="16"/>
          <w:szCs w:val="16"/>
        </w:rPr>
      </w:pPr>
      <w:r w:rsidRPr="00A23D1D">
        <w:rPr>
          <w:rFonts w:ascii="Arial" w:hAnsi="Arial" w:cs="Arial"/>
          <w:sz w:val="16"/>
          <w:szCs w:val="16"/>
        </w:rPr>
        <w:t>Igual obligación tendrán las sociedades administradoras de los portafolios de los fondos de cesantías, en lo referente a sus rentabilidades, rentabilidad mínima, comisión de administración y comisión por retiros parciales.</w:t>
      </w:r>
    </w:p>
    <w:p w14:paraId="37E7D04D" w14:textId="77777777" w:rsidR="003C06E2" w:rsidRDefault="003C06E2" w:rsidP="003C06E2">
      <w:pPr>
        <w:jc w:val="both"/>
        <w:rPr>
          <w:rFonts w:ascii="Arial" w:hAnsi="Arial" w:cs="Arial"/>
          <w:sz w:val="16"/>
          <w:szCs w:val="16"/>
        </w:rPr>
      </w:pPr>
    </w:p>
    <w:p w14:paraId="532EFC94" w14:textId="77777777" w:rsidR="003C06E2" w:rsidRPr="00776215" w:rsidRDefault="003C06E2" w:rsidP="003C06E2">
      <w:pPr>
        <w:jc w:val="both"/>
        <w:rPr>
          <w:rFonts w:ascii="Arial" w:hAnsi="Arial" w:cs="Arial"/>
          <w:sz w:val="16"/>
          <w:szCs w:val="16"/>
          <w:lang w:val="es-ES" w:eastAsia="es-ES"/>
        </w:rPr>
      </w:pPr>
      <w:r>
        <w:rPr>
          <w:rFonts w:ascii="Arial" w:hAnsi="Arial" w:cs="Arial"/>
          <w:sz w:val="16"/>
          <w:szCs w:val="16"/>
        </w:rPr>
        <w:t xml:space="preserve">3.4.9.7. </w:t>
      </w:r>
      <w:r w:rsidRPr="00776215">
        <w:rPr>
          <w:rFonts w:ascii="Arial" w:hAnsi="Arial" w:cs="Arial"/>
          <w:sz w:val="16"/>
          <w:szCs w:val="16"/>
        </w:rPr>
        <w:t xml:space="preserve">Información a </w:t>
      </w:r>
      <w:r w:rsidRPr="00776215">
        <w:rPr>
          <w:rFonts w:ascii="Arial" w:hAnsi="Arial" w:cs="Arial"/>
          <w:sz w:val="16"/>
          <w:szCs w:val="16"/>
          <w:lang w:val="es-ES" w:eastAsia="es-ES"/>
        </w:rPr>
        <w:t>pensionados de empresas que adelanten procesos de conmutación total de obligaciones pensionales</w:t>
      </w:r>
    </w:p>
    <w:p w14:paraId="4C9C951A" w14:textId="77777777" w:rsidR="003C06E2" w:rsidRPr="007070A0" w:rsidRDefault="003C06E2" w:rsidP="003C06E2">
      <w:pPr>
        <w:jc w:val="both"/>
        <w:rPr>
          <w:rFonts w:ascii="Arial" w:hAnsi="Arial" w:cs="Arial"/>
          <w:sz w:val="18"/>
          <w:szCs w:val="18"/>
          <w:lang w:val="es-ES" w:eastAsia="es-ES"/>
        </w:rPr>
      </w:pPr>
    </w:p>
    <w:p w14:paraId="2E10F065" w14:textId="77777777" w:rsidR="003C06E2" w:rsidRPr="00776215" w:rsidRDefault="003C06E2" w:rsidP="003C06E2">
      <w:pPr>
        <w:widowControl w:val="0"/>
        <w:autoSpaceDE w:val="0"/>
        <w:autoSpaceDN w:val="0"/>
        <w:adjustRightInd w:val="0"/>
        <w:jc w:val="both"/>
        <w:rPr>
          <w:rFonts w:ascii="Arial" w:hAnsi="Arial" w:cs="Arial"/>
          <w:sz w:val="16"/>
          <w:szCs w:val="16"/>
          <w:lang w:val="es-ES" w:eastAsia="es-ES"/>
        </w:rPr>
      </w:pPr>
      <w:r w:rsidRPr="00776215">
        <w:rPr>
          <w:rFonts w:ascii="Arial" w:hAnsi="Arial" w:cs="Arial"/>
          <w:sz w:val="16"/>
          <w:szCs w:val="16"/>
          <w:lang w:val="es-ES" w:eastAsia="es-ES"/>
        </w:rPr>
        <w:t>Los empleadores que aún deban adelantar gestiones para la conmutación total de sus obligaciones pensionales, de conformidad con el art. 3 del Decreto 1260 de 2000, deben proveer a sus pensionados por lo menos la siguiente información, a fin de garantizar que los mismos cuenten con los elementos de juicio necesarios para adoptar su decisión.</w:t>
      </w:r>
    </w:p>
    <w:p w14:paraId="5AE32663" w14:textId="77777777" w:rsidR="003C06E2" w:rsidRPr="007070A0" w:rsidRDefault="003C06E2" w:rsidP="003C06E2">
      <w:pPr>
        <w:jc w:val="both"/>
        <w:rPr>
          <w:rFonts w:ascii="Arial" w:hAnsi="Arial" w:cs="Arial"/>
          <w:sz w:val="18"/>
          <w:szCs w:val="18"/>
          <w:lang w:val="es-ES" w:eastAsia="es-ES"/>
        </w:rPr>
      </w:pPr>
    </w:p>
    <w:p w14:paraId="574479AF" w14:textId="77777777" w:rsidR="003C06E2" w:rsidRPr="00776215" w:rsidRDefault="003C06E2" w:rsidP="003C06E2">
      <w:pPr>
        <w:jc w:val="both"/>
        <w:rPr>
          <w:rFonts w:ascii="Arial" w:hAnsi="Arial" w:cs="Arial"/>
          <w:sz w:val="16"/>
          <w:szCs w:val="16"/>
          <w:lang w:val="es-ES" w:eastAsia="es-ES"/>
        </w:rPr>
      </w:pPr>
      <w:r w:rsidRPr="00776215">
        <w:rPr>
          <w:rFonts w:ascii="Arial" w:hAnsi="Arial" w:cs="Arial"/>
          <w:sz w:val="16"/>
          <w:szCs w:val="16"/>
          <w:lang w:val="es-ES" w:eastAsia="es-ES"/>
        </w:rPr>
        <w:t>Independientemente de la modalidad de pensión, se debe dar ilustración adecuada y suficiente sobre las características, costos de administración y los riesgos tanto para el pensionado como para la entidad que asuma el pago de la prestación por la conmutación pensional, bien sea con Colpensiones o una compañía de seguros a través de una renta vitalicia, según sea el caso, y la conmutación a través de un retiro programado con una sociedad administradora de fondos de pensiones y de cesantía.</w:t>
      </w:r>
    </w:p>
    <w:p w14:paraId="78FD009E" w14:textId="77777777" w:rsidR="003C06E2" w:rsidRPr="00776215" w:rsidRDefault="003C06E2" w:rsidP="003C06E2">
      <w:pPr>
        <w:jc w:val="both"/>
        <w:rPr>
          <w:rFonts w:ascii="Arial" w:hAnsi="Arial" w:cs="Arial"/>
          <w:sz w:val="16"/>
          <w:szCs w:val="16"/>
          <w:lang w:val="es-ES" w:eastAsia="es-ES"/>
        </w:rPr>
      </w:pPr>
    </w:p>
    <w:p w14:paraId="1D0DA9A2" w14:textId="77777777" w:rsidR="003C06E2" w:rsidRDefault="003C06E2" w:rsidP="003C06E2">
      <w:pPr>
        <w:widowControl w:val="0"/>
        <w:autoSpaceDE w:val="0"/>
        <w:autoSpaceDN w:val="0"/>
        <w:adjustRightInd w:val="0"/>
        <w:jc w:val="both"/>
        <w:rPr>
          <w:rFonts w:ascii="Arial" w:hAnsi="Arial" w:cs="Arial"/>
          <w:sz w:val="16"/>
          <w:szCs w:val="16"/>
          <w:lang w:val="es-ES" w:eastAsia="es-ES"/>
        </w:rPr>
      </w:pPr>
      <w:r w:rsidRPr="00776215">
        <w:rPr>
          <w:rFonts w:ascii="Arial" w:hAnsi="Arial" w:cs="Arial"/>
          <w:sz w:val="16"/>
          <w:szCs w:val="16"/>
          <w:lang w:val="es-ES" w:eastAsia="es-ES"/>
        </w:rPr>
        <w:t>Adicionalmente, explicar qu</w:t>
      </w:r>
      <w:r>
        <w:rPr>
          <w:rFonts w:ascii="Arial" w:hAnsi="Arial" w:cs="Arial"/>
          <w:sz w:val="16"/>
          <w:szCs w:val="16"/>
          <w:lang w:val="es-ES" w:eastAsia="es-ES"/>
        </w:rPr>
        <w:t>é</w:t>
      </w:r>
      <w:r w:rsidRPr="00776215">
        <w:rPr>
          <w:rFonts w:ascii="Arial" w:hAnsi="Arial" w:cs="Arial"/>
          <w:sz w:val="16"/>
          <w:szCs w:val="16"/>
          <w:lang w:val="es-ES" w:eastAsia="es-ES"/>
        </w:rPr>
        <w:t xml:space="preserve"> sucede con los recursos en caso de fallecimiento del pensionado lo que sucede con los recursos. Así mismo debe informar</w:t>
      </w:r>
      <w:r>
        <w:rPr>
          <w:rFonts w:ascii="Arial" w:hAnsi="Arial" w:cs="Arial"/>
          <w:sz w:val="16"/>
          <w:szCs w:val="16"/>
          <w:lang w:val="es-ES" w:eastAsia="es-ES"/>
        </w:rPr>
        <w:t>se</w:t>
      </w:r>
      <w:r w:rsidRPr="00776215">
        <w:rPr>
          <w:rFonts w:ascii="Arial" w:hAnsi="Arial" w:cs="Arial"/>
          <w:sz w:val="16"/>
          <w:szCs w:val="16"/>
          <w:lang w:val="es-ES" w:eastAsia="es-ES"/>
        </w:rPr>
        <w:t xml:space="preserve"> a cada pensionado el valor aproximado de su cálculo actuarial, con el fin de que pueda obtener información sobre el posible monto de la mesada pensional durante el primer año.</w:t>
      </w:r>
    </w:p>
    <w:p w14:paraId="3031659F" w14:textId="77777777" w:rsidR="003C06E2" w:rsidRDefault="003C06E2" w:rsidP="003C06E2">
      <w:pPr>
        <w:widowControl w:val="0"/>
        <w:autoSpaceDE w:val="0"/>
        <w:autoSpaceDN w:val="0"/>
        <w:adjustRightInd w:val="0"/>
        <w:jc w:val="both"/>
        <w:rPr>
          <w:rFonts w:ascii="Arial" w:hAnsi="Arial" w:cs="Arial"/>
          <w:sz w:val="16"/>
          <w:szCs w:val="16"/>
          <w:lang w:val="es-ES" w:eastAsia="es-ES"/>
        </w:rPr>
      </w:pPr>
    </w:p>
    <w:p w14:paraId="72146052" w14:textId="77777777" w:rsidR="003C06E2" w:rsidRDefault="003C06E2" w:rsidP="003C06E2">
      <w:pPr>
        <w:pStyle w:val="Textocomentario"/>
        <w:jc w:val="both"/>
        <w:rPr>
          <w:rFonts w:ascii="Arial" w:hAnsi="Arial" w:cs="Arial"/>
          <w:sz w:val="16"/>
          <w:szCs w:val="16"/>
          <w:lang w:val="es-ES" w:eastAsia="es-ES"/>
        </w:rPr>
      </w:pPr>
      <w:r>
        <w:rPr>
          <w:rFonts w:ascii="Arial" w:hAnsi="Arial" w:cs="Arial"/>
          <w:sz w:val="16"/>
          <w:szCs w:val="16"/>
          <w:lang w:val="es-ES" w:eastAsia="es-ES"/>
        </w:rPr>
        <w:t>3.4.9.8. Información a operadores de libranza</w:t>
      </w:r>
    </w:p>
    <w:p w14:paraId="12C028A5" w14:textId="77777777" w:rsidR="003C06E2" w:rsidRDefault="003C06E2" w:rsidP="003C06E2">
      <w:pPr>
        <w:pStyle w:val="Textocomentario"/>
        <w:jc w:val="both"/>
        <w:rPr>
          <w:rFonts w:ascii="Arial" w:hAnsi="Arial" w:cs="Arial"/>
          <w:sz w:val="16"/>
          <w:szCs w:val="16"/>
          <w:lang w:val="es-ES" w:eastAsia="es-ES"/>
        </w:rPr>
      </w:pPr>
    </w:p>
    <w:p w14:paraId="70E40958" w14:textId="77777777" w:rsidR="003C06E2" w:rsidRDefault="003C06E2" w:rsidP="003C06E2">
      <w:pPr>
        <w:pStyle w:val="Textocomentario"/>
        <w:jc w:val="both"/>
        <w:rPr>
          <w:rFonts w:ascii="Arial" w:hAnsi="Arial" w:cs="Arial"/>
          <w:sz w:val="16"/>
          <w:szCs w:val="16"/>
          <w:lang w:val="es-ES" w:eastAsia="es-ES"/>
        </w:rPr>
      </w:pPr>
      <w:r>
        <w:rPr>
          <w:rFonts w:ascii="Arial" w:hAnsi="Arial" w:cs="Arial"/>
          <w:sz w:val="16"/>
          <w:szCs w:val="16"/>
          <w:lang w:val="es-ES" w:eastAsia="es-ES"/>
        </w:rPr>
        <w:t>L</w:t>
      </w:r>
      <w:r w:rsidRPr="00443112">
        <w:rPr>
          <w:rFonts w:ascii="Arial" w:hAnsi="Arial" w:cs="Arial"/>
          <w:sz w:val="16"/>
          <w:szCs w:val="16"/>
          <w:lang w:val="es-ES" w:eastAsia="es-ES"/>
        </w:rPr>
        <w:t>as</w:t>
      </w:r>
      <w:r>
        <w:rPr>
          <w:rFonts w:ascii="Arial" w:hAnsi="Arial" w:cs="Arial"/>
          <w:sz w:val="16"/>
          <w:szCs w:val="16"/>
          <w:lang w:val="es-ES" w:eastAsia="es-ES"/>
        </w:rPr>
        <w:t xml:space="preserve"> administradoras del SGP deben suministrar</w:t>
      </w:r>
      <w:r w:rsidRPr="00443112">
        <w:rPr>
          <w:rFonts w:ascii="Arial" w:hAnsi="Arial" w:cs="Arial"/>
          <w:sz w:val="16"/>
          <w:szCs w:val="16"/>
          <w:lang w:val="es-ES" w:eastAsia="es-ES"/>
        </w:rPr>
        <w:t xml:space="preserve"> </w:t>
      </w:r>
      <w:r>
        <w:rPr>
          <w:rFonts w:ascii="Arial" w:hAnsi="Arial" w:cs="Arial"/>
          <w:sz w:val="16"/>
          <w:szCs w:val="16"/>
          <w:lang w:val="es-ES" w:eastAsia="es-ES"/>
        </w:rPr>
        <w:t>l</w:t>
      </w:r>
      <w:r w:rsidRPr="00443112">
        <w:rPr>
          <w:rFonts w:ascii="Arial" w:hAnsi="Arial" w:cs="Arial"/>
          <w:sz w:val="16"/>
          <w:szCs w:val="16"/>
          <w:lang w:val="es-ES" w:eastAsia="es-ES"/>
        </w:rPr>
        <w:t>a información de sus usuarios</w:t>
      </w:r>
      <w:r>
        <w:rPr>
          <w:rFonts w:ascii="Arial" w:hAnsi="Arial" w:cs="Arial"/>
          <w:sz w:val="16"/>
          <w:szCs w:val="16"/>
          <w:lang w:val="es-ES" w:eastAsia="es-ES"/>
        </w:rPr>
        <w:t xml:space="preserve">, </w:t>
      </w:r>
      <w:r w:rsidRPr="00443112">
        <w:rPr>
          <w:rFonts w:ascii="Arial" w:hAnsi="Arial" w:cs="Arial"/>
          <w:sz w:val="16"/>
          <w:szCs w:val="16"/>
          <w:lang w:val="es-ES" w:eastAsia="es-ES"/>
        </w:rPr>
        <w:t xml:space="preserve">con el </w:t>
      </w:r>
      <w:r>
        <w:rPr>
          <w:rFonts w:ascii="Arial" w:hAnsi="Arial" w:cs="Arial"/>
          <w:sz w:val="16"/>
          <w:szCs w:val="16"/>
          <w:lang w:val="es-ES" w:eastAsia="es-ES"/>
        </w:rPr>
        <w:t xml:space="preserve">exclusivo </w:t>
      </w:r>
      <w:r w:rsidRPr="00443112">
        <w:rPr>
          <w:rFonts w:ascii="Arial" w:hAnsi="Arial" w:cs="Arial"/>
          <w:sz w:val="16"/>
          <w:szCs w:val="16"/>
          <w:lang w:val="es-ES" w:eastAsia="es-ES"/>
        </w:rPr>
        <w:t>propósito de establecer la localización de beneficiarios y empleadores o entidades pagadoras</w:t>
      </w:r>
      <w:r>
        <w:rPr>
          <w:rFonts w:ascii="Arial" w:hAnsi="Arial" w:cs="Arial"/>
          <w:sz w:val="16"/>
          <w:szCs w:val="16"/>
          <w:lang w:val="es-ES" w:eastAsia="es-ES"/>
        </w:rPr>
        <w:t xml:space="preserve">, a solicitud de </w:t>
      </w:r>
      <w:r w:rsidRPr="00443112">
        <w:rPr>
          <w:rFonts w:ascii="Arial" w:hAnsi="Arial" w:cs="Arial"/>
          <w:sz w:val="16"/>
          <w:szCs w:val="16"/>
          <w:lang w:val="es-ES" w:eastAsia="es-ES"/>
        </w:rPr>
        <w:t>las entidades operadoras de libranza</w:t>
      </w:r>
      <w:r>
        <w:rPr>
          <w:rFonts w:ascii="Arial" w:hAnsi="Arial" w:cs="Arial"/>
          <w:sz w:val="16"/>
          <w:szCs w:val="16"/>
          <w:lang w:val="es-ES" w:eastAsia="es-ES"/>
        </w:rPr>
        <w:t>s</w:t>
      </w:r>
      <w:r w:rsidRPr="00443112">
        <w:rPr>
          <w:rFonts w:ascii="Arial" w:hAnsi="Arial" w:cs="Arial"/>
          <w:sz w:val="16"/>
          <w:szCs w:val="16"/>
          <w:lang w:val="es-ES" w:eastAsia="es-ES"/>
        </w:rPr>
        <w:t xml:space="preserve"> que para el efecto autorice o administre el Ministerio de la Protección Social</w:t>
      </w:r>
      <w:r>
        <w:rPr>
          <w:rFonts w:ascii="Arial" w:hAnsi="Arial" w:cs="Arial"/>
          <w:sz w:val="16"/>
          <w:szCs w:val="16"/>
          <w:lang w:val="es-ES" w:eastAsia="es-ES"/>
        </w:rPr>
        <w:t>, de conformidad con el</w:t>
      </w:r>
      <w:r w:rsidRPr="00443112">
        <w:rPr>
          <w:rFonts w:ascii="Arial" w:hAnsi="Arial" w:cs="Arial"/>
          <w:sz w:val="16"/>
          <w:szCs w:val="16"/>
          <w:lang w:val="es-ES" w:eastAsia="es-ES"/>
        </w:rPr>
        <w:t>.</w:t>
      </w:r>
      <w:r>
        <w:rPr>
          <w:rFonts w:ascii="Arial" w:hAnsi="Arial" w:cs="Arial"/>
          <w:sz w:val="16"/>
          <w:szCs w:val="16"/>
          <w:lang w:val="es-ES" w:eastAsia="es-ES"/>
        </w:rPr>
        <w:t xml:space="preserve"> art. 8 de la Ley 1527 de 2012.</w:t>
      </w:r>
    </w:p>
    <w:p w14:paraId="77477924" w14:textId="77777777" w:rsidR="003C06E2" w:rsidRDefault="003C06E2" w:rsidP="003C06E2">
      <w:pPr>
        <w:pStyle w:val="Textocomentario"/>
        <w:jc w:val="both"/>
        <w:rPr>
          <w:rFonts w:ascii="Arial" w:hAnsi="Arial" w:cs="Arial"/>
          <w:sz w:val="16"/>
          <w:szCs w:val="16"/>
          <w:lang w:val="es-ES" w:eastAsia="es-ES"/>
        </w:rPr>
      </w:pPr>
    </w:p>
    <w:p w14:paraId="0BFF43CE" w14:textId="54032597" w:rsidR="004269D4" w:rsidRPr="00415512" w:rsidRDefault="00FD59FB" w:rsidP="004269D4">
      <w:pPr>
        <w:pStyle w:val="Textocomentario"/>
        <w:jc w:val="both"/>
        <w:rPr>
          <w:rFonts w:ascii="Arial" w:hAnsi="Arial" w:cs="Arial"/>
          <w:b/>
          <w:bCs/>
          <w:sz w:val="16"/>
          <w:szCs w:val="16"/>
          <w:lang w:val="es-ES" w:eastAsia="es-ES"/>
        </w:rPr>
      </w:pPr>
      <w:r>
        <w:rPr>
          <w:rFonts w:ascii="Arial" w:hAnsi="Arial" w:cs="Arial"/>
          <w:b/>
          <w:bCs/>
          <w:noProof/>
          <w:sz w:val="16"/>
          <w:szCs w:val="16"/>
          <w:lang w:val="es-ES" w:eastAsia="es-ES"/>
        </w:rPr>
        <mc:AlternateContent>
          <mc:Choice Requires="wps">
            <w:drawing>
              <wp:anchor distT="0" distB="0" distL="114300" distR="114300" simplePos="0" relativeHeight="251656704" behindDoc="0" locked="0" layoutInCell="1" allowOverlap="1" wp14:anchorId="03CCAFC3" wp14:editId="594C025A">
                <wp:simplePos x="0" y="0"/>
                <wp:positionH relativeFrom="column">
                  <wp:posOffset>-59055</wp:posOffset>
                </wp:positionH>
                <wp:positionV relativeFrom="paragraph">
                  <wp:posOffset>40640</wp:posOffset>
                </wp:positionV>
                <wp:extent cx="0" cy="2569210"/>
                <wp:effectExtent l="11430" t="10795" r="7620" b="1079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6921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455341" id="_x0000_t32" coordsize="21600,21600" o:spt="32" o:oned="t" path="m,l21600,21600e" filled="f">
                <v:path arrowok="t" fillok="f" o:connecttype="none"/>
                <o:lock v:ext="edit" shapetype="t"/>
              </v:shapetype>
              <v:shape id="AutoShape 6" o:spid="_x0000_s1026" type="#_x0000_t32" style="position:absolute;margin-left:-4.65pt;margin-top:3.2pt;width:0;height:202.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" strokeweight=".25pt"/>
            </w:pict>
          </mc:Fallback>
        </mc:AlternateContent>
      </w:r>
      <w:r w:rsidR="004269D4" w:rsidRPr="00415512">
        <w:rPr>
          <w:rFonts w:ascii="Arial" w:hAnsi="Arial" w:cs="Arial"/>
          <w:b/>
          <w:bCs/>
          <w:sz w:val="16"/>
          <w:szCs w:val="16"/>
          <w:lang w:val="es-ES" w:eastAsia="es-ES"/>
        </w:rPr>
        <w:t xml:space="preserve">3.4.10 Entidades Administradoras de Sistemas de Pago de Bajo Valor (EASPBV) </w:t>
      </w:r>
    </w:p>
    <w:p w14:paraId="5AD8F4B3" w14:textId="77777777" w:rsidR="004269D4" w:rsidRPr="00415512" w:rsidRDefault="004269D4" w:rsidP="004269D4">
      <w:pPr>
        <w:pStyle w:val="Textocomentario"/>
        <w:jc w:val="both"/>
        <w:rPr>
          <w:rFonts w:ascii="Arial" w:hAnsi="Arial" w:cs="Arial"/>
          <w:b/>
          <w:bCs/>
          <w:sz w:val="16"/>
          <w:szCs w:val="16"/>
          <w:lang w:val="es-ES" w:eastAsia="es-ES"/>
        </w:rPr>
      </w:pPr>
    </w:p>
    <w:p w14:paraId="50306013" w14:textId="77777777" w:rsidR="004269D4" w:rsidRPr="00415512" w:rsidRDefault="004269D4" w:rsidP="004269D4">
      <w:pPr>
        <w:pStyle w:val="Textocomentario"/>
        <w:jc w:val="both"/>
        <w:rPr>
          <w:rFonts w:ascii="Arial" w:hAnsi="Arial" w:cs="Arial"/>
          <w:b/>
          <w:bCs/>
          <w:sz w:val="16"/>
          <w:szCs w:val="16"/>
          <w:lang w:val="es-ES" w:eastAsia="es-ES"/>
        </w:rPr>
      </w:pPr>
      <w:r w:rsidRPr="00415512">
        <w:rPr>
          <w:rFonts w:ascii="Arial" w:hAnsi="Arial" w:cs="Arial"/>
          <w:b/>
          <w:bCs/>
          <w:sz w:val="16"/>
          <w:szCs w:val="16"/>
          <w:lang w:val="es-ES" w:eastAsia="es-ES"/>
        </w:rPr>
        <w:t>Las EASPBV que</w:t>
      </w:r>
      <w:r w:rsidR="00FE1EEB">
        <w:rPr>
          <w:rFonts w:ascii="Arial" w:hAnsi="Arial" w:cs="Arial"/>
          <w:b/>
          <w:bCs/>
          <w:sz w:val="16"/>
          <w:szCs w:val="16"/>
          <w:lang w:val="es-ES" w:eastAsia="es-ES"/>
        </w:rPr>
        <w:t>,</w:t>
      </w:r>
      <w:r w:rsidRPr="00415512">
        <w:rPr>
          <w:rFonts w:ascii="Arial" w:hAnsi="Arial" w:cs="Arial"/>
          <w:b/>
          <w:bCs/>
          <w:sz w:val="16"/>
          <w:szCs w:val="16"/>
          <w:lang w:val="es-ES" w:eastAsia="es-ES"/>
        </w:rPr>
        <w:t xml:space="preserve"> de conformidad con lo previsto en el art. 2.17.2.1.14 del Decreto 2555 de 2010</w:t>
      </w:r>
      <w:r w:rsidR="00FC07B4">
        <w:rPr>
          <w:rFonts w:ascii="Arial" w:hAnsi="Arial" w:cs="Arial"/>
          <w:b/>
          <w:bCs/>
          <w:sz w:val="16"/>
          <w:szCs w:val="16"/>
          <w:lang w:val="es-ES" w:eastAsia="es-ES"/>
        </w:rPr>
        <w:t xml:space="preserve">, </w:t>
      </w:r>
      <w:r w:rsidRPr="00415512">
        <w:rPr>
          <w:rFonts w:ascii="Arial" w:hAnsi="Arial" w:cs="Arial"/>
          <w:b/>
          <w:bCs/>
          <w:sz w:val="16"/>
          <w:szCs w:val="16"/>
          <w:lang w:val="es-ES" w:eastAsia="es-ES"/>
        </w:rPr>
        <w:t>actúen como proveedores de servicios de pago de adquirentes y entidades emisoras, deben indicar al consumidor financiero para el cual prestan sus servicios y productos, a través de un medio verificable, como mínimo, la siguiente información:</w:t>
      </w:r>
    </w:p>
    <w:p w14:paraId="6AE2AC11" w14:textId="77777777" w:rsidR="004269D4" w:rsidRPr="00415512" w:rsidRDefault="004269D4" w:rsidP="004269D4">
      <w:pPr>
        <w:pStyle w:val="Textocomentario"/>
        <w:jc w:val="both"/>
        <w:rPr>
          <w:rFonts w:ascii="Arial" w:hAnsi="Arial" w:cs="Arial"/>
          <w:b/>
          <w:bCs/>
          <w:sz w:val="16"/>
          <w:szCs w:val="16"/>
          <w:lang w:val="es-ES" w:eastAsia="es-ES"/>
        </w:rPr>
      </w:pPr>
    </w:p>
    <w:p w14:paraId="14EFE8FC" w14:textId="77777777" w:rsidR="004269D4" w:rsidRPr="00415512" w:rsidRDefault="004269D4" w:rsidP="004269D4">
      <w:pPr>
        <w:pStyle w:val="Textocomentario"/>
        <w:numPr>
          <w:ilvl w:val="0"/>
          <w:numId w:val="25"/>
        </w:numPr>
        <w:jc w:val="both"/>
        <w:rPr>
          <w:rFonts w:ascii="Arial" w:hAnsi="Arial" w:cs="Arial"/>
          <w:b/>
          <w:bCs/>
          <w:sz w:val="16"/>
          <w:szCs w:val="16"/>
          <w:lang w:val="es-ES" w:eastAsia="es-ES"/>
        </w:rPr>
      </w:pPr>
      <w:r w:rsidRPr="00415512">
        <w:rPr>
          <w:rFonts w:ascii="Arial" w:hAnsi="Arial" w:cs="Arial"/>
          <w:b/>
          <w:bCs/>
          <w:sz w:val="16"/>
          <w:szCs w:val="16"/>
          <w:lang w:val="es-ES" w:eastAsia="es-ES"/>
        </w:rPr>
        <w:t>La entidad adquirente o emisora a la cual prestan los servicios.</w:t>
      </w:r>
    </w:p>
    <w:p w14:paraId="52C9D919" w14:textId="77777777" w:rsidR="004269D4" w:rsidRPr="00415512" w:rsidRDefault="004269D4" w:rsidP="004269D4">
      <w:pPr>
        <w:pStyle w:val="Textocomentario"/>
        <w:numPr>
          <w:ilvl w:val="0"/>
          <w:numId w:val="25"/>
        </w:numPr>
        <w:jc w:val="both"/>
        <w:rPr>
          <w:rFonts w:ascii="Arial" w:hAnsi="Arial" w:cs="Arial"/>
          <w:b/>
          <w:bCs/>
          <w:sz w:val="16"/>
          <w:szCs w:val="16"/>
          <w:lang w:val="es-ES" w:eastAsia="es-ES"/>
        </w:rPr>
      </w:pPr>
      <w:r w:rsidRPr="00415512">
        <w:rPr>
          <w:rFonts w:ascii="Arial" w:hAnsi="Arial" w:cs="Arial"/>
          <w:b/>
          <w:bCs/>
          <w:sz w:val="16"/>
          <w:szCs w:val="16"/>
          <w:lang w:val="es-ES" w:eastAsia="es-ES"/>
        </w:rPr>
        <w:t xml:space="preserve">Que la relación contractual que se formaliza es directamente con el adquirente o </w:t>
      </w:r>
      <w:r w:rsidR="00C41D4A">
        <w:rPr>
          <w:rFonts w:ascii="Arial" w:hAnsi="Arial" w:cs="Arial"/>
          <w:b/>
          <w:bCs/>
          <w:sz w:val="16"/>
          <w:szCs w:val="16"/>
          <w:lang w:val="es-ES" w:eastAsia="es-ES"/>
        </w:rPr>
        <w:t xml:space="preserve">la entidad </w:t>
      </w:r>
      <w:r w:rsidRPr="00415512">
        <w:rPr>
          <w:rFonts w:ascii="Arial" w:hAnsi="Arial" w:cs="Arial"/>
          <w:b/>
          <w:bCs/>
          <w:sz w:val="16"/>
          <w:szCs w:val="16"/>
          <w:lang w:val="es-ES" w:eastAsia="es-ES"/>
        </w:rPr>
        <w:t>emisor</w:t>
      </w:r>
      <w:r w:rsidR="00C41D4A">
        <w:rPr>
          <w:rFonts w:ascii="Arial" w:hAnsi="Arial" w:cs="Arial"/>
          <w:b/>
          <w:bCs/>
          <w:sz w:val="16"/>
          <w:szCs w:val="16"/>
          <w:lang w:val="es-ES" w:eastAsia="es-ES"/>
        </w:rPr>
        <w:t>a</w:t>
      </w:r>
      <w:r w:rsidRPr="00415512">
        <w:rPr>
          <w:rFonts w:ascii="Arial" w:hAnsi="Arial" w:cs="Arial"/>
          <w:b/>
          <w:bCs/>
          <w:sz w:val="16"/>
          <w:szCs w:val="16"/>
          <w:lang w:val="es-ES" w:eastAsia="es-ES"/>
        </w:rPr>
        <w:t>, indicando los datos necesarios para su plena identificación.</w:t>
      </w:r>
    </w:p>
    <w:p w14:paraId="249A6DD9" w14:textId="77777777" w:rsidR="004269D4" w:rsidRPr="00415512" w:rsidRDefault="004269D4" w:rsidP="004269D4">
      <w:pPr>
        <w:pStyle w:val="Textocomentario"/>
        <w:numPr>
          <w:ilvl w:val="0"/>
          <w:numId w:val="25"/>
        </w:numPr>
        <w:jc w:val="both"/>
        <w:rPr>
          <w:rFonts w:ascii="Arial" w:hAnsi="Arial" w:cs="Arial"/>
          <w:b/>
          <w:bCs/>
          <w:sz w:val="16"/>
          <w:szCs w:val="16"/>
          <w:lang w:val="es-ES" w:eastAsia="es-ES"/>
        </w:rPr>
      </w:pPr>
      <w:r w:rsidRPr="00415512">
        <w:rPr>
          <w:rFonts w:ascii="Arial" w:hAnsi="Arial" w:cs="Arial"/>
          <w:b/>
          <w:bCs/>
          <w:sz w:val="16"/>
          <w:szCs w:val="16"/>
          <w:lang w:val="es-ES" w:eastAsia="es-ES"/>
        </w:rPr>
        <w:t xml:space="preserve">El alcance de sus actividades y la tarifa que cobran por la prestación de sus productos y servicios. Esta información debe revelarse de manera individual por cada uno de los </w:t>
      </w:r>
      <w:r w:rsidR="00C41D4A">
        <w:rPr>
          <w:rFonts w:ascii="Arial" w:hAnsi="Arial" w:cs="Arial"/>
          <w:b/>
          <w:bCs/>
          <w:sz w:val="16"/>
          <w:szCs w:val="16"/>
          <w:lang w:val="es-ES" w:eastAsia="es-ES"/>
        </w:rPr>
        <w:t xml:space="preserve">productos o </w:t>
      </w:r>
      <w:r w:rsidRPr="00415512">
        <w:rPr>
          <w:rFonts w:ascii="Arial" w:hAnsi="Arial" w:cs="Arial"/>
          <w:b/>
          <w:bCs/>
          <w:sz w:val="16"/>
          <w:szCs w:val="16"/>
          <w:lang w:val="es-ES" w:eastAsia="es-ES"/>
        </w:rPr>
        <w:t>servicios, ser clara, explicita</w:t>
      </w:r>
      <w:r w:rsidR="001423D2">
        <w:rPr>
          <w:rFonts w:ascii="Arial" w:hAnsi="Arial" w:cs="Arial"/>
          <w:b/>
          <w:bCs/>
          <w:sz w:val="16"/>
          <w:szCs w:val="16"/>
          <w:lang w:val="es-ES" w:eastAsia="es-ES"/>
        </w:rPr>
        <w:t xml:space="preserve"> y</w:t>
      </w:r>
      <w:r w:rsidRPr="00415512">
        <w:rPr>
          <w:rFonts w:ascii="Arial" w:hAnsi="Arial" w:cs="Arial"/>
          <w:b/>
          <w:bCs/>
          <w:sz w:val="16"/>
          <w:szCs w:val="16"/>
          <w:lang w:val="es-ES" w:eastAsia="es-ES"/>
        </w:rPr>
        <w:t xml:space="preserve"> con la desagregación de los conceptos que incluye</w:t>
      </w:r>
      <w:r w:rsidR="001423D2">
        <w:rPr>
          <w:rFonts w:ascii="Arial" w:hAnsi="Arial" w:cs="Arial"/>
          <w:b/>
          <w:bCs/>
          <w:sz w:val="16"/>
          <w:szCs w:val="16"/>
          <w:lang w:val="es-ES" w:eastAsia="es-ES"/>
        </w:rPr>
        <w:t>.</w:t>
      </w:r>
    </w:p>
    <w:p w14:paraId="5374E889" w14:textId="77777777" w:rsidR="004269D4" w:rsidRPr="00415512" w:rsidRDefault="004269D4" w:rsidP="004269D4">
      <w:pPr>
        <w:pStyle w:val="Textocomentario"/>
        <w:numPr>
          <w:ilvl w:val="0"/>
          <w:numId w:val="25"/>
        </w:numPr>
        <w:jc w:val="both"/>
        <w:rPr>
          <w:rFonts w:ascii="Arial" w:hAnsi="Arial" w:cs="Arial"/>
          <w:b/>
          <w:bCs/>
          <w:sz w:val="16"/>
          <w:szCs w:val="16"/>
          <w:lang w:val="es-ES" w:eastAsia="es-ES"/>
        </w:rPr>
      </w:pPr>
      <w:r w:rsidRPr="00415512">
        <w:rPr>
          <w:rFonts w:ascii="Arial" w:hAnsi="Arial" w:cs="Arial"/>
          <w:b/>
          <w:bCs/>
          <w:sz w:val="16"/>
          <w:szCs w:val="16"/>
          <w:lang w:val="es-ES" w:eastAsia="es-ES"/>
        </w:rPr>
        <w:t>Los procedimientos, canales de recepción, responsables y plazos para la atención de quejas y reclamos.</w:t>
      </w:r>
    </w:p>
    <w:p w14:paraId="4709AD48" w14:textId="77777777" w:rsidR="004269D4" w:rsidRDefault="004269D4" w:rsidP="004269D4">
      <w:pPr>
        <w:pStyle w:val="Textocomentario"/>
        <w:jc w:val="both"/>
        <w:rPr>
          <w:rFonts w:ascii="Arial" w:hAnsi="Arial" w:cs="Arial"/>
          <w:b/>
          <w:bCs/>
          <w:sz w:val="16"/>
          <w:szCs w:val="16"/>
          <w:lang w:val="es-ES" w:eastAsia="es-ES"/>
        </w:rPr>
      </w:pPr>
    </w:p>
    <w:p w14:paraId="59497101" w14:textId="77777777" w:rsidR="007D1A8A" w:rsidRPr="00C41D4A" w:rsidRDefault="007D1A8A" w:rsidP="007D1A8A">
      <w:pPr>
        <w:pStyle w:val="Textocomentario"/>
        <w:jc w:val="both"/>
        <w:rPr>
          <w:rFonts w:ascii="Arial" w:hAnsi="Arial" w:cs="Arial"/>
          <w:b/>
          <w:bCs/>
          <w:sz w:val="16"/>
          <w:szCs w:val="16"/>
          <w:lang w:val="es-ES" w:eastAsia="es-ES"/>
        </w:rPr>
      </w:pPr>
      <w:r w:rsidRPr="00C41D4A">
        <w:rPr>
          <w:rFonts w:ascii="Arial" w:hAnsi="Arial" w:cs="Arial"/>
          <w:b/>
          <w:bCs/>
          <w:sz w:val="16"/>
          <w:szCs w:val="16"/>
          <w:lang w:val="es-ES" w:eastAsia="es-ES"/>
        </w:rPr>
        <w:t>Para efectos del presente subnumeral</w:t>
      </w:r>
      <w:r w:rsidR="00FE1EEB">
        <w:rPr>
          <w:rFonts w:ascii="Arial" w:hAnsi="Arial" w:cs="Arial"/>
          <w:b/>
          <w:bCs/>
          <w:sz w:val="16"/>
          <w:szCs w:val="16"/>
          <w:lang w:val="es-ES" w:eastAsia="es-ES"/>
        </w:rPr>
        <w:t xml:space="preserve"> </w:t>
      </w:r>
      <w:r w:rsidRPr="00C41D4A">
        <w:rPr>
          <w:rFonts w:ascii="Arial" w:hAnsi="Arial" w:cs="Arial"/>
          <w:b/>
          <w:bCs/>
          <w:sz w:val="16"/>
          <w:szCs w:val="16"/>
          <w:lang w:val="es-ES" w:eastAsia="es-ES"/>
        </w:rPr>
        <w:t xml:space="preserve">se entiende por consumidor financiero aquellos comercios destinatarios de los recursos objeto de una orden de pago o transferencia de fondos que se tramite en un </w:t>
      </w:r>
      <w:r w:rsidR="00FC07B4">
        <w:rPr>
          <w:rFonts w:ascii="Arial" w:hAnsi="Arial" w:cs="Arial"/>
          <w:b/>
          <w:bCs/>
          <w:sz w:val="16"/>
          <w:szCs w:val="16"/>
          <w:lang w:val="es-ES" w:eastAsia="es-ES"/>
        </w:rPr>
        <w:t>S</w:t>
      </w:r>
      <w:r w:rsidRPr="00C41D4A">
        <w:rPr>
          <w:rFonts w:ascii="Arial" w:hAnsi="Arial" w:cs="Arial"/>
          <w:b/>
          <w:bCs/>
          <w:sz w:val="16"/>
          <w:szCs w:val="16"/>
          <w:lang w:val="es-ES" w:eastAsia="es-ES"/>
        </w:rPr>
        <w:t xml:space="preserve">istema de </w:t>
      </w:r>
      <w:r w:rsidR="00FC07B4">
        <w:rPr>
          <w:rFonts w:ascii="Arial" w:hAnsi="Arial" w:cs="Arial"/>
          <w:b/>
          <w:bCs/>
          <w:sz w:val="16"/>
          <w:szCs w:val="16"/>
          <w:lang w:val="es-ES" w:eastAsia="es-ES"/>
        </w:rPr>
        <w:t>P</w:t>
      </w:r>
      <w:r w:rsidRPr="00C41D4A">
        <w:rPr>
          <w:rFonts w:ascii="Arial" w:hAnsi="Arial" w:cs="Arial"/>
          <w:b/>
          <w:bCs/>
          <w:sz w:val="16"/>
          <w:szCs w:val="16"/>
          <w:lang w:val="es-ES" w:eastAsia="es-ES"/>
        </w:rPr>
        <w:t xml:space="preserve">ago de </w:t>
      </w:r>
      <w:r w:rsidR="00FC07B4">
        <w:rPr>
          <w:rFonts w:ascii="Arial" w:hAnsi="Arial" w:cs="Arial"/>
          <w:b/>
          <w:bCs/>
          <w:sz w:val="16"/>
          <w:szCs w:val="16"/>
          <w:lang w:val="es-ES" w:eastAsia="es-ES"/>
        </w:rPr>
        <w:t>B</w:t>
      </w:r>
      <w:r w:rsidRPr="00C41D4A">
        <w:rPr>
          <w:rFonts w:ascii="Arial" w:hAnsi="Arial" w:cs="Arial"/>
          <w:b/>
          <w:bCs/>
          <w:sz w:val="16"/>
          <w:szCs w:val="16"/>
          <w:lang w:val="es-ES" w:eastAsia="es-ES"/>
        </w:rPr>
        <w:t xml:space="preserve">ajo </w:t>
      </w:r>
      <w:r w:rsidR="00FC07B4">
        <w:rPr>
          <w:rFonts w:ascii="Arial" w:hAnsi="Arial" w:cs="Arial"/>
          <w:b/>
          <w:bCs/>
          <w:sz w:val="16"/>
          <w:szCs w:val="16"/>
          <w:lang w:val="es-ES" w:eastAsia="es-ES"/>
        </w:rPr>
        <w:t>V</w:t>
      </w:r>
      <w:r w:rsidRPr="00C41D4A">
        <w:rPr>
          <w:rFonts w:ascii="Arial" w:hAnsi="Arial" w:cs="Arial"/>
          <w:b/>
          <w:bCs/>
          <w:sz w:val="16"/>
          <w:szCs w:val="16"/>
          <w:lang w:val="es-ES" w:eastAsia="es-ES"/>
        </w:rPr>
        <w:t xml:space="preserve">alor (SPBV). </w:t>
      </w:r>
    </w:p>
    <w:p w14:paraId="718128FF" w14:textId="77777777" w:rsidR="007D1A8A" w:rsidRDefault="007D1A8A" w:rsidP="004269D4">
      <w:pPr>
        <w:pStyle w:val="Textocomentario"/>
        <w:jc w:val="both"/>
        <w:rPr>
          <w:rFonts w:ascii="Arial" w:hAnsi="Arial" w:cs="Arial"/>
          <w:b/>
          <w:bCs/>
          <w:sz w:val="16"/>
          <w:szCs w:val="16"/>
          <w:lang w:val="es-ES" w:eastAsia="es-ES"/>
        </w:rPr>
      </w:pPr>
    </w:p>
    <w:p w14:paraId="030EC596" w14:textId="77777777" w:rsidR="007D1A8A" w:rsidRDefault="004269D4" w:rsidP="004269D4">
      <w:pPr>
        <w:pStyle w:val="Textocomentario"/>
        <w:jc w:val="both"/>
        <w:rPr>
          <w:rFonts w:ascii="Arial" w:hAnsi="Arial" w:cs="Arial"/>
          <w:b/>
          <w:bCs/>
          <w:sz w:val="16"/>
          <w:szCs w:val="16"/>
          <w:lang w:val="es-ES" w:eastAsia="es-ES"/>
        </w:rPr>
        <w:sectPr w:rsidR="007D1A8A" w:rsidSect="00AF616B">
          <w:headerReference w:type="default" r:id="rId8"/>
          <w:footerReference w:type="default" r:id="rId9"/>
          <w:headerReference w:type="first" r:id="rId10"/>
          <w:footerReference w:type="first" r:id="rId11"/>
          <w:pgSz w:w="12240" w:h="18720" w:code="14"/>
          <w:pgMar w:top="1418" w:right="1701" w:bottom="1418" w:left="1701" w:header="709" w:footer="1134" w:gutter="0"/>
          <w:pgNumType w:start="19"/>
          <w:cols w:space="708"/>
          <w:titlePg/>
          <w:docGrid w:linePitch="360"/>
        </w:sectPr>
      </w:pPr>
      <w:r w:rsidRPr="00415512">
        <w:rPr>
          <w:rFonts w:ascii="Arial" w:hAnsi="Arial" w:cs="Arial"/>
          <w:b/>
          <w:bCs/>
          <w:sz w:val="16"/>
          <w:szCs w:val="16"/>
          <w:lang w:val="es-ES" w:eastAsia="es-ES"/>
        </w:rPr>
        <w:t>3.4.10.</w:t>
      </w:r>
      <w:r w:rsidR="00C41D4A">
        <w:rPr>
          <w:rFonts w:ascii="Arial" w:hAnsi="Arial" w:cs="Arial"/>
          <w:b/>
          <w:bCs/>
          <w:sz w:val="16"/>
          <w:szCs w:val="16"/>
          <w:lang w:val="es-ES" w:eastAsia="es-ES"/>
        </w:rPr>
        <w:t>1</w:t>
      </w:r>
      <w:r w:rsidRPr="00415512">
        <w:rPr>
          <w:rFonts w:ascii="Arial" w:hAnsi="Arial" w:cs="Arial"/>
          <w:b/>
          <w:bCs/>
          <w:sz w:val="16"/>
          <w:szCs w:val="16"/>
          <w:lang w:val="es-ES" w:eastAsia="es-ES"/>
        </w:rPr>
        <w:t xml:space="preserve"> </w:t>
      </w:r>
      <w:r w:rsidR="00415512">
        <w:rPr>
          <w:rFonts w:ascii="Arial" w:hAnsi="Arial" w:cs="Arial"/>
          <w:b/>
          <w:bCs/>
          <w:sz w:val="16"/>
          <w:szCs w:val="16"/>
          <w:lang w:val="es-ES" w:eastAsia="es-ES"/>
        </w:rPr>
        <w:t>L</w:t>
      </w:r>
      <w:r w:rsidRPr="00415512">
        <w:rPr>
          <w:rFonts w:ascii="Arial" w:hAnsi="Arial" w:cs="Arial"/>
          <w:b/>
          <w:bCs/>
          <w:sz w:val="16"/>
          <w:szCs w:val="16"/>
          <w:lang w:val="es-ES" w:eastAsia="es-ES"/>
        </w:rPr>
        <w:t xml:space="preserve">as EASPBV que actúen como proveedores de servicios de pago de </w:t>
      </w:r>
      <w:r w:rsidR="00415512">
        <w:rPr>
          <w:rFonts w:ascii="Arial" w:hAnsi="Arial" w:cs="Arial"/>
          <w:b/>
          <w:bCs/>
          <w:sz w:val="16"/>
          <w:szCs w:val="16"/>
          <w:lang w:val="es-ES" w:eastAsia="es-ES"/>
        </w:rPr>
        <w:t>adquirentes</w:t>
      </w:r>
      <w:r w:rsidRPr="00415512">
        <w:rPr>
          <w:rFonts w:ascii="Arial" w:hAnsi="Arial" w:cs="Arial"/>
          <w:b/>
          <w:bCs/>
          <w:sz w:val="16"/>
          <w:szCs w:val="16"/>
          <w:lang w:val="es-ES" w:eastAsia="es-ES"/>
        </w:rPr>
        <w:t xml:space="preserve"> son responsables de contar con mecanismos adecuados para garantizar la identificación y autenticación de los comercios en el </w:t>
      </w:r>
    </w:p>
    <w:p w14:paraId="68BEC436" w14:textId="0D341DFB" w:rsidR="004269D4" w:rsidRDefault="00FD59FB" w:rsidP="004269D4">
      <w:pPr>
        <w:pStyle w:val="Textocomentario"/>
        <w:jc w:val="both"/>
        <w:rPr>
          <w:rFonts w:ascii="Arial" w:hAnsi="Arial" w:cs="Arial"/>
          <w:b/>
          <w:bCs/>
          <w:sz w:val="16"/>
          <w:szCs w:val="16"/>
          <w:lang w:val="es-ES" w:eastAsia="es-ES"/>
        </w:rPr>
      </w:pPr>
      <w:r>
        <w:rPr>
          <w:rFonts w:ascii="Arial" w:hAnsi="Arial" w:cs="Arial"/>
          <w:b/>
          <w:bCs/>
          <w:noProof/>
          <w:sz w:val="16"/>
          <w:szCs w:val="16"/>
          <w:lang w:val="es-ES" w:eastAsia="es-ES"/>
        </w:rPr>
        <w:lastRenderedPageBreak/>
        <mc:AlternateContent>
          <mc:Choice Requires="wps">
            <w:drawing>
              <wp:anchor distT="0" distB="0" distL="114300" distR="114300" simplePos="0" relativeHeight="251657728" behindDoc="0" locked="0" layoutInCell="1" allowOverlap="1" wp14:anchorId="5E7F7DD1" wp14:editId="40B57AC8">
                <wp:simplePos x="0" y="0"/>
                <wp:positionH relativeFrom="column">
                  <wp:posOffset>-64770</wp:posOffset>
                </wp:positionH>
                <wp:positionV relativeFrom="paragraph">
                  <wp:posOffset>33020</wp:posOffset>
                </wp:positionV>
                <wp:extent cx="17145" cy="1641475"/>
                <wp:effectExtent l="5715" t="9525" r="5715" b="635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 cy="164147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0037F7" id="AutoShape 7" o:spid="_x0000_s1026" type="#_x0000_t32" style="position:absolute;margin-left:-5.1pt;margin-top:2.6pt;width:1.35pt;height:1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" strokeweight=".25pt"/>
            </w:pict>
          </mc:Fallback>
        </mc:AlternateContent>
      </w:r>
      <w:r w:rsidR="004269D4" w:rsidRPr="00415512">
        <w:rPr>
          <w:rFonts w:ascii="Arial" w:hAnsi="Arial" w:cs="Arial"/>
          <w:b/>
          <w:bCs/>
          <w:sz w:val="16"/>
          <w:szCs w:val="16"/>
          <w:lang w:val="es-ES" w:eastAsia="es-ES"/>
        </w:rPr>
        <w:t xml:space="preserve">procesamiento de los pagos. Para el efecto, </w:t>
      </w:r>
      <w:r w:rsidR="001423D2">
        <w:rPr>
          <w:rFonts w:ascii="Arial" w:hAnsi="Arial" w:cs="Arial"/>
          <w:b/>
          <w:bCs/>
          <w:sz w:val="16"/>
          <w:szCs w:val="16"/>
          <w:lang w:val="es-ES" w:eastAsia="es-ES"/>
        </w:rPr>
        <w:t xml:space="preserve">las EASPBV </w:t>
      </w:r>
      <w:r w:rsidR="004269D4" w:rsidRPr="00415512">
        <w:rPr>
          <w:rFonts w:ascii="Arial" w:hAnsi="Arial" w:cs="Arial"/>
          <w:b/>
          <w:bCs/>
          <w:sz w:val="16"/>
          <w:szCs w:val="16"/>
          <w:lang w:val="es-ES" w:eastAsia="es-ES"/>
        </w:rPr>
        <w:t>deben adelantar</w:t>
      </w:r>
      <w:r w:rsidR="001423D2">
        <w:rPr>
          <w:rFonts w:ascii="Arial" w:hAnsi="Arial" w:cs="Arial"/>
          <w:b/>
          <w:bCs/>
          <w:sz w:val="16"/>
          <w:szCs w:val="16"/>
          <w:lang w:val="es-ES" w:eastAsia="es-ES"/>
        </w:rPr>
        <w:t xml:space="preserve">: i) </w:t>
      </w:r>
      <w:r w:rsidR="004269D4" w:rsidRPr="00415512">
        <w:rPr>
          <w:rFonts w:ascii="Arial" w:hAnsi="Arial" w:cs="Arial"/>
          <w:b/>
          <w:bCs/>
          <w:sz w:val="16"/>
          <w:szCs w:val="16"/>
          <w:lang w:val="es-ES" w:eastAsia="es-ES"/>
        </w:rPr>
        <w:t>programas de capacitación en los cuales se les indique</w:t>
      </w:r>
      <w:r w:rsidR="001423D2">
        <w:rPr>
          <w:rFonts w:ascii="Arial" w:hAnsi="Arial" w:cs="Arial"/>
          <w:b/>
          <w:bCs/>
          <w:sz w:val="16"/>
          <w:szCs w:val="16"/>
          <w:lang w:val="es-ES" w:eastAsia="es-ES"/>
        </w:rPr>
        <w:t xml:space="preserve"> a los comercios</w:t>
      </w:r>
      <w:r w:rsidR="004269D4" w:rsidRPr="00415512">
        <w:rPr>
          <w:rFonts w:ascii="Arial" w:hAnsi="Arial" w:cs="Arial"/>
          <w:b/>
          <w:bCs/>
          <w:sz w:val="16"/>
          <w:szCs w:val="16"/>
          <w:lang w:val="es-ES" w:eastAsia="es-ES"/>
        </w:rPr>
        <w:t xml:space="preserve"> la manera como se realiza el procedimiento de pago y las medidas de seguridad que deben adoptar los compradores y vendedores para la realización de </w:t>
      </w:r>
      <w:proofErr w:type="gramStart"/>
      <w:r w:rsidR="004269D4" w:rsidRPr="00415512">
        <w:rPr>
          <w:rFonts w:ascii="Arial" w:hAnsi="Arial" w:cs="Arial"/>
          <w:b/>
          <w:bCs/>
          <w:sz w:val="16"/>
          <w:szCs w:val="16"/>
          <w:lang w:val="es-ES" w:eastAsia="es-ES"/>
        </w:rPr>
        <w:t>las mismas</w:t>
      </w:r>
      <w:proofErr w:type="gramEnd"/>
      <w:r w:rsidR="004269D4" w:rsidRPr="00415512">
        <w:rPr>
          <w:rFonts w:ascii="Arial" w:hAnsi="Arial" w:cs="Arial"/>
          <w:b/>
          <w:bCs/>
          <w:sz w:val="16"/>
          <w:szCs w:val="16"/>
          <w:lang w:val="es-ES" w:eastAsia="es-ES"/>
        </w:rPr>
        <w:t xml:space="preserve">, o </w:t>
      </w:r>
      <w:r w:rsidR="001423D2">
        <w:rPr>
          <w:rFonts w:ascii="Arial" w:hAnsi="Arial" w:cs="Arial"/>
          <w:b/>
          <w:bCs/>
          <w:sz w:val="16"/>
          <w:szCs w:val="16"/>
          <w:lang w:val="es-ES" w:eastAsia="es-ES"/>
        </w:rPr>
        <w:t>ii) suministrarles dicha información</w:t>
      </w:r>
      <w:r w:rsidR="00F9200D">
        <w:rPr>
          <w:rFonts w:ascii="Arial" w:hAnsi="Arial" w:cs="Arial"/>
          <w:b/>
          <w:bCs/>
          <w:sz w:val="16"/>
          <w:szCs w:val="16"/>
          <w:lang w:val="es-ES" w:eastAsia="es-ES"/>
        </w:rPr>
        <w:t xml:space="preserve"> a través de un medio verificable,</w:t>
      </w:r>
      <w:r w:rsidR="001423D2">
        <w:rPr>
          <w:rFonts w:ascii="Arial" w:hAnsi="Arial" w:cs="Arial"/>
          <w:b/>
          <w:bCs/>
          <w:sz w:val="16"/>
          <w:szCs w:val="16"/>
          <w:lang w:val="es-ES" w:eastAsia="es-ES"/>
        </w:rPr>
        <w:t xml:space="preserve"> </w:t>
      </w:r>
      <w:r w:rsidR="004269D4" w:rsidRPr="00415512">
        <w:rPr>
          <w:rFonts w:ascii="Arial" w:hAnsi="Arial" w:cs="Arial"/>
          <w:b/>
          <w:bCs/>
          <w:sz w:val="16"/>
          <w:szCs w:val="16"/>
          <w:lang w:val="es-ES" w:eastAsia="es-ES"/>
        </w:rPr>
        <w:t>en lenguaje claro y sencillo</w:t>
      </w:r>
      <w:r w:rsidR="00F9200D">
        <w:rPr>
          <w:rFonts w:ascii="Arial" w:hAnsi="Arial" w:cs="Arial"/>
          <w:b/>
          <w:bCs/>
          <w:sz w:val="16"/>
          <w:szCs w:val="16"/>
          <w:lang w:val="es-ES" w:eastAsia="es-ES"/>
        </w:rPr>
        <w:t>,</w:t>
      </w:r>
      <w:r w:rsidR="001423D2">
        <w:rPr>
          <w:rFonts w:ascii="Arial" w:hAnsi="Arial" w:cs="Arial"/>
          <w:b/>
          <w:bCs/>
          <w:sz w:val="16"/>
          <w:szCs w:val="16"/>
          <w:lang w:val="es-ES" w:eastAsia="es-ES"/>
        </w:rPr>
        <w:t xml:space="preserve"> con el fin de que </w:t>
      </w:r>
      <w:r w:rsidR="004269D4" w:rsidRPr="00415512">
        <w:rPr>
          <w:rFonts w:ascii="Arial" w:hAnsi="Arial" w:cs="Arial"/>
          <w:b/>
          <w:bCs/>
          <w:sz w:val="16"/>
          <w:szCs w:val="16"/>
          <w:lang w:val="es-ES" w:eastAsia="es-ES"/>
        </w:rPr>
        <w:t>conozca</w:t>
      </w:r>
      <w:r w:rsidR="001423D2">
        <w:rPr>
          <w:rFonts w:ascii="Arial" w:hAnsi="Arial" w:cs="Arial"/>
          <w:b/>
          <w:bCs/>
          <w:sz w:val="16"/>
          <w:szCs w:val="16"/>
          <w:lang w:val="es-ES" w:eastAsia="es-ES"/>
        </w:rPr>
        <w:t>n</w:t>
      </w:r>
      <w:r w:rsidR="004269D4" w:rsidRPr="00415512">
        <w:rPr>
          <w:rFonts w:ascii="Arial" w:hAnsi="Arial" w:cs="Arial"/>
          <w:b/>
          <w:bCs/>
          <w:sz w:val="16"/>
          <w:szCs w:val="16"/>
          <w:lang w:val="es-ES" w:eastAsia="es-ES"/>
        </w:rPr>
        <w:t xml:space="preserve"> y haga</w:t>
      </w:r>
      <w:r w:rsidR="001423D2">
        <w:rPr>
          <w:rFonts w:ascii="Arial" w:hAnsi="Arial" w:cs="Arial"/>
          <w:b/>
          <w:bCs/>
          <w:sz w:val="16"/>
          <w:szCs w:val="16"/>
          <w:lang w:val="es-ES" w:eastAsia="es-ES"/>
        </w:rPr>
        <w:t>n</w:t>
      </w:r>
      <w:r w:rsidR="004269D4" w:rsidRPr="00415512">
        <w:rPr>
          <w:rFonts w:ascii="Arial" w:hAnsi="Arial" w:cs="Arial"/>
          <w:b/>
          <w:bCs/>
          <w:sz w:val="16"/>
          <w:szCs w:val="16"/>
          <w:lang w:val="es-ES" w:eastAsia="es-ES"/>
        </w:rPr>
        <w:t xml:space="preserve"> uso correcto de dichos mecanismos. </w:t>
      </w:r>
      <w:r w:rsidR="00F9200D">
        <w:rPr>
          <w:rFonts w:ascii="Arial" w:hAnsi="Arial" w:cs="Arial"/>
          <w:b/>
          <w:bCs/>
          <w:sz w:val="16"/>
          <w:szCs w:val="16"/>
          <w:lang w:val="es-ES" w:eastAsia="es-ES"/>
        </w:rPr>
        <w:t xml:space="preserve"> </w:t>
      </w:r>
    </w:p>
    <w:p w14:paraId="797A38B6" w14:textId="77777777" w:rsidR="007D1A8A" w:rsidRDefault="007D1A8A" w:rsidP="00C41D4A">
      <w:pPr>
        <w:pStyle w:val="Textocomentario"/>
        <w:jc w:val="both"/>
        <w:rPr>
          <w:rFonts w:ascii="Arial" w:hAnsi="Arial" w:cs="Arial"/>
          <w:b/>
          <w:bCs/>
          <w:sz w:val="16"/>
          <w:szCs w:val="16"/>
          <w:lang w:val="es-ES" w:eastAsia="es-ES"/>
        </w:rPr>
      </w:pPr>
    </w:p>
    <w:p w14:paraId="60DEA0F1" w14:textId="77777777" w:rsidR="004269D4" w:rsidRPr="00415512" w:rsidRDefault="004269D4" w:rsidP="00C41D4A">
      <w:pPr>
        <w:pStyle w:val="Textocomentario"/>
        <w:jc w:val="both"/>
        <w:rPr>
          <w:rFonts w:ascii="Arial" w:hAnsi="Arial" w:cs="Arial"/>
          <w:b/>
          <w:bCs/>
          <w:sz w:val="16"/>
          <w:szCs w:val="16"/>
          <w:lang w:val="es-ES" w:eastAsia="es-ES"/>
        </w:rPr>
      </w:pPr>
      <w:r w:rsidRPr="00415512">
        <w:rPr>
          <w:rFonts w:ascii="Arial" w:hAnsi="Arial" w:cs="Arial"/>
          <w:b/>
          <w:bCs/>
          <w:sz w:val="16"/>
          <w:szCs w:val="16"/>
          <w:lang w:val="es-ES" w:eastAsia="es-ES"/>
        </w:rPr>
        <w:t>3.4.10.</w:t>
      </w:r>
      <w:r w:rsidR="00C41D4A">
        <w:rPr>
          <w:rFonts w:ascii="Arial" w:hAnsi="Arial" w:cs="Arial"/>
          <w:b/>
          <w:bCs/>
          <w:sz w:val="16"/>
          <w:szCs w:val="16"/>
          <w:lang w:val="es-ES" w:eastAsia="es-ES"/>
        </w:rPr>
        <w:t>2</w:t>
      </w:r>
      <w:r w:rsidRPr="00415512">
        <w:rPr>
          <w:rFonts w:ascii="Arial" w:hAnsi="Arial" w:cs="Arial"/>
          <w:b/>
          <w:bCs/>
          <w:sz w:val="16"/>
          <w:szCs w:val="16"/>
          <w:lang w:val="es-ES" w:eastAsia="es-ES"/>
        </w:rPr>
        <w:t xml:space="preserve"> Reglas especiales en materia de publicación de </w:t>
      </w:r>
      <w:r w:rsidR="00C41D4A">
        <w:rPr>
          <w:rFonts w:ascii="Arial" w:hAnsi="Arial" w:cs="Arial"/>
          <w:b/>
          <w:bCs/>
          <w:sz w:val="16"/>
          <w:szCs w:val="16"/>
          <w:lang w:val="es-ES" w:eastAsia="es-ES"/>
        </w:rPr>
        <w:t>información</w:t>
      </w:r>
      <w:r w:rsidRPr="00415512">
        <w:rPr>
          <w:rFonts w:ascii="Arial" w:hAnsi="Arial" w:cs="Arial"/>
          <w:b/>
          <w:bCs/>
          <w:sz w:val="16"/>
          <w:szCs w:val="16"/>
          <w:lang w:val="es-ES" w:eastAsia="es-ES"/>
        </w:rPr>
        <w:t xml:space="preserve"> por parte de las EASPBV</w:t>
      </w:r>
    </w:p>
    <w:p w14:paraId="57D11D15" w14:textId="77777777" w:rsidR="003465C8" w:rsidRDefault="004269D4" w:rsidP="004269D4">
      <w:pPr>
        <w:widowControl w:val="0"/>
        <w:autoSpaceDE w:val="0"/>
        <w:autoSpaceDN w:val="0"/>
        <w:adjustRightInd w:val="0"/>
        <w:spacing w:before="100" w:after="100"/>
        <w:ind w:right="51"/>
        <w:jc w:val="both"/>
        <w:rPr>
          <w:rFonts w:ascii="Arial" w:hAnsi="Arial" w:cs="Arial"/>
          <w:b/>
          <w:bCs/>
          <w:sz w:val="16"/>
          <w:szCs w:val="16"/>
          <w:lang w:val="es-ES" w:eastAsia="es-ES"/>
        </w:rPr>
      </w:pPr>
      <w:r w:rsidRPr="00415512">
        <w:rPr>
          <w:rFonts w:ascii="Arial" w:hAnsi="Arial" w:cs="Arial"/>
          <w:b/>
          <w:bCs/>
          <w:sz w:val="16"/>
          <w:szCs w:val="16"/>
          <w:lang w:val="es-ES" w:eastAsia="es-ES"/>
        </w:rPr>
        <w:t>Las EASPBV deben publicar</w:t>
      </w:r>
      <w:r w:rsidR="00727F74">
        <w:rPr>
          <w:rFonts w:ascii="Arial" w:hAnsi="Arial" w:cs="Arial"/>
          <w:b/>
          <w:bCs/>
          <w:sz w:val="16"/>
          <w:szCs w:val="16"/>
          <w:lang w:val="es-ES" w:eastAsia="es-ES"/>
        </w:rPr>
        <w:t xml:space="preserve"> de manera desagregada </w:t>
      </w:r>
      <w:r w:rsidR="00727F74" w:rsidRPr="00415512">
        <w:rPr>
          <w:rFonts w:ascii="Arial" w:hAnsi="Arial" w:cs="Arial"/>
          <w:b/>
          <w:bCs/>
          <w:sz w:val="16"/>
          <w:szCs w:val="16"/>
          <w:lang w:val="es-ES" w:eastAsia="es-ES"/>
        </w:rPr>
        <w:t>la información</w:t>
      </w:r>
      <w:r w:rsidR="003465C8">
        <w:rPr>
          <w:rFonts w:ascii="Arial" w:hAnsi="Arial" w:cs="Arial"/>
          <w:b/>
          <w:bCs/>
          <w:sz w:val="16"/>
          <w:szCs w:val="16"/>
          <w:lang w:val="es-ES" w:eastAsia="es-ES"/>
        </w:rPr>
        <w:t xml:space="preserve"> actualizada </w:t>
      </w:r>
      <w:r w:rsidR="00727F74" w:rsidRPr="00415512">
        <w:rPr>
          <w:rFonts w:ascii="Arial" w:hAnsi="Arial" w:cs="Arial"/>
          <w:b/>
          <w:bCs/>
          <w:sz w:val="16"/>
          <w:szCs w:val="16"/>
          <w:lang w:val="es-ES" w:eastAsia="es-ES"/>
        </w:rPr>
        <w:t>de las tarifas de: i) acceso al sistema de pago de bajo valor, ii) compensación y liquidación, iii) intercambio, iv) los productos y servicios que ofrece como proveedor de servicios de pago de adquirentes y entidades emisoras, así como la información señalada en los numerales 4 y 5 del art. 2.17.2.1.3 del Decreto 2555 de 2010</w:t>
      </w:r>
      <w:r w:rsidR="00727F74">
        <w:rPr>
          <w:rFonts w:ascii="Arial" w:hAnsi="Arial" w:cs="Arial"/>
          <w:b/>
          <w:bCs/>
          <w:sz w:val="16"/>
          <w:szCs w:val="16"/>
          <w:lang w:val="es-ES" w:eastAsia="es-ES"/>
        </w:rPr>
        <w:t xml:space="preserve">. Dicha información debe ser publicada </w:t>
      </w:r>
      <w:r w:rsidRPr="00415512">
        <w:rPr>
          <w:rFonts w:ascii="Arial" w:hAnsi="Arial" w:cs="Arial"/>
          <w:b/>
          <w:bCs/>
          <w:sz w:val="16"/>
          <w:szCs w:val="16"/>
          <w:lang w:val="es-ES" w:eastAsia="es-ES"/>
        </w:rPr>
        <w:t>en un lugar visible y de fácil acceso de su página web</w:t>
      </w:r>
      <w:r w:rsidR="00727F74">
        <w:rPr>
          <w:rFonts w:ascii="Arial" w:hAnsi="Arial" w:cs="Arial"/>
          <w:b/>
          <w:bCs/>
          <w:sz w:val="16"/>
          <w:szCs w:val="16"/>
          <w:lang w:val="es-ES" w:eastAsia="es-ES"/>
        </w:rPr>
        <w:t xml:space="preserve">, en forma </w:t>
      </w:r>
      <w:r w:rsidRPr="00415512">
        <w:rPr>
          <w:rFonts w:ascii="Arial" w:hAnsi="Arial" w:cs="Arial"/>
          <w:b/>
          <w:bCs/>
          <w:sz w:val="16"/>
          <w:szCs w:val="16"/>
          <w:lang w:val="es-ES" w:eastAsia="es-ES"/>
        </w:rPr>
        <w:t xml:space="preserve">clara y explícita. Para el efecto, la junta directiva de las EASPBV debe </w:t>
      </w:r>
      <w:r w:rsidR="003465C8">
        <w:rPr>
          <w:rFonts w:ascii="Arial" w:hAnsi="Arial" w:cs="Arial"/>
          <w:b/>
          <w:bCs/>
          <w:sz w:val="16"/>
          <w:szCs w:val="16"/>
          <w:lang w:val="es-ES" w:eastAsia="es-ES"/>
        </w:rPr>
        <w:t xml:space="preserve">aprobar las políticas y procedimientos que aseguren el cumplimiento de las obligaciones establecidas en el presente subnumeral. </w:t>
      </w:r>
    </w:p>
    <w:p w14:paraId="0C559F2D"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3.4.11. Comercialización de productos a través del uso de red</w:t>
      </w:r>
    </w:p>
    <w:p w14:paraId="4BC82E14" w14:textId="77777777" w:rsidR="00AF6263" w:rsidRPr="00415512" w:rsidRDefault="00AF6263" w:rsidP="00415512">
      <w:pPr>
        <w:widowControl w:val="0"/>
        <w:jc w:val="both"/>
        <w:rPr>
          <w:rFonts w:ascii="Arial" w:hAnsi="Arial" w:cs="Arial"/>
          <w:bCs/>
          <w:snapToGrid w:val="0"/>
          <w:sz w:val="16"/>
          <w:szCs w:val="16"/>
        </w:rPr>
      </w:pPr>
    </w:p>
    <w:p w14:paraId="599C9FF6"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 xml:space="preserve">Las entidades vigiladas involucradas en la comercialización de productos a través del uso de red deben </w:t>
      </w:r>
      <w:proofErr w:type="gramStart"/>
      <w:r w:rsidRPr="00415512">
        <w:rPr>
          <w:rFonts w:ascii="Arial" w:hAnsi="Arial" w:cs="Arial"/>
          <w:bCs/>
          <w:snapToGrid w:val="0"/>
          <w:sz w:val="16"/>
          <w:szCs w:val="16"/>
        </w:rPr>
        <w:t>cumplir  con</w:t>
      </w:r>
      <w:proofErr w:type="gramEnd"/>
      <w:r w:rsidRPr="00415512">
        <w:rPr>
          <w:rFonts w:ascii="Arial" w:hAnsi="Arial" w:cs="Arial"/>
          <w:bCs/>
          <w:snapToGrid w:val="0"/>
          <w:sz w:val="16"/>
          <w:szCs w:val="16"/>
        </w:rPr>
        <w:t xml:space="preserve"> lo establecido en el art. 9 de la Ley 1328 de 2009. En tal sentido, deben cumplir con lo siguiente:</w:t>
      </w:r>
    </w:p>
    <w:p w14:paraId="68B19361" w14:textId="77777777" w:rsidR="00AF6263" w:rsidRPr="00415512" w:rsidRDefault="00AF6263" w:rsidP="00415512">
      <w:pPr>
        <w:widowControl w:val="0"/>
        <w:jc w:val="both"/>
        <w:rPr>
          <w:rFonts w:ascii="Arial" w:hAnsi="Arial" w:cs="Arial"/>
          <w:bCs/>
          <w:snapToGrid w:val="0"/>
          <w:sz w:val="16"/>
          <w:szCs w:val="16"/>
        </w:rPr>
      </w:pPr>
    </w:p>
    <w:p w14:paraId="7F6FE978"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3.4.11.1. Entidades prestadoras</w:t>
      </w:r>
    </w:p>
    <w:p w14:paraId="035C9CC1" w14:textId="77777777" w:rsidR="00AF6263" w:rsidRPr="00415512" w:rsidRDefault="00AF6263" w:rsidP="00415512">
      <w:pPr>
        <w:widowControl w:val="0"/>
        <w:jc w:val="both"/>
        <w:rPr>
          <w:rFonts w:ascii="Arial" w:hAnsi="Arial" w:cs="Arial"/>
          <w:bCs/>
          <w:snapToGrid w:val="0"/>
          <w:sz w:val="16"/>
          <w:szCs w:val="16"/>
        </w:rPr>
      </w:pPr>
    </w:p>
    <w:p w14:paraId="12F64AD8"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Las entidades prestadoras deben:</w:t>
      </w:r>
    </w:p>
    <w:p w14:paraId="0DA1F2D3" w14:textId="77777777" w:rsidR="00AF6263" w:rsidRPr="00415512" w:rsidRDefault="00AF6263" w:rsidP="00415512">
      <w:pPr>
        <w:widowControl w:val="0"/>
        <w:jc w:val="both"/>
        <w:rPr>
          <w:rFonts w:ascii="Arial" w:hAnsi="Arial" w:cs="Arial"/>
          <w:bCs/>
          <w:snapToGrid w:val="0"/>
          <w:sz w:val="16"/>
          <w:szCs w:val="16"/>
        </w:rPr>
      </w:pPr>
    </w:p>
    <w:p w14:paraId="18ED3E87"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3.4.11.1.1. Informar clara y detalladamente a los consumidores financieros el alcance y su responsabilidad en el desarrollo de las operaciones que pueden realizar a través del uso de red.</w:t>
      </w:r>
    </w:p>
    <w:p w14:paraId="60848B85"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 xml:space="preserve">3.4.11.1.2. Disponer de toda aquella documentación o elementos de información que permitan garantizar una adecuada promoción y gestión de los servicios u operaciones objeto del contrato de uso de red. </w:t>
      </w:r>
    </w:p>
    <w:p w14:paraId="57E95C49"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3.4.11.1.3. Establecer los mecanismos adecuados para asegurar que el consumidor financiero puede consultar en todo momento, a través del respectivo canal, la información relacionada con los servicios objeto de promoción a través del contrato de uso de red.</w:t>
      </w:r>
    </w:p>
    <w:p w14:paraId="2E8636BC" w14:textId="77777777" w:rsidR="00AF6263" w:rsidRPr="00415512" w:rsidRDefault="00AF6263" w:rsidP="00415512">
      <w:pPr>
        <w:widowControl w:val="0"/>
        <w:jc w:val="both"/>
        <w:rPr>
          <w:rFonts w:ascii="Arial" w:hAnsi="Arial" w:cs="Arial"/>
          <w:bCs/>
          <w:snapToGrid w:val="0"/>
          <w:sz w:val="16"/>
          <w:szCs w:val="16"/>
        </w:rPr>
      </w:pPr>
    </w:p>
    <w:p w14:paraId="6DEE9872"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3.4.11.2. Entidades usuarias</w:t>
      </w:r>
    </w:p>
    <w:p w14:paraId="755B388F" w14:textId="77777777" w:rsidR="00AF6263" w:rsidRPr="00415512" w:rsidRDefault="00AF6263" w:rsidP="00415512">
      <w:pPr>
        <w:widowControl w:val="0"/>
        <w:jc w:val="both"/>
        <w:rPr>
          <w:rFonts w:ascii="Arial" w:hAnsi="Arial" w:cs="Arial"/>
          <w:bCs/>
          <w:snapToGrid w:val="0"/>
          <w:sz w:val="16"/>
          <w:szCs w:val="16"/>
        </w:rPr>
      </w:pPr>
    </w:p>
    <w:p w14:paraId="4795BC90"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Las entidades usuarias deben:</w:t>
      </w:r>
    </w:p>
    <w:p w14:paraId="566FA878" w14:textId="77777777" w:rsidR="00AF6263" w:rsidRPr="00415512" w:rsidRDefault="00AF6263" w:rsidP="00415512">
      <w:pPr>
        <w:widowControl w:val="0"/>
        <w:jc w:val="both"/>
        <w:rPr>
          <w:rFonts w:ascii="Arial" w:hAnsi="Arial" w:cs="Arial"/>
          <w:bCs/>
          <w:snapToGrid w:val="0"/>
          <w:sz w:val="16"/>
          <w:szCs w:val="16"/>
        </w:rPr>
      </w:pPr>
    </w:p>
    <w:p w14:paraId="149EDA5D"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 xml:space="preserve">3.4.11.2.1. Establecer los mecanismos adecuados para asegurar que la información necesaria para la promoción de las operaciones, que se lleven a cabo en desarrollo del contrato de uso de red esté actualizada permanentemente y a disposición tanto para la entidad prestadora como para la SFC y los consumidores financieros. </w:t>
      </w:r>
    </w:p>
    <w:p w14:paraId="2D2BE24D"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3.4.11.2.2. Suministrar a las entidades prestadoras, como mínimo, la información a la que hace referencia el art. 9 de la Ley 1328 de 2009 y la normatividad aplicable a cada producto comercializado, incluyendo c</w:t>
      </w:r>
      <w:r w:rsidRPr="00415512">
        <w:rPr>
          <w:rFonts w:ascii="Arial" w:eastAsia="MS Gothic" w:hAnsi="Arial" w:cs="Arial"/>
          <w:bCs/>
          <w:sz w:val="16"/>
          <w:szCs w:val="16"/>
          <w:lang w:eastAsia="es-ES"/>
        </w:rPr>
        <w:t>ualquier información que sea indispensable para que el consumidor financiero tenga un claro entendimiento de los beneficios, limitaciones y costos del producto.</w:t>
      </w:r>
    </w:p>
    <w:p w14:paraId="07956683" w14:textId="77777777" w:rsidR="00AF6263" w:rsidRPr="00415512" w:rsidRDefault="00AF6263" w:rsidP="00415512">
      <w:pPr>
        <w:widowControl w:val="0"/>
        <w:jc w:val="both"/>
        <w:rPr>
          <w:rFonts w:ascii="Arial" w:hAnsi="Arial" w:cs="Arial"/>
          <w:bCs/>
          <w:snapToGrid w:val="0"/>
          <w:sz w:val="16"/>
          <w:szCs w:val="16"/>
        </w:rPr>
      </w:pPr>
      <w:r w:rsidRPr="00415512">
        <w:rPr>
          <w:rFonts w:ascii="Arial" w:hAnsi="Arial" w:cs="Arial"/>
          <w:bCs/>
          <w:snapToGrid w:val="0"/>
          <w:sz w:val="16"/>
          <w:szCs w:val="16"/>
        </w:rPr>
        <w:t xml:space="preserve">3.4.11.2.3. Entregar al consumidor financiero toda la información relacionada con las operaciones ofrecidas a través de canales no presenciales, previamente a la contratación o ejecuciones de </w:t>
      </w:r>
      <w:proofErr w:type="gramStart"/>
      <w:r w:rsidRPr="00415512">
        <w:rPr>
          <w:rFonts w:ascii="Arial" w:hAnsi="Arial" w:cs="Arial"/>
          <w:bCs/>
          <w:snapToGrid w:val="0"/>
          <w:sz w:val="16"/>
          <w:szCs w:val="16"/>
        </w:rPr>
        <w:t>las mismas</w:t>
      </w:r>
      <w:proofErr w:type="gramEnd"/>
      <w:r w:rsidRPr="00415512">
        <w:rPr>
          <w:rFonts w:ascii="Arial" w:hAnsi="Arial" w:cs="Arial"/>
          <w:bCs/>
          <w:snapToGrid w:val="0"/>
          <w:sz w:val="16"/>
          <w:szCs w:val="16"/>
        </w:rPr>
        <w:t>. Al momento de la realización de la operación debe quedar evidencia que el consumidor financiero recibió oportunamente la información para poder tomar una decisión informada.</w:t>
      </w:r>
    </w:p>
    <w:p w14:paraId="098A6E75" w14:textId="77777777" w:rsidR="00AF6263" w:rsidRPr="00415512" w:rsidRDefault="00AF6263" w:rsidP="00415512">
      <w:pPr>
        <w:widowControl w:val="0"/>
        <w:jc w:val="both"/>
        <w:rPr>
          <w:rFonts w:ascii="Arial" w:hAnsi="Arial" w:cs="Arial"/>
          <w:bCs/>
          <w:snapToGrid w:val="0"/>
          <w:sz w:val="16"/>
          <w:szCs w:val="16"/>
        </w:rPr>
      </w:pPr>
    </w:p>
    <w:p w14:paraId="1EBC4131" w14:textId="77777777" w:rsidR="00AF6263" w:rsidRPr="00415512" w:rsidRDefault="00AF6263" w:rsidP="00415512">
      <w:pPr>
        <w:widowControl w:val="0"/>
        <w:jc w:val="both"/>
        <w:rPr>
          <w:rFonts w:ascii="Arial" w:hAnsi="Arial" w:cs="Arial"/>
          <w:bCs/>
          <w:snapToGrid w:val="0"/>
          <w:sz w:val="16"/>
          <w:szCs w:val="16"/>
          <w:lang w:val="es-CO"/>
        </w:rPr>
      </w:pPr>
      <w:r w:rsidRPr="00415512">
        <w:rPr>
          <w:rFonts w:ascii="Arial" w:hAnsi="Arial" w:cs="Arial"/>
          <w:bCs/>
          <w:snapToGrid w:val="0"/>
          <w:sz w:val="16"/>
          <w:szCs w:val="16"/>
        </w:rPr>
        <w:t>3.4.11.3. Entidades Aseguradoras en calidad de entidades usuarias</w:t>
      </w:r>
    </w:p>
    <w:p w14:paraId="371DC19A" w14:textId="77777777" w:rsidR="00AF6263" w:rsidRPr="00415512" w:rsidRDefault="00AF6263" w:rsidP="00415512">
      <w:pPr>
        <w:widowControl w:val="0"/>
        <w:jc w:val="both"/>
        <w:rPr>
          <w:rFonts w:ascii="Arial" w:hAnsi="Arial" w:cs="Arial"/>
          <w:bCs/>
          <w:snapToGrid w:val="0"/>
          <w:sz w:val="16"/>
          <w:szCs w:val="16"/>
          <w:lang w:val="es-CO"/>
        </w:rPr>
      </w:pPr>
    </w:p>
    <w:p w14:paraId="0B9911C2" w14:textId="77777777" w:rsidR="00AF6263" w:rsidRPr="00415512" w:rsidRDefault="00AF6263" w:rsidP="00415512">
      <w:pPr>
        <w:widowControl w:val="0"/>
        <w:jc w:val="both"/>
        <w:rPr>
          <w:rFonts w:ascii="Arial" w:eastAsia="MS Gothic" w:hAnsi="Arial" w:cs="Arial"/>
          <w:bCs/>
          <w:sz w:val="16"/>
          <w:szCs w:val="16"/>
          <w:lang w:val="es-CO" w:eastAsia="es-ES"/>
        </w:rPr>
      </w:pPr>
      <w:r w:rsidRPr="00415512">
        <w:rPr>
          <w:rFonts w:ascii="Arial" w:hAnsi="Arial" w:cs="Arial"/>
          <w:bCs/>
          <w:snapToGrid w:val="0"/>
          <w:sz w:val="16"/>
          <w:szCs w:val="16"/>
          <w:lang w:val="es-CO"/>
        </w:rPr>
        <w:t>Sin perjuicio de lo establecido en el art. 9 de la Ley 1328 de 2009, l</w:t>
      </w:r>
      <w:r w:rsidRPr="00415512">
        <w:rPr>
          <w:rFonts w:ascii="Arial" w:eastAsia="MS Gothic" w:hAnsi="Arial" w:cs="Arial"/>
          <w:bCs/>
          <w:sz w:val="16"/>
          <w:szCs w:val="16"/>
          <w:lang w:val="es-CO" w:eastAsia="es-ES"/>
        </w:rPr>
        <w:t>as entidades aseguradoras, en calidad de entidades usuarias de la red de otras entidades vigiladas, deben garantizar que las entidades prestadoras de la red suministren a los consumidores financieros, previamente a la celebración del contrato de seguro, al menos la siguiente información, de manera cierta, suficiente, clara y oportuna, mediante medios verificables:</w:t>
      </w:r>
    </w:p>
    <w:p w14:paraId="0A4AE6AB" w14:textId="77777777" w:rsidR="00AF6263" w:rsidRPr="00415512" w:rsidRDefault="00AF6263" w:rsidP="00415512">
      <w:pPr>
        <w:jc w:val="both"/>
        <w:rPr>
          <w:rFonts w:ascii="Arial" w:eastAsia="MS Gothic" w:hAnsi="Arial" w:cs="Arial"/>
          <w:bCs/>
          <w:sz w:val="16"/>
          <w:szCs w:val="16"/>
          <w:lang w:val="es-CO" w:eastAsia="es-ES"/>
        </w:rPr>
      </w:pPr>
    </w:p>
    <w:p w14:paraId="767FE185" w14:textId="77777777" w:rsidR="00AF6263" w:rsidRPr="00415512" w:rsidRDefault="00AF6263" w:rsidP="00415512">
      <w:pPr>
        <w:jc w:val="both"/>
        <w:rPr>
          <w:rFonts w:ascii="Arial" w:eastAsia="MS Gothic" w:hAnsi="Arial" w:cs="Arial"/>
          <w:bCs/>
          <w:sz w:val="16"/>
          <w:szCs w:val="16"/>
          <w:lang w:eastAsia="es-ES"/>
        </w:rPr>
      </w:pPr>
      <w:r w:rsidRPr="00415512">
        <w:rPr>
          <w:rFonts w:ascii="Arial" w:hAnsi="Arial" w:cs="Arial"/>
          <w:bCs/>
          <w:snapToGrid w:val="0"/>
          <w:sz w:val="16"/>
          <w:szCs w:val="16"/>
        </w:rPr>
        <w:t>3.4.11.3.1</w:t>
      </w:r>
      <w:r w:rsidRPr="00415512">
        <w:rPr>
          <w:rFonts w:ascii="Arial" w:eastAsia="MS Gothic" w:hAnsi="Arial" w:cs="Arial"/>
          <w:bCs/>
          <w:sz w:val="16"/>
          <w:szCs w:val="16"/>
          <w:lang w:eastAsia="es-ES"/>
        </w:rPr>
        <w:t>. El alcance de los amparos y exclusiones, explicando en lenguaje sencillo y directo qué cubre y qué no cubre el contrato de seguro.</w:t>
      </w:r>
    </w:p>
    <w:p w14:paraId="22FB9C63" w14:textId="77777777" w:rsidR="00AF6263" w:rsidRPr="00415512" w:rsidRDefault="00AF6263" w:rsidP="00415512">
      <w:pPr>
        <w:jc w:val="both"/>
        <w:rPr>
          <w:rFonts w:ascii="Arial" w:eastAsia="MS Gothic" w:hAnsi="Arial" w:cs="Arial"/>
          <w:bCs/>
          <w:sz w:val="16"/>
          <w:szCs w:val="16"/>
          <w:lang w:eastAsia="es-ES"/>
        </w:rPr>
      </w:pPr>
      <w:r w:rsidRPr="00415512">
        <w:rPr>
          <w:rFonts w:ascii="Arial" w:hAnsi="Arial" w:cs="Arial"/>
          <w:bCs/>
          <w:snapToGrid w:val="0"/>
          <w:sz w:val="16"/>
          <w:szCs w:val="16"/>
        </w:rPr>
        <w:t xml:space="preserve">3.4.11.3.2. </w:t>
      </w:r>
      <w:r w:rsidRPr="00415512">
        <w:rPr>
          <w:rFonts w:ascii="Arial" w:eastAsia="MS Gothic" w:hAnsi="Arial" w:cs="Arial"/>
          <w:bCs/>
          <w:sz w:val="16"/>
          <w:szCs w:val="16"/>
          <w:lang w:eastAsia="es-ES"/>
        </w:rPr>
        <w:t>El periodo de vigencia de la póliza.</w:t>
      </w:r>
    </w:p>
    <w:p w14:paraId="29AB3930" w14:textId="77777777" w:rsidR="00AF6263" w:rsidRPr="00415512" w:rsidRDefault="00AF6263" w:rsidP="00415512">
      <w:pPr>
        <w:jc w:val="both"/>
        <w:rPr>
          <w:rFonts w:ascii="Arial" w:eastAsia="MS Gothic" w:hAnsi="Arial" w:cs="Arial"/>
          <w:bCs/>
          <w:sz w:val="16"/>
          <w:szCs w:val="16"/>
          <w:lang w:eastAsia="es-ES"/>
        </w:rPr>
      </w:pPr>
      <w:r w:rsidRPr="00415512">
        <w:rPr>
          <w:rFonts w:ascii="Arial" w:hAnsi="Arial" w:cs="Arial"/>
          <w:bCs/>
          <w:snapToGrid w:val="0"/>
          <w:sz w:val="16"/>
          <w:szCs w:val="16"/>
        </w:rPr>
        <w:t>3.4.11</w:t>
      </w:r>
      <w:r w:rsidRPr="00415512">
        <w:rPr>
          <w:rFonts w:ascii="Arial" w:eastAsia="MS Gothic" w:hAnsi="Arial" w:cs="Arial"/>
          <w:bCs/>
          <w:sz w:val="16"/>
          <w:szCs w:val="16"/>
          <w:lang w:eastAsia="es-ES"/>
        </w:rPr>
        <w:t>.3.3. El valor asegurado determinado o los criterios para determinarlo.</w:t>
      </w:r>
    </w:p>
    <w:p w14:paraId="28BDBB42" w14:textId="77777777" w:rsidR="00AF6263" w:rsidRPr="00415512" w:rsidRDefault="00AF6263" w:rsidP="00415512">
      <w:pPr>
        <w:jc w:val="both"/>
        <w:rPr>
          <w:rFonts w:ascii="Arial" w:eastAsia="MS Gothic" w:hAnsi="Arial" w:cs="Arial"/>
          <w:bCs/>
          <w:sz w:val="16"/>
          <w:szCs w:val="16"/>
          <w:lang w:eastAsia="es-ES"/>
        </w:rPr>
      </w:pPr>
      <w:r w:rsidRPr="00415512">
        <w:rPr>
          <w:rFonts w:ascii="Arial" w:hAnsi="Arial" w:cs="Arial"/>
          <w:bCs/>
          <w:snapToGrid w:val="0"/>
          <w:sz w:val="16"/>
          <w:szCs w:val="16"/>
        </w:rPr>
        <w:t>3.4.11.3.4.</w:t>
      </w:r>
      <w:r w:rsidRPr="00415512">
        <w:rPr>
          <w:rFonts w:ascii="Arial" w:eastAsia="MS Gothic" w:hAnsi="Arial" w:cs="Arial"/>
          <w:bCs/>
          <w:sz w:val="16"/>
          <w:szCs w:val="16"/>
          <w:lang w:eastAsia="es-ES"/>
        </w:rPr>
        <w:t xml:space="preserve"> El valor de la prima comercial del producto.</w:t>
      </w:r>
    </w:p>
    <w:p w14:paraId="11C59E22" w14:textId="77777777" w:rsidR="00AF6263" w:rsidRPr="00415512" w:rsidRDefault="00AF6263" w:rsidP="00415512">
      <w:pPr>
        <w:jc w:val="both"/>
        <w:rPr>
          <w:rFonts w:ascii="Arial" w:eastAsia="MS Gothic" w:hAnsi="Arial" w:cs="Arial"/>
          <w:bCs/>
          <w:sz w:val="16"/>
          <w:szCs w:val="16"/>
          <w:lang w:val="es-CO" w:eastAsia="es-ES"/>
        </w:rPr>
      </w:pPr>
      <w:r w:rsidRPr="00415512">
        <w:rPr>
          <w:rFonts w:ascii="Arial" w:hAnsi="Arial" w:cs="Arial"/>
          <w:bCs/>
          <w:snapToGrid w:val="0"/>
          <w:sz w:val="16"/>
          <w:szCs w:val="16"/>
        </w:rPr>
        <w:t>3.4.11</w:t>
      </w:r>
      <w:r w:rsidRPr="00415512">
        <w:rPr>
          <w:rFonts w:ascii="Arial" w:eastAsia="MS Gothic" w:hAnsi="Arial" w:cs="Arial"/>
          <w:bCs/>
          <w:sz w:val="16"/>
          <w:szCs w:val="16"/>
          <w:lang w:eastAsia="es-ES"/>
        </w:rPr>
        <w:t xml:space="preserve">.3.5. </w:t>
      </w:r>
      <w:r w:rsidRPr="00415512">
        <w:rPr>
          <w:rFonts w:ascii="Arial" w:eastAsia="MS Gothic" w:hAnsi="Arial" w:cs="Arial"/>
          <w:bCs/>
          <w:sz w:val="16"/>
          <w:szCs w:val="16"/>
          <w:lang w:val="es-CO" w:eastAsia="es-ES"/>
        </w:rPr>
        <w:t xml:space="preserve">El procedimiento, plazos y documentación </w:t>
      </w:r>
      <w:proofErr w:type="gramStart"/>
      <w:r w:rsidRPr="00415512">
        <w:rPr>
          <w:rFonts w:ascii="Arial" w:eastAsia="MS Gothic" w:hAnsi="Arial" w:cs="Arial"/>
          <w:bCs/>
          <w:sz w:val="16"/>
          <w:szCs w:val="16"/>
          <w:lang w:val="es-CO" w:eastAsia="es-ES"/>
        </w:rPr>
        <w:t>a</w:t>
      </w:r>
      <w:proofErr w:type="gramEnd"/>
      <w:r w:rsidRPr="00415512">
        <w:rPr>
          <w:rFonts w:ascii="Arial" w:eastAsia="MS Gothic" w:hAnsi="Arial" w:cs="Arial"/>
          <w:bCs/>
          <w:sz w:val="16"/>
          <w:szCs w:val="16"/>
          <w:lang w:val="es-CO" w:eastAsia="es-ES"/>
        </w:rPr>
        <w:t xml:space="preserve"> tener en cuenta para la reclamación de un siniestro.</w:t>
      </w:r>
    </w:p>
    <w:p w14:paraId="655038F2" w14:textId="77777777" w:rsidR="00AF6263" w:rsidRPr="00415512" w:rsidRDefault="00AF6263" w:rsidP="00415512">
      <w:pPr>
        <w:jc w:val="both"/>
        <w:rPr>
          <w:rFonts w:ascii="Arial" w:eastAsia="MS Gothic" w:hAnsi="Arial" w:cs="Arial"/>
          <w:bCs/>
          <w:sz w:val="16"/>
          <w:szCs w:val="16"/>
          <w:lang w:val="es-CO" w:eastAsia="es-ES"/>
        </w:rPr>
      </w:pPr>
      <w:r w:rsidRPr="00415512">
        <w:rPr>
          <w:rFonts w:ascii="Arial" w:hAnsi="Arial" w:cs="Arial"/>
          <w:bCs/>
          <w:snapToGrid w:val="0"/>
          <w:sz w:val="16"/>
          <w:szCs w:val="16"/>
        </w:rPr>
        <w:t>3.4.11</w:t>
      </w:r>
      <w:r w:rsidRPr="00415512">
        <w:rPr>
          <w:rFonts w:ascii="Arial" w:eastAsia="MS Gothic" w:hAnsi="Arial" w:cs="Arial"/>
          <w:bCs/>
          <w:sz w:val="16"/>
          <w:szCs w:val="16"/>
          <w:lang w:eastAsia="es-ES"/>
        </w:rPr>
        <w:t xml:space="preserve">.3.6. </w:t>
      </w:r>
      <w:r w:rsidRPr="00415512">
        <w:rPr>
          <w:rFonts w:ascii="Arial" w:eastAsia="MS Gothic" w:hAnsi="Arial" w:cs="Arial"/>
          <w:bCs/>
          <w:sz w:val="16"/>
          <w:szCs w:val="16"/>
          <w:lang w:val="es-CO" w:eastAsia="es-ES"/>
        </w:rPr>
        <w:t>Los canales por medio de los cuales puede formular peticiones o quejas.</w:t>
      </w:r>
    </w:p>
    <w:p w14:paraId="51A57767" w14:textId="77777777" w:rsidR="00AF6263" w:rsidRPr="00415512" w:rsidRDefault="00AF6263" w:rsidP="00415512">
      <w:pPr>
        <w:jc w:val="both"/>
        <w:rPr>
          <w:rFonts w:ascii="Arial" w:eastAsia="MS Gothic" w:hAnsi="Arial" w:cs="Arial"/>
          <w:bCs/>
          <w:sz w:val="16"/>
          <w:szCs w:val="16"/>
          <w:lang w:eastAsia="es-ES"/>
        </w:rPr>
      </w:pPr>
      <w:r w:rsidRPr="00415512">
        <w:rPr>
          <w:rFonts w:ascii="Arial" w:hAnsi="Arial" w:cs="Arial"/>
          <w:bCs/>
          <w:snapToGrid w:val="0"/>
          <w:sz w:val="16"/>
          <w:szCs w:val="16"/>
        </w:rPr>
        <w:t>3.4.11</w:t>
      </w:r>
      <w:r w:rsidRPr="00415512">
        <w:rPr>
          <w:rFonts w:ascii="Arial" w:eastAsia="MS Gothic" w:hAnsi="Arial" w:cs="Arial"/>
          <w:bCs/>
          <w:sz w:val="16"/>
          <w:szCs w:val="16"/>
          <w:lang w:eastAsia="es-ES"/>
        </w:rPr>
        <w:t>.3.7. Los requisitos de asegurabilidad que debe reunir el asegurado.</w:t>
      </w:r>
    </w:p>
    <w:p w14:paraId="53E27BF0" w14:textId="77777777" w:rsidR="00AF6263" w:rsidRPr="00415512" w:rsidRDefault="00AF6263" w:rsidP="00415512">
      <w:pPr>
        <w:jc w:val="both"/>
        <w:rPr>
          <w:rFonts w:ascii="Arial" w:eastAsia="MS Gothic" w:hAnsi="Arial" w:cs="Arial"/>
          <w:bCs/>
          <w:sz w:val="16"/>
          <w:szCs w:val="16"/>
          <w:lang w:eastAsia="es-ES"/>
        </w:rPr>
      </w:pPr>
      <w:r w:rsidRPr="00415512">
        <w:rPr>
          <w:rFonts w:ascii="Arial" w:hAnsi="Arial" w:cs="Arial"/>
          <w:bCs/>
          <w:snapToGrid w:val="0"/>
          <w:sz w:val="16"/>
          <w:szCs w:val="16"/>
        </w:rPr>
        <w:t>3.4.11</w:t>
      </w:r>
      <w:r w:rsidRPr="00415512">
        <w:rPr>
          <w:rFonts w:ascii="Arial" w:eastAsia="MS Gothic" w:hAnsi="Arial" w:cs="Arial"/>
          <w:bCs/>
          <w:sz w:val="16"/>
          <w:szCs w:val="16"/>
          <w:lang w:eastAsia="es-ES"/>
        </w:rPr>
        <w:t xml:space="preserve">.3.8. Las consecuencias de una declaración inexacta o reticente del estado del riesgo, de acuerdo con lo establecido en el art. 1058 del </w:t>
      </w:r>
      <w:proofErr w:type="gramStart"/>
      <w:r w:rsidRPr="00415512">
        <w:rPr>
          <w:rFonts w:ascii="Arial" w:eastAsia="MS Gothic" w:hAnsi="Arial" w:cs="Arial"/>
          <w:bCs/>
          <w:sz w:val="16"/>
          <w:szCs w:val="16"/>
          <w:lang w:eastAsia="es-ES"/>
        </w:rPr>
        <w:t>C.Cio</w:t>
      </w:r>
      <w:proofErr w:type="gramEnd"/>
      <w:r w:rsidRPr="00415512">
        <w:rPr>
          <w:rFonts w:ascii="Arial" w:eastAsia="MS Gothic" w:hAnsi="Arial" w:cs="Arial"/>
          <w:bCs/>
          <w:sz w:val="16"/>
          <w:szCs w:val="16"/>
          <w:lang w:eastAsia="es-ES"/>
        </w:rPr>
        <w:t>.</w:t>
      </w:r>
    </w:p>
    <w:p w14:paraId="32B99801" w14:textId="77777777" w:rsidR="00AF6263" w:rsidRPr="00415512" w:rsidRDefault="00AF6263" w:rsidP="00415512">
      <w:pPr>
        <w:jc w:val="both"/>
        <w:rPr>
          <w:rFonts w:ascii="Arial" w:eastAsia="MS Gothic" w:hAnsi="Arial" w:cs="Arial"/>
          <w:bCs/>
          <w:sz w:val="16"/>
          <w:szCs w:val="16"/>
          <w:lang w:val="es-CO" w:eastAsia="es-ES"/>
        </w:rPr>
      </w:pPr>
      <w:r w:rsidRPr="00C41D4A">
        <w:rPr>
          <w:rFonts w:ascii="Arial" w:hAnsi="Arial" w:cs="Arial"/>
          <w:bCs/>
          <w:snapToGrid w:val="0"/>
          <w:sz w:val="16"/>
          <w:szCs w:val="16"/>
        </w:rPr>
        <w:t>3.4.11</w:t>
      </w:r>
      <w:r w:rsidRPr="00C41D4A">
        <w:rPr>
          <w:rFonts w:ascii="Arial" w:eastAsia="MS Gothic" w:hAnsi="Arial" w:cs="Arial"/>
          <w:bCs/>
          <w:sz w:val="16"/>
          <w:szCs w:val="16"/>
          <w:lang w:eastAsia="es-ES"/>
        </w:rPr>
        <w:t>.3.9. Las consecuencias de la mora en el pago de la prima.</w:t>
      </w:r>
    </w:p>
    <w:p w14:paraId="150934D5" w14:textId="77777777" w:rsidR="00AF6263" w:rsidRDefault="00AF6263" w:rsidP="00415512">
      <w:pPr>
        <w:jc w:val="both"/>
        <w:rPr>
          <w:rFonts w:ascii="Arial" w:eastAsia="MS Gothic" w:hAnsi="Arial" w:cs="Arial"/>
          <w:bCs/>
          <w:sz w:val="16"/>
          <w:szCs w:val="16"/>
          <w:lang w:val="es-CO" w:eastAsia="es-ES"/>
        </w:rPr>
      </w:pPr>
    </w:p>
    <w:p w14:paraId="1D3C9A62" w14:textId="77777777" w:rsidR="00C41D4A" w:rsidRDefault="00C41D4A" w:rsidP="00415512">
      <w:pPr>
        <w:jc w:val="both"/>
        <w:rPr>
          <w:rFonts w:ascii="Arial" w:eastAsia="MS Gothic" w:hAnsi="Arial" w:cs="Arial"/>
          <w:bCs/>
          <w:sz w:val="16"/>
          <w:szCs w:val="16"/>
          <w:lang w:val="es-CO" w:eastAsia="es-ES"/>
        </w:rPr>
        <w:sectPr w:rsidR="00C41D4A" w:rsidSect="00AF616B">
          <w:footerReference w:type="first" r:id="rId12"/>
          <w:pgSz w:w="12240" w:h="18720" w:code="14"/>
          <w:pgMar w:top="1418" w:right="1701" w:bottom="1418" w:left="1701" w:header="709" w:footer="1134" w:gutter="0"/>
          <w:pgNumType w:start="19"/>
          <w:cols w:space="708"/>
          <w:titlePg/>
          <w:docGrid w:linePitch="360"/>
        </w:sectPr>
      </w:pPr>
    </w:p>
    <w:p w14:paraId="38FB749F" w14:textId="77777777" w:rsidR="00C41D4A" w:rsidRPr="00C41D4A" w:rsidRDefault="00C41D4A" w:rsidP="00C41D4A">
      <w:pPr>
        <w:tabs>
          <w:tab w:val="left" w:pos="1958"/>
        </w:tabs>
        <w:jc w:val="both"/>
        <w:rPr>
          <w:rFonts w:ascii="Arial" w:hAnsi="Arial" w:cs="Arial"/>
          <w:noProof/>
          <w:sz w:val="16"/>
          <w:szCs w:val="16"/>
          <w:lang w:val="es-419"/>
        </w:rPr>
      </w:pPr>
      <w:r w:rsidRPr="00C41D4A">
        <w:rPr>
          <w:rFonts w:ascii="Arial" w:hAnsi="Arial" w:cs="Arial"/>
          <w:noProof/>
          <w:sz w:val="16"/>
          <w:szCs w:val="16"/>
          <w:lang w:val="es-419"/>
        </w:rPr>
        <w:lastRenderedPageBreak/>
        <w:t xml:space="preserve">Las </w:t>
      </w:r>
      <w:r w:rsidRPr="00C41D4A">
        <w:rPr>
          <w:rFonts w:ascii="Arial" w:hAnsi="Arial" w:cs="Arial"/>
          <w:noProof/>
          <w:sz w:val="16"/>
          <w:szCs w:val="16"/>
          <w:lang w:val="es-ES"/>
        </w:rPr>
        <w:t xml:space="preserve">SOFICO </w:t>
      </w:r>
      <w:r w:rsidRPr="00C41D4A">
        <w:rPr>
          <w:rFonts w:ascii="Arial" w:hAnsi="Arial" w:cs="Arial"/>
          <w:noProof/>
          <w:sz w:val="16"/>
          <w:szCs w:val="16"/>
          <w:lang w:val="es-419"/>
        </w:rPr>
        <w:t xml:space="preserve">deben garantizar que la información a que se refiere el presente numeral sea revelada y suministrada en términos claros y bajo mecanismos que aseguren que, tanto aportantes como receptores, puedan acceder en forma permanente a la misma. Para tal efecto, las </w:t>
      </w:r>
      <w:r w:rsidRPr="00C41D4A">
        <w:rPr>
          <w:rFonts w:ascii="Arial" w:hAnsi="Arial" w:cs="Arial"/>
          <w:noProof/>
          <w:sz w:val="16"/>
          <w:szCs w:val="16"/>
          <w:lang w:val="es-ES"/>
        </w:rPr>
        <w:t>SOFICO</w:t>
      </w:r>
      <w:r w:rsidRPr="00C41D4A">
        <w:rPr>
          <w:rFonts w:ascii="Arial" w:hAnsi="Arial" w:cs="Arial"/>
          <w:noProof/>
          <w:sz w:val="16"/>
          <w:szCs w:val="16"/>
          <w:lang w:val="es-419"/>
        </w:rPr>
        <w:t xml:space="preserve"> deben implementar mecanismos adecuados para que los receptores y aportantes manifiesten su conformidad, así como la aceptación de los términos y condiciones de los proyectos productivos en los que decidan participar.</w:t>
      </w:r>
    </w:p>
    <w:p w14:paraId="21B5DB7E" w14:textId="77777777" w:rsidR="00C41D4A" w:rsidRPr="00C41D4A" w:rsidRDefault="00C41D4A" w:rsidP="00C41D4A">
      <w:pPr>
        <w:tabs>
          <w:tab w:val="left" w:pos="1958"/>
        </w:tabs>
        <w:jc w:val="both"/>
        <w:rPr>
          <w:rFonts w:ascii="Arial" w:hAnsi="Arial" w:cs="Arial"/>
          <w:noProof/>
          <w:sz w:val="16"/>
          <w:szCs w:val="16"/>
          <w:lang w:val="es-419"/>
        </w:rPr>
      </w:pPr>
    </w:p>
    <w:p w14:paraId="58B2418C" w14:textId="77777777" w:rsidR="00C41D4A" w:rsidRPr="00C41D4A" w:rsidRDefault="00C41D4A" w:rsidP="00C41D4A">
      <w:pPr>
        <w:tabs>
          <w:tab w:val="left" w:pos="1958"/>
        </w:tabs>
        <w:jc w:val="both"/>
        <w:rPr>
          <w:rFonts w:ascii="Arial" w:hAnsi="Arial" w:cs="Arial"/>
          <w:noProof/>
          <w:sz w:val="16"/>
          <w:szCs w:val="16"/>
          <w:lang w:val="es-419"/>
        </w:rPr>
      </w:pPr>
      <w:r w:rsidRPr="00C41D4A">
        <w:rPr>
          <w:rFonts w:ascii="Arial" w:hAnsi="Arial" w:cs="Arial"/>
          <w:noProof/>
          <w:sz w:val="16"/>
          <w:szCs w:val="16"/>
          <w:lang w:val="es-419"/>
        </w:rPr>
        <w:t xml:space="preserve">Respecto de la información que se publique y difunda tanto a traves de la plataforma como a través de cualquier otro medio de comunicación o red de difusión, publicidad o mercadeo, se deben implementar controles previos al interior de las </w:t>
      </w:r>
      <w:r w:rsidRPr="00C41D4A">
        <w:rPr>
          <w:rFonts w:ascii="Arial" w:hAnsi="Arial" w:cs="Arial"/>
          <w:noProof/>
          <w:sz w:val="16"/>
          <w:szCs w:val="16"/>
          <w:lang w:val="es-ES"/>
        </w:rPr>
        <w:t>SOFICO</w:t>
      </w:r>
      <w:r w:rsidRPr="00C41D4A">
        <w:rPr>
          <w:rFonts w:ascii="Arial" w:hAnsi="Arial" w:cs="Arial"/>
          <w:noProof/>
          <w:sz w:val="16"/>
          <w:szCs w:val="16"/>
          <w:lang w:val="es-419"/>
        </w:rPr>
        <w:t xml:space="preserve"> para asegurar un adecuado cumplimiento normativo del contenido y que se conserve la trazabilidad de dichas publicaciones. Dicha información y la trazabilidad de su divulgación, deberá permanecer a disposición de la SFC.</w:t>
      </w:r>
    </w:p>
    <w:p w14:paraId="49896A5B" w14:textId="77777777" w:rsidR="00C41D4A" w:rsidRPr="00C41D4A" w:rsidRDefault="00C41D4A" w:rsidP="00C41D4A">
      <w:pPr>
        <w:jc w:val="both"/>
        <w:rPr>
          <w:rFonts w:ascii="Arial" w:hAnsi="Arial" w:cs="Arial"/>
          <w:sz w:val="16"/>
          <w:szCs w:val="16"/>
          <w:lang w:val="es-CO" w:eastAsia="es-ES"/>
        </w:rPr>
      </w:pPr>
    </w:p>
    <w:p w14:paraId="37C1FE60" w14:textId="70D2C6A0" w:rsidR="00C41D4A" w:rsidRPr="00C41D4A" w:rsidRDefault="00FD59FB" w:rsidP="00C41D4A">
      <w:pPr>
        <w:pStyle w:val="Textocomentario"/>
        <w:jc w:val="both"/>
        <w:rPr>
          <w:rFonts w:ascii="Arial" w:hAnsi="Arial" w:cs="Arial"/>
          <w:b/>
          <w:bCs/>
          <w:sz w:val="16"/>
          <w:szCs w:val="16"/>
          <w:lang w:val="es-ES" w:eastAsia="es-ES"/>
        </w:rPr>
      </w:pPr>
      <w:r>
        <w:rPr>
          <w:rFonts w:ascii="Arial" w:hAnsi="Arial" w:cs="Arial"/>
          <w:b/>
          <w:bCs/>
          <w:noProof/>
          <w:sz w:val="16"/>
          <w:szCs w:val="16"/>
          <w:lang w:val="es-ES" w:eastAsia="es-ES"/>
        </w:rPr>
        <mc:AlternateContent>
          <mc:Choice Requires="wps">
            <w:drawing>
              <wp:anchor distT="0" distB="0" distL="114300" distR="114300" simplePos="0" relativeHeight="251658752" behindDoc="0" locked="0" layoutInCell="1" allowOverlap="1" wp14:anchorId="5C0A9AAF" wp14:editId="641410BB">
                <wp:simplePos x="0" y="0"/>
                <wp:positionH relativeFrom="column">
                  <wp:posOffset>-46355</wp:posOffset>
                </wp:positionH>
                <wp:positionV relativeFrom="paragraph">
                  <wp:posOffset>37465</wp:posOffset>
                </wp:positionV>
                <wp:extent cx="0" cy="7891780"/>
                <wp:effectExtent l="5080" t="9525" r="13970" b="1397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9178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A2C5AB" id="AutoShape 8" o:spid="_x0000_s1026" type="#_x0000_t32" style="position:absolute;margin-left:-3.65pt;margin-top:2.95pt;width:0;height:62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" strokeweight=".25pt"/>
            </w:pict>
          </mc:Fallback>
        </mc:AlternateContent>
      </w:r>
      <w:r w:rsidR="00C41D4A" w:rsidRPr="00C41D4A">
        <w:rPr>
          <w:rFonts w:ascii="Arial" w:hAnsi="Arial" w:cs="Arial"/>
          <w:b/>
          <w:bCs/>
          <w:sz w:val="16"/>
          <w:szCs w:val="16"/>
          <w:lang w:val="es-ES" w:eastAsia="es-ES"/>
        </w:rPr>
        <w:t>3.4.1</w:t>
      </w:r>
      <w:r w:rsidR="007D1A8A">
        <w:rPr>
          <w:rFonts w:ascii="Arial" w:hAnsi="Arial" w:cs="Arial"/>
          <w:b/>
          <w:bCs/>
          <w:sz w:val="16"/>
          <w:szCs w:val="16"/>
          <w:lang w:val="es-ES" w:eastAsia="es-ES"/>
        </w:rPr>
        <w:t>4</w:t>
      </w:r>
      <w:r w:rsidR="00C41D4A" w:rsidRPr="00C41D4A">
        <w:rPr>
          <w:rFonts w:ascii="Arial" w:hAnsi="Arial" w:cs="Arial"/>
          <w:b/>
          <w:bCs/>
          <w:sz w:val="16"/>
          <w:szCs w:val="16"/>
          <w:lang w:val="es-ES" w:eastAsia="es-ES"/>
        </w:rPr>
        <w:t xml:space="preserve"> Establecimientos de Crédito y Sociedades Especializadas en Depósitos y Pagos Electrónicos (SEDPE) que presten los servicios de adquirencia </w:t>
      </w:r>
    </w:p>
    <w:p w14:paraId="28487022" w14:textId="77777777" w:rsidR="00C41D4A" w:rsidRPr="00C41D4A" w:rsidRDefault="00C41D4A" w:rsidP="00C41D4A">
      <w:pPr>
        <w:pStyle w:val="Textocomentario"/>
        <w:jc w:val="both"/>
        <w:rPr>
          <w:rFonts w:ascii="Arial" w:hAnsi="Arial" w:cs="Arial"/>
          <w:b/>
          <w:bCs/>
          <w:sz w:val="16"/>
          <w:szCs w:val="16"/>
          <w:lang w:val="es-ES" w:eastAsia="es-ES"/>
        </w:rPr>
      </w:pPr>
    </w:p>
    <w:p w14:paraId="7E029839" w14:textId="77777777" w:rsidR="00C41D4A" w:rsidRPr="00C41D4A" w:rsidRDefault="00C41D4A" w:rsidP="00C41D4A">
      <w:pPr>
        <w:pStyle w:val="Textocomentario"/>
        <w:jc w:val="both"/>
        <w:rPr>
          <w:rFonts w:ascii="Arial" w:hAnsi="Arial" w:cs="Arial"/>
          <w:b/>
          <w:bCs/>
          <w:sz w:val="16"/>
          <w:szCs w:val="16"/>
          <w:lang w:val="es-ES" w:eastAsia="es-ES"/>
        </w:rPr>
      </w:pPr>
      <w:r w:rsidRPr="00C41D4A">
        <w:rPr>
          <w:rFonts w:ascii="Arial" w:hAnsi="Arial" w:cs="Arial"/>
          <w:b/>
          <w:bCs/>
          <w:sz w:val="16"/>
          <w:szCs w:val="16"/>
          <w:lang w:val="es-ES" w:eastAsia="es-ES"/>
        </w:rPr>
        <w:t xml:space="preserve">Los Establecimientos de Crédito y </w:t>
      </w:r>
      <w:r w:rsidR="007D1A8A">
        <w:rPr>
          <w:rFonts w:ascii="Arial" w:hAnsi="Arial" w:cs="Arial"/>
          <w:b/>
          <w:bCs/>
          <w:sz w:val="16"/>
          <w:szCs w:val="16"/>
          <w:lang w:val="es-ES" w:eastAsia="es-ES"/>
        </w:rPr>
        <w:t>las SEDPE</w:t>
      </w:r>
      <w:r w:rsidRPr="00C41D4A">
        <w:rPr>
          <w:rFonts w:ascii="Arial" w:hAnsi="Arial" w:cs="Arial"/>
          <w:b/>
          <w:bCs/>
          <w:sz w:val="16"/>
          <w:szCs w:val="16"/>
          <w:lang w:val="es-ES" w:eastAsia="es-ES"/>
        </w:rPr>
        <w:t xml:space="preserve"> deben dar estricta observancia a los principios de debida diligencia, responsabilidad y transparencia a los que se refiere el art. 3 de la Ley 1328 de 2009, con el fin de garantizar un trato justo al consumidor financiero que hace uso de los servicios de adquirencia </w:t>
      </w:r>
      <w:r w:rsidR="007D1A8A">
        <w:rPr>
          <w:rFonts w:ascii="Arial" w:hAnsi="Arial" w:cs="Arial"/>
          <w:b/>
          <w:bCs/>
          <w:sz w:val="16"/>
          <w:szCs w:val="16"/>
          <w:lang w:val="es-ES" w:eastAsia="es-ES"/>
        </w:rPr>
        <w:t xml:space="preserve">a los que se refiere </w:t>
      </w:r>
      <w:r w:rsidRPr="00C41D4A">
        <w:rPr>
          <w:rFonts w:ascii="Arial" w:hAnsi="Arial" w:cs="Arial"/>
          <w:b/>
          <w:bCs/>
          <w:sz w:val="16"/>
          <w:szCs w:val="16"/>
          <w:lang w:val="es-ES" w:eastAsia="es-ES"/>
        </w:rPr>
        <w:t xml:space="preserve">el numeral 1 del art. 2.17.1.1.1 del Decreto 2555 de 2010. Para efectos del presente subnumeral, se entiende por consumidor financiero aquellos comercios destinatarios de los recursos objeto de una orden de pago o transferencia de fondos que se tramite en un </w:t>
      </w:r>
      <w:r w:rsidR="00FC07B4">
        <w:rPr>
          <w:rFonts w:ascii="Arial" w:hAnsi="Arial" w:cs="Arial"/>
          <w:b/>
          <w:bCs/>
          <w:sz w:val="16"/>
          <w:szCs w:val="16"/>
          <w:lang w:val="es-ES" w:eastAsia="es-ES"/>
        </w:rPr>
        <w:t>S</w:t>
      </w:r>
      <w:r w:rsidRPr="00C41D4A">
        <w:rPr>
          <w:rFonts w:ascii="Arial" w:hAnsi="Arial" w:cs="Arial"/>
          <w:b/>
          <w:bCs/>
          <w:sz w:val="16"/>
          <w:szCs w:val="16"/>
          <w:lang w:val="es-ES" w:eastAsia="es-ES"/>
        </w:rPr>
        <w:t xml:space="preserve">istema de </w:t>
      </w:r>
      <w:r w:rsidR="00FC07B4">
        <w:rPr>
          <w:rFonts w:ascii="Arial" w:hAnsi="Arial" w:cs="Arial"/>
          <w:b/>
          <w:bCs/>
          <w:sz w:val="16"/>
          <w:szCs w:val="16"/>
          <w:lang w:val="es-ES" w:eastAsia="es-ES"/>
        </w:rPr>
        <w:t>P</w:t>
      </w:r>
      <w:r w:rsidRPr="00C41D4A">
        <w:rPr>
          <w:rFonts w:ascii="Arial" w:hAnsi="Arial" w:cs="Arial"/>
          <w:b/>
          <w:bCs/>
          <w:sz w:val="16"/>
          <w:szCs w:val="16"/>
          <w:lang w:val="es-ES" w:eastAsia="es-ES"/>
        </w:rPr>
        <w:t xml:space="preserve">ago de </w:t>
      </w:r>
      <w:r w:rsidR="00FC07B4">
        <w:rPr>
          <w:rFonts w:ascii="Arial" w:hAnsi="Arial" w:cs="Arial"/>
          <w:b/>
          <w:bCs/>
          <w:sz w:val="16"/>
          <w:szCs w:val="16"/>
          <w:lang w:val="es-ES" w:eastAsia="es-ES"/>
        </w:rPr>
        <w:t>B</w:t>
      </w:r>
      <w:r w:rsidRPr="00C41D4A">
        <w:rPr>
          <w:rFonts w:ascii="Arial" w:hAnsi="Arial" w:cs="Arial"/>
          <w:b/>
          <w:bCs/>
          <w:sz w:val="16"/>
          <w:szCs w:val="16"/>
          <w:lang w:val="es-ES" w:eastAsia="es-ES"/>
        </w:rPr>
        <w:t xml:space="preserve">ajo </w:t>
      </w:r>
      <w:r w:rsidR="00FC07B4">
        <w:rPr>
          <w:rFonts w:ascii="Arial" w:hAnsi="Arial" w:cs="Arial"/>
          <w:b/>
          <w:bCs/>
          <w:sz w:val="16"/>
          <w:szCs w:val="16"/>
          <w:lang w:val="es-ES" w:eastAsia="es-ES"/>
        </w:rPr>
        <w:t>V</w:t>
      </w:r>
      <w:r w:rsidRPr="00C41D4A">
        <w:rPr>
          <w:rFonts w:ascii="Arial" w:hAnsi="Arial" w:cs="Arial"/>
          <w:b/>
          <w:bCs/>
          <w:sz w:val="16"/>
          <w:szCs w:val="16"/>
          <w:lang w:val="es-ES" w:eastAsia="es-ES"/>
        </w:rPr>
        <w:t xml:space="preserve">alor (SPBV). </w:t>
      </w:r>
    </w:p>
    <w:p w14:paraId="4496B4AC" w14:textId="77777777" w:rsidR="00C41D4A" w:rsidRPr="00C41D4A" w:rsidRDefault="00C41D4A" w:rsidP="00C41D4A">
      <w:pPr>
        <w:pStyle w:val="Textocomentario"/>
        <w:jc w:val="both"/>
        <w:rPr>
          <w:rFonts w:ascii="Arial" w:hAnsi="Arial" w:cs="Arial"/>
          <w:b/>
          <w:bCs/>
          <w:sz w:val="16"/>
          <w:szCs w:val="16"/>
          <w:lang w:val="es-ES" w:eastAsia="es-ES"/>
        </w:rPr>
      </w:pPr>
    </w:p>
    <w:p w14:paraId="649E0EF6" w14:textId="77777777" w:rsidR="00C41D4A" w:rsidRPr="00C41D4A" w:rsidRDefault="007D1A8A" w:rsidP="00C41D4A">
      <w:pPr>
        <w:pStyle w:val="Textocomentario"/>
        <w:jc w:val="both"/>
        <w:rPr>
          <w:rFonts w:ascii="Arial" w:hAnsi="Arial" w:cs="Arial"/>
          <w:b/>
          <w:bCs/>
          <w:sz w:val="16"/>
          <w:szCs w:val="16"/>
          <w:lang w:val="es-ES" w:eastAsia="es-ES"/>
        </w:rPr>
      </w:pPr>
      <w:r>
        <w:rPr>
          <w:rFonts w:ascii="Arial" w:hAnsi="Arial" w:cs="Arial"/>
          <w:b/>
          <w:bCs/>
          <w:sz w:val="16"/>
          <w:szCs w:val="16"/>
          <w:lang w:val="es-ES" w:eastAsia="es-ES"/>
        </w:rPr>
        <w:t>Los</w:t>
      </w:r>
      <w:r w:rsidR="00C41D4A" w:rsidRPr="00C41D4A">
        <w:rPr>
          <w:rFonts w:ascii="Arial" w:hAnsi="Arial" w:cs="Arial"/>
          <w:b/>
          <w:bCs/>
          <w:sz w:val="16"/>
          <w:szCs w:val="16"/>
          <w:lang w:val="es-ES" w:eastAsia="es-ES"/>
        </w:rPr>
        <w:t xml:space="preserve"> adquirente</w:t>
      </w:r>
      <w:r>
        <w:rPr>
          <w:rFonts w:ascii="Arial" w:hAnsi="Arial" w:cs="Arial"/>
          <w:b/>
          <w:bCs/>
          <w:sz w:val="16"/>
          <w:szCs w:val="16"/>
          <w:lang w:val="es-ES" w:eastAsia="es-ES"/>
        </w:rPr>
        <w:t>s</w:t>
      </w:r>
      <w:r w:rsidR="00C41D4A" w:rsidRPr="00C41D4A">
        <w:rPr>
          <w:rFonts w:ascii="Arial" w:hAnsi="Arial" w:cs="Arial"/>
          <w:b/>
          <w:bCs/>
          <w:sz w:val="16"/>
          <w:szCs w:val="16"/>
          <w:lang w:val="es-ES" w:eastAsia="es-ES"/>
        </w:rPr>
        <w:t xml:space="preserve"> vigilado</w:t>
      </w:r>
      <w:r>
        <w:rPr>
          <w:rFonts w:ascii="Arial" w:hAnsi="Arial" w:cs="Arial"/>
          <w:b/>
          <w:bCs/>
          <w:sz w:val="16"/>
          <w:szCs w:val="16"/>
          <w:lang w:val="es-ES" w:eastAsia="es-ES"/>
        </w:rPr>
        <w:t>s</w:t>
      </w:r>
      <w:r w:rsidR="00C41D4A" w:rsidRPr="00C41D4A">
        <w:rPr>
          <w:rFonts w:ascii="Arial" w:hAnsi="Arial" w:cs="Arial"/>
          <w:b/>
          <w:bCs/>
          <w:sz w:val="16"/>
          <w:szCs w:val="16"/>
          <w:lang w:val="es-ES" w:eastAsia="es-ES"/>
        </w:rPr>
        <w:t xml:space="preserve"> por la SFC que contrate</w:t>
      </w:r>
      <w:r>
        <w:rPr>
          <w:rFonts w:ascii="Arial" w:hAnsi="Arial" w:cs="Arial"/>
          <w:b/>
          <w:bCs/>
          <w:sz w:val="16"/>
          <w:szCs w:val="16"/>
          <w:lang w:val="es-ES" w:eastAsia="es-ES"/>
        </w:rPr>
        <w:t>n</w:t>
      </w:r>
      <w:r w:rsidR="00C41D4A" w:rsidRPr="00C41D4A">
        <w:rPr>
          <w:rFonts w:ascii="Arial" w:hAnsi="Arial" w:cs="Arial"/>
          <w:b/>
          <w:bCs/>
          <w:sz w:val="16"/>
          <w:szCs w:val="16"/>
          <w:lang w:val="es-ES" w:eastAsia="es-ES"/>
        </w:rPr>
        <w:t xml:space="preserve"> proveedores de servicios de pago para el desarrollo de las actividades de adquirencia </w:t>
      </w:r>
      <w:r>
        <w:rPr>
          <w:rFonts w:ascii="Arial" w:hAnsi="Arial" w:cs="Arial"/>
          <w:b/>
          <w:bCs/>
          <w:sz w:val="16"/>
          <w:szCs w:val="16"/>
          <w:lang w:val="es-ES" w:eastAsia="es-ES"/>
        </w:rPr>
        <w:t xml:space="preserve">son </w:t>
      </w:r>
      <w:r w:rsidR="00C41D4A" w:rsidRPr="00C41D4A">
        <w:rPr>
          <w:rFonts w:ascii="Arial" w:hAnsi="Arial" w:cs="Arial"/>
          <w:b/>
          <w:bCs/>
          <w:sz w:val="16"/>
          <w:szCs w:val="16"/>
          <w:lang w:val="es-ES" w:eastAsia="es-ES"/>
        </w:rPr>
        <w:t>responsable</w:t>
      </w:r>
      <w:r>
        <w:rPr>
          <w:rFonts w:ascii="Arial" w:hAnsi="Arial" w:cs="Arial"/>
          <w:b/>
          <w:bCs/>
          <w:sz w:val="16"/>
          <w:szCs w:val="16"/>
          <w:lang w:val="es-ES" w:eastAsia="es-ES"/>
        </w:rPr>
        <w:t>s</w:t>
      </w:r>
      <w:r w:rsidR="00C41D4A" w:rsidRPr="00C41D4A">
        <w:rPr>
          <w:rFonts w:ascii="Arial" w:hAnsi="Arial" w:cs="Arial"/>
          <w:b/>
          <w:bCs/>
          <w:sz w:val="16"/>
          <w:szCs w:val="16"/>
          <w:lang w:val="es-ES" w:eastAsia="es-ES"/>
        </w:rPr>
        <w:t xml:space="preserve"> frente al consumidor financiero por el cumplimiento de las obligaciones derivadas de la prestación de ese servicio</w:t>
      </w:r>
      <w:r>
        <w:rPr>
          <w:rFonts w:ascii="Arial" w:hAnsi="Arial" w:cs="Arial"/>
          <w:b/>
          <w:bCs/>
          <w:sz w:val="16"/>
          <w:szCs w:val="16"/>
          <w:lang w:val="es-ES" w:eastAsia="es-ES"/>
        </w:rPr>
        <w:t>, d</w:t>
      </w:r>
      <w:r w:rsidRPr="00C41D4A">
        <w:rPr>
          <w:rFonts w:ascii="Arial" w:hAnsi="Arial" w:cs="Arial"/>
          <w:b/>
          <w:bCs/>
          <w:sz w:val="16"/>
          <w:szCs w:val="16"/>
          <w:lang w:val="es-ES" w:eastAsia="es-ES"/>
        </w:rPr>
        <w:t>e conformidad con lo previsto en el inciso segundo del numeral 1 del artículo 2.17.1.1.1 del Decreto 2555 de 2010</w:t>
      </w:r>
      <w:r w:rsidR="00C41D4A" w:rsidRPr="00C41D4A">
        <w:rPr>
          <w:rFonts w:ascii="Arial" w:hAnsi="Arial" w:cs="Arial"/>
          <w:b/>
          <w:bCs/>
          <w:sz w:val="16"/>
          <w:szCs w:val="16"/>
          <w:lang w:val="es-ES" w:eastAsia="es-ES"/>
        </w:rPr>
        <w:t xml:space="preserve">. Por lo tanto, </w:t>
      </w:r>
      <w:r w:rsidR="00C44E58">
        <w:rPr>
          <w:rFonts w:ascii="Arial" w:hAnsi="Arial" w:cs="Arial"/>
          <w:b/>
          <w:bCs/>
          <w:sz w:val="16"/>
          <w:szCs w:val="16"/>
          <w:lang w:val="es-ES" w:eastAsia="es-ES"/>
        </w:rPr>
        <w:t xml:space="preserve">los adquirentes vigilados por la SFC </w:t>
      </w:r>
      <w:r w:rsidR="00C41D4A" w:rsidRPr="00C41D4A">
        <w:rPr>
          <w:rFonts w:ascii="Arial" w:hAnsi="Arial" w:cs="Arial"/>
          <w:b/>
          <w:bCs/>
          <w:sz w:val="16"/>
          <w:szCs w:val="16"/>
          <w:lang w:val="es-ES" w:eastAsia="es-ES"/>
        </w:rPr>
        <w:t>deberá</w:t>
      </w:r>
      <w:r>
        <w:rPr>
          <w:rFonts w:ascii="Arial" w:hAnsi="Arial" w:cs="Arial"/>
          <w:b/>
          <w:bCs/>
          <w:sz w:val="16"/>
          <w:szCs w:val="16"/>
          <w:lang w:val="es-ES" w:eastAsia="es-ES"/>
        </w:rPr>
        <w:t>n</w:t>
      </w:r>
      <w:r w:rsidR="00C41D4A" w:rsidRPr="00C41D4A">
        <w:rPr>
          <w:rFonts w:ascii="Arial" w:hAnsi="Arial" w:cs="Arial"/>
          <w:b/>
          <w:bCs/>
          <w:sz w:val="16"/>
          <w:szCs w:val="16"/>
          <w:lang w:val="es-ES" w:eastAsia="es-ES"/>
        </w:rPr>
        <w:t xml:space="preserve"> informarle al consumidor financiero, de forma clara y sencilla: i) cu</w:t>
      </w:r>
      <w:r>
        <w:rPr>
          <w:rFonts w:ascii="Arial" w:hAnsi="Arial" w:cs="Arial"/>
          <w:b/>
          <w:bCs/>
          <w:sz w:val="16"/>
          <w:szCs w:val="16"/>
          <w:lang w:val="es-ES" w:eastAsia="es-ES"/>
        </w:rPr>
        <w:t>á</w:t>
      </w:r>
      <w:r w:rsidR="00C41D4A" w:rsidRPr="00C41D4A">
        <w:rPr>
          <w:rFonts w:ascii="Arial" w:hAnsi="Arial" w:cs="Arial"/>
          <w:b/>
          <w:bCs/>
          <w:sz w:val="16"/>
          <w:szCs w:val="16"/>
          <w:lang w:val="es-ES" w:eastAsia="es-ES"/>
        </w:rPr>
        <w:t>les actividades serán desarrolladas por el mismo y cu</w:t>
      </w:r>
      <w:r>
        <w:rPr>
          <w:rFonts w:ascii="Arial" w:hAnsi="Arial" w:cs="Arial"/>
          <w:b/>
          <w:bCs/>
          <w:sz w:val="16"/>
          <w:szCs w:val="16"/>
          <w:lang w:val="es-ES" w:eastAsia="es-ES"/>
        </w:rPr>
        <w:t>á</w:t>
      </w:r>
      <w:r w:rsidR="00C41D4A" w:rsidRPr="00C41D4A">
        <w:rPr>
          <w:rFonts w:ascii="Arial" w:hAnsi="Arial" w:cs="Arial"/>
          <w:b/>
          <w:bCs/>
          <w:sz w:val="16"/>
          <w:szCs w:val="16"/>
          <w:lang w:val="es-ES" w:eastAsia="es-ES"/>
        </w:rPr>
        <w:t xml:space="preserve">les por </w:t>
      </w:r>
      <w:r w:rsidR="00C44E58">
        <w:rPr>
          <w:rFonts w:ascii="Arial" w:hAnsi="Arial" w:cs="Arial"/>
          <w:b/>
          <w:bCs/>
          <w:sz w:val="16"/>
          <w:szCs w:val="16"/>
          <w:lang w:val="es-ES" w:eastAsia="es-ES"/>
        </w:rPr>
        <w:t xml:space="preserve">un </w:t>
      </w:r>
      <w:r w:rsidR="00C41D4A" w:rsidRPr="00C41D4A">
        <w:rPr>
          <w:rFonts w:ascii="Arial" w:hAnsi="Arial" w:cs="Arial"/>
          <w:b/>
          <w:bCs/>
          <w:sz w:val="16"/>
          <w:szCs w:val="16"/>
          <w:lang w:val="es-ES" w:eastAsia="es-ES"/>
        </w:rPr>
        <w:t xml:space="preserve">tercero contratado, así como su alcance, y ii) su responsabilidad frente a la actividad de adquirencia. </w:t>
      </w:r>
    </w:p>
    <w:p w14:paraId="1EB0E376" w14:textId="77777777" w:rsidR="00C41D4A" w:rsidRPr="00C41D4A" w:rsidRDefault="00C41D4A" w:rsidP="00C41D4A">
      <w:pPr>
        <w:pStyle w:val="Textocomentario"/>
        <w:jc w:val="both"/>
        <w:rPr>
          <w:rFonts w:ascii="Arial" w:hAnsi="Arial" w:cs="Arial"/>
          <w:b/>
          <w:bCs/>
          <w:sz w:val="16"/>
          <w:szCs w:val="16"/>
          <w:lang w:val="es-ES" w:eastAsia="es-ES"/>
        </w:rPr>
      </w:pPr>
    </w:p>
    <w:p w14:paraId="0312F585" w14:textId="77777777" w:rsidR="00C41D4A" w:rsidRPr="00C41D4A" w:rsidRDefault="00C41D4A" w:rsidP="00C41D4A">
      <w:pPr>
        <w:pStyle w:val="Textocomentario"/>
        <w:jc w:val="both"/>
        <w:rPr>
          <w:rFonts w:ascii="Arial" w:hAnsi="Arial" w:cs="Arial"/>
          <w:b/>
          <w:bCs/>
          <w:sz w:val="16"/>
          <w:szCs w:val="16"/>
          <w:lang w:val="es-ES" w:eastAsia="es-ES"/>
        </w:rPr>
      </w:pPr>
      <w:r w:rsidRPr="00C41D4A">
        <w:rPr>
          <w:rFonts w:ascii="Arial" w:hAnsi="Arial" w:cs="Arial"/>
          <w:b/>
          <w:bCs/>
          <w:sz w:val="16"/>
          <w:szCs w:val="16"/>
          <w:lang w:val="es-ES" w:eastAsia="es-ES"/>
        </w:rPr>
        <w:t>3.4.1</w:t>
      </w:r>
      <w:r w:rsidR="007D1A8A">
        <w:rPr>
          <w:rFonts w:ascii="Arial" w:hAnsi="Arial" w:cs="Arial"/>
          <w:b/>
          <w:bCs/>
          <w:sz w:val="16"/>
          <w:szCs w:val="16"/>
          <w:lang w:val="es-ES" w:eastAsia="es-ES"/>
        </w:rPr>
        <w:t>4</w:t>
      </w:r>
      <w:r w:rsidRPr="00C41D4A">
        <w:rPr>
          <w:rFonts w:ascii="Arial" w:hAnsi="Arial" w:cs="Arial"/>
          <w:b/>
          <w:bCs/>
          <w:sz w:val="16"/>
          <w:szCs w:val="16"/>
          <w:lang w:val="es-ES" w:eastAsia="es-ES"/>
        </w:rPr>
        <w:t xml:space="preserve">.1 Las obligaciones de suministro de información al consumidor financiero deben ser atendidas por los adquirentes vigilados por la SFC o por los proveedores de servicios de pago contratados, sin perjuicio de la responsabilidad que </w:t>
      </w:r>
      <w:proofErr w:type="gramStart"/>
      <w:r w:rsidRPr="00C41D4A">
        <w:rPr>
          <w:rFonts w:ascii="Arial" w:hAnsi="Arial" w:cs="Arial"/>
          <w:b/>
          <w:bCs/>
          <w:sz w:val="16"/>
          <w:szCs w:val="16"/>
          <w:lang w:val="es-ES" w:eastAsia="es-ES"/>
        </w:rPr>
        <w:t>le</w:t>
      </w:r>
      <w:proofErr w:type="gramEnd"/>
      <w:r w:rsidRPr="00C41D4A">
        <w:rPr>
          <w:rFonts w:ascii="Arial" w:hAnsi="Arial" w:cs="Arial"/>
          <w:b/>
          <w:bCs/>
          <w:sz w:val="16"/>
          <w:szCs w:val="16"/>
          <w:lang w:val="es-ES" w:eastAsia="es-ES"/>
        </w:rPr>
        <w:t xml:space="preserve"> asiste a los primeros. En todo caso, de manera previa a la suscripción del respectivo contrato de adquirencia, a través de un medio verificable, se deberá suministrar </w:t>
      </w:r>
      <w:r w:rsidR="00774434">
        <w:rPr>
          <w:rFonts w:ascii="Arial" w:hAnsi="Arial" w:cs="Arial"/>
          <w:b/>
          <w:bCs/>
          <w:sz w:val="16"/>
          <w:szCs w:val="16"/>
          <w:lang w:val="es-ES" w:eastAsia="es-ES"/>
        </w:rPr>
        <w:t>a</w:t>
      </w:r>
      <w:r w:rsidR="00C44E58">
        <w:rPr>
          <w:rFonts w:ascii="Arial" w:hAnsi="Arial" w:cs="Arial"/>
          <w:b/>
          <w:bCs/>
          <w:sz w:val="16"/>
          <w:szCs w:val="16"/>
          <w:lang w:val="es-ES" w:eastAsia="es-ES"/>
        </w:rPr>
        <w:t>l</w:t>
      </w:r>
      <w:r w:rsidR="00774434">
        <w:rPr>
          <w:rFonts w:ascii="Arial" w:hAnsi="Arial" w:cs="Arial"/>
          <w:b/>
          <w:bCs/>
          <w:sz w:val="16"/>
          <w:szCs w:val="16"/>
          <w:lang w:val="es-ES" w:eastAsia="es-ES"/>
        </w:rPr>
        <w:t xml:space="preserve"> consumidor </w:t>
      </w:r>
      <w:r w:rsidR="00E35BA0">
        <w:rPr>
          <w:rFonts w:ascii="Arial" w:hAnsi="Arial" w:cs="Arial"/>
          <w:b/>
          <w:bCs/>
          <w:sz w:val="16"/>
          <w:szCs w:val="16"/>
          <w:lang w:val="es-ES" w:eastAsia="es-ES"/>
        </w:rPr>
        <w:t xml:space="preserve">financiero </w:t>
      </w:r>
      <w:r w:rsidRPr="00C41D4A">
        <w:rPr>
          <w:rFonts w:ascii="Arial" w:hAnsi="Arial" w:cs="Arial"/>
          <w:b/>
          <w:bCs/>
          <w:sz w:val="16"/>
          <w:szCs w:val="16"/>
          <w:lang w:val="es-ES" w:eastAsia="es-ES"/>
        </w:rPr>
        <w:t>la siguiente información:</w:t>
      </w:r>
    </w:p>
    <w:p w14:paraId="0961A605" w14:textId="77777777" w:rsidR="00C41D4A" w:rsidRPr="00C41D4A" w:rsidRDefault="00C41D4A" w:rsidP="00C41D4A">
      <w:pPr>
        <w:pStyle w:val="Textocomentario"/>
        <w:jc w:val="both"/>
        <w:rPr>
          <w:rFonts w:ascii="Arial" w:hAnsi="Arial" w:cs="Arial"/>
          <w:b/>
          <w:bCs/>
          <w:sz w:val="16"/>
          <w:szCs w:val="16"/>
          <w:lang w:val="es-ES" w:eastAsia="es-ES"/>
        </w:rPr>
      </w:pPr>
    </w:p>
    <w:p w14:paraId="022AB1DD" w14:textId="77777777" w:rsidR="00C41D4A" w:rsidRPr="00C41D4A" w:rsidRDefault="00C41D4A" w:rsidP="00C41D4A">
      <w:pPr>
        <w:pStyle w:val="Textocomentario"/>
        <w:numPr>
          <w:ilvl w:val="0"/>
          <w:numId w:val="27"/>
        </w:numPr>
        <w:jc w:val="both"/>
        <w:rPr>
          <w:rFonts w:ascii="Arial" w:hAnsi="Arial" w:cs="Arial"/>
          <w:b/>
          <w:bCs/>
          <w:sz w:val="16"/>
          <w:szCs w:val="16"/>
          <w:lang w:val="es-ES" w:eastAsia="es-ES"/>
        </w:rPr>
      </w:pPr>
      <w:r w:rsidRPr="00C41D4A">
        <w:rPr>
          <w:rFonts w:ascii="Arial" w:hAnsi="Arial" w:cs="Arial"/>
          <w:b/>
          <w:bCs/>
          <w:sz w:val="16"/>
          <w:szCs w:val="16"/>
          <w:lang w:val="es-ES" w:eastAsia="es-ES"/>
        </w:rPr>
        <w:t xml:space="preserve">Los datos de contacto del tercero contratado como proveedor de servicios de pago. </w:t>
      </w:r>
    </w:p>
    <w:p w14:paraId="3AF61D8E" w14:textId="77777777" w:rsidR="00C41D4A" w:rsidRPr="00C41D4A" w:rsidRDefault="00C41D4A" w:rsidP="00C41D4A">
      <w:pPr>
        <w:pStyle w:val="Textocomentario"/>
        <w:numPr>
          <w:ilvl w:val="0"/>
          <w:numId w:val="27"/>
        </w:numPr>
        <w:jc w:val="both"/>
        <w:rPr>
          <w:rFonts w:ascii="Arial" w:hAnsi="Arial" w:cs="Arial"/>
          <w:b/>
          <w:bCs/>
          <w:sz w:val="16"/>
          <w:szCs w:val="16"/>
          <w:lang w:val="es-ES" w:eastAsia="es-ES"/>
        </w:rPr>
      </w:pPr>
      <w:r w:rsidRPr="00C41D4A">
        <w:rPr>
          <w:rFonts w:ascii="Arial" w:hAnsi="Arial" w:cs="Arial"/>
          <w:b/>
          <w:bCs/>
          <w:sz w:val="16"/>
          <w:szCs w:val="16"/>
          <w:lang w:val="es-ES" w:eastAsia="es-ES"/>
        </w:rPr>
        <w:t xml:space="preserve">Los procedimientos, canales de recepción, responsables y plazos para la atención de quejas y reclamos. </w:t>
      </w:r>
    </w:p>
    <w:p w14:paraId="0ED8969A" w14:textId="77777777" w:rsidR="00C41D4A" w:rsidRPr="00C41D4A" w:rsidRDefault="00C41D4A" w:rsidP="00C41D4A">
      <w:pPr>
        <w:pStyle w:val="Textocomentario"/>
        <w:numPr>
          <w:ilvl w:val="0"/>
          <w:numId w:val="27"/>
        </w:numPr>
        <w:jc w:val="both"/>
        <w:rPr>
          <w:rFonts w:ascii="Arial" w:hAnsi="Arial" w:cs="Arial"/>
          <w:b/>
          <w:bCs/>
          <w:sz w:val="16"/>
          <w:szCs w:val="16"/>
          <w:lang w:val="es-ES" w:eastAsia="es-ES"/>
        </w:rPr>
      </w:pPr>
      <w:r w:rsidRPr="00C41D4A">
        <w:rPr>
          <w:rFonts w:ascii="Arial" w:hAnsi="Arial" w:cs="Arial"/>
          <w:b/>
          <w:bCs/>
          <w:sz w:val="16"/>
          <w:szCs w:val="16"/>
          <w:lang w:val="es-ES" w:eastAsia="es-ES"/>
        </w:rPr>
        <w:t xml:space="preserve">La explicación detallada del procedimiento para las reversiones y contra cargos. </w:t>
      </w:r>
    </w:p>
    <w:p w14:paraId="26165682" w14:textId="77777777" w:rsidR="00C41D4A" w:rsidRPr="00C41D4A" w:rsidRDefault="00C41D4A" w:rsidP="00C41D4A">
      <w:pPr>
        <w:pStyle w:val="Textocomentario"/>
        <w:numPr>
          <w:ilvl w:val="0"/>
          <w:numId w:val="27"/>
        </w:numPr>
        <w:jc w:val="both"/>
        <w:rPr>
          <w:rFonts w:ascii="Arial" w:hAnsi="Arial" w:cs="Arial"/>
          <w:b/>
          <w:bCs/>
          <w:sz w:val="16"/>
          <w:szCs w:val="16"/>
          <w:lang w:val="es-ES" w:eastAsia="es-ES"/>
        </w:rPr>
      </w:pPr>
      <w:r w:rsidRPr="00C41D4A">
        <w:rPr>
          <w:rFonts w:ascii="Arial" w:hAnsi="Arial" w:cs="Arial"/>
          <w:b/>
          <w:bCs/>
          <w:sz w:val="16"/>
          <w:szCs w:val="16"/>
          <w:lang w:val="es-ES" w:eastAsia="es-ES"/>
        </w:rPr>
        <w:t>Los servicios adicionales ofrecidos que implican cobros o pagos no incluidos en la comisión de adquirencia.</w:t>
      </w:r>
    </w:p>
    <w:p w14:paraId="4201746C" w14:textId="77777777" w:rsidR="00C41D4A" w:rsidRPr="00C41D4A" w:rsidRDefault="00C41D4A" w:rsidP="00C41D4A">
      <w:pPr>
        <w:pStyle w:val="Textocomentario"/>
        <w:numPr>
          <w:ilvl w:val="0"/>
          <w:numId w:val="27"/>
        </w:numPr>
        <w:jc w:val="both"/>
        <w:rPr>
          <w:rFonts w:ascii="Arial" w:hAnsi="Arial" w:cs="Arial"/>
          <w:b/>
          <w:bCs/>
          <w:sz w:val="16"/>
          <w:szCs w:val="16"/>
          <w:lang w:val="es-ES" w:eastAsia="es-ES"/>
        </w:rPr>
      </w:pPr>
      <w:r w:rsidRPr="00C41D4A">
        <w:rPr>
          <w:rFonts w:ascii="Arial" w:hAnsi="Arial" w:cs="Arial"/>
          <w:b/>
          <w:bCs/>
          <w:sz w:val="16"/>
          <w:szCs w:val="16"/>
          <w:lang w:val="es-ES" w:eastAsia="es-ES"/>
        </w:rPr>
        <w:t xml:space="preserve">Los servicios adicionales ofrecidos que implican cobros o pagos no incluidos en el costo de vinculación del comercio al adquirente. </w:t>
      </w:r>
    </w:p>
    <w:p w14:paraId="4CDC19BE" w14:textId="63C689EE" w:rsidR="00C41D4A" w:rsidRPr="00C41D4A" w:rsidRDefault="00C41D4A" w:rsidP="00C41D4A">
      <w:pPr>
        <w:pStyle w:val="Textocomentario"/>
        <w:numPr>
          <w:ilvl w:val="0"/>
          <w:numId w:val="27"/>
        </w:numPr>
        <w:jc w:val="both"/>
        <w:rPr>
          <w:rFonts w:ascii="Arial" w:hAnsi="Arial" w:cs="Arial"/>
          <w:b/>
          <w:bCs/>
          <w:sz w:val="16"/>
          <w:szCs w:val="16"/>
          <w:lang w:val="es-ES" w:eastAsia="es-ES"/>
        </w:rPr>
      </w:pPr>
      <w:r w:rsidRPr="00C41D4A">
        <w:rPr>
          <w:rFonts w:ascii="Arial" w:hAnsi="Arial" w:cs="Arial"/>
          <w:b/>
          <w:bCs/>
          <w:sz w:val="16"/>
          <w:szCs w:val="16"/>
          <w:lang w:val="es-ES" w:eastAsia="es-ES"/>
        </w:rPr>
        <w:t xml:space="preserve">Los mecanismos claros, sencillos y expeditos para la terminación de la relación contractual, </w:t>
      </w:r>
      <w:r w:rsidR="007D1866">
        <w:rPr>
          <w:rFonts w:ascii="Arial" w:hAnsi="Arial" w:cs="Arial"/>
          <w:b/>
          <w:bCs/>
          <w:sz w:val="16"/>
          <w:szCs w:val="16"/>
          <w:lang w:val="es-ES" w:eastAsia="es-ES"/>
        </w:rPr>
        <w:t xml:space="preserve">acordes </w:t>
      </w:r>
      <w:r w:rsidRPr="00C41D4A">
        <w:rPr>
          <w:rFonts w:ascii="Arial" w:hAnsi="Arial" w:cs="Arial"/>
          <w:b/>
          <w:bCs/>
          <w:sz w:val="16"/>
          <w:szCs w:val="16"/>
          <w:lang w:val="es-ES" w:eastAsia="es-ES"/>
        </w:rPr>
        <w:t>a los de apertura o adquisición del producto.</w:t>
      </w:r>
    </w:p>
    <w:p w14:paraId="32D464F1" w14:textId="77777777" w:rsidR="00C41D4A" w:rsidRPr="00F9200D" w:rsidRDefault="00C41D4A" w:rsidP="00014250">
      <w:pPr>
        <w:pStyle w:val="Textocomentario"/>
        <w:widowControl w:val="0"/>
        <w:numPr>
          <w:ilvl w:val="0"/>
          <w:numId w:val="27"/>
        </w:numPr>
        <w:autoSpaceDE w:val="0"/>
        <w:autoSpaceDN w:val="0"/>
        <w:adjustRightInd w:val="0"/>
        <w:ind w:right="51"/>
        <w:jc w:val="both"/>
        <w:rPr>
          <w:rFonts w:ascii="Arial" w:hAnsi="Arial" w:cs="Arial"/>
          <w:b/>
          <w:bCs/>
          <w:sz w:val="16"/>
          <w:szCs w:val="16"/>
          <w:lang w:val="es-ES" w:eastAsia="es-ES"/>
        </w:rPr>
      </w:pPr>
      <w:r w:rsidRPr="00F9200D">
        <w:rPr>
          <w:rFonts w:ascii="Arial" w:hAnsi="Arial" w:cs="Arial"/>
          <w:b/>
          <w:bCs/>
          <w:sz w:val="16"/>
          <w:szCs w:val="16"/>
          <w:lang w:val="es-ES" w:eastAsia="es-ES"/>
        </w:rPr>
        <w:t>La comisión de adquirencia cobrada y el costo de vinculación del comercio al adquirente. Esta información debe revelarse al consumidor financiero de manera clara, explícita, con la desagregación de los conceptos que incluye</w:t>
      </w:r>
      <w:r w:rsidR="00F9200D" w:rsidRPr="00F9200D">
        <w:rPr>
          <w:rFonts w:ascii="Arial" w:hAnsi="Arial" w:cs="Arial"/>
          <w:b/>
          <w:bCs/>
          <w:sz w:val="16"/>
          <w:szCs w:val="16"/>
          <w:lang w:val="es-ES" w:eastAsia="es-ES"/>
        </w:rPr>
        <w:t xml:space="preserve"> y</w:t>
      </w:r>
      <w:r w:rsidRPr="00F9200D">
        <w:rPr>
          <w:rFonts w:ascii="Arial" w:hAnsi="Arial" w:cs="Arial"/>
          <w:b/>
          <w:bCs/>
          <w:sz w:val="16"/>
          <w:szCs w:val="16"/>
          <w:lang w:val="es-ES" w:eastAsia="es-ES"/>
        </w:rPr>
        <w:t xml:space="preserve"> la moneda en que se cobra</w:t>
      </w:r>
      <w:r w:rsidR="00F9200D" w:rsidRPr="00F9200D">
        <w:rPr>
          <w:rFonts w:ascii="Arial" w:hAnsi="Arial" w:cs="Arial"/>
          <w:b/>
          <w:bCs/>
          <w:sz w:val="16"/>
          <w:szCs w:val="16"/>
          <w:lang w:val="es-ES" w:eastAsia="es-ES"/>
        </w:rPr>
        <w:t>.</w:t>
      </w:r>
      <w:r w:rsidRPr="00F9200D">
        <w:rPr>
          <w:rFonts w:ascii="Arial" w:hAnsi="Arial" w:cs="Arial"/>
          <w:b/>
          <w:bCs/>
          <w:sz w:val="16"/>
          <w:szCs w:val="16"/>
          <w:lang w:val="es-ES" w:eastAsia="es-ES"/>
        </w:rPr>
        <w:t xml:space="preserve"> En los eventos en que se haya contratado un proveedor de servicio de pago, se debe indicar la tarifa que este cobrará por la prestación de sus servicios y si la misma se encuentra incluida en la comisión de adquirencia. </w:t>
      </w:r>
    </w:p>
    <w:p w14:paraId="19314001" w14:textId="77777777" w:rsidR="00C41D4A" w:rsidRPr="00C41D4A" w:rsidRDefault="00C41D4A" w:rsidP="00C41D4A">
      <w:pPr>
        <w:pStyle w:val="Textocomentario"/>
        <w:numPr>
          <w:ilvl w:val="0"/>
          <w:numId w:val="27"/>
        </w:numPr>
        <w:jc w:val="both"/>
        <w:rPr>
          <w:rFonts w:ascii="Arial" w:hAnsi="Arial" w:cs="Arial"/>
          <w:b/>
          <w:bCs/>
          <w:sz w:val="16"/>
          <w:szCs w:val="16"/>
          <w:lang w:val="es-ES" w:eastAsia="es-ES"/>
        </w:rPr>
      </w:pPr>
      <w:r w:rsidRPr="00C41D4A">
        <w:rPr>
          <w:rFonts w:ascii="Arial" w:hAnsi="Arial" w:cs="Arial"/>
          <w:b/>
          <w:bCs/>
          <w:sz w:val="16"/>
          <w:szCs w:val="16"/>
          <w:lang w:val="es-ES" w:eastAsia="es-ES"/>
        </w:rPr>
        <w:t>L</w:t>
      </w:r>
      <w:r w:rsidR="00774434">
        <w:rPr>
          <w:rFonts w:ascii="Arial" w:hAnsi="Arial" w:cs="Arial"/>
          <w:b/>
          <w:bCs/>
          <w:sz w:val="16"/>
          <w:szCs w:val="16"/>
          <w:lang w:val="es-ES" w:eastAsia="es-ES"/>
        </w:rPr>
        <w:t>a</w:t>
      </w:r>
      <w:r w:rsidRPr="00C41D4A">
        <w:rPr>
          <w:rFonts w:ascii="Arial" w:hAnsi="Arial" w:cs="Arial"/>
          <w:b/>
          <w:bCs/>
          <w:sz w:val="16"/>
          <w:szCs w:val="16"/>
          <w:lang w:val="es-ES" w:eastAsia="es-ES"/>
        </w:rPr>
        <w:t xml:space="preserve"> demás que resulte indispensable para la adecuada prestación de los servicios contratados.</w:t>
      </w:r>
    </w:p>
    <w:p w14:paraId="117120A9" w14:textId="77777777" w:rsidR="00C41D4A" w:rsidRPr="00C41D4A" w:rsidRDefault="00C41D4A" w:rsidP="00C41D4A">
      <w:pPr>
        <w:pStyle w:val="Textocomentario"/>
        <w:jc w:val="both"/>
        <w:rPr>
          <w:rFonts w:ascii="Arial" w:hAnsi="Arial" w:cs="Arial"/>
          <w:b/>
          <w:bCs/>
          <w:sz w:val="16"/>
          <w:szCs w:val="16"/>
          <w:lang w:val="es-ES" w:eastAsia="es-ES"/>
        </w:rPr>
      </w:pPr>
    </w:p>
    <w:p w14:paraId="3BFEB302" w14:textId="77777777" w:rsidR="00C41D4A" w:rsidRPr="00C41D4A" w:rsidRDefault="00C41D4A" w:rsidP="00C41D4A">
      <w:pPr>
        <w:pStyle w:val="Textocomentario"/>
        <w:jc w:val="both"/>
        <w:rPr>
          <w:rFonts w:ascii="Arial" w:hAnsi="Arial" w:cs="Arial"/>
          <w:b/>
          <w:bCs/>
          <w:sz w:val="16"/>
          <w:szCs w:val="16"/>
          <w:lang w:val="es-ES" w:eastAsia="es-ES"/>
        </w:rPr>
      </w:pPr>
      <w:r w:rsidRPr="00C41D4A">
        <w:rPr>
          <w:rFonts w:ascii="Arial" w:hAnsi="Arial" w:cs="Arial"/>
          <w:b/>
          <w:bCs/>
          <w:sz w:val="16"/>
          <w:szCs w:val="16"/>
          <w:lang w:val="es-ES" w:eastAsia="es-ES"/>
        </w:rPr>
        <w:t xml:space="preserve">En aquellos eventos en que el consumidor financiero solicite información relacionada con la forma de determinar los cobros o pagos no incluidos en la comisión de adquirencia o </w:t>
      </w:r>
      <w:r w:rsidR="007D1A8A">
        <w:rPr>
          <w:rFonts w:ascii="Arial" w:hAnsi="Arial" w:cs="Arial"/>
          <w:b/>
          <w:bCs/>
          <w:sz w:val="16"/>
          <w:szCs w:val="16"/>
          <w:lang w:val="es-ES" w:eastAsia="es-ES"/>
        </w:rPr>
        <w:t xml:space="preserve">en </w:t>
      </w:r>
      <w:r w:rsidRPr="00C41D4A">
        <w:rPr>
          <w:rFonts w:ascii="Arial" w:hAnsi="Arial" w:cs="Arial"/>
          <w:b/>
          <w:bCs/>
          <w:sz w:val="16"/>
          <w:szCs w:val="16"/>
          <w:lang w:val="es-ES" w:eastAsia="es-ES"/>
        </w:rPr>
        <w:t>el costo de su vinculación al adquirente</w:t>
      </w:r>
      <w:r w:rsidR="007D1A8A">
        <w:rPr>
          <w:rFonts w:ascii="Arial" w:hAnsi="Arial" w:cs="Arial"/>
          <w:b/>
          <w:bCs/>
          <w:sz w:val="16"/>
          <w:szCs w:val="16"/>
          <w:lang w:val="es-ES" w:eastAsia="es-ES"/>
        </w:rPr>
        <w:t>,</w:t>
      </w:r>
      <w:r w:rsidRPr="00C41D4A">
        <w:rPr>
          <w:rFonts w:ascii="Arial" w:hAnsi="Arial" w:cs="Arial"/>
          <w:b/>
          <w:bCs/>
          <w:sz w:val="16"/>
          <w:szCs w:val="16"/>
          <w:lang w:val="es-ES" w:eastAsia="es-ES"/>
        </w:rPr>
        <w:t xml:space="preserve"> o los acuerdos de niveles de servicio para atender reclamaciones o incidentes tecnológicos, </w:t>
      </w:r>
      <w:r w:rsidR="007D1A8A">
        <w:rPr>
          <w:rFonts w:ascii="Arial" w:hAnsi="Arial" w:cs="Arial"/>
          <w:b/>
          <w:bCs/>
          <w:sz w:val="16"/>
          <w:szCs w:val="16"/>
          <w:lang w:val="es-ES" w:eastAsia="es-ES"/>
        </w:rPr>
        <w:t xml:space="preserve">los </w:t>
      </w:r>
      <w:r w:rsidRPr="00C41D4A">
        <w:rPr>
          <w:rFonts w:ascii="Arial" w:hAnsi="Arial" w:cs="Arial"/>
          <w:b/>
          <w:bCs/>
          <w:sz w:val="16"/>
          <w:szCs w:val="16"/>
          <w:lang w:val="es-ES" w:eastAsia="es-ES"/>
        </w:rPr>
        <w:t>adquirente</w:t>
      </w:r>
      <w:r w:rsidR="007D1A8A">
        <w:rPr>
          <w:rFonts w:ascii="Arial" w:hAnsi="Arial" w:cs="Arial"/>
          <w:b/>
          <w:bCs/>
          <w:sz w:val="16"/>
          <w:szCs w:val="16"/>
          <w:lang w:val="es-ES" w:eastAsia="es-ES"/>
        </w:rPr>
        <w:t>s vigilados por la SFC</w:t>
      </w:r>
      <w:r w:rsidRPr="00C41D4A">
        <w:rPr>
          <w:rFonts w:ascii="Arial" w:hAnsi="Arial" w:cs="Arial"/>
          <w:b/>
          <w:bCs/>
          <w:sz w:val="16"/>
          <w:szCs w:val="16"/>
          <w:lang w:val="es-ES" w:eastAsia="es-ES"/>
        </w:rPr>
        <w:t xml:space="preserve"> o a quien haya contratado deberá suministrarl</w:t>
      </w:r>
      <w:r w:rsidR="007D1A8A">
        <w:rPr>
          <w:rFonts w:ascii="Arial" w:hAnsi="Arial" w:cs="Arial"/>
          <w:b/>
          <w:bCs/>
          <w:sz w:val="16"/>
          <w:szCs w:val="16"/>
          <w:lang w:val="es-ES" w:eastAsia="es-ES"/>
        </w:rPr>
        <w:t>a</w:t>
      </w:r>
      <w:r w:rsidRPr="00C41D4A">
        <w:rPr>
          <w:rFonts w:ascii="Arial" w:hAnsi="Arial" w:cs="Arial"/>
          <w:b/>
          <w:bCs/>
          <w:sz w:val="16"/>
          <w:szCs w:val="16"/>
          <w:lang w:val="es-ES" w:eastAsia="es-ES"/>
        </w:rPr>
        <w:t xml:space="preserve"> a través de un medio verificable.  </w:t>
      </w:r>
    </w:p>
    <w:p w14:paraId="352635BC" w14:textId="77777777" w:rsidR="00C41D4A" w:rsidRPr="00C41D4A" w:rsidRDefault="00C41D4A" w:rsidP="00C41D4A">
      <w:pPr>
        <w:pStyle w:val="Textocomentario"/>
        <w:ind w:left="720"/>
        <w:jc w:val="both"/>
        <w:rPr>
          <w:rFonts w:ascii="Arial" w:hAnsi="Arial" w:cs="Arial"/>
          <w:b/>
          <w:bCs/>
          <w:sz w:val="16"/>
          <w:szCs w:val="16"/>
          <w:lang w:val="es-ES" w:eastAsia="es-ES"/>
        </w:rPr>
      </w:pPr>
    </w:p>
    <w:p w14:paraId="15E83741" w14:textId="77777777" w:rsidR="00C41D4A" w:rsidRPr="00C41D4A" w:rsidRDefault="00C41D4A" w:rsidP="00C41D4A">
      <w:pPr>
        <w:pStyle w:val="Textocomentario"/>
        <w:jc w:val="both"/>
        <w:rPr>
          <w:rFonts w:ascii="Arial" w:hAnsi="Arial" w:cs="Arial"/>
          <w:b/>
          <w:bCs/>
          <w:sz w:val="16"/>
          <w:szCs w:val="16"/>
          <w:lang w:val="es-ES" w:eastAsia="es-ES"/>
        </w:rPr>
      </w:pPr>
      <w:r w:rsidRPr="00C41D4A">
        <w:rPr>
          <w:rFonts w:ascii="Arial" w:hAnsi="Arial" w:cs="Arial"/>
          <w:b/>
          <w:bCs/>
          <w:sz w:val="16"/>
          <w:szCs w:val="16"/>
          <w:lang w:val="es-ES" w:eastAsia="es-ES"/>
        </w:rPr>
        <w:t>3.4.1</w:t>
      </w:r>
      <w:r w:rsidR="007D1A8A">
        <w:rPr>
          <w:rFonts w:ascii="Arial" w:hAnsi="Arial" w:cs="Arial"/>
          <w:b/>
          <w:bCs/>
          <w:sz w:val="16"/>
          <w:szCs w:val="16"/>
          <w:lang w:val="es-ES" w:eastAsia="es-ES"/>
        </w:rPr>
        <w:t>4</w:t>
      </w:r>
      <w:r w:rsidRPr="00C41D4A">
        <w:rPr>
          <w:rFonts w:ascii="Arial" w:hAnsi="Arial" w:cs="Arial"/>
          <w:b/>
          <w:bCs/>
          <w:sz w:val="16"/>
          <w:szCs w:val="16"/>
          <w:lang w:val="es-ES" w:eastAsia="es-ES"/>
        </w:rPr>
        <w:t xml:space="preserve">.2 Los contratos de adquirencia que se celebren con </w:t>
      </w:r>
      <w:r w:rsidR="00C92AFC">
        <w:rPr>
          <w:rFonts w:ascii="Arial" w:hAnsi="Arial" w:cs="Arial"/>
          <w:b/>
          <w:bCs/>
          <w:sz w:val="16"/>
          <w:szCs w:val="16"/>
          <w:lang w:val="es-ES" w:eastAsia="es-ES"/>
        </w:rPr>
        <w:t xml:space="preserve">el </w:t>
      </w:r>
      <w:r w:rsidRPr="00C41D4A">
        <w:rPr>
          <w:rFonts w:ascii="Arial" w:hAnsi="Arial" w:cs="Arial"/>
          <w:b/>
          <w:bCs/>
          <w:sz w:val="16"/>
          <w:szCs w:val="16"/>
          <w:lang w:val="es-ES" w:eastAsia="es-ES"/>
        </w:rPr>
        <w:t>consumidor financiero no deben contener cláusulas abusivas o que puedan afectar el equilibrio contractual de las partes, tales como: la posibilidad de que el adquirente pueda dar por terminado el servicio en cualquier momento, sin justa causa o sin previo aviso. En caso de ser incluidas se entienden por no escritas o sin efectos para el consumidor financiero, de conformidad con el art. 11 de la Ley 1328 de 2009.</w:t>
      </w:r>
    </w:p>
    <w:p w14:paraId="089C76CF" w14:textId="77777777" w:rsidR="00C41D4A" w:rsidRPr="00C41D4A" w:rsidRDefault="00C41D4A" w:rsidP="00C41D4A">
      <w:pPr>
        <w:pStyle w:val="Textocomentario"/>
        <w:jc w:val="both"/>
        <w:rPr>
          <w:rFonts w:ascii="Arial" w:hAnsi="Arial" w:cs="Arial"/>
          <w:b/>
          <w:bCs/>
          <w:sz w:val="16"/>
          <w:szCs w:val="16"/>
          <w:lang w:val="es-ES" w:eastAsia="es-ES"/>
        </w:rPr>
      </w:pPr>
    </w:p>
    <w:p w14:paraId="75868D88" w14:textId="77777777" w:rsidR="00C41D4A" w:rsidRPr="00C41D4A" w:rsidRDefault="00C41D4A" w:rsidP="00C41D4A">
      <w:pPr>
        <w:pStyle w:val="Textocomentario"/>
        <w:jc w:val="both"/>
        <w:rPr>
          <w:rFonts w:ascii="Arial" w:hAnsi="Arial" w:cs="Arial"/>
          <w:b/>
          <w:bCs/>
          <w:sz w:val="16"/>
          <w:szCs w:val="16"/>
          <w:lang w:val="es-ES" w:eastAsia="es-ES"/>
        </w:rPr>
      </w:pPr>
      <w:r w:rsidRPr="00C41D4A">
        <w:rPr>
          <w:rFonts w:ascii="Arial" w:hAnsi="Arial" w:cs="Arial"/>
          <w:b/>
          <w:bCs/>
          <w:sz w:val="16"/>
          <w:szCs w:val="16"/>
          <w:lang w:val="es-ES" w:eastAsia="es-ES"/>
        </w:rPr>
        <w:t>3.4.1</w:t>
      </w:r>
      <w:r w:rsidR="007D1A8A">
        <w:rPr>
          <w:rFonts w:ascii="Arial" w:hAnsi="Arial" w:cs="Arial"/>
          <w:b/>
          <w:bCs/>
          <w:sz w:val="16"/>
          <w:szCs w:val="16"/>
          <w:lang w:val="es-ES" w:eastAsia="es-ES"/>
        </w:rPr>
        <w:t>4</w:t>
      </w:r>
      <w:r w:rsidRPr="00C41D4A">
        <w:rPr>
          <w:rFonts w:ascii="Arial" w:hAnsi="Arial" w:cs="Arial"/>
          <w:b/>
          <w:bCs/>
          <w:sz w:val="16"/>
          <w:szCs w:val="16"/>
          <w:lang w:val="es-ES" w:eastAsia="es-ES"/>
        </w:rPr>
        <w:t xml:space="preserve">.3 El defensor del consumidor financiero del adquirente vigilado por la SFC podrá hacer uso de la facultad de revisión de contratos contenida en el art. 2.34.2.1.6 del Decreto 2555 de 2010, para evitar que los contratos que se suscriban con </w:t>
      </w:r>
      <w:r w:rsidR="00C92AFC">
        <w:rPr>
          <w:rFonts w:ascii="Arial" w:hAnsi="Arial" w:cs="Arial"/>
          <w:b/>
          <w:bCs/>
          <w:sz w:val="16"/>
          <w:szCs w:val="16"/>
          <w:lang w:val="es-ES" w:eastAsia="es-ES"/>
        </w:rPr>
        <w:t xml:space="preserve">el </w:t>
      </w:r>
      <w:r w:rsidRPr="00C41D4A">
        <w:rPr>
          <w:rFonts w:ascii="Arial" w:hAnsi="Arial" w:cs="Arial"/>
          <w:b/>
          <w:bCs/>
          <w:sz w:val="16"/>
          <w:szCs w:val="16"/>
          <w:lang w:val="es-ES" w:eastAsia="es-ES"/>
        </w:rPr>
        <w:t>consumidor financiero contenga</w:t>
      </w:r>
      <w:r w:rsidR="00C92AFC">
        <w:rPr>
          <w:rFonts w:ascii="Arial" w:hAnsi="Arial" w:cs="Arial"/>
          <w:b/>
          <w:bCs/>
          <w:sz w:val="16"/>
          <w:szCs w:val="16"/>
          <w:lang w:val="es-ES" w:eastAsia="es-ES"/>
        </w:rPr>
        <w:t>n</w:t>
      </w:r>
      <w:r w:rsidRPr="00C41D4A">
        <w:rPr>
          <w:rFonts w:ascii="Arial" w:hAnsi="Arial" w:cs="Arial"/>
          <w:b/>
          <w:bCs/>
          <w:sz w:val="16"/>
          <w:szCs w:val="16"/>
          <w:lang w:val="es-ES" w:eastAsia="es-ES"/>
        </w:rPr>
        <w:t xml:space="preserve"> cláusulas abusivas.</w:t>
      </w:r>
    </w:p>
    <w:p w14:paraId="45F08C4C" w14:textId="77777777" w:rsidR="00C41D4A" w:rsidRPr="00C41D4A" w:rsidRDefault="00C41D4A" w:rsidP="00C41D4A">
      <w:pPr>
        <w:pStyle w:val="Textocomentario"/>
        <w:jc w:val="both"/>
        <w:rPr>
          <w:rFonts w:ascii="Arial" w:hAnsi="Arial" w:cs="Arial"/>
          <w:b/>
          <w:bCs/>
          <w:sz w:val="16"/>
          <w:szCs w:val="16"/>
          <w:lang w:val="es-ES" w:eastAsia="es-ES"/>
        </w:rPr>
      </w:pPr>
    </w:p>
    <w:p w14:paraId="38431D0C" w14:textId="663D3E03" w:rsidR="00C41D4A" w:rsidRPr="00C41D4A" w:rsidRDefault="00C41D4A" w:rsidP="00C41D4A">
      <w:pPr>
        <w:pStyle w:val="Textocomentario"/>
        <w:jc w:val="both"/>
        <w:rPr>
          <w:rFonts w:ascii="Arial" w:hAnsi="Arial" w:cs="Arial"/>
          <w:b/>
          <w:bCs/>
          <w:sz w:val="16"/>
          <w:szCs w:val="16"/>
          <w:lang w:val="es-ES" w:eastAsia="es-ES"/>
        </w:rPr>
      </w:pPr>
      <w:r w:rsidRPr="00C41D4A">
        <w:rPr>
          <w:rFonts w:ascii="Arial" w:hAnsi="Arial" w:cs="Arial"/>
          <w:b/>
          <w:bCs/>
          <w:sz w:val="16"/>
          <w:szCs w:val="16"/>
          <w:lang w:val="es-ES" w:eastAsia="es-ES"/>
        </w:rPr>
        <w:t>3.4.1</w:t>
      </w:r>
      <w:r w:rsidR="007D1A8A">
        <w:rPr>
          <w:rFonts w:ascii="Arial" w:hAnsi="Arial" w:cs="Arial"/>
          <w:b/>
          <w:bCs/>
          <w:sz w:val="16"/>
          <w:szCs w:val="16"/>
          <w:lang w:val="es-ES" w:eastAsia="es-ES"/>
        </w:rPr>
        <w:t>4</w:t>
      </w:r>
      <w:r w:rsidRPr="00C41D4A">
        <w:rPr>
          <w:rFonts w:ascii="Arial" w:hAnsi="Arial" w:cs="Arial"/>
          <w:b/>
          <w:bCs/>
          <w:sz w:val="16"/>
          <w:szCs w:val="16"/>
          <w:lang w:val="es-ES" w:eastAsia="es-ES"/>
        </w:rPr>
        <w:t xml:space="preserve">.4 Los adquirentes vigilados por la SFC deben </w:t>
      </w:r>
      <w:r w:rsidR="00F9200D">
        <w:rPr>
          <w:rFonts w:ascii="Arial" w:hAnsi="Arial" w:cs="Arial"/>
          <w:b/>
          <w:bCs/>
          <w:sz w:val="16"/>
          <w:szCs w:val="16"/>
          <w:lang w:val="es-ES" w:eastAsia="es-ES"/>
        </w:rPr>
        <w:t xml:space="preserve">publicar y mantener actualizada en su </w:t>
      </w:r>
      <w:r w:rsidRPr="00C41D4A">
        <w:rPr>
          <w:rFonts w:ascii="Arial" w:hAnsi="Arial" w:cs="Arial"/>
          <w:b/>
          <w:bCs/>
          <w:sz w:val="16"/>
          <w:szCs w:val="16"/>
          <w:lang w:val="es-ES" w:eastAsia="es-ES"/>
        </w:rPr>
        <w:t>página web, la información sobre comisiones</w:t>
      </w:r>
      <w:r w:rsidR="00D54FBE">
        <w:rPr>
          <w:rFonts w:ascii="Arial" w:hAnsi="Arial" w:cs="Arial"/>
          <w:b/>
          <w:bCs/>
          <w:sz w:val="16"/>
          <w:szCs w:val="16"/>
          <w:lang w:val="es-ES" w:eastAsia="es-ES"/>
        </w:rPr>
        <w:t xml:space="preserve"> y</w:t>
      </w:r>
      <w:r w:rsidRPr="00C41D4A">
        <w:rPr>
          <w:rFonts w:ascii="Arial" w:hAnsi="Arial" w:cs="Arial"/>
          <w:b/>
          <w:bCs/>
          <w:sz w:val="16"/>
          <w:szCs w:val="16"/>
          <w:lang w:val="es-ES" w:eastAsia="es-ES"/>
        </w:rPr>
        <w:t xml:space="preserve"> tarifas</w:t>
      </w:r>
      <w:r w:rsidR="00753ECE">
        <w:rPr>
          <w:rFonts w:ascii="Arial" w:hAnsi="Arial" w:cs="Arial"/>
          <w:b/>
          <w:bCs/>
          <w:sz w:val="16"/>
          <w:szCs w:val="16"/>
          <w:lang w:val="es-ES" w:eastAsia="es-ES"/>
        </w:rPr>
        <w:t xml:space="preserve"> </w:t>
      </w:r>
      <w:r w:rsidR="00F9200D" w:rsidRPr="00F9200D">
        <w:rPr>
          <w:rFonts w:ascii="Arial" w:hAnsi="Arial" w:cs="Arial"/>
          <w:b/>
          <w:bCs/>
          <w:sz w:val="16"/>
          <w:szCs w:val="16"/>
          <w:lang w:val="es-ES" w:eastAsia="es-ES"/>
        </w:rPr>
        <w:t>y la</w:t>
      </w:r>
      <w:r w:rsidR="00F9200D">
        <w:rPr>
          <w:rFonts w:ascii="Arial" w:hAnsi="Arial" w:cs="Arial"/>
          <w:b/>
          <w:bCs/>
          <w:sz w:val="16"/>
          <w:szCs w:val="16"/>
          <w:lang w:val="es-ES" w:eastAsia="es-ES"/>
        </w:rPr>
        <w:t xml:space="preserve"> </w:t>
      </w:r>
      <w:r w:rsidR="00F9200D" w:rsidRPr="00F9200D">
        <w:rPr>
          <w:rFonts w:ascii="Arial" w:hAnsi="Arial" w:cs="Arial"/>
          <w:b/>
          <w:bCs/>
          <w:sz w:val="16"/>
          <w:szCs w:val="16"/>
          <w:lang w:val="es-ES" w:eastAsia="es-ES"/>
        </w:rPr>
        <w:t>clasificación por categorías o sectores de los establecimientos de comercio establecidas para su fijación. Dichas categorías y sus correspondientes criterios de definición deben ser claros para el consumidor financiero, de manera tal que le permita conocer con objetividad a qué tipo de establecimientos de comercio o sector se refiere cada categoría específica.</w:t>
      </w:r>
      <w:r w:rsidRPr="00C41D4A">
        <w:rPr>
          <w:rFonts w:ascii="Arial" w:hAnsi="Arial" w:cs="Arial"/>
          <w:b/>
          <w:bCs/>
          <w:sz w:val="16"/>
          <w:szCs w:val="16"/>
          <w:lang w:val="es-ES" w:eastAsia="es-ES"/>
        </w:rPr>
        <w:t xml:space="preserve"> </w:t>
      </w:r>
    </w:p>
    <w:p w14:paraId="01BE1C3F" w14:textId="77777777" w:rsidR="00C41D4A" w:rsidRPr="00C41D4A" w:rsidRDefault="00C41D4A" w:rsidP="00C41D4A">
      <w:pPr>
        <w:pStyle w:val="Textocomentario"/>
        <w:jc w:val="both"/>
        <w:rPr>
          <w:rFonts w:ascii="Arial" w:hAnsi="Arial" w:cs="Arial"/>
          <w:b/>
          <w:bCs/>
          <w:sz w:val="16"/>
          <w:szCs w:val="16"/>
          <w:lang w:val="es-ES" w:eastAsia="es-ES"/>
        </w:rPr>
      </w:pPr>
    </w:p>
    <w:p w14:paraId="754E49EA" w14:textId="77777777" w:rsidR="00F9200D" w:rsidRDefault="00C41D4A" w:rsidP="00F9200D">
      <w:pPr>
        <w:pStyle w:val="Textocomentario"/>
        <w:jc w:val="both"/>
        <w:rPr>
          <w:rFonts w:ascii="Arial" w:hAnsi="Arial" w:cs="Arial"/>
          <w:b/>
          <w:bCs/>
          <w:sz w:val="16"/>
          <w:szCs w:val="16"/>
          <w:lang w:val="es-ES" w:eastAsia="es-ES"/>
        </w:rPr>
      </w:pPr>
      <w:r w:rsidRPr="00C41D4A">
        <w:rPr>
          <w:rFonts w:ascii="Arial" w:hAnsi="Arial" w:cs="Arial"/>
          <w:b/>
          <w:bCs/>
          <w:sz w:val="16"/>
          <w:szCs w:val="16"/>
          <w:lang w:val="es-ES" w:eastAsia="es-ES"/>
        </w:rPr>
        <w:t>3.4.1</w:t>
      </w:r>
      <w:r w:rsidR="007D1A8A">
        <w:rPr>
          <w:rFonts w:ascii="Arial" w:hAnsi="Arial" w:cs="Arial"/>
          <w:b/>
          <w:bCs/>
          <w:sz w:val="16"/>
          <w:szCs w:val="16"/>
          <w:lang w:val="es-ES" w:eastAsia="es-ES"/>
        </w:rPr>
        <w:t>4</w:t>
      </w:r>
      <w:r w:rsidRPr="00C41D4A">
        <w:rPr>
          <w:rFonts w:ascii="Arial" w:hAnsi="Arial" w:cs="Arial"/>
          <w:b/>
          <w:bCs/>
          <w:sz w:val="16"/>
          <w:szCs w:val="16"/>
          <w:lang w:val="es-ES" w:eastAsia="es-ES"/>
        </w:rPr>
        <w:t>.5 Los adquirentes vigilados</w:t>
      </w:r>
      <w:r w:rsidR="007D1A8A">
        <w:rPr>
          <w:rFonts w:ascii="Arial" w:hAnsi="Arial" w:cs="Arial"/>
          <w:b/>
          <w:bCs/>
          <w:sz w:val="16"/>
          <w:szCs w:val="16"/>
          <w:lang w:val="es-ES" w:eastAsia="es-ES"/>
        </w:rPr>
        <w:t xml:space="preserve"> por la SFC</w:t>
      </w:r>
      <w:r w:rsidRPr="00C41D4A">
        <w:rPr>
          <w:rFonts w:ascii="Arial" w:hAnsi="Arial" w:cs="Arial"/>
          <w:b/>
          <w:bCs/>
          <w:sz w:val="16"/>
          <w:szCs w:val="16"/>
          <w:lang w:val="es-ES" w:eastAsia="es-ES"/>
        </w:rPr>
        <w:t xml:space="preserve"> son responsables de contar con mecanismos adecuados para garantizar la identificación y autenticación de los comercios en el procesamiento de los pagos. </w:t>
      </w:r>
      <w:r w:rsidR="00F9200D" w:rsidRPr="00415512">
        <w:rPr>
          <w:rFonts w:ascii="Arial" w:hAnsi="Arial" w:cs="Arial"/>
          <w:b/>
          <w:bCs/>
          <w:sz w:val="16"/>
          <w:szCs w:val="16"/>
          <w:lang w:val="es-ES" w:eastAsia="es-ES"/>
        </w:rPr>
        <w:t xml:space="preserve">Para el efecto, </w:t>
      </w:r>
      <w:r w:rsidR="00F9200D">
        <w:rPr>
          <w:rFonts w:ascii="Arial" w:hAnsi="Arial" w:cs="Arial"/>
          <w:b/>
          <w:bCs/>
          <w:sz w:val="16"/>
          <w:szCs w:val="16"/>
          <w:lang w:val="es-ES" w:eastAsia="es-ES"/>
        </w:rPr>
        <w:t xml:space="preserve">los adquirentes vigilados por la SFC </w:t>
      </w:r>
      <w:r w:rsidR="00F9200D" w:rsidRPr="00415512">
        <w:rPr>
          <w:rFonts w:ascii="Arial" w:hAnsi="Arial" w:cs="Arial"/>
          <w:b/>
          <w:bCs/>
          <w:sz w:val="16"/>
          <w:szCs w:val="16"/>
          <w:lang w:val="es-ES" w:eastAsia="es-ES"/>
        </w:rPr>
        <w:t>deben adelantar</w:t>
      </w:r>
      <w:r w:rsidR="00F9200D">
        <w:rPr>
          <w:rFonts w:ascii="Arial" w:hAnsi="Arial" w:cs="Arial"/>
          <w:b/>
          <w:bCs/>
          <w:sz w:val="16"/>
          <w:szCs w:val="16"/>
          <w:lang w:val="es-ES" w:eastAsia="es-ES"/>
        </w:rPr>
        <w:t xml:space="preserve">: i) </w:t>
      </w:r>
      <w:r w:rsidR="00F9200D" w:rsidRPr="00415512">
        <w:rPr>
          <w:rFonts w:ascii="Arial" w:hAnsi="Arial" w:cs="Arial"/>
          <w:b/>
          <w:bCs/>
          <w:sz w:val="16"/>
          <w:szCs w:val="16"/>
          <w:lang w:val="es-ES" w:eastAsia="es-ES"/>
        </w:rPr>
        <w:t>programas de capacitación en los cuales se les indique</w:t>
      </w:r>
      <w:r w:rsidR="00F9200D">
        <w:rPr>
          <w:rFonts w:ascii="Arial" w:hAnsi="Arial" w:cs="Arial"/>
          <w:b/>
          <w:bCs/>
          <w:sz w:val="16"/>
          <w:szCs w:val="16"/>
          <w:lang w:val="es-ES" w:eastAsia="es-ES"/>
        </w:rPr>
        <w:t xml:space="preserve"> a los comercios</w:t>
      </w:r>
      <w:r w:rsidR="00F9200D" w:rsidRPr="00415512">
        <w:rPr>
          <w:rFonts w:ascii="Arial" w:hAnsi="Arial" w:cs="Arial"/>
          <w:b/>
          <w:bCs/>
          <w:sz w:val="16"/>
          <w:szCs w:val="16"/>
          <w:lang w:val="es-ES" w:eastAsia="es-ES"/>
        </w:rPr>
        <w:t xml:space="preserve"> la manera como se realiza el procedimiento de pago y las medidas de seguridad que deben adoptar los compradores y vendedores para la realización de </w:t>
      </w:r>
      <w:proofErr w:type="gramStart"/>
      <w:r w:rsidR="00F9200D" w:rsidRPr="00415512">
        <w:rPr>
          <w:rFonts w:ascii="Arial" w:hAnsi="Arial" w:cs="Arial"/>
          <w:b/>
          <w:bCs/>
          <w:sz w:val="16"/>
          <w:szCs w:val="16"/>
          <w:lang w:val="es-ES" w:eastAsia="es-ES"/>
        </w:rPr>
        <w:t>las mismas</w:t>
      </w:r>
      <w:proofErr w:type="gramEnd"/>
      <w:r w:rsidR="00F9200D" w:rsidRPr="00415512">
        <w:rPr>
          <w:rFonts w:ascii="Arial" w:hAnsi="Arial" w:cs="Arial"/>
          <w:b/>
          <w:bCs/>
          <w:sz w:val="16"/>
          <w:szCs w:val="16"/>
          <w:lang w:val="es-ES" w:eastAsia="es-ES"/>
        </w:rPr>
        <w:t xml:space="preserve">, o </w:t>
      </w:r>
      <w:r w:rsidR="00F9200D">
        <w:rPr>
          <w:rFonts w:ascii="Arial" w:hAnsi="Arial" w:cs="Arial"/>
          <w:b/>
          <w:bCs/>
          <w:sz w:val="16"/>
          <w:szCs w:val="16"/>
          <w:lang w:val="es-ES" w:eastAsia="es-ES"/>
        </w:rPr>
        <w:t xml:space="preserve">ii) suministrarles dicha información a través de un medio verificable, </w:t>
      </w:r>
      <w:r w:rsidR="00F9200D" w:rsidRPr="00415512">
        <w:rPr>
          <w:rFonts w:ascii="Arial" w:hAnsi="Arial" w:cs="Arial"/>
          <w:b/>
          <w:bCs/>
          <w:sz w:val="16"/>
          <w:szCs w:val="16"/>
          <w:lang w:val="es-ES" w:eastAsia="es-ES"/>
        </w:rPr>
        <w:t>en lenguaje claro y sencillo</w:t>
      </w:r>
      <w:r w:rsidR="00F9200D">
        <w:rPr>
          <w:rFonts w:ascii="Arial" w:hAnsi="Arial" w:cs="Arial"/>
          <w:b/>
          <w:bCs/>
          <w:sz w:val="16"/>
          <w:szCs w:val="16"/>
          <w:lang w:val="es-ES" w:eastAsia="es-ES"/>
        </w:rPr>
        <w:t xml:space="preserve">, con el fin de que </w:t>
      </w:r>
      <w:r w:rsidR="00F9200D" w:rsidRPr="00415512">
        <w:rPr>
          <w:rFonts w:ascii="Arial" w:hAnsi="Arial" w:cs="Arial"/>
          <w:b/>
          <w:bCs/>
          <w:sz w:val="16"/>
          <w:szCs w:val="16"/>
          <w:lang w:val="es-ES" w:eastAsia="es-ES"/>
        </w:rPr>
        <w:t>conozca</w:t>
      </w:r>
      <w:r w:rsidR="00F9200D">
        <w:rPr>
          <w:rFonts w:ascii="Arial" w:hAnsi="Arial" w:cs="Arial"/>
          <w:b/>
          <w:bCs/>
          <w:sz w:val="16"/>
          <w:szCs w:val="16"/>
          <w:lang w:val="es-ES" w:eastAsia="es-ES"/>
        </w:rPr>
        <w:t>n</w:t>
      </w:r>
      <w:r w:rsidR="00F9200D" w:rsidRPr="00415512">
        <w:rPr>
          <w:rFonts w:ascii="Arial" w:hAnsi="Arial" w:cs="Arial"/>
          <w:b/>
          <w:bCs/>
          <w:sz w:val="16"/>
          <w:szCs w:val="16"/>
          <w:lang w:val="es-ES" w:eastAsia="es-ES"/>
        </w:rPr>
        <w:t xml:space="preserve"> y haga</w:t>
      </w:r>
      <w:r w:rsidR="00F9200D">
        <w:rPr>
          <w:rFonts w:ascii="Arial" w:hAnsi="Arial" w:cs="Arial"/>
          <w:b/>
          <w:bCs/>
          <w:sz w:val="16"/>
          <w:szCs w:val="16"/>
          <w:lang w:val="es-ES" w:eastAsia="es-ES"/>
        </w:rPr>
        <w:t>n</w:t>
      </w:r>
      <w:r w:rsidR="00F9200D" w:rsidRPr="00415512">
        <w:rPr>
          <w:rFonts w:ascii="Arial" w:hAnsi="Arial" w:cs="Arial"/>
          <w:b/>
          <w:bCs/>
          <w:sz w:val="16"/>
          <w:szCs w:val="16"/>
          <w:lang w:val="es-ES" w:eastAsia="es-ES"/>
        </w:rPr>
        <w:t xml:space="preserve"> uso correcto de dichos mecanismos. </w:t>
      </w:r>
    </w:p>
    <w:p w14:paraId="57769C95" w14:textId="77777777" w:rsidR="00F9200D" w:rsidRDefault="00F9200D" w:rsidP="00C41D4A">
      <w:pPr>
        <w:pStyle w:val="Textocomentario"/>
        <w:jc w:val="both"/>
        <w:rPr>
          <w:rFonts w:ascii="Arial" w:hAnsi="Arial" w:cs="Arial"/>
          <w:b/>
          <w:bCs/>
          <w:sz w:val="16"/>
          <w:szCs w:val="16"/>
          <w:lang w:val="es-ES" w:eastAsia="es-ES"/>
        </w:rPr>
        <w:sectPr w:rsidR="00F9200D" w:rsidSect="005C1C1C">
          <w:footerReference w:type="default" r:id="rId13"/>
          <w:pgSz w:w="12240" w:h="18720" w:code="14"/>
          <w:pgMar w:top="1418" w:right="1701" w:bottom="1418" w:left="1701" w:header="1134" w:footer="945" w:gutter="0"/>
          <w:pgNumType w:start="28"/>
          <w:cols w:space="708"/>
          <w:docGrid w:linePitch="360"/>
        </w:sectPr>
      </w:pPr>
    </w:p>
    <w:p w14:paraId="7C61D35F" w14:textId="77777777" w:rsidR="00C41D4A" w:rsidRPr="00C41D4A" w:rsidRDefault="00C41D4A" w:rsidP="00C41D4A">
      <w:pPr>
        <w:jc w:val="both"/>
        <w:rPr>
          <w:rFonts w:ascii="Arial" w:hAnsi="Arial" w:cs="Arial"/>
          <w:b/>
          <w:sz w:val="16"/>
          <w:szCs w:val="16"/>
          <w:lang w:val="es-CO" w:eastAsia="es-ES"/>
        </w:rPr>
      </w:pPr>
      <w:r w:rsidRPr="00C41D4A">
        <w:rPr>
          <w:rFonts w:ascii="Arial" w:hAnsi="Arial" w:cs="Arial"/>
          <w:b/>
          <w:sz w:val="16"/>
          <w:szCs w:val="16"/>
          <w:lang w:val="es-CO" w:eastAsia="es-ES"/>
        </w:rPr>
        <w:lastRenderedPageBreak/>
        <w:t xml:space="preserve">3.5. </w:t>
      </w:r>
      <w:proofErr w:type="gramStart"/>
      <w:r w:rsidRPr="00C41D4A">
        <w:rPr>
          <w:rFonts w:ascii="Arial" w:hAnsi="Arial" w:cs="Arial"/>
          <w:b/>
          <w:sz w:val="16"/>
          <w:szCs w:val="16"/>
          <w:lang w:val="es-CO" w:eastAsia="es-ES"/>
        </w:rPr>
        <w:t>Información a suministrar</w:t>
      </w:r>
      <w:proofErr w:type="gramEnd"/>
      <w:r w:rsidRPr="00C41D4A">
        <w:rPr>
          <w:rFonts w:ascii="Arial" w:hAnsi="Arial" w:cs="Arial"/>
          <w:b/>
          <w:sz w:val="16"/>
          <w:szCs w:val="16"/>
          <w:lang w:val="es-CO" w:eastAsia="es-ES"/>
        </w:rPr>
        <w:t xml:space="preserve"> frente a la interrupción en la prestación de los servicios</w:t>
      </w:r>
    </w:p>
    <w:p w14:paraId="4FF6DC25" w14:textId="77777777" w:rsidR="00C41D4A" w:rsidRPr="00C41D4A" w:rsidRDefault="00C41D4A" w:rsidP="00C41D4A">
      <w:pPr>
        <w:jc w:val="both"/>
        <w:rPr>
          <w:rFonts w:ascii="Arial" w:hAnsi="Arial" w:cs="Arial"/>
          <w:bCs/>
          <w:sz w:val="16"/>
          <w:szCs w:val="16"/>
          <w:lang w:val="es-CO" w:eastAsia="es-ES"/>
        </w:rPr>
      </w:pPr>
    </w:p>
    <w:p w14:paraId="4C68625D"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 xml:space="preserve">3.5.1.  Cuando los establecimientos de crédito realicen modificaciones y/o actualizaciones técnicas o tecnológicas que por su relevancia puedan generar una interrupción en la prestación de los servicios y afectar la realización de operaciones, deben informar a sus clientes y usuarios por lo menos 8 días previos al inicio de estas actividades, los canales y servicios que se podrían ver afectados, las operaciones que no se podrían realizar, los canales alternativos por medio de los cuales los clientes y usuarios podrán realizar sus operaciones y el lapso en el que realizarán dichas actividades. Esta información debe ser suministrada a través de los canales usuales de comunicación con el cliente y el usuario, en los términos establecidos en el numeral 3 de este capítulo. </w:t>
      </w:r>
    </w:p>
    <w:p w14:paraId="5B926B57" w14:textId="77777777" w:rsidR="00C41D4A" w:rsidRPr="00C41D4A" w:rsidRDefault="00C41D4A" w:rsidP="00C41D4A">
      <w:pPr>
        <w:jc w:val="both"/>
        <w:rPr>
          <w:rFonts w:ascii="Arial" w:hAnsi="Arial" w:cs="Arial"/>
          <w:bCs/>
          <w:sz w:val="16"/>
          <w:szCs w:val="16"/>
          <w:lang w:val="es-CO" w:eastAsia="es-ES"/>
        </w:rPr>
      </w:pPr>
    </w:p>
    <w:p w14:paraId="1B2CD57B"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 xml:space="preserve">3.5.2. Cuando se presente un evento que impida por una hora o más la realización de operaciones a través de uno o varios de los canales de la entidad, los establecimientos de crédito deben informar a los consumidores financieros, en los términos establecidos en el numeral 3 de este capítulo, los canales afectados, las operaciones que no se pueden realizar, los canales alternativos a través de los cuales los clientes y/o usuarios pueden continuar realizando las operaciones, la fecha y hora estimada en que se restablecerá la prestación del servicio por los canales afectados y en general toda la información que se considere relevante para orientar al consumidor durante el tiempo en que se presente la interrupción. </w:t>
      </w:r>
    </w:p>
    <w:p w14:paraId="2206803D" w14:textId="77777777" w:rsidR="00C41D4A" w:rsidRPr="00C41D4A" w:rsidRDefault="00C41D4A" w:rsidP="00C41D4A">
      <w:pPr>
        <w:jc w:val="both"/>
        <w:rPr>
          <w:rFonts w:ascii="Arial" w:hAnsi="Arial" w:cs="Arial"/>
          <w:bCs/>
          <w:sz w:val="16"/>
          <w:szCs w:val="16"/>
          <w:lang w:val="es-CO" w:eastAsia="es-ES"/>
        </w:rPr>
      </w:pPr>
    </w:p>
    <w:p w14:paraId="6E72729C"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3.5.3. Teniendo en cuenta el principio de correspondencia indicado en el literal d) del artículo 2.35.4.1.1 del Decreto 2555 de 2010, que implica que todos los cobros que realizan las entidades vigiladas deben corresponder a la prestación efectiva de un servicio, los establecimientos de crédito deben establecer políticas y mecanismos mediante los cuales se compensarán o resarcirán de manera efectiva los inconvenientes que se causen a los consumidores financieros como consecuencia de la interrupción en la prestación del servicio.</w:t>
      </w:r>
    </w:p>
    <w:p w14:paraId="37A3AB55" w14:textId="77777777" w:rsidR="00C41D4A" w:rsidRPr="00C41D4A" w:rsidRDefault="00C41D4A" w:rsidP="00C41D4A">
      <w:pPr>
        <w:jc w:val="both"/>
        <w:rPr>
          <w:rFonts w:ascii="Arial" w:hAnsi="Arial" w:cs="Arial"/>
          <w:bCs/>
          <w:sz w:val="16"/>
          <w:szCs w:val="16"/>
          <w:lang w:val="es-CO" w:eastAsia="es-ES"/>
        </w:rPr>
      </w:pPr>
    </w:p>
    <w:p w14:paraId="1CF09BA5"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Como mínimo deben establecer disposiciones frente a:</w:t>
      </w:r>
    </w:p>
    <w:p w14:paraId="558FD285" w14:textId="77777777" w:rsidR="00C41D4A" w:rsidRPr="00C41D4A" w:rsidRDefault="00C41D4A" w:rsidP="00C41D4A">
      <w:pPr>
        <w:jc w:val="both"/>
        <w:rPr>
          <w:rFonts w:ascii="Arial" w:hAnsi="Arial" w:cs="Arial"/>
          <w:bCs/>
          <w:sz w:val="16"/>
          <w:szCs w:val="16"/>
          <w:lang w:val="es-CO" w:eastAsia="es-ES"/>
        </w:rPr>
      </w:pPr>
    </w:p>
    <w:p w14:paraId="098C2065"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 xml:space="preserve">3.5.3.1. El pago de la cuota de manejo, la tarifa periódica del servicio, o cualquier otro concepto similar, correspondiente al(los) día(s) en que se presente el evento. </w:t>
      </w:r>
    </w:p>
    <w:p w14:paraId="5FC381A1" w14:textId="77777777" w:rsidR="00C41D4A" w:rsidRPr="00C41D4A" w:rsidRDefault="00C41D4A" w:rsidP="00C41D4A">
      <w:pPr>
        <w:jc w:val="both"/>
        <w:rPr>
          <w:rFonts w:ascii="Arial" w:hAnsi="Arial" w:cs="Arial"/>
          <w:bCs/>
          <w:sz w:val="16"/>
          <w:szCs w:val="16"/>
          <w:lang w:val="es-CO" w:eastAsia="es-ES"/>
        </w:rPr>
      </w:pPr>
    </w:p>
    <w:p w14:paraId="6A50ED81"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3.5.3.2. El pago de las transacciones en los canales alternativos habilitados para realizar las operaciones o transacciones por parte de los clientes y usuarios.</w:t>
      </w:r>
    </w:p>
    <w:p w14:paraId="3DB45CE8"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 xml:space="preserve"> </w:t>
      </w:r>
    </w:p>
    <w:p w14:paraId="4B5D1176"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3.5.3.3. El pago de intereses moratorios y reporte a los operadores de bancos de datos cuando como consecuencia de la interrupción del servicio el consumidor financiero no pueda cumplir con el pago oportuno de sus obligaciones con la entidad vigilada.</w:t>
      </w:r>
    </w:p>
    <w:p w14:paraId="4C73CC42" w14:textId="77777777" w:rsidR="00C41D4A" w:rsidRPr="00C41D4A" w:rsidRDefault="00C41D4A" w:rsidP="00C41D4A">
      <w:pPr>
        <w:jc w:val="both"/>
        <w:rPr>
          <w:rFonts w:ascii="Arial" w:hAnsi="Arial" w:cs="Arial"/>
          <w:bCs/>
          <w:sz w:val="16"/>
          <w:szCs w:val="16"/>
          <w:lang w:val="es-CO" w:eastAsia="es-ES"/>
        </w:rPr>
      </w:pPr>
    </w:p>
    <w:p w14:paraId="116FEB80"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3.5.3.4. Las medidas necesarias para que el consumidor financiero no se vea afectado por la imposibilidad de realizar el pago oportuno de sus obligaciones con terceros como consecuencia de la interrupción en la prestación del servicio.</w:t>
      </w:r>
    </w:p>
    <w:p w14:paraId="0DAA5A15" w14:textId="77777777" w:rsidR="00C41D4A" w:rsidRPr="00C41D4A" w:rsidRDefault="00C41D4A" w:rsidP="00C41D4A">
      <w:pPr>
        <w:jc w:val="both"/>
        <w:rPr>
          <w:rFonts w:ascii="Arial" w:hAnsi="Arial" w:cs="Arial"/>
          <w:bCs/>
          <w:sz w:val="16"/>
          <w:szCs w:val="16"/>
          <w:lang w:val="es-CO" w:eastAsia="es-ES"/>
        </w:rPr>
      </w:pPr>
    </w:p>
    <w:p w14:paraId="5B4E7D2B"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3.5.3.5. Los canales dispuestos para la recepción de quejas o reclamos relacionados con la interrupción.</w:t>
      </w:r>
    </w:p>
    <w:p w14:paraId="6D24B488" w14:textId="77777777" w:rsidR="00C41D4A" w:rsidRPr="00C41D4A" w:rsidRDefault="00C41D4A" w:rsidP="00C41D4A">
      <w:pPr>
        <w:jc w:val="both"/>
        <w:rPr>
          <w:rFonts w:ascii="Arial" w:hAnsi="Arial" w:cs="Arial"/>
          <w:bCs/>
          <w:sz w:val="16"/>
          <w:szCs w:val="16"/>
          <w:lang w:val="es-CO" w:eastAsia="es-ES"/>
        </w:rPr>
      </w:pPr>
    </w:p>
    <w:p w14:paraId="342EC469"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Estas políticas y mecanismos deben estar a disposición de los consumidores financieros durante la ocurrencia de la interrupción y deberá permanecer visible y actualizada hasta que se haya superado.</w:t>
      </w:r>
    </w:p>
    <w:p w14:paraId="0131C57E" w14:textId="77777777" w:rsidR="00C41D4A" w:rsidRPr="00C41D4A" w:rsidRDefault="00C41D4A" w:rsidP="00C41D4A">
      <w:pPr>
        <w:jc w:val="both"/>
        <w:rPr>
          <w:rFonts w:ascii="Arial" w:hAnsi="Arial" w:cs="Arial"/>
          <w:bCs/>
          <w:sz w:val="16"/>
          <w:szCs w:val="16"/>
          <w:lang w:val="es-CO" w:eastAsia="es-ES"/>
        </w:rPr>
      </w:pPr>
    </w:p>
    <w:p w14:paraId="6D7221FA" w14:textId="77777777" w:rsidR="00C41D4A" w:rsidRPr="00C41D4A" w:rsidRDefault="00C41D4A" w:rsidP="00C41D4A">
      <w:pPr>
        <w:jc w:val="both"/>
        <w:rPr>
          <w:rFonts w:ascii="Arial" w:hAnsi="Arial" w:cs="Arial"/>
          <w:bCs/>
          <w:sz w:val="16"/>
          <w:szCs w:val="16"/>
          <w:lang w:val="es-CO" w:eastAsia="es-ES"/>
        </w:rPr>
      </w:pPr>
      <w:r w:rsidRPr="00C41D4A">
        <w:rPr>
          <w:rFonts w:ascii="Arial" w:hAnsi="Arial" w:cs="Arial"/>
          <w:bCs/>
          <w:sz w:val="16"/>
          <w:szCs w:val="16"/>
          <w:lang w:val="es-CO" w:eastAsia="es-ES"/>
        </w:rPr>
        <w:t xml:space="preserve">3.5.4. Los establecimientos de crédito deben informar a los consumidores financieros la forma en que se aplicaron a su situación particular las políticas y procedimientos de los que tratan los subnumerales 3.5.3.1 a 3.5.3.4. </w:t>
      </w:r>
    </w:p>
    <w:p w14:paraId="4E8E5E4B" w14:textId="77777777" w:rsidR="00C41D4A" w:rsidRPr="00C41D4A" w:rsidRDefault="00C41D4A" w:rsidP="00C41D4A">
      <w:pPr>
        <w:jc w:val="both"/>
        <w:rPr>
          <w:rFonts w:ascii="Arial" w:hAnsi="Arial" w:cs="Arial"/>
          <w:bCs/>
          <w:sz w:val="16"/>
          <w:szCs w:val="16"/>
          <w:lang w:val="es-CO" w:eastAsia="es-ES"/>
        </w:rPr>
      </w:pPr>
    </w:p>
    <w:p w14:paraId="46C44CF8" w14:textId="77777777" w:rsidR="00C41D4A" w:rsidRPr="00C41D4A" w:rsidRDefault="00C41D4A" w:rsidP="00C41D4A">
      <w:pPr>
        <w:pStyle w:val="Ttulo2"/>
        <w:rPr>
          <w:rFonts w:cs="Arial"/>
          <w:szCs w:val="16"/>
        </w:rPr>
      </w:pPr>
      <w:r w:rsidRPr="00C41D4A">
        <w:rPr>
          <w:rFonts w:cs="Arial"/>
          <w:szCs w:val="16"/>
        </w:rPr>
        <w:t>4. RÉGIMEN DE HORARIOS PARA LA PRESTACIÓN DE SERVICIOS DE LAS ENTIDADES VIGILADAS</w:t>
      </w:r>
    </w:p>
    <w:p w14:paraId="73C9AB3E" w14:textId="77777777" w:rsidR="00C41D4A" w:rsidRPr="00C41D4A" w:rsidRDefault="00C41D4A" w:rsidP="00C41D4A">
      <w:pPr>
        <w:jc w:val="center"/>
        <w:rPr>
          <w:rFonts w:ascii="Arial" w:hAnsi="Arial" w:cs="Arial"/>
          <w:sz w:val="16"/>
          <w:szCs w:val="16"/>
        </w:rPr>
      </w:pPr>
    </w:p>
    <w:p w14:paraId="1ABB71F8" w14:textId="77777777" w:rsidR="00C41D4A" w:rsidRPr="00C41D4A" w:rsidRDefault="00C41D4A" w:rsidP="00C41D4A">
      <w:pPr>
        <w:pStyle w:val="Ttulo2"/>
        <w:rPr>
          <w:rFonts w:cs="Arial"/>
          <w:szCs w:val="16"/>
        </w:rPr>
      </w:pPr>
      <w:r w:rsidRPr="00C41D4A">
        <w:rPr>
          <w:rFonts w:cs="Arial"/>
          <w:szCs w:val="16"/>
        </w:rPr>
        <w:t>4.1. Instrucciones relativas a los horarios de prestación de servicio al público</w:t>
      </w:r>
    </w:p>
    <w:p w14:paraId="24100818" w14:textId="77777777" w:rsidR="00C41D4A" w:rsidRPr="00C41D4A" w:rsidRDefault="00C41D4A" w:rsidP="00C41D4A">
      <w:pPr>
        <w:jc w:val="both"/>
        <w:rPr>
          <w:rFonts w:ascii="Arial" w:hAnsi="Arial" w:cs="Arial"/>
          <w:b/>
          <w:sz w:val="16"/>
          <w:szCs w:val="16"/>
        </w:rPr>
      </w:pPr>
    </w:p>
    <w:p w14:paraId="161341C2" w14:textId="77777777" w:rsidR="00C41D4A" w:rsidRPr="00C41D4A" w:rsidRDefault="00C41D4A" w:rsidP="00C41D4A">
      <w:pPr>
        <w:jc w:val="both"/>
        <w:rPr>
          <w:rFonts w:ascii="Arial" w:eastAsia="Calibri" w:hAnsi="Arial" w:cs="Arial"/>
          <w:sz w:val="16"/>
          <w:szCs w:val="16"/>
          <w:lang w:val="es-ES" w:eastAsia="es-ES"/>
        </w:rPr>
      </w:pPr>
      <w:r w:rsidRPr="00C41D4A">
        <w:rPr>
          <w:rFonts w:ascii="Arial" w:eastAsia="Calibri" w:hAnsi="Arial" w:cs="Arial"/>
          <w:sz w:val="16"/>
          <w:szCs w:val="16"/>
          <w:lang w:val="es-ES" w:eastAsia="es-ES"/>
        </w:rPr>
        <w:t>Las entidades vigiladas podrán definir libremente los horarios de prestación de servicio al público, los cuales no tienen que estar necesariamente unificados entre los diferentes establecimientos de una misma localidad. En todo caso, cualquier modificación a los horarios -actuales o futuros- debe ser comunicada a esta Superintendencia con una antelación no inferior a 10 días hábiles.</w:t>
      </w:r>
    </w:p>
    <w:p w14:paraId="7BCE7C6D" w14:textId="77777777" w:rsidR="00C41D4A" w:rsidRPr="00C41D4A" w:rsidRDefault="00C41D4A" w:rsidP="00C41D4A">
      <w:pPr>
        <w:jc w:val="both"/>
        <w:rPr>
          <w:rFonts w:ascii="Arial" w:hAnsi="Arial" w:cs="Arial"/>
          <w:b/>
          <w:sz w:val="16"/>
          <w:szCs w:val="16"/>
        </w:rPr>
      </w:pPr>
    </w:p>
    <w:p w14:paraId="3B885058" w14:textId="77777777" w:rsidR="00C41D4A" w:rsidRPr="00C41D4A" w:rsidRDefault="00C41D4A" w:rsidP="00C41D4A">
      <w:pPr>
        <w:pStyle w:val="Ttulo2"/>
        <w:rPr>
          <w:rFonts w:cs="Arial"/>
          <w:szCs w:val="16"/>
        </w:rPr>
      </w:pPr>
      <w:r w:rsidRPr="00C41D4A">
        <w:rPr>
          <w:rFonts w:cs="Arial"/>
          <w:szCs w:val="16"/>
        </w:rPr>
        <w:t>4.2. Cierres especiales</w:t>
      </w:r>
    </w:p>
    <w:p w14:paraId="777F056D" w14:textId="77777777" w:rsidR="00C41D4A" w:rsidRPr="00C41D4A" w:rsidRDefault="00C41D4A" w:rsidP="00C41D4A">
      <w:pPr>
        <w:jc w:val="both"/>
        <w:rPr>
          <w:rFonts w:ascii="Arial" w:eastAsia="Calibri" w:hAnsi="Arial" w:cs="Arial"/>
          <w:sz w:val="16"/>
          <w:szCs w:val="16"/>
          <w:lang w:val="es-ES" w:eastAsia="es-ES"/>
        </w:rPr>
      </w:pPr>
    </w:p>
    <w:p w14:paraId="5F000F0C" w14:textId="77777777" w:rsidR="00C41D4A" w:rsidRPr="00C41D4A" w:rsidRDefault="00C41D4A" w:rsidP="00C41D4A">
      <w:pPr>
        <w:jc w:val="both"/>
        <w:rPr>
          <w:rFonts w:ascii="Arial" w:eastAsia="Calibri" w:hAnsi="Arial" w:cs="Arial"/>
          <w:sz w:val="16"/>
          <w:szCs w:val="16"/>
          <w:lang w:val="es-ES" w:eastAsia="es-ES"/>
        </w:rPr>
      </w:pPr>
      <w:r w:rsidRPr="00C41D4A">
        <w:rPr>
          <w:rFonts w:ascii="Arial" w:eastAsia="Calibri" w:hAnsi="Arial" w:cs="Arial"/>
          <w:sz w:val="16"/>
          <w:szCs w:val="16"/>
          <w:lang w:val="es-ES" w:eastAsia="es-ES"/>
        </w:rPr>
        <w:t>Se podrá suspender la prestación del servicio al público de manera temporal, por motivos de fuerza mayor, caso fortuito o eventos reconocidos nacionalmente en diferentes regiones, que tradicionalmente han obtenido el permiso para suspender la prestación del servicio al público, sin que se requiera aprobación previa de esta Superintendencia. En el último evento bastará con que se avise al público de manera clara y precisa los días de no prestación del servicio, mediante avisos visibles en un tamaño no menor de medio pliego (70 x 50 cm.), colocados en las oficinas de la entidad en la localidad correspondiente con mínimo 10 días hábiles de antelación. Así mismo, debe comunicarse a la SFC por intermedio de la oficina principal, mediante relación mensual, las festividades autorizadas para el mes inmediatamente siguiente incluyendo los cierres ocasionados por fuerza mayor y caso fortuito del mes anterior. Los cierres especiales no requerirán de unificación entre los establecimientos de la misma localidad.</w:t>
      </w:r>
    </w:p>
    <w:p w14:paraId="204E214B" w14:textId="77777777" w:rsidR="00C41D4A" w:rsidRPr="00C41D4A" w:rsidRDefault="00C41D4A" w:rsidP="00C41D4A">
      <w:pPr>
        <w:jc w:val="both"/>
        <w:rPr>
          <w:rFonts w:ascii="Arial" w:hAnsi="Arial" w:cs="Arial"/>
          <w:b/>
          <w:sz w:val="16"/>
          <w:szCs w:val="16"/>
        </w:rPr>
      </w:pPr>
    </w:p>
    <w:p w14:paraId="705FFD3B" w14:textId="77777777" w:rsidR="00C41D4A" w:rsidRPr="00C41D4A" w:rsidRDefault="00C41D4A" w:rsidP="00C41D4A">
      <w:pPr>
        <w:pStyle w:val="Ttulo2"/>
        <w:rPr>
          <w:rFonts w:cs="Arial"/>
          <w:szCs w:val="16"/>
        </w:rPr>
      </w:pPr>
      <w:r w:rsidRPr="00C41D4A">
        <w:rPr>
          <w:rFonts w:cs="Arial"/>
          <w:szCs w:val="16"/>
        </w:rPr>
        <w:t>4.3 Publicidad</w:t>
      </w:r>
    </w:p>
    <w:p w14:paraId="2D82A91C" w14:textId="77777777" w:rsidR="00C41D4A" w:rsidRPr="00C41D4A" w:rsidRDefault="00C41D4A" w:rsidP="00C41D4A">
      <w:pPr>
        <w:tabs>
          <w:tab w:val="left" w:pos="1809"/>
        </w:tabs>
        <w:jc w:val="both"/>
        <w:rPr>
          <w:rFonts w:ascii="Arial" w:hAnsi="Arial" w:cs="Arial"/>
          <w:sz w:val="16"/>
          <w:szCs w:val="16"/>
        </w:rPr>
      </w:pPr>
      <w:r w:rsidRPr="00C41D4A">
        <w:rPr>
          <w:rFonts w:ascii="Arial" w:hAnsi="Arial" w:cs="Arial"/>
          <w:sz w:val="16"/>
          <w:szCs w:val="16"/>
        </w:rPr>
        <w:tab/>
      </w:r>
    </w:p>
    <w:p w14:paraId="089E6793" w14:textId="77777777" w:rsidR="00C41D4A" w:rsidRDefault="00C41D4A" w:rsidP="00C41D4A">
      <w:pPr>
        <w:jc w:val="both"/>
        <w:rPr>
          <w:rFonts w:ascii="Arial" w:hAnsi="Arial" w:cs="Arial"/>
          <w:sz w:val="16"/>
          <w:szCs w:val="16"/>
        </w:rPr>
      </w:pPr>
      <w:r w:rsidRPr="00C41D4A">
        <w:rPr>
          <w:rFonts w:ascii="Arial" w:hAnsi="Arial" w:cs="Arial"/>
          <w:sz w:val="16"/>
          <w:szCs w:val="16"/>
        </w:rPr>
        <w:t>Para los casos de cierre especiales o cuando se desee efectuar cambio en el horario de atención a los consumidores financieros, debe comunicarse a todos los clientes, mediante avisos visibles de un tamaño no menor al antes mencionado colocados en las oficinas de la entidad con una antelación no menor de 10 días hábiles y en todo caso difundir tal decisión,</w:t>
      </w:r>
      <w:r w:rsidR="007D1A8A">
        <w:rPr>
          <w:rFonts w:ascii="Arial" w:hAnsi="Arial" w:cs="Arial"/>
          <w:sz w:val="16"/>
          <w:szCs w:val="16"/>
        </w:rPr>
        <w:t xml:space="preserve"> </w:t>
      </w:r>
    </w:p>
    <w:p w14:paraId="3FF8220F" w14:textId="77777777" w:rsidR="007D1A8A" w:rsidRDefault="007D1A8A" w:rsidP="007D1A8A">
      <w:pPr>
        <w:jc w:val="both"/>
        <w:rPr>
          <w:rFonts w:ascii="Arial" w:hAnsi="Arial" w:cs="Arial"/>
          <w:sz w:val="16"/>
          <w:szCs w:val="16"/>
        </w:rPr>
      </w:pPr>
      <w:r w:rsidRPr="00C41D4A">
        <w:rPr>
          <w:rFonts w:ascii="Arial" w:hAnsi="Arial" w:cs="Arial"/>
          <w:sz w:val="16"/>
          <w:szCs w:val="16"/>
        </w:rPr>
        <w:t>por una sola vez, en un diario regional, local o de circulación nacional, según corresponda al alcance geográfico del efecto de la medida, y de no ser posible, por cualquier otro medio que se estime procedente para tal cometido.</w:t>
      </w:r>
    </w:p>
    <w:p w14:paraId="2D3F6102" w14:textId="77777777" w:rsidR="00F9200D" w:rsidRPr="00C41D4A" w:rsidRDefault="00F9200D" w:rsidP="00F9200D">
      <w:pPr>
        <w:jc w:val="both"/>
        <w:rPr>
          <w:rFonts w:ascii="Arial" w:hAnsi="Arial" w:cs="Arial"/>
          <w:sz w:val="16"/>
          <w:szCs w:val="16"/>
        </w:rPr>
      </w:pPr>
    </w:p>
    <w:p w14:paraId="73794F1B" w14:textId="77777777" w:rsidR="00F9200D" w:rsidRPr="00C41D4A" w:rsidRDefault="00F9200D" w:rsidP="00F9200D">
      <w:pPr>
        <w:pStyle w:val="Ttulo1"/>
        <w:rPr>
          <w:rFonts w:cs="Arial"/>
          <w:szCs w:val="16"/>
        </w:rPr>
      </w:pPr>
      <w:r w:rsidRPr="00C41D4A">
        <w:rPr>
          <w:rFonts w:cs="Arial"/>
          <w:szCs w:val="16"/>
        </w:rPr>
        <w:t>5. CONDICIONES DE LA GESTIÓN DE COBRANZA REALIZADA A LOS CONSUMIDORES FINANCIEROS</w:t>
      </w:r>
    </w:p>
    <w:p w14:paraId="0FDCC6A8" w14:textId="77777777" w:rsidR="00F9200D" w:rsidRPr="00C41D4A" w:rsidRDefault="00F9200D" w:rsidP="00F9200D">
      <w:pPr>
        <w:widowControl w:val="0"/>
        <w:jc w:val="both"/>
        <w:rPr>
          <w:rFonts w:ascii="Arial" w:hAnsi="Arial" w:cs="Arial"/>
          <w:bCs/>
          <w:sz w:val="16"/>
          <w:szCs w:val="16"/>
        </w:rPr>
      </w:pPr>
    </w:p>
    <w:p w14:paraId="23BDDAA6" w14:textId="77777777" w:rsidR="00F9200D" w:rsidRPr="00C41D4A" w:rsidRDefault="00F9200D" w:rsidP="00F9200D">
      <w:pPr>
        <w:pStyle w:val="Ttulo2"/>
        <w:rPr>
          <w:rFonts w:cs="Arial"/>
          <w:szCs w:val="16"/>
        </w:rPr>
      </w:pPr>
      <w:r w:rsidRPr="00C41D4A">
        <w:rPr>
          <w:rFonts w:cs="Arial"/>
          <w:szCs w:val="16"/>
        </w:rPr>
        <w:t>5.1. Ámbito de aplicación</w:t>
      </w:r>
    </w:p>
    <w:p w14:paraId="4579CDF3" w14:textId="77777777" w:rsidR="00F9200D" w:rsidRPr="00C41D4A" w:rsidRDefault="00F9200D" w:rsidP="00F9200D">
      <w:pPr>
        <w:widowControl w:val="0"/>
        <w:jc w:val="both"/>
        <w:rPr>
          <w:rFonts w:ascii="Arial" w:hAnsi="Arial" w:cs="Arial"/>
          <w:sz w:val="16"/>
          <w:szCs w:val="16"/>
        </w:rPr>
      </w:pPr>
    </w:p>
    <w:p w14:paraId="6CDEAD3B" w14:textId="77777777" w:rsidR="007D1A8A" w:rsidRDefault="00F9200D" w:rsidP="00F9200D">
      <w:pPr>
        <w:widowControl w:val="0"/>
        <w:jc w:val="both"/>
        <w:rPr>
          <w:rFonts w:ascii="Arial" w:hAnsi="Arial" w:cs="Arial"/>
          <w:sz w:val="16"/>
          <w:szCs w:val="16"/>
        </w:rPr>
      </w:pPr>
      <w:r w:rsidRPr="00C41D4A">
        <w:rPr>
          <w:rFonts w:ascii="Arial" w:hAnsi="Arial" w:cs="Arial"/>
          <w:sz w:val="16"/>
          <w:szCs w:val="16"/>
        </w:rPr>
        <w:t xml:space="preserve">Con el fin de garantizar los derechos de los consumidores financieros y dentro del marco general de la debida diligencia en la prestación del servicio, en la gestión de cobranza a deudores morosos, las entidades vigiladas deben atender las </w:t>
      </w:r>
    </w:p>
    <w:p w14:paraId="35A894FD" w14:textId="77777777" w:rsidR="007D1A8A" w:rsidRPr="00C41D4A" w:rsidRDefault="007D1A8A" w:rsidP="00C41D4A">
      <w:pPr>
        <w:jc w:val="both"/>
        <w:rPr>
          <w:rFonts w:ascii="Arial" w:hAnsi="Arial" w:cs="Arial"/>
          <w:sz w:val="16"/>
          <w:szCs w:val="16"/>
        </w:rPr>
        <w:sectPr w:rsidR="007D1A8A" w:rsidRPr="00C41D4A" w:rsidSect="005C1C1C">
          <w:footerReference w:type="default" r:id="rId14"/>
          <w:pgSz w:w="12240" w:h="18720" w:code="14"/>
          <w:pgMar w:top="1418" w:right="1701" w:bottom="1418" w:left="1701" w:header="1134" w:footer="945" w:gutter="0"/>
          <w:pgNumType w:start="28"/>
          <w:cols w:space="708"/>
          <w:docGrid w:linePitch="360"/>
        </w:sectPr>
      </w:pPr>
    </w:p>
    <w:p w14:paraId="1F687EC3" w14:textId="77777777" w:rsidR="00F9200D" w:rsidRDefault="00F9200D" w:rsidP="00C41D4A">
      <w:pPr>
        <w:widowControl w:val="0"/>
        <w:jc w:val="both"/>
        <w:rPr>
          <w:rFonts w:ascii="Arial" w:hAnsi="Arial" w:cs="Arial"/>
          <w:sz w:val="16"/>
          <w:szCs w:val="16"/>
        </w:rPr>
      </w:pPr>
    </w:p>
    <w:p w14:paraId="06D3B1F2" w14:textId="77777777" w:rsidR="00C41D4A" w:rsidRPr="00C41D4A" w:rsidRDefault="00C41D4A" w:rsidP="00C41D4A">
      <w:pPr>
        <w:widowControl w:val="0"/>
        <w:jc w:val="both"/>
        <w:rPr>
          <w:rFonts w:ascii="Arial" w:hAnsi="Arial" w:cs="Arial"/>
          <w:sz w:val="16"/>
          <w:szCs w:val="16"/>
        </w:rPr>
      </w:pPr>
      <w:r w:rsidRPr="00C41D4A">
        <w:rPr>
          <w:rFonts w:ascii="Arial" w:hAnsi="Arial" w:cs="Arial"/>
          <w:sz w:val="16"/>
          <w:szCs w:val="16"/>
        </w:rPr>
        <w:t xml:space="preserve">instrucciones aquí impartidas, independientemente de que la gestión sea realizada directamente por éstas o a través de terceros. </w:t>
      </w:r>
    </w:p>
    <w:p w14:paraId="025E3FC0" w14:textId="77777777" w:rsidR="00C41D4A" w:rsidRPr="00C41D4A" w:rsidRDefault="00C41D4A" w:rsidP="00C41D4A">
      <w:pPr>
        <w:widowControl w:val="0"/>
        <w:jc w:val="both"/>
        <w:rPr>
          <w:rFonts w:ascii="Arial" w:hAnsi="Arial" w:cs="Arial"/>
          <w:sz w:val="16"/>
          <w:szCs w:val="16"/>
        </w:rPr>
      </w:pPr>
    </w:p>
    <w:p w14:paraId="74C04A04" w14:textId="77777777" w:rsidR="00C41D4A" w:rsidRPr="00C41D4A" w:rsidRDefault="00C41D4A" w:rsidP="00C41D4A">
      <w:pPr>
        <w:widowControl w:val="0"/>
        <w:jc w:val="both"/>
        <w:rPr>
          <w:rFonts w:ascii="Arial" w:hAnsi="Arial" w:cs="Arial"/>
          <w:sz w:val="16"/>
          <w:szCs w:val="16"/>
        </w:rPr>
      </w:pPr>
      <w:r w:rsidRPr="00C41D4A">
        <w:rPr>
          <w:rFonts w:ascii="Arial" w:hAnsi="Arial" w:cs="Arial"/>
          <w:sz w:val="16"/>
          <w:szCs w:val="16"/>
        </w:rPr>
        <w:t>Cuando la mencionada gestión se realice mediante la contratación de terceros, la actividad se entiende realizada bajo la entera responsabilidad de la entidad vigilada quien es igualmente responsable de velar porque los terceros contratados, atiendan en forma integral las instrucciones establecidas en la presente Circular. Igual regla aplicará en los eventos de cesión de cartera, para lo cual las entidades vigiladas deben incluir en sus contratos una cláusula en la que se señale que el cesionario, cuando ésta sea transferida, observará las pautas de cobro establecidas por la SFC en la presente Circular.</w:t>
      </w:r>
    </w:p>
    <w:p w14:paraId="0FE46E2D" w14:textId="77777777" w:rsidR="00C41D4A" w:rsidRPr="00C41D4A" w:rsidRDefault="00C41D4A" w:rsidP="00C41D4A">
      <w:pPr>
        <w:widowControl w:val="0"/>
        <w:jc w:val="both"/>
        <w:rPr>
          <w:rFonts w:ascii="Arial" w:hAnsi="Arial" w:cs="Arial"/>
          <w:sz w:val="16"/>
          <w:szCs w:val="16"/>
        </w:rPr>
      </w:pPr>
    </w:p>
    <w:p w14:paraId="49635BFC" w14:textId="77777777" w:rsidR="002443EB" w:rsidRPr="00BA776C" w:rsidRDefault="00C41D4A" w:rsidP="00C41D4A">
      <w:pPr>
        <w:widowControl w:val="0"/>
        <w:jc w:val="both"/>
        <w:rPr>
          <w:rFonts w:ascii="Arial" w:hAnsi="Arial" w:cs="Arial"/>
          <w:b/>
          <w:bCs/>
          <w:sz w:val="16"/>
          <w:szCs w:val="16"/>
          <w:lang w:val="es-CO"/>
        </w:rPr>
      </w:pPr>
      <w:r w:rsidRPr="00C41D4A">
        <w:rPr>
          <w:rFonts w:ascii="Arial" w:hAnsi="Arial" w:cs="Arial"/>
          <w:sz w:val="16"/>
          <w:szCs w:val="16"/>
        </w:rPr>
        <w:t>Las condiciones establecidas a continuación aplican a las entidades vigiladas por la SFC, con excepción de aquellas que se encuentren sometidas a algún régimen especial sobre el particular, tales como las entidades administradoras de fondos de pensiones y cesantías, quienes deberán atender las disposiciones especiales que resulten aplicables.</w:t>
      </w:r>
    </w:p>
    <w:sectPr w:rsidR="002443EB" w:rsidRPr="00BA776C" w:rsidSect="004269D4">
      <w:headerReference w:type="default" r:id="rId15"/>
      <w:footerReference w:type="default" r:id="rId16"/>
      <w:pgSz w:w="12240" w:h="18720" w:code="14"/>
      <w:pgMar w:top="1418" w:right="1701" w:bottom="1418" w:left="1701" w:header="1134" w:footer="945" w:gutter="0"/>
      <w:pgNumType w:start="2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63453" w14:textId="77777777" w:rsidR="00D00A52" w:rsidRDefault="00D00A52">
      <w:r>
        <w:separator/>
      </w:r>
    </w:p>
  </w:endnote>
  <w:endnote w:type="continuationSeparator" w:id="0">
    <w:p w14:paraId="2CA8D334" w14:textId="77777777" w:rsidR="00D00A52" w:rsidRDefault="00D00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B5609" w14:textId="77777777" w:rsidR="007D1A8A" w:rsidRPr="00D50617" w:rsidRDefault="007D1A8A" w:rsidP="007D1A8A">
    <w:pPr>
      <w:pStyle w:val="Piedepgina"/>
      <w:tabs>
        <w:tab w:val="clear" w:pos="8504"/>
        <w:tab w:val="right" w:pos="8760"/>
      </w:tabs>
      <w:ind w:right="49"/>
      <w:rPr>
        <w:sz w:val="18"/>
        <w:szCs w:val="18"/>
      </w:rPr>
    </w:pPr>
    <w:r>
      <w:rPr>
        <w:rFonts w:ascii="Arial" w:hAnsi="Arial" w:cs="Arial"/>
        <w:b/>
        <w:bCs/>
        <w:sz w:val="18"/>
        <w:szCs w:val="18"/>
        <w:lang w:val="pt-BR"/>
      </w:rPr>
      <w:t>PARTE I - TÍ</w:t>
    </w:r>
    <w:r w:rsidRPr="00D50617">
      <w:rPr>
        <w:rFonts w:ascii="Arial" w:hAnsi="Arial" w:cs="Arial"/>
        <w:b/>
        <w:bCs/>
        <w:sz w:val="18"/>
        <w:szCs w:val="18"/>
        <w:lang w:val="pt-BR"/>
      </w:rPr>
      <w:t xml:space="preserve">TULO III – CAPÍTULO </w:t>
    </w:r>
    <w:r>
      <w:rPr>
        <w:rFonts w:ascii="Arial" w:hAnsi="Arial" w:cs="Arial"/>
        <w:b/>
        <w:bCs/>
        <w:sz w:val="18"/>
        <w:szCs w:val="18"/>
        <w:lang w:val="pt-BR"/>
      </w:rPr>
      <w:t>I</w:t>
    </w:r>
    <w:r w:rsidRPr="00D50617">
      <w:rPr>
        <w:rFonts w:ascii="Arial" w:hAnsi="Arial" w:cs="Arial"/>
        <w:b/>
        <w:bCs/>
        <w:sz w:val="18"/>
        <w:szCs w:val="18"/>
        <w:lang w:val="pt-BR"/>
      </w:rPr>
      <w:tab/>
      <w:t xml:space="preserve">                               </w:t>
    </w:r>
    <w:r>
      <w:rPr>
        <w:rFonts w:ascii="Arial" w:hAnsi="Arial" w:cs="Arial"/>
        <w:b/>
        <w:bCs/>
        <w:sz w:val="18"/>
        <w:szCs w:val="18"/>
        <w:lang w:val="pt-BR"/>
      </w:rPr>
      <w:t xml:space="preserve">    </w:t>
    </w:r>
    <w:r w:rsidRPr="00D50617">
      <w:rPr>
        <w:rFonts w:ascii="Arial" w:hAnsi="Arial" w:cs="Arial"/>
        <w:b/>
        <w:bCs/>
        <w:sz w:val="18"/>
        <w:szCs w:val="18"/>
        <w:lang w:val="pt-BR"/>
      </w:rPr>
      <w:t xml:space="preserve">                                     </w:t>
    </w:r>
    <w:r>
      <w:rPr>
        <w:rFonts w:ascii="Arial" w:hAnsi="Arial" w:cs="Arial"/>
        <w:b/>
        <w:bCs/>
        <w:sz w:val="18"/>
        <w:szCs w:val="18"/>
        <w:lang w:val="pt-BR"/>
      </w:rPr>
      <w:t xml:space="preserve">                 </w:t>
    </w:r>
    <w:r w:rsidRPr="00D50617">
      <w:rPr>
        <w:rFonts w:ascii="Arial" w:hAnsi="Arial" w:cs="Arial"/>
        <w:b/>
        <w:bCs/>
        <w:sz w:val="18"/>
        <w:szCs w:val="18"/>
        <w:lang w:val="pt-BR"/>
      </w:rPr>
      <w:t xml:space="preserve">PÁGINA </w:t>
    </w:r>
    <w:r>
      <w:rPr>
        <w:rFonts w:ascii="Arial" w:hAnsi="Arial" w:cs="Arial"/>
        <w:b/>
        <w:bCs/>
        <w:sz w:val="18"/>
        <w:szCs w:val="18"/>
        <w:lang w:val="pt-BR"/>
      </w:rPr>
      <w:t>27 a 28</w:t>
    </w:r>
  </w:p>
  <w:p w14:paraId="6780680A" w14:textId="77777777" w:rsidR="007D1A8A" w:rsidRPr="00467E8D" w:rsidRDefault="007D1A8A" w:rsidP="007D1A8A">
    <w:pPr>
      <w:pStyle w:val="Piedepgina"/>
      <w:tabs>
        <w:tab w:val="clear" w:pos="8504"/>
        <w:tab w:val="right" w:pos="8760"/>
        <w:tab w:val="right" w:pos="8789"/>
      </w:tabs>
      <w:ind w:right="49"/>
      <w:rPr>
        <w:rFonts w:ascii="Arial" w:hAnsi="Arial" w:cs="Arial"/>
        <w:b/>
        <w:sz w:val="18"/>
        <w:szCs w:val="18"/>
      </w:rPr>
    </w:pPr>
    <w:r w:rsidRPr="00CB2905">
      <w:rPr>
        <w:rFonts w:ascii="Arial" w:hAnsi="Arial" w:cs="Arial"/>
        <w:b/>
        <w:sz w:val="18"/>
        <w:szCs w:val="18"/>
      </w:rPr>
      <w:t xml:space="preserve">Circular Externa </w:t>
    </w:r>
    <w:r>
      <w:rPr>
        <w:rFonts w:ascii="Arial" w:hAnsi="Arial" w:cs="Arial"/>
        <w:b/>
        <w:sz w:val="18"/>
        <w:szCs w:val="18"/>
      </w:rPr>
      <w:t xml:space="preserve">       </w:t>
    </w:r>
    <w:r w:rsidRPr="00CB2905">
      <w:rPr>
        <w:rFonts w:ascii="Arial" w:hAnsi="Arial" w:cs="Arial"/>
        <w:b/>
        <w:sz w:val="18"/>
        <w:szCs w:val="18"/>
      </w:rPr>
      <w:t>de 20</w:t>
    </w:r>
    <w:r>
      <w:rPr>
        <w:rFonts w:ascii="Arial" w:hAnsi="Arial" w:cs="Arial"/>
        <w:b/>
        <w:sz w:val="18"/>
        <w:szCs w:val="18"/>
      </w:rPr>
      <w:t>2</w:t>
    </w:r>
    <w:r w:rsidRPr="00CB2905">
      <w:rPr>
        <w:rFonts w:ascii="Arial" w:hAnsi="Arial" w:cs="Arial"/>
        <w:b/>
        <w:sz w:val="18"/>
        <w:szCs w:val="18"/>
      </w:rPr>
      <w:t xml:space="preserve">1                                                                    </w:t>
    </w:r>
    <w:r>
      <w:rPr>
        <w:rFonts w:ascii="Arial" w:hAnsi="Arial" w:cs="Arial"/>
        <w:b/>
        <w:sz w:val="18"/>
        <w:szCs w:val="18"/>
      </w:rPr>
      <w:t xml:space="preserve">  </w:t>
    </w:r>
    <w:r w:rsidRPr="00CB2905">
      <w:rPr>
        <w:rFonts w:ascii="Arial" w:hAnsi="Arial" w:cs="Arial"/>
        <w:b/>
        <w:sz w:val="18"/>
        <w:szCs w:val="18"/>
      </w:rPr>
      <w:t xml:space="preserve">                   </w:t>
    </w:r>
    <w:r>
      <w:rPr>
        <w:rFonts w:ascii="Arial" w:hAnsi="Arial" w:cs="Arial"/>
        <w:b/>
        <w:sz w:val="18"/>
        <w:szCs w:val="18"/>
      </w:rPr>
      <w:t xml:space="preserve">   </w:t>
    </w:r>
    <w:proofErr w:type="gramStart"/>
    <w:r>
      <w:rPr>
        <w:rFonts w:ascii="Arial" w:hAnsi="Arial" w:cs="Arial"/>
        <w:b/>
        <w:sz w:val="18"/>
        <w:szCs w:val="18"/>
      </w:rPr>
      <w:t>Septiembre</w:t>
    </w:r>
    <w:proofErr w:type="gramEnd"/>
    <w:r>
      <w:rPr>
        <w:rFonts w:ascii="Arial" w:hAnsi="Arial" w:cs="Arial"/>
        <w:b/>
        <w:sz w:val="18"/>
        <w:szCs w:val="18"/>
      </w:rPr>
      <w:t xml:space="preserve"> </w:t>
    </w:r>
    <w:r w:rsidRPr="00CB2905">
      <w:rPr>
        <w:rFonts w:ascii="Arial" w:hAnsi="Arial" w:cs="Arial"/>
        <w:b/>
        <w:sz w:val="18"/>
        <w:szCs w:val="18"/>
      </w:rPr>
      <w:t>de</w:t>
    </w:r>
    <w:r>
      <w:rPr>
        <w:rFonts w:ascii="Arial" w:hAnsi="Arial" w:cs="Arial"/>
        <w:b/>
        <w:sz w:val="18"/>
        <w:szCs w:val="18"/>
      </w:rPr>
      <w:t xml:space="preserve"> </w:t>
    </w:r>
    <w:r w:rsidRPr="00CB2905">
      <w:rPr>
        <w:rFonts w:ascii="Arial" w:hAnsi="Arial" w:cs="Arial"/>
        <w:b/>
        <w:sz w:val="18"/>
        <w:szCs w:val="18"/>
      </w:rPr>
      <w:t>20</w:t>
    </w:r>
    <w:r>
      <w:rPr>
        <w:rFonts w:ascii="Arial" w:hAnsi="Arial" w:cs="Arial"/>
        <w:b/>
        <w:sz w:val="18"/>
        <w:szCs w:val="18"/>
      </w:rPr>
      <w:t>21</w:t>
    </w:r>
  </w:p>
  <w:p w14:paraId="4424407E" w14:textId="77777777" w:rsidR="007D1A8A" w:rsidRDefault="007D1A8A" w:rsidP="007D1A8A">
    <w:pPr>
      <w:pStyle w:val="Piedepgina"/>
    </w:pPr>
  </w:p>
  <w:p w14:paraId="3DCAFB17" w14:textId="77777777" w:rsidR="007D1A8A" w:rsidRDefault="007D1A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2015F" w14:textId="77777777" w:rsidR="00C41D4A" w:rsidRPr="00D50617" w:rsidRDefault="00C41D4A" w:rsidP="00AF616B">
    <w:pPr>
      <w:pStyle w:val="Piedepgina"/>
      <w:tabs>
        <w:tab w:val="clear" w:pos="8504"/>
        <w:tab w:val="right" w:pos="8760"/>
      </w:tabs>
      <w:ind w:right="49"/>
      <w:rPr>
        <w:sz w:val="18"/>
        <w:szCs w:val="18"/>
      </w:rPr>
    </w:pPr>
    <w:r>
      <w:rPr>
        <w:rFonts w:ascii="Arial" w:hAnsi="Arial" w:cs="Arial"/>
        <w:b/>
        <w:bCs/>
        <w:sz w:val="18"/>
        <w:szCs w:val="18"/>
        <w:lang w:val="pt-BR"/>
      </w:rPr>
      <w:t>PARTE I - TÍ</w:t>
    </w:r>
    <w:r w:rsidRPr="00D50617">
      <w:rPr>
        <w:rFonts w:ascii="Arial" w:hAnsi="Arial" w:cs="Arial"/>
        <w:b/>
        <w:bCs/>
        <w:sz w:val="18"/>
        <w:szCs w:val="18"/>
        <w:lang w:val="pt-BR"/>
      </w:rPr>
      <w:t xml:space="preserve">TULO III – CAPÍTULO </w:t>
    </w:r>
    <w:r>
      <w:rPr>
        <w:rFonts w:ascii="Arial" w:hAnsi="Arial" w:cs="Arial"/>
        <w:b/>
        <w:bCs/>
        <w:sz w:val="18"/>
        <w:szCs w:val="18"/>
        <w:lang w:val="pt-BR"/>
      </w:rPr>
      <w:t>I</w:t>
    </w:r>
    <w:r w:rsidRPr="00D50617">
      <w:rPr>
        <w:rFonts w:ascii="Arial" w:hAnsi="Arial" w:cs="Arial"/>
        <w:b/>
        <w:bCs/>
        <w:sz w:val="18"/>
        <w:szCs w:val="18"/>
        <w:lang w:val="pt-BR"/>
      </w:rPr>
      <w:tab/>
      <w:t xml:space="preserve">                               </w:t>
    </w:r>
    <w:r>
      <w:rPr>
        <w:rFonts w:ascii="Arial" w:hAnsi="Arial" w:cs="Arial"/>
        <w:b/>
        <w:bCs/>
        <w:sz w:val="18"/>
        <w:szCs w:val="18"/>
        <w:lang w:val="pt-BR"/>
      </w:rPr>
      <w:t xml:space="preserve">    </w:t>
    </w:r>
    <w:r w:rsidRPr="00D50617">
      <w:rPr>
        <w:rFonts w:ascii="Arial" w:hAnsi="Arial" w:cs="Arial"/>
        <w:b/>
        <w:bCs/>
        <w:sz w:val="18"/>
        <w:szCs w:val="18"/>
        <w:lang w:val="pt-BR"/>
      </w:rPr>
      <w:t xml:space="preserve">                                     </w:t>
    </w:r>
    <w:r>
      <w:rPr>
        <w:rFonts w:ascii="Arial" w:hAnsi="Arial" w:cs="Arial"/>
        <w:b/>
        <w:bCs/>
        <w:sz w:val="18"/>
        <w:szCs w:val="18"/>
        <w:lang w:val="pt-BR"/>
      </w:rPr>
      <w:t xml:space="preserve">               </w:t>
    </w:r>
    <w:r w:rsidR="007D1A8A">
      <w:rPr>
        <w:rFonts w:ascii="Arial" w:hAnsi="Arial" w:cs="Arial"/>
        <w:b/>
        <w:bCs/>
        <w:sz w:val="18"/>
        <w:szCs w:val="18"/>
        <w:lang w:val="pt-BR"/>
      </w:rPr>
      <w:t xml:space="preserve">       </w:t>
    </w:r>
    <w:r>
      <w:rPr>
        <w:rFonts w:ascii="Arial" w:hAnsi="Arial" w:cs="Arial"/>
        <w:b/>
        <w:bCs/>
        <w:sz w:val="18"/>
        <w:szCs w:val="18"/>
        <w:lang w:val="pt-BR"/>
      </w:rPr>
      <w:t xml:space="preserve">  </w:t>
    </w:r>
    <w:r w:rsidRPr="00D50617">
      <w:rPr>
        <w:rFonts w:ascii="Arial" w:hAnsi="Arial" w:cs="Arial"/>
        <w:b/>
        <w:bCs/>
        <w:sz w:val="18"/>
        <w:szCs w:val="18"/>
        <w:lang w:val="pt-BR"/>
      </w:rPr>
      <w:t xml:space="preserve">PÁGINA </w:t>
    </w:r>
    <w:r>
      <w:rPr>
        <w:rFonts w:ascii="Arial" w:hAnsi="Arial" w:cs="Arial"/>
        <w:b/>
        <w:bCs/>
        <w:sz w:val="18"/>
        <w:szCs w:val="18"/>
        <w:lang w:val="pt-BR"/>
      </w:rPr>
      <w:t>2</w:t>
    </w:r>
    <w:r w:rsidR="007D1A8A">
      <w:rPr>
        <w:rFonts w:ascii="Arial" w:hAnsi="Arial" w:cs="Arial"/>
        <w:b/>
        <w:bCs/>
        <w:sz w:val="18"/>
        <w:szCs w:val="18"/>
        <w:lang w:val="pt-BR"/>
      </w:rPr>
      <w:t>6</w:t>
    </w:r>
  </w:p>
  <w:p w14:paraId="09FB3CE2" w14:textId="3F29FED9" w:rsidR="00C41D4A" w:rsidRPr="00467E8D" w:rsidRDefault="00C41D4A" w:rsidP="00AF616B">
    <w:pPr>
      <w:pStyle w:val="Piedepgina"/>
      <w:tabs>
        <w:tab w:val="clear" w:pos="8504"/>
        <w:tab w:val="right" w:pos="8760"/>
        <w:tab w:val="right" w:pos="8789"/>
      </w:tabs>
      <w:ind w:right="49"/>
      <w:rPr>
        <w:rFonts w:ascii="Arial" w:hAnsi="Arial" w:cs="Arial"/>
        <w:b/>
        <w:sz w:val="18"/>
        <w:szCs w:val="18"/>
      </w:rPr>
    </w:pPr>
    <w:r w:rsidRPr="00CB2905">
      <w:rPr>
        <w:rFonts w:ascii="Arial" w:hAnsi="Arial" w:cs="Arial"/>
        <w:b/>
        <w:sz w:val="18"/>
        <w:szCs w:val="18"/>
      </w:rPr>
      <w:t xml:space="preserve">Circular Externa </w:t>
    </w:r>
    <w:proofErr w:type="gramStart"/>
    <w:r w:rsidR="00CC1FB7">
      <w:rPr>
        <w:rFonts w:ascii="Arial" w:hAnsi="Arial" w:cs="Arial"/>
        <w:b/>
        <w:sz w:val="18"/>
        <w:szCs w:val="18"/>
      </w:rPr>
      <w:t>020</w:t>
    </w:r>
    <w:r>
      <w:rPr>
        <w:rFonts w:ascii="Arial" w:hAnsi="Arial" w:cs="Arial"/>
        <w:b/>
        <w:sz w:val="18"/>
        <w:szCs w:val="18"/>
      </w:rPr>
      <w:t xml:space="preserve">  </w:t>
    </w:r>
    <w:r w:rsidRPr="00CB2905">
      <w:rPr>
        <w:rFonts w:ascii="Arial" w:hAnsi="Arial" w:cs="Arial"/>
        <w:b/>
        <w:sz w:val="18"/>
        <w:szCs w:val="18"/>
      </w:rPr>
      <w:t>de</w:t>
    </w:r>
    <w:proofErr w:type="gramEnd"/>
    <w:r w:rsidRPr="00CB2905">
      <w:rPr>
        <w:rFonts w:ascii="Arial" w:hAnsi="Arial" w:cs="Arial"/>
        <w:b/>
        <w:sz w:val="18"/>
        <w:szCs w:val="18"/>
      </w:rPr>
      <w:t xml:space="preserve"> 20</w:t>
    </w:r>
    <w:r>
      <w:rPr>
        <w:rFonts w:ascii="Arial" w:hAnsi="Arial" w:cs="Arial"/>
        <w:b/>
        <w:sz w:val="18"/>
        <w:szCs w:val="18"/>
      </w:rPr>
      <w:t>2</w:t>
    </w:r>
    <w:r w:rsidRPr="00CB2905">
      <w:rPr>
        <w:rFonts w:ascii="Arial" w:hAnsi="Arial" w:cs="Arial"/>
        <w:b/>
        <w:sz w:val="18"/>
        <w:szCs w:val="18"/>
      </w:rPr>
      <w:t xml:space="preserve">1                                                                    </w:t>
    </w:r>
    <w:r>
      <w:rPr>
        <w:rFonts w:ascii="Arial" w:hAnsi="Arial" w:cs="Arial"/>
        <w:b/>
        <w:sz w:val="18"/>
        <w:szCs w:val="18"/>
      </w:rPr>
      <w:t xml:space="preserve">  </w:t>
    </w:r>
    <w:r w:rsidRPr="00CB2905">
      <w:rPr>
        <w:rFonts w:ascii="Arial" w:hAnsi="Arial" w:cs="Arial"/>
        <w:b/>
        <w:sz w:val="18"/>
        <w:szCs w:val="18"/>
      </w:rPr>
      <w:t xml:space="preserve">                   </w:t>
    </w:r>
    <w:r>
      <w:rPr>
        <w:rFonts w:ascii="Arial" w:hAnsi="Arial" w:cs="Arial"/>
        <w:b/>
        <w:sz w:val="18"/>
        <w:szCs w:val="18"/>
      </w:rPr>
      <w:t xml:space="preserve">   </w:t>
    </w:r>
    <w:r w:rsidR="008A3A2C">
      <w:rPr>
        <w:rFonts w:ascii="Arial" w:hAnsi="Arial" w:cs="Arial"/>
        <w:b/>
        <w:sz w:val="18"/>
        <w:szCs w:val="18"/>
      </w:rPr>
      <w:t xml:space="preserve">     </w:t>
    </w:r>
    <w:r w:rsidR="00175249">
      <w:rPr>
        <w:rFonts w:ascii="Arial" w:hAnsi="Arial" w:cs="Arial"/>
        <w:b/>
        <w:sz w:val="18"/>
        <w:szCs w:val="18"/>
      </w:rPr>
      <w:t xml:space="preserve">Octubre </w:t>
    </w:r>
    <w:r w:rsidRPr="00CB2905">
      <w:rPr>
        <w:rFonts w:ascii="Arial" w:hAnsi="Arial" w:cs="Arial"/>
        <w:b/>
        <w:sz w:val="18"/>
        <w:szCs w:val="18"/>
      </w:rPr>
      <w:t>de</w:t>
    </w:r>
    <w:r>
      <w:rPr>
        <w:rFonts w:ascii="Arial" w:hAnsi="Arial" w:cs="Arial"/>
        <w:b/>
        <w:sz w:val="18"/>
        <w:szCs w:val="18"/>
      </w:rPr>
      <w:t xml:space="preserve"> </w:t>
    </w:r>
    <w:r w:rsidRPr="00CB2905">
      <w:rPr>
        <w:rFonts w:ascii="Arial" w:hAnsi="Arial" w:cs="Arial"/>
        <w:b/>
        <w:sz w:val="18"/>
        <w:szCs w:val="18"/>
      </w:rPr>
      <w:t>20</w:t>
    </w:r>
    <w:r>
      <w:rPr>
        <w:rFonts w:ascii="Arial" w:hAnsi="Arial" w:cs="Arial"/>
        <w:b/>
        <w:sz w:val="18"/>
        <w:szCs w:val="18"/>
      </w:rPr>
      <w:t>21</w:t>
    </w:r>
  </w:p>
  <w:p w14:paraId="065B5364" w14:textId="77777777" w:rsidR="00C41D4A" w:rsidRDefault="00C41D4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B08F2" w14:textId="77777777" w:rsidR="007D1A8A" w:rsidRPr="00D50617" w:rsidRDefault="007D1A8A" w:rsidP="00AF616B">
    <w:pPr>
      <w:pStyle w:val="Piedepgina"/>
      <w:tabs>
        <w:tab w:val="clear" w:pos="8504"/>
        <w:tab w:val="right" w:pos="8760"/>
      </w:tabs>
      <w:ind w:right="49"/>
      <w:rPr>
        <w:sz w:val="18"/>
        <w:szCs w:val="18"/>
      </w:rPr>
    </w:pPr>
    <w:r>
      <w:rPr>
        <w:rFonts w:ascii="Arial" w:hAnsi="Arial" w:cs="Arial"/>
        <w:b/>
        <w:bCs/>
        <w:sz w:val="18"/>
        <w:szCs w:val="18"/>
        <w:lang w:val="pt-BR"/>
      </w:rPr>
      <w:t>PARTE I - TÍ</w:t>
    </w:r>
    <w:r w:rsidRPr="00D50617">
      <w:rPr>
        <w:rFonts w:ascii="Arial" w:hAnsi="Arial" w:cs="Arial"/>
        <w:b/>
        <w:bCs/>
        <w:sz w:val="18"/>
        <w:szCs w:val="18"/>
        <w:lang w:val="pt-BR"/>
      </w:rPr>
      <w:t xml:space="preserve">TULO III – CAPÍTULO </w:t>
    </w:r>
    <w:r>
      <w:rPr>
        <w:rFonts w:ascii="Arial" w:hAnsi="Arial" w:cs="Arial"/>
        <w:b/>
        <w:bCs/>
        <w:sz w:val="18"/>
        <w:szCs w:val="18"/>
        <w:lang w:val="pt-BR"/>
      </w:rPr>
      <w:t>I</w:t>
    </w:r>
    <w:r w:rsidRPr="00D50617">
      <w:rPr>
        <w:rFonts w:ascii="Arial" w:hAnsi="Arial" w:cs="Arial"/>
        <w:b/>
        <w:bCs/>
        <w:sz w:val="18"/>
        <w:szCs w:val="18"/>
        <w:lang w:val="pt-BR"/>
      </w:rPr>
      <w:tab/>
      <w:t xml:space="preserve">                               </w:t>
    </w:r>
    <w:r>
      <w:rPr>
        <w:rFonts w:ascii="Arial" w:hAnsi="Arial" w:cs="Arial"/>
        <w:b/>
        <w:bCs/>
        <w:sz w:val="18"/>
        <w:szCs w:val="18"/>
        <w:lang w:val="pt-BR"/>
      </w:rPr>
      <w:t xml:space="preserve">    </w:t>
    </w:r>
    <w:r w:rsidRPr="00D50617">
      <w:rPr>
        <w:rFonts w:ascii="Arial" w:hAnsi="Arial" w:cs="Arial"/>
        <w:b/>
        <w:bCs/>
        <w:sz w:val="18"/>
        <w:szCs w:val="18"/>
        <w:lang w:val="pt-BR"/>
      </w:rPr>
      <w:t xml:space="preserve">                                     </w:t>
    </w:r>
    <w:r>
      <w:rPr>
        <w:rFonts w:ascii="Arial" w:hAnsi="Arial" w:cs="Arial"/>
        <w:b/>
        <w:bCs/>
        <w:sz w:val="18"/>
        <w:szCs w:val="18"/>
        <w:lang w:val="pt-BR"/>
      </w:rPr>
      <w:t xml:space="preserve">                 </w:t>
    </w:r>
    <w:r w:rsidRPr="00D50617">
      <w:rPr>
        <w:rFonts w:ascii="Arial" w:hAnsi="Arial" w:cs="Arial"/>
        <w:b/>
        <w:bCs/>
        <w:sz w:val="18"/>
        <w:szCs w:val="18"/>
        <w:lang w:val="pt-BR"/>
      </w:rPr>
      <w:t xml:space="preserve">PÁGINA </w:t>
    </w:r>
    <w:r>
      <w:rPr>
        <w:rFonts w:ascii="Arial" w:hAnsi="Arial" w:cs="Arial"/>
        <w:b/>
        <w:bCs/>
        <w:sz w:val="18"/>
        <w:szCs w:val="18"/>
        <w:lang w:val="pt-BR"/>
      </w:rPr>
      <w:t>27 a 28</w:t>
    </w:r>
  </w:p>
  <w:p w14:paraId="278313FE" w14:textId="64DB2B5C" w:rsidR="007D1A8A" w:rsidRPr="00467E8D" w:rsidRDefault="007D1A8A" w:rsidP="00AF616B">
    <w:pPr>
      <w:pStyle w:val="Piedepgina"/>
      <w:tabs>
        <w:tab w:val="clear" w:pos="8504"/>
        <w:tab w:val="right" w:pos="8760"/>
        <w:tab w:val="right" w:pos="8789"/>
      </w:tabs>
      <w:ind w:right="49"/>
      <w:rPr>
        <w:rFonts w:ascii="Arial" w:hAnsi="Arial" w:cs="Arial"/>
        <w:b/>
        <w:sz w:val="18"/>
        <w:szCs w:val="18"/>
      </w:rPr>
    </w:pPr>
    <w:r w:rsidRPr="00CB2905">
      <w:rPr>
        <w:rFonts w:ascii="Arial" w:hAnsi="Arial" w:cs="Arial"/>
        <w:b/>
        <w:sz w:val="18"/>
        <w:szCs w:val="18"/>
      </w:rPr>
      <w:t xml:space="preserve">Circular Externa </w:t>
    </w:r>
    <w:r w:rsidR="00CC1FB7">
      <w:rPr>
        <w:rFonts w:ascii="Arial" w:hAnsi="Arial" w:cs="Arial"/>
        <w:b/>
        <w:sz w:val="18"/>
        <w:szCs w:val="18"/>
      </w:rPr>
      <w:t>020</w:t>
    </w:r>
    <w:r>
      <w:rPr>
        <w:rFonts w:ascii="Arial" w:hAnsi="Arial" w:cs="Arial"/>
        <w:b/>
        <w:sz w:val="18"/>
        <w:szCs w:val="18"/>
      </w:rPr>
      <w:t xml:space="preserve"> </w:t>
    </w:r>
    <w:r w:rsidRPr="00CB2905">
      <w:rPr>
        <w:rFonts w:ascii="Arial" w:hAnsi="Arial" w:cs="Arial"/>
        <w:b/>
        <w:sz w:val="18"/>
        <w:szCs w:val="18"/>
      </w:rPr>
      <w:t>de 20</w:t>
    </w:r>
    <w:r>
      <w:rPr>
        <w:rFonts w:ascii="Arial" w:hAnsi="Arial" w:cs="Arial"/>
        <w:b/>
        <w:sz w:val="18"/>
        <w:szCs w:val="18"/>
      </w:rPr>
      <w:t>2</w:t>
    </w:r>
    <w:r w:rsidRPr="00CB2905">
      <w:rPr>
        <w:rFonts w:ascii="Arial" w:hAnsi="Arial" w:cs="Arial"/>
        <w:b/>
        <w:sz w:val="18"/>
        <w:szCs w:val="18"/>
      </w:rPr>
      <w:t xml:space="preserve">1                                                                    </w:t>
    </w:r>
    <w:r>
      <w:rPr>
        <w:rFonts w:ascii="Arial" w:hAnsi="Arial" w:cs="Arial"/>
        <w:b/>
        <w:sz w:val="18"/>
        <w:szCs w:val="18"/>
      </w:rPr>
      <w:t xml:space="preserve">  </w:t>
    </w:r>
    <w:r w:rsidRPr="00CB2905">
      <w:rPr>
        <w:rFonts w:ascii="Arial" w:hAnsi="Arial" w:cs="Arial"/>
        <w:b/>
        <w:sz w:val="18"/>
        <w:szCs w:val="18"/>
      </w:rPr>
      <w:t xml:space="preserve">                   </w:t>
    </w:r>
    <w:r>
      <w:rPr>
        <w:rFonts w:ascii="Arial" w:hAnsi="Arial" w:cs="Arial"/>
        <w:b/>
        <w:sz w:val="18"/>
        <w:szCs w:val="18"/>
      </w:rPr>
      <w:t xml:space="preserve">   </w:t>
    </w:r>
    <w:r w:rsidR="008A3A2C">
      <w:rPr>
        <w:rFonts w:ascii="Arial" w:hAnsi="Arial" w:cs="Arial"/>
        <w:b/>
        <w:sz w:val="18"/>
        <w:szCs w:val="18"/>
      </w:rPr>
      <w:t xml:space="preserve">      </w:t>
    </w:r>
    <w:proofErr w:type="gramStart"/>
    <w:r w:rsidR="008A3A2C">
      <w:rPr>
        <w:rFonts w:ascii="Arial" w:hAnsi="Arial" w:cs="Arial"/>
        <w:b/>
        <w:sz w:val="18"/>
        <w:szCs w:val="18"/>
      </w:rPr>
      <w:t>Octubre</w:t>
    </w:r>
    <w:proofErr w:type="gramEnd"/>
    <w:r w:rsidR="008A3A2C">
      <w:rPr>
        <w:rFonts w:ascii="Arial" w:hAnsi="Arial" w:cs="Arial"/>
        <w:b/>
        <w:sz w:val="18"/>
        <w:szCs w:val="18"/>
      </w:rPr>
      <w:t xml:space="preserve"> </w:t>
    </w:r>
    <w:r w:rsidR="008A3A2C" w:rsidRPr="00CB2905">
      <w:rPr>
        <w:rFonts w:ascii="Arial" w:hAnsi="Arial" w:cs="Arial"/>
        <w:b/>
        <w:sz w:val="18"/>
        <w:szCs w:val="18"/>
      </w:rPr>
      <w:t>de</w:t>
    </w:r>
    <w:r w:rsidR="008A3A2C">
      <w:rPr>
        <w:rFonts w:ascii="Arial" w:hAnsi="Arial" w:cs="Arial"/>
        <w:b/>
        <w:sz w:val="18"/>
        <w:szCs w:val="18"/>
      </w:rPr>
      <w:t xml:space="preserve"> </w:t>
    </w:r>
    <w:r w:rsidR="008A3A2C" w:rsidRPr="00CB2905">
      <w:rPr>
        <w:rFonts w:ascii="Arial" w:hAnsi="Arial" w:cs="Arial"/>
        <w:b/>
        <w:sz w:val="18"/>
        <w:szCs w:val="18"/>
      </w:rPr>
      <w:t>20</w:t>
    </w:r>
    <w:r w:rsidR="008A3A2C">
      <w:rPr>
        <w:rFonts w:ascii="Arial" w:hAnsi="Arial" w:cs="Arial"/>
        <w:b/>
        <w:sz w:val="18"/>
        <w:szCs w:val="18"/>
      </w:rPr>
      <w:t>21</w:t>
    </w:r>
  </w:p>
  <w:p w14:paraId="6AA2B636" w14:textId="77777777" w:rsidR="007D1A8A" w:rsidRDefault="007D1A8A">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1A6E5" w14:textId="77777777" w:rsidR="00C41D4A" w:rsidRDefault="00C41D4A" w:rsidP="00385E1C">
    <w:pPr>
      <w:pStyle w:val="Piedepgina"/>
      <w:tabs>
        <w:tab w:val="clear" w:pos="8504"/>
        <w:tab w:val="right" w:pos="8760"/>
      </w:tabs>
      <w:ind w:right="360"/>
      <w:rPr>
        <w:rStyle w:val="Ninguno"/>
        <w:sz w:val="18"/>
        <w:szCs w:val="18"/>
        <w:lang w:val="pt-PT"/>
      </w:rPr>
    </w:pPr>
    <w:r>
      <w:rPr>
        <w:rStyle w:val="Ninguno"/>
        <w:rFonts w:ascii="Arial" w:hAnsi="Arial"/>
        <w:b/>
        <w:bCs/>
        <w:sz w:val="18"/>
        <w:szCs w:val="18"/>
        <w:lang w:val="pt-PT"/>
      </w:rPr>
      <w:t>PARTE I - TÍTULO III – CAPÍTULO I</w:t>
    </w:r>
    <w:r>
      <w:rPr>
        <w:rStyle w:val="Ninguno"/>
        <w:rFonts w:ascii="Arial" w:hAnsi="Arial"/>
        <w:b/>
        <w:bCs/>
        <w:sz w:val="18"/>
        <w:szCs w:val="18"/>
        <w:lang w:val="pt-PT"/>
      </w:rPr>
      <w:tab/>
    </w:r>
    <w:r>
      <w:rPr>
        <w:rStyle w:val="Ninguno"/>
        <w:rFonts w:ascii="Arial" w:hAnsi="Arial"/>
        <w:b/>
        <w:bCs/>
        <w:sz w:val="18"/>
        <w:szCs w:val="18"/>
        <w:lang w:val="pt-PT"/>
      </w:rPr>
      <w:tab/>
      <w:t>PÁGINA 28-</w:t>
    </w:r>
    <w:r w:rsidR="00FC07B4">
      <w:rPr>
        <w:rStyle w:val="Ninguno"/>
        <w:rFonts w:ascii="Arial" w:hAnsi="Arial"/>
        <w:b/>
        <w:bCs/>
        <w:sz w:val="18"/>
        <w:szCs w:val="18"/>
        <w:lang w:val="pt-PT"/>
      </w:rPr>
      <w:t>3</w:t>
    </w:r>
  </w:p>
  <w:p w14:paraId="359C8086" w14:textId="54C325C3" w:rsidR="00C41D4A" w:rsidRPr="00467E8D" w:rsidRDefault="00C41D4A" w:rsidP="00C41D4A">
    <w:pPr>
      <w:pStyle w:val="Piedepgina"/>
      <w:tabs>
        <w:tab w:val="clear" w:pos="8504"/>
        <w:tab w:val="right" w:pos="8760"/>
        <w:tab w:val="right" w:pos="8789"/>
      </w:tabs>
      <w:ind w:right="49"/>
      <w:rPr>
        <w:rFonts w:ascii="Arial" w:hAnsi="Arial" w:cs="Arial"/>
        <w:b/>
        <w:sz w:val="18"/>
        <w:szCs w:val="18"/>
      </w:rPr>
    </w:pPr>
    <w:r w:rsidRPr="00CB2905">
      <w:rPr>
        <w:rFonts w:ascii="Arial" w:hAnsi="Arial" w:cs="Arial"/>
        <w:b/>
        <w:sz w:val="18"/>
        <w:szCs w:val="18"/>
      </w:rPr>
      <w:t xml:space="preserve">Circular </w:t>
    </w:r>
    <w:proofErr w:type="gramStart"/>
    <w:r w:rsidRPr="00CB2905">
      <w:rPr>
        <w:rFonts w:ascii="Arial" w:hAnsi="Arial" w:cs="Arial"/>
        <w:b/>
        <w:sz w:val="18"/>
        <w:szCs w:val="18"/>
      </w:rPr>
      <w:t xml:space="preserve">Externa </w:t>
    </w:r>
    <w:r>
      <w:rPr>
        <w:rFonts w:ascii="Arial" w:hAnsi="Arial" w:cs="Arial"/>
        <w:b/>
        <w:sz w:val="18"/>
        <w:szCs w:val="18"/>
      </w:rPr>
      <w:t xml:space="preserve"> </w:t>
    </w:r>
    <w:r w:rsidR="00CC1FB7">
      <w:rPr>
        <w:rFonts w:ascii="Arial" w:hAnsi="Arial" w:cs="Arial"/>
        <w:b/>
        <w:sz w:val="18"/>
        <w:szCs w:val="18"/>
      </w:rPr>
      <w:t>020</w:t>
    </w:r>
    <w:proofErr w:type="gramEnd"/>
    <w:r>
      <w:rPr>
        <w:rFonts w:ascii="Arial" w:hAnsi="Arial" w:cs="Arial"/>
        <w:b/>
        <w:sz w:val="18"/>
        <w:szCs w:val="18"/>
      </w:rPr>
      <w:t xml:space="preserve"> </w:t>
    </w:r>
    <w:r w:rsidRPr="00CB2905">
      <w:rPr>
        <w:rFonts w:ascii="Arial" w:hAnsi="Arial" w:cs="Arial"/>
        <w:b/>
        <w:sz w:val="18"/>
        <w:szCs w:val="18"/>
      </w:rPr>
      <w:t>de 20</w:t>
    </w:r>
    <w:r>
      <w:rPr>
        <w:rFonts w:ascii="Arial" w:hAnsi="Arial" w:cs="Arial"/>
        <w:b/>
        <w:sz w:val="18"/>
        <w:szCs w:val="18"/>
      </w:rPr>
      <w:t>2</w:t>
    </w:r>
    <w:r w:rsidRPr="00CB2905">
      <w:rPr>
        <w:rFonts w:ascii="Arial" w:hAnsi="Arial" w:cs="Arial"/>
        <w:b/>
        <w:sz w:val="18"/>
        <w:szCs w:val="18"/>
      </w:rPr>
      <w:t xml:space="preserve">1                                                                 </w:t>
    </w:r>
    <w:r>
      <w:rPr>
        <w:rFonts w:ascii="Arial" w:hAnsi="Arial" w:cs="Arial"/>
        <w:b/>
        <w:sz w:val="18"/>
        <w:szCs w:val="18"/>
      </w:rPr>
      <w:t xml:space="preserve">  </w:t>
    </w:r>
    <w:r w:rsidRPr="00CB2905">
      <w:rPr>
        <w:rFonts w:ascii="Arial" w:hAnsi="Arial" w:cs="Arial"/>
        <w:b/>
        <w:sz w:val="18"/>
        <w:szCs w:val="18"/>
      </w:rPr>
      <w:t xml:space="preserve">                   </w:t>
    </w:r>
    <w:r>
      <w:rPr>
        <w:rFonts w:ascii="Arial" w:hAnsi="Arial" w:cs="Arial"/>
        <w:b/>
        <w:sz w:val="18"/>
        <w:szCs w:val="18"/>
      </w:rPr>
      <w:t xml:space="preserve">   </w:t>
    </w:r>
    <w:r w:rsidR="008A3A2C">
      <w:rPr>
        <w:rFonts w:ascii="Arial" w:hAnsi="Arial" w:cs="Arial"/>
        <w:b/>
        <w:sz w:val="18"/>
        <w:szCs w:val="18"/>
      </w:rPr>
      <w:t xml:space="preserve">      Octubre </w:t>
    </w:r>
    <w:r w:rsidR="008A3A2C" w:rsidRPr="00CB2905">
      <w:rPr>
        <w:rFonts w:ascii="Arial" w:hAnsi="Arial" w:cs="Arial"/>
        <w:b/>
        <w:sz w:val="18"/>
        <w:szCs w:val="18"/>
      </w:rPr>
      <w:t>de</w:t>
    </w:r>
    <w:r w:rsidR="008A3A2C">
      <w:rPr>
        <w:rFonts w:ascii="Arial" w:hAnsi="Arial" w:cs="Arial"/>
        <w:b/>
        <w:sz w:val="18"/>
        <w:szCs w:val="18"/>
      </w:rPr>
      <w:t xml:space="preserve"> </w:t>
    </w:r>
    <w:r w:rsidR="008A3A2C" w:rsidRPr="00CB2905">
      <w:rPr>
        <w:rFonts w:ascii="Arial" w:hAnsi="Arial" w:cs="Arial"/>
        <w:b/>
        <w:sz w:val="18"/>
        <w:szCs w:val="18"/>
      </w:rPr>
      <w:t>20</w:t>
    </w:r>
    <w:r w:rsidR="008A3A2C">
      <w:rPr>
        <w:rFonts w:ascii="Arial" w:hAnsi="Arial" w:cs="Arial"/>
        <w:b/>
        <w:sz w:val="18"/>
        <w:szCs w:val="18"/>
      </w:rPr>
      <w:t>21</w:t>
    </w:r>
  </w:p>
  <w:p w14:paraId="4FFB6CA5" w14:textId="77777777" w:rsidR="00C41D4A" w:rsidRDefault="00C41D4A" w:rsidP="00C41D4A">
    <w:pPr>
      <w:pStyle w:val="Piedepgina"/>
      <w:tabs>
        <w:tab w:val="clear" w:pos="8504"/>
        <w:tab w:val="right" w:pos="8760"/>
        <w:tab w:val="right" w:pos="8789"/>
      </w:tabs>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2D09" w14:textId="77777777" w:rsidR="00FC07B4" w:rsidRDefault="00FC07B4" w:rsidP="00385E1C">
    <w:pPr>
      <w:pStyle w:val="Piedepgina"/>
      <w:tabs>
        <w:tab w:val="clear" w:pos="8504"/>
        <w:tab w:val="right" w:pos="8760"/>
      </w:tabs>
      <w:ind w:right="360"/>
      <w:rPr>
        <w:rStyle w:val="Ninguno"/>
        <w:sz w:val="18"/>
        <w:szCs w:val="18"/>
        <w:lang w:val="pt-PT"/>
      </w:rPr>
    </w:pPr>
    <w:r>
      <w:rPr>
        <w:rStyle w:val="Ninguno"/>
        <w:rFonts w:ascii="Arial" w:hAnsi="Arial"/>
        <w:b/>
        <w:bCs/>
        <w:sz w:val="18"/>
        <w:szCs w:val="18"/>
        <w:lang w:val="pt-PT"/>
      </w:rPr>
      <w:t>PARTE I - TÍTULO III – CAPÍTULO I</w:t>
    </w:r>
    <w:r>
      <w:rPr>
        <w:rStyle w:val="Ninguno"/>
        <w:rFonts w:ascii="Arial" w:hAnsi="Arial"/>
        <w:b/>
        <w:bCs/>
        <w:sz w:val="18"/>
        <w:szCs w:val="18"/>
        <w:lang w:val="pt-PT"/>
      </w:rPr>
      <w:tab/>
    </w:r>
    <w:r>
      <w:rPr>
        <w:rStyle w:val="Ninguno"/>
        <w:rFonts w:ascii="Arial" w:hAnsi="Arial"/>
        <w:b/>
        <w:bCs/>
        <w:sz w:val="18"/>
        <w:szCs w:val="18"/>
        <w:lang w:val="pt-PT"/>
      </w:rPr>
      <w:tab/>
      <w:t>PÁGINA 28-4</w:t>
    </w:r>
  </w:p>
  <w:p w14:paraId="55997721" w14:textId="55AC2792" w:rsidR="00FC07B4" w:rsidRPr="00467E8D" w:rsidRDefault="00FC07B4" w:rsidP="00C41D4A">
    <w:pPr>
      <w:pStyle w:val="Piedepgina"/>
      <w:tabs>
        <w:tab w:val="clear" w:pos="8504"/>
        <w:tab w:val="right" w:pos="8760"/>
        <w:tab w:val="right" w:pos="8789"/>
      </w:tabs>
      <w:ind w:right="49"/>
      <w:rPr>
        <w:rFonts w:ascii="Arial" w:hAnsi="Arial" w:cs="Arial"/>
        <w:b/>
        <w:sz w:val="18"/>
        <w:szCs w:val="18"/>
      </w:rPr>
    </w:pPr>
    <w:r w:rsidRPr="00CB2905">
      <w:rPr>
        <w:rFonts w:ascii="Arial" w:hAnsi="Arial" w:cs="Arial"/>
        <w:b/>
        <w:sz w:val="18"/>
        <w:szCs w:val="18"/>
      </w:rPr>
      <w:t xml:space="preserve">Circular Externa </w:t>
    </w:r>
    <w:r w:rsidR="00CC1FB7">
      <w:rPr>
        <w:rFonts w:ascii="Arial" w:hAnsi="Arial" w:cs="Arial"/>
        <w:b/>
        <w:sz w:val="18"/>
        <w:szCs w:val="18"/>
      </w:rPr>
      <w:t>020</w:t>
    </w:r>
    <w:r>
      <w:rPr>
        <w:rFonts w:ascii="Arial" w:hAnsi="Arial" w:cs="Arial"/>
        <w:b/>
        <w:sz w:val="18"/>
        <w:szCs w:val="18"/>
      </w:rPr>
      <w:t xml:space="preserve"> </w:t>
    </w:r>
    <w:r w:rsidRPr="00CB2905">
      <w:rPr>
        <w:rFonts w:ascii="Arial" w:hAnsi="Arial" w:cs="Arial"/>
        <w:b/>
        <w:sz w:val="18"/>
        <w:szCs w:val="18"/>
      </w:rPr>
      <w:t>de 20</w:t>
    </w:r>
    <w:r>
      <w:rPr>
        <w:rFonts w:ascii="Arial" w:hAnsi="Arial" w:cs="Arial"/>
        <w:b/>
        <w:sz w:val="18"/>
        <w:szCs w:val="18"/>
      </w:rPr>
      <w:t>2</w:t>
    </w:r>
    <w:r w:rsidRPr="00CB2905">
      <w:rPr>
        <w:rFonts w:ascii="Arial" w:hAnsi="Arial" w:cs="Arial"/>
        <w:b/>
        <w:sz w:val="18"/>
        <w:szCs w:val="18"/>
      </w:rPr>
      <w:t xml:space="preserve">1                                                                    </w:t>
    </w:r>
    <w:r>
      <w:rPr>
        <w:rFonts w:ascii="Arial" w:hAnsi="Arial" w:cs="Arial"/>
        <w:b/>
        <w:sz w:val="18"/>
        <w:szCs w:val="18"/>
      </w:rPr>
      <w:t xml:space="preserve">  </w:t>
    </w:r>
    <w:r w:rsidRPr="00CB2905">
      <w:rPr>
        <w:rFonts w:ascii="Arial" w:hAnsi="Arial" w:cs="Arial"/>
        <w:b/>
        <w:sz w:val="18"/>
        <w:szCs w:val="18"/>
      </w:rPr>
      <w:t xml:space="preserve">                   </w:t>
    </w:r>
    <w:r>
      <w:rPr>
        <w:rFonts w:ascii="Arial" w:hAnsi="Arial" w:cs="Arial"/>
        <w:b/>
        <w:sz w:val="18"/>
        <w:szCs w:val="18"/>
      </w:rPr>
      <w:t xml:space="preserve">   </w:t>
    </w:r>
    <w:r w:rsidR="008B5570">
      <w:rPr>
        <w:rFonts w:ascii="Arial" w:hAnsi="Arial" w:cs="Arial"/>
        <w:b/>
        <w:sz w:val="18"/>
        <w:szCs w:val="18"/>
      </w:rPr>
      <w:t xml:space="preserve">      </w:t>
    </w:r>
    <w:proofErr w:type="gramStart"/>
    <w:r w:rsidR="008B5570">
      <w:rPr>
        <w:rFonts w:ascii="Arial" w:hAnsi="Arial" w:cs="Arial"/>
        <w:b/>
        <w:sz w:val="18"/>
        <w:szCs w:val="18"/>
      </w:rPr>
      <w:t>Octubre</w:t>
    </w:r>
    <w:proofErr w:type="gramEnd"/>
    <w:r w:rsidR="008B5570">
      <w:rPr>
        <w:rFonts w:ascii="Arial" w:hAnsi="Arial" w:cs="Arial"/>
        <w:b/>
        <w:sz w:val="18"/>
        <w:szCs w:val="18"/>
      </w:rPr>
      <w:t xml:space="preserve"> </w:t>
    </w:r>
    <w:r w:rsidR="008B5570" w:rsidRPr="00CB2905">
      <w:rPr>
        <w:rFonts w:ascii="Arial" w:hAnsi="Arial" w:cs="Arial"/>
        <w:b/>
        <w:sz w:val="18"/>
        <w:szCs w:val="18"/>
      </w:rPr>
      <w:t>de</w:t>
    </w:r>
    <w:r w:rsidR="008B5570">
      <w:rPr>
        <w:rFonts w:ascii="Arial" w:hAnsi="Arial" w:cs="Arial"/>
        <w:b/>
        <w:sz w:val="18"/>
        <w:szCs w:val="18"/>
      </w:rPr>
      <w:t xml:space="preserve"> </w:t>
    </w:r>
    <w:r w:rsidR="008B5570" w:rsidRPr="00CB2905">
      <w:rPr>
        <w:rFonts w:ascii="Arial" w:hAnsi="Arial" w:cs="Arial"/>
        <w:b/>
        <w:sz w:val="18"/>
        <w:szCs w:val="18"/>
      </w:rPr>
      <w:t>20</w:t>
    </w:r>
    <w:r w:rsidR="008B5570">
      <w:rPr>
        <w:rFonts w:ascii="Arial" w:hAnsi="Arial" w:cs="Arial"/>
        <w:b/>
        <w:sz w:val="18"/>
        <w:szCs w:val="18"/>
      </w:rPr>
      <w:t>21</w:t>
    </w:r>
  </w:p>
  <w:p w14:paraId="7B7C040D" w14:textId="77777777" w:rsidR="00FC07B4" w:rsidRDefault="00FC07B4" w:rsidP="00C41D4A">
    <w:pPr>
      <w:pStyle w:val="Piedepgina"/>
      <w:tabs>
        <w:tab w:val="clear" w:pos="8504"/>
        <w:tab w:val="right" w:pos="8760"/>
        <w:tab w:val="right" w:pos="8789"/>
      </w:tabs>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7703" w14:textId="77777777" w:rsidR="00C41D4A" w:rsidRPr="00D50617" w:rsidRDefault="00C41D4A" w:rsidP="00C41D4A">
    <w:pPr>
      <w:pStyle w:val="Piedepgina"/>
      <w:tabs>
        <w:tab w:val="clear" w:pos="8504"/>
        <w:tab w:val="right" w:pos="8760"/>
      </w:tabs>
      <w:ind w:right="49"/>
      <w:rPr>
        <w:sz w:val="18"/>
        <w:szCs w:val="18"/>
      </w:rPr>
    </w:pPr>
    <w:r>
      <w:rPr>
        <w:rFonts w:ascii="Arial" w:hAnsi="Arial" w:cs="Arial"/>
        <w:b/>
        <w:bCs/>
        <w:sz w:val="18"/>
        <w:szCs w:val="18"/>
        <w:lang w:val="pt-BR"/>
      </w:rPr>
      <w:t>PARTE I - TÍ</w:t>
    </w:r>
    <w:r w:rsidRPr="00D50617">
      <w:rPr>
        <w:rFonts w:ascii="Arial" w:hAnsi="Arial" w:cs="Arial"/>
        <w:b/>
        <w:bCs/>
        <w:sz w:val="18"/>
        <w:szCs w:val="18"/>
        <w:lang w:val="pt-BR"/>
      </w:rPr>
      <w:t xml:space="preserve">TULO III – CAPÍTULO </w:t>
    </w:r>
    <w:r>
      <w:rPr>
        <w:rFonts w:ascii="Arial" w:hAnsi="Arial" w:cs="Arial"/>
        <w:b/>
        <w:bCs/>
        <w:sz w:val="18"/>
        <w:szCs w:val="18"/>
        <w:lang w:val="pt-BR"/>
      </w:rPr>
      <w:t>I</w:t>
    </w:r>
    <w:r w:rsidRPr="00D50617">
      <w:rPr>
        <w:rFonts w:ascii="Arial" w:hAnsi="Arial" w:cs="Arial"/>
        <w:b/>
        <w:bCs/>
        <w:sz w:val="18"/>
        <w:szCs w:val="18"/>
        <w:lang w:val="pt-BR"/>
      </w:rPr>
      <w:tab/>
      <w:t xml:space="preserve">                               </w:t>
    </w:r>
    <w:r>
      <w:rPr>
        <w:rFonts w:ascii="Arial" w:hAnsi="Arial" w:cs="Arial"/>
        <w:b/>
        <w:bCs/>
        <w:sz w:val="18"/>
        <w:szCs w:val="18"/>
        <w:lang w:val="pt-BR"/>
      </w:rPr>
      <w:t xml:space="preserve">    </w:t>
    </w:r>
    <w:r w:rsidRPr="00D50617">
      <w:rPr>
        <w:rFonts w:ascii="Arial" w:hAnsi="Arial" w:cs="Arial"/>
        <w:b/>
        <w:bCs/>
        <w:sz w:val="18"/>
        <w:szCs w:val="18"/>
        <w:lang w:val="pt-BR"/>
      </w:rPr>
      <w:t xml:space="preserve">                                     </w:t>
    </w:r>
    <w:r>
      <w:rPr>
        <w:rFonts w:ascii="Arial" w:hAnsi="Arial" w:cs="Arial"/>
        <w:b/>
        <w:bCs/>
        <w:sz w:val="18"/>
        <w:szCs w:val="18"/>
        <w:lang w:val="pt-BR"/>
      </w:rPr>
      <w:t xml:space="preserve">                      </w:t>
    </w:r>
    <w:r w:rsidRPr="00D50617">
      <w:rPr>
        <w:rFonts w:ascii="Arial" w:hAnsi="Arial" w:cs="Arial"/>
        <w:b/>
        <w:bCs/>
        <w:sz w:val="18"/>
        <w:szCs w:val="18"/>
        <w:lang w:val="pt-BR"/>
      </w:rPr>
      <w:t xml:space="preserve">PÁGINA </w:t>
    </w:r>
    <w:r>
      <w:rPr>
        <w:rFonts w:ascii="Arial" w:hAnsi="Arial" w:cs="Arial"/>
        <w:b/>
        <w:bCs/>
        <w:sz w:val="18"/>
        <w:szCs w:val="18"/>
        <w:lang w:val="pt-BR"/>
      </w:rPr>
      <w:t>28-5</w:t>
    </w:r>
  </w:p>
  <w:p w14:paraId="394104C1" w14:textId="55EE4D9F" w:rsidR="00C41D4A" w:rsidRDefault="00C41D4A" w:rsidP="008B5570">
    <w:pPr>
      <w:pStyle w:val="Piedepgina"/>
      <w:tabs>
        <w:tab w:val="clear" w:pos="8504"/>
        <w:tab w:val="right" w:pos="8760"/>
        <w:tab w:val="right" w:pos="8789"/>
      </w:tabs>
      <w:ind w:right="49"/>
    </w:pPr>
    <w:r w:rsidRPr="00CB2905">
      <w:rPr>
        <w:rFonts w:ascii="Arial" w:hAnsi="Arial" w:cs="Arial"/>
        <w:b/>
        <w:sz w:val="18"/>
        <w:szCs w:val="18"/>
      </w:rPr>
      <w:t xml:space="preserve">Circular </w:t>
    </w:r>
    <w:proofErr w:type="gramStart"/>
    <w:r w:rsidRPr="00CB2905">
      <w:rPr>
        <w:rFonts w:ascii="Arial" w:hAnsi="Arial" w:cs="Arial"/>
        <w:b/>
        <w:sz w:val="18"/>
        <w:szCs w:val="18"/>
      </w:rPr>
      <w:t xml:space="preserve">Externa </w:t>
    </w:r>
    <w:r>
      <w:rPr>
        <w:rFonts w:ascii="Arial" w:hAnsi="Arial" w:cs="Arial"/>
        <w:b/>
        <w:sz w:val="18"/>
        <w:szCs w:val="18"/>
      </w:rPr>
      <w:t xml:space="preserve"> </w:t>
    </w:r>
    <w:r w:rsidR="00CC1FB7">
      <w:rPr>
        <w:rFonts w:ascii="Arial" w:hAnsi="Arial" w:cs="Arial"/>
        <w:b/>
        <w:sz w:val="18"/>
        <w:szCs w:val="18"/>
      </w:rPr>
      <w:t>020</w:t>
    </w:r>
    <w:proofErr w:type="gramEnd"/>
    <w:r>
      <w:rPr>
        <w:rFonts w:ascii="Arial" w:hAnsi="Arial" w:cs="Arial"/>
        <w:b/>
        <w:sz w:val="18"/>
        <w:szCs w:val="18"/>
      </w:rPr>
      <w:t xml:space="preserve"> </w:t>
    </w:r>
    <w:r w:rsidRPr="00CB2905">
      <w:rPr>
        <w:rFonts w:ascii="Arial" w:hAnsi="Arial" w:cs="Arial"/>
        <w:b/>
        <w:sz w:val="18"/>
        <w:szCs w:val="18"/>
      </w:rPr>
      <w:t>de 20</w:t>
    </w:r>
    <w:r>
      <w:rPr>
        <w:rFonts w:ascii="Arial" w:hAnsi="Arial" w:cs="Arial"/>
        <w:b/>
        <w:sz w:val="18"/>
        <w:szCs w:val="18"/>
      </w:rPr>
      <w:t>2</w:t>
    </w:r>
    <w:r w:rsidRPr="00CB2905">
      <w:rPr>
        <w:rFonts w:ascii="Arial" w:hAnsi="Arial" w:cs="Arial"/>
        <w:b/>
        <w:sz w:val="18"/>
        <w:szCs w:val="18"/>
      </w:rPr>
      <w:t xml:space="preserve">1                                                                  </w:t>
    </w:r>
    <w:r>
      <w:rPr>
        <w:rFonts w:ascii="Arial" w:hAnsi="Arial" w:cs="Arial"/>
        <w:b/>
        <w:sz w:val="18"/>
        <w:szCs w:val="18"/>
      </w:rPr>
      <w:t xml:space="preserve">  </w:t>
    </w:r>
    <w:r w:rsidRPr="00CB2905">
      <w:rPr>
        <w:rFonts w:ascii="Arial" w:hAnsi="Arial" w:cs="Arial"/>
        <w:b/>
        <w:sz w:val="18"/>
        <w:szCs w:val="18"/>
      </w:rPr>
      <w:t xml:space="preserve">                  </w:t>
    </w:r>
    <w:r w:rsidR="008B5570">
      <w:rPr>
        <w:rFonts w:ascii="Arial" w:hAnsi="Arial" w:cs="Arial"/>
        <w:b/>
        <w:sz w:val="18"/>
        <w:szCs w:val="18"/>
      </w:rPr>
      <w:t xml:space="preserve">      </w:t>
    </w:r>
    <w:r w:rsidRPr="00CB2905">
      <w:rPr>
        <w:rFonts w:ascii="Arial" w:hAnsi="Arial" w:cs="Arial"/>
        <w:b/>
        <w:sz w:val="18"/>
        <w:szCs w:val="18"/>
      </w:rPr>
      <w:t xml:space="preserve"> </w:t>
    </w:r>
    <w:r>
      <w:rPr>
        <w:rFonts w:ascii="Arial" w:hAnsi="Arial" w:cs="Arial"/>
        <w:b/>
        <w:sz w:val="18"/>
        <w:szCs w:val="18"/>
      </w:rPr>
      <w:t xml:space="preserve">   </w:t>
    </w:r>
    <w:r w:rsidR="008B5570">
      <w:rPr>
        <w:rFonts w:ascii="Arial" w:hAnsi="Arial" w:cs="Arial"/>
        <w:b/>
        <w:sz w:val="18"/>
        <w:szCs w:val="18"/>
      </w:rPr>
      <w:t xml:space="preserve">Octubre </w:t>
    </w:r>
    <w:r w:rsidR="008B5570" w:rsidRPr="00CB2905">
      <w:rPr>
        <w:rFonts w:ascii="Arial" w:hAnsi="Arial" w:cs="Arial"/>
        <w:b/>
        <w:sz w:val="18"/>
        <w:szCs w:val="18"/>
      </w:rPr>
      <w:t>de</w:t>
    </w:r>
    <w:r w:rsidR="008B5570">
      <w:rPr>
        <w:rFonts w:ascii="Arial" w:hAnsi="Arial" w:cs="Arial"/>
        <w:b/>
        <w:sz w:val="18"/>
        <w:szCs w:val="18"/>
      </w:rPr>
      <w:t xml:space="preserve"> </w:t>
    </w:r>
    <w:r w:rsidR="008B5570" w:rsidRPr="00CB2905">
      <w:rPr>
        <w:rFonts w:ascii="Arial" w:hAnsi="Arial" w:cs="Arial"/>
        <w:b/>
        <w:sz w:val="18"/>
        <w:szCs w:val="18"/>
      </w:rPr>
      <w:t>20</w:t>
    </w:r>
    <w:r w:rsidR="008B5570">
      <w:rPr>
        <w:rFonts w:ascii="Arial" w:hAnsi="Arial" w:cs="Arial"/>
        <w:b/>
        <w:sz w:val="18"/>
        <w:szCs w:val="18"/>
      </w:rPr>
      <w:t>21</w:t>
    </w:r>
  </w:p>
  <w:p w14:paraId="0E602D4B" w14:textId="77777777" w:rsidR="00C54611" w:rsidRPr="00C41D4A" w:rsidRDefault="00C54611" w:rsidP="00C41D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7D419" w14:textId="77777777" w:rsidR="00D00A52" w:rsidRDefault="00D00A52">
      <w:r>
        <w:separator/>
      </w:r>
    </w:p>
  </w:footnote>
  <w:footnote w:type="continuationSeparator" w:id="0">
    <w:p w14:paraId="79877F19" w14:textId="77777777" w:rsidR="00D00A52" w:rsidRDefault="00D00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9C224" w14:textId="77777777" w:rsidR="007D1A8A" w:rsidRPr="007D1A8A" w:rsidRDefault="007D1A8A" w:rsidP="007D1A8A">
    <w:pPr>
      <w:pStyle w:val="Encabezado"/>
      <w:jc w:val="center"/>
      <w:rPr>
        <w:rFonts w:ascii="Arial" w:hAnsi="Arial" w:cs="Arial"/>
        <w:b/>
        <w:bCs/>
        <w:lang w:val="es-ES"/>
      </w:rPr>
    </w:pPr>
    <w:r w:rsidRPr="007D1A8A">
      <w:rPr>
        <w:rFonts w:ascii="Arial" w:hAnsi="Arial" w:cs="Arial"/>
        <w:b/>
        <w:bCs/>
        <w:lang w:val="es-ES"/>
      </w:rPr>
      <w:t>SUPERINTENDENCIA FINANCIERA DE COLOMBIA</w:t>
    </w:r>
  </w:p>
  <w:p w14:paraId="3809AA15" w14:textId="77777777" w:rsidR="007D1A8A" w:rsidRDefault="007D1A8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D1EE8" w14:textId="77777777" w:rsidR="007D1A8A" w:rsidRPr="007D1A8A" w:rsidRDefault="007D1A8A" w:rsidP="007D1A8A">
    <w:pPr>
      <w:pStyle w:val="Encabezado"/>
      <w:jc w:val="center"/>
      <w:rPr>
        <w:rFonts w:ascii="Arial" w:hAnsi="Arial" w:cs="Arial"/>
        <w:b/>
        <w:bCs/>
        <w:lang w:val="es-ES"/>
      </w:rPr>
    </w:pPr>
    <w:r w:rsidRPr="007D1A8A">
      <w:rPr>
        <w:rFonts w:ascii="Arial" w:hAnsi="Arial" w:cs="Arial"/>
        <w:b/>
        <w:bCs/>
        <w:lang w:val="es-ES"/>
      </w:rPr>
      <w:t>SUPERINTENDENCIA FINANCIERA DE COLOMBIA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F1F73" w14:textId="77777777" w:rsidR="00C54611" w:rsidRDefault="00C54611">
    <w:pPr>
      <w:pStyle w:val="Encabezado"/>
      <w:tabs>
        <w:tab w:val="clear" w:pos="8838"/>
        <w:tab w:val="right" w:pos="8818"/>
      </w:tabs>
      <w:jc w:val="center"/>
      <w:rPr>
        <w:rStyle w:val="Ninguno"/>
        <w:rFonts w:ascii="Arial" w:eastAsia="Arial" w:hAnsi="Arial" w:cs="Arial"/>
        <w:b/>
        <w:bCs/>
      </w:rPr>
    </w:pPr>
    <w:r>
      <w:rPr>
        <w:rStyle w:val="Ninguno"/>
        <w:rFonts w:ascii="Arial" w:hAnsi="Arial"/>
        <w:b/>
        <w:bCs/>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39673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CAE07E6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A340D8D"/>
    <w:multiLevelType w:val="hybridMultilevel"/>
    <w:tmpl w:val="4176DCDA"/>
    <w:lvl w:ilvl="0" w:tplc="240A000F">
      <w:start w:val="1"/>
      <w:numFmt w:val="decimal"/>
      <w:lvlText w:val="%1."/>
      <w:lvlJc w:val="left"/>
      <w:pPr>
        <w:ind w:left="36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3" w15:restartNumberingAfterBreak="0">
    <w:nsid w:val="0DED6A2B"/>
    <w:multiLevelType w:val="multilevel"/>
    <w:tmpl w:val="7F30CF3A"/>
    <w:lvl w:ilvl="0">
      <w:start w:val="1"/>
      <w:numFmt w:val="decimal"/>
      <w:lvlText w:val="%1."/>
      <w:lvlJc w:val="left"/>
      <w:pPr>
        <w:ind w:left="800" w:hanging="800"/>
      </w:pPr>
      <w:rPr>
        <w:rFonts w:hint="default"/>
      </w:rPr>
    </w:lvl>
    <w:lvl w:ilvl="1">
      <w:start w:val="2"/>
      <w:numFmt w:val="decimal"/>
      <w:lvlText w:val="%1.%2."/>
      <w:lvlJc w:val="left"/>
      <w:pPr>
        <w:ind w:left="800" w:hanging="800"/>
      </w:pPr>
      <w:rPr>
        <w:rFonts w:hint="default"/>
      </w:rPr>
    </w:lvl>
    <w:lvl w:ilvl="2">
      <w:start w:val="4"/>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3"/>
      <w:numFmt w:val="decimal"/>
      <w:lvlText w:val="%1.%2.%3.%4.%5."/>
      <w:lvlJc w:val="left"/>
      <w:pPr>
        <w:ind w:left="800" w:hanging="80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D24901"/>
    <w:multiLevelType w:val="hybridMultilevel"/>
    <w:tmpl w:val="A1A85420"/>
    <w:lvl w:ilvl="0" w:tplc="931E57F4">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53731B"/>
    <w:multiLevelType w:val="hybridMultilevel"/>
    <w:tmpl w:val="2946CAD4"/>
    <w:lvl w:ilvl="0" w:tplc="0C0A0001">
      <w:start w:val="1"/>
      <w:numFmt w:val="bullet"/>
      <w:lvlText w:val=""/>
      <w:lvlJc w:val="left"/>
      <w:pPr>
        <w:ind w:left="1125" w:hanging="360"/>
      </w:pPr>
      <w:rPr>
        <w:rFonts w:ascii="Symbol" w:hAnsi="Symbol" w:hint="default"/>
      </w:rPr>
    </w:lvl>
    <w:lvl w:ilvl="1" w:tplc="0C0A0003" w:tentative="1">
      <w:start w:val="1"/>
      <w:numFmt w:val="bullet"/>
      <w:lvlText w:val="o"/>
      <w:lvlJc w:val="left"/>
      <w:pPr>
        <w:ind w:left="1845" w:hanging="360"/>
      </w:pPr>
      <w:rPr>
        <w:rFonts w:ascii="Courier New" w:hAnsi="Courier New" w:hint="default"/>
      </w:rPr>
    </w:lvl>
    <w:lvl w:ilvl="2" w:tplc="0C0A0005" w:tentative="1">
      <w:start w:val="1"/>
      <w:numFmt w:val="bullet"/>
      <w:lvlText w:val=""/>
      <w:lvlJc w:val="left"/>
      <w:pPr>
        <w:ind w:left="2565" w:hanging="360"/>
      </w:pPr>
      <w:rPr>
        <w:rFonts w:ascii="Wingdings" w:hAnsi="Wingdings" w:hint="default"/>
      </w:rPr>
    </w:lvl>
    <w:lvl w:ilvl="3" w:tplc="0C0A0001" w:tentative="1">
      <w:start w:val="1"/>
      <w:numFmt w:val="bullet"/>
      <w:lvlText w:val=""/>
      <w:lvlJc w:val="left"/>
      <w:pPr>
        <w:ind w:left="3285" w:hanging="360"/>
      </w:pPr>
      <w:rPr>
        <w:rFonts w:ascii="Symbol" w:hAnsi="Symbol" w:hint="default"/>
      </w:rPr>
    </w:lvl>
    <w:lvl w:ilvl="4" w:tplc="0C0A0003" w:tentative="1">
      <w:start w:val="1"/>
      <w:numFmt w:val="bullet"/>
      <w:lvlText w:val="o"/>
      <w:lvlJc w:val="left"/>
      <w:pPr>
        <w:ind w:left="4005" w:hanging="360"/>
      </w:pPr>
      <w:rPr>
        <w:rFonts w:ascii="Courier New" w:hAnsi="Courier New" w:hint="default"/>
      </w:rPr>
    </w:lvl>
    <w:lvl w:ilvl="5" w:tplc="0C0A0005" w:tentative="1">
      <w:start w:val="1"/>
      <w:numFmt w:val="bullet"/>
      <w:lvlText w:val=""/>
      <w:lvlJc w:val="left"/>
      <w:pPr>
        <w:ind w:left="4725" w:hanging="360"/>
      </w:pPr>
      <w:rPr>
        <w:rFonts w:ascii="Wingdings" w:hAnsi="Wingdings" w:hint="default"/>
      </w:rPr>
    </w:lvl>
    <w:lvl w:ilvl="6" w:tplc="0C0A0001" w:tentative="1">
      <w:start w:val="1"/>
      <w:numFmt w:val="bullet"/>
      <w:lvlText w:val=""/>
      <w:lvlJc w:val="left"/>
      <w:pPr>
        <w:ind w:left="5445" w:hanging="360"/>
      </w:pPr>
      <w:rPr>
        <w:rFonts w:ascii="Symbol" w:hAnsi="Symbol" w:hint="default"/>
      </w:rPr>
    </w:lvl>
    <w:lvl w:ilvl="7" w:tplc="0C0A0003" w:tentative="1">
      <w:start w:val="1"/>
      <w:numFmt w:val="bullet"/>
      <w:lvlText w:val="o"/>
      <w:lvlJc w:val="left"/>
      <w:pPr>
        <w:ind w:left="6165" w:hanging="360"/>
      </w:pPr>
      <w:rPr>
        <w:rFonts w:ascii="Courier New" w:hAnsi="Courier New" w:hint="default"/>
      </w:rPr>
    </w:lvl>
    <w:lvl w:ilvl="8" w:tplc="0C0A0005" w:tentative="1">
      <w:start w:val="1"/>
      <w:numFmt w:val="bullet"/>
      <w:lvlText w:val=""/>
      <w:lvlJc w:val="left"/>
      <w:pPr>
        <w:ind w:left="6885" w:hanging="360"/>
      </w:pPr>
      <w:rPr>
        <w:rFonts w:ascii="Wingdings" w:hAnsi="Wingdings" w:hint="default"/>
      </w:rPr>
    </w:lvl>
  </w:abstractNum>
  <w:abstractNum w:abstractNumId="6" w15:restartNumberingAfterBreak="0">
    <w:nsid w:val="1C466A93"/>
    <w:multiLevelType w:val="multilevel"/>
    <w:tmpl w:val="10C82FD8"/>
    <w:lvl w:ilvl="0">
      <w:start w:val="1"/>
      <w:numFmt w:val="decimal"/>
      <w:lvlText w:val="%1."/>
      <w:lvlJc w:val="left"/>
      <w:pPr>
        <w:tabs>
          <w:tab w:val="num" w:pos="360"/>
        </w:tabs>
        <w:ind w:left="360" w:hanging="360"/>
      </w:pPr>
      <w:rPr>
        <w:rFonts w:ascii="Arial" w:hAnsi="Arial" w:cs="Arial" w:hint="default"/>
        <w:b/>
        <w:sz w:val="18"/>
      </w:rPr>
    </w:lvl>
    <w:lvl w:ilvl="1">
      <w:start w:val="1"/>
      <w:numFmt w:val="decimal"/>
      <w:pStyle w:val="Titulo"/>
      <w:lvlText w:val="%1.%2."/>
      <w:lvlJc w:val="left"/>
      <w:pPr>
        <w:tabs>
          <w:tab w:val="num" w:pos="567"/>
        </w:tabs>
        <w:ind w:left="567" w:hanging="567"/>
      </w:pPr>
      <w:rPr>
        <w:rFonts w:ascii="Arial" w:hAnsi="Arial" w:cs="Arial" w:hint="default"/>
        <w:b/>
        <w:i w:val="0"/>
        <w:sz w:val="18"/>
      </w:rPr>
    </w:lvl>
    <w:lvl w:ilvl="2">
      <w:start w:val="1"/>
      <w:numFmt w:val="decimal"/>
      <w:lvlText w:val="%1.%2.%3."/>
      <w:lvlJc w:val="left"/>
      <w:pPr>
        <w:tabs>
          <w:tab w:val="num" w:pos="720"/>
        </w:tabs>
        <w:ind w:left="1077" w:hanging="720"/>
      </w:pPr>
      <w:rPr>
        <w:rFonts w:ascii="Arial" w:hAnsi="Arial" w:cs="Arial" w:hint="default"/>
        <w:b/>
        <w:i w:val="0"/>
        <w:sz w:val="18"/>
      </w:rPr>
    </w:lvl>
    <w:lvl w:ilvl="3">
      <w:start w:val="1"/>
      <w:numFmt w:val="decimal"/>
      <w:lvlText w:val="%1.%2.%3.%4"/>
      <w:lvlJc w:val="left"/>
      <w:pPr>
        <w:tabs>
          <w:tab w:val="num" w:pos="1080"/>
        </w:tabs>
        <w:ind w:left="1080" w:hanging="108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440"/>
        </w:tabs>
        <w:ind w:left="1440" w:hanging="144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800"/>
        </w:tabs>
        <w:ind w:left="1800" w:hanging="180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7" w15:restartNumberingAfterBreak="0">
    <w:nsid w:val="2238080F"/>
    <w:multiLevelType w:val="hybridMultilevel"/>
    <w:tmpl w:val="A1ACBA1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BF76293"/>
    <w:multiLevelType w:val="hybridMultilevel"/>
    <w:tmpl w:val="30CC7B5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3325208"/>
    <w:multiLevelType w:val="hybridMultilevel"/>
    <w:tmpl w:val="A158482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4C8283E"/>
    <w:multiLevelType w:val="hybridMultilevel"/>
    <w:tmpl w:val="37B8F6D8"/>
    <w:lvl w:ilvl="0" w:tplc="D62AC826">
      <w:start w:val="1"/>
      <w:numFmt w:val="bullet"/>
      <w:lvlText w:val=""/>
      <w:lvlJc w:val="left"/>
      <w:pPr>
        <w:tabs>
          <w:tab w:val="num" w:pos="720"/>
        </w:tabs>
        <w:ind w:left="720" w:hanging="360"/>
      </w:pPr>
      <w:rPr>
        <w:rFonts w:ascii="Symbol" w:hAnsi="Symbol" w:hint="default"/>
        <w:color w:val="auto"/>
        <w:sz w:val="2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F23CA7"/>
    <w:multiLevelType w:val="hybridMultilevel"/>
    <w:tmpl w:val="388E172C"/>
    <w:lvl w:ilvl="0" w:tplc="4580B36C">
      <w:start w:val="1"/>
      <w:numFmt w:val="lowerRoman"/>
      <w:lvlText w:val="%1."/>
      <w:lvlJc w:val="righ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0831F92"/>
    <w:multiLevelType w:val="hybridMultilevel"/>
    <w:tmpl w:val="96A26190"/>
    <w:lvl w:ilvl="0" w:tplc="0C0A0001">
      <w:start w:val="1"/>
      <w:numFmt w:val="bullet"/>
      <w:lvlText w:val=""/>
      <w:lvlJc w:val="left"/>
      <w:pPr>
        <w:ind w:left="1125" w:hanging="360"/>
      </w:pPr>
      <w:rPr>
        <w:rFonts w:ascii="Symbol" w:hAnsi="Symbol" w:hint="default"/>
      </w:rPr>
    </w:lvl>
    <w:lvl w:ilvl="1" w:tplc="0C0A0003" w:tentative="1">
      <w:start w:val="1"/>
      <w:numFmt w:val="bullet"/>
      <w:lvlText w:val="o"/>
      <w:lvlJc w:val="left"/>
      <w:pPr>
        <w:ind w:left="1845" w:hanging="360"/>
      </w:pPr>
      <w:rPr>
        <w:rFonts w:ascii="Courier New" w:hAnsi="Courier New" w:hint="default"/>
      </w:rPr>
    </w:lvl>
    <w:lvl w:ilvl="2" w:tplc="0C0A0005" w:tentative="1">
      <w:start w:val="1"/>
      <w:numFmt w:val="bullet"/>
      <w:lvlText w:val=""/>
      <w:lvlJc w:val="left"/>
      <w:pPr>
        <w:ind w:left="2565" w:hanging="360"/>
      </w:pPr>
      <w:rPr>
        <w:rFonts w:ascii="Wingdings" w:hAnsi="Wingdings" w:hint="default"/>
      </w:rPr>
    </w:lvl>
    <w:lvl w:ilvl="3" w:tplc="0C0A0001" w:tentative="1">
      <w:start w:val="1"/>
      <w:numFmt w:val="bullet"/>
      <w:lvlText w:val=""/>
      <w:lvlJc w:val="left"/>
      <w:pPr>
        <w:ind w:left="3285" w:hanging="360"/>
      </w:pPr>
      <w:rPr>
        <w:rFonts w:ascii="Symbol" w:hAnsi="Symbol" w:hint="default"/>
      </w:rPr>
    </w:lvl>
    <w:lvl w:ilvl="4" w:tplc="0C0A0003" w:tentative="1">
      <w:start w:val="1"/>
      <w:numFmt w:val="bullet"/>
      <w:lvlText w:val="o"/>
      <w:lvlJc w:val="left"/>
      <w:pPr>
        <w:ind w:left="4005" w:hanging="360"/>
      </w:pPr>
      <w:rPr>
        <w:rFonts w:ascii="Courier New" w:hAnsi="Courier New" w:hint="default"/>
      </w:rPr>
    </w:lvl>
    <w:lvl w:ilvl="5" w:tplc="0C0A0005" w:tentative="1">
      <w:start w:val="1"/>
      <w:numFmt w:val="bullet"/>
      <w:lvlText w:val=""/>
      <w:lvlJc w:val="left"/>
      <w:pPr>
        <w:ind w:left="4725" w:hanging="360"/>
      </w:pPr>
      <w:rPr>
        <w:rFonts w:ascii="Wingdings" w:hAnsi="Wingdings" w:hint="default"/>
      </w:rPr>
    </w:lvl>
    <w:lvl w:ilvl="6" w:tplc="0C0A0001" w:tentative="1">
      <w:start w:val="1"/>
      <w:numFmt w:val="bullet"/>
      <w:lvlText w:val=""/>
      <w:lvlJc w:val="left"/>
      <w:pPr>
        <w:ind w:left="5445" w:hanging="360"/>
      </w:pPr>
      <w:rPr>
        <w:rFonts w:ascii="Symbol" w:hAnsi="Symbol" w:hint="default"/>
      </w:rPr>
    </w:lvl>
    <w:lvl w:ilvl="7" w:tplc="0C0A0003" w:tentative="1">
      <w:start w:val="1"/>
      <w:numFmt w:val="bullet"/>
      <w:lvlText w:val="o"/>
      <w:lvlJc w:val="left"/>
      <w:pPr>
        <w:ind w:left="6165" w:hanging="360"/>
      </w:pPr>
      <w:rPr>
        <w:rFonts w:ascii="Courier New" w:hAnsi="Courier New" w:hint="default"/>
      </w:rPr>
    </w:lvl>
    <w:lvl w:ilvl="8" w:tplc="0C0A0005" w:tentative="1">
      <w:start w:val="1"/>
      <w:numFmt w:val="bullet"/>
      <w:lvlText w:val=""/>
      <w:lvlJc w:val="left"/>
      <w:pPr>
        <w:ind w:left="6885" w:hanging="360"/>
      </w:pPr>
      <w:rPr>
        <w:rFonts w:ascii="Wingdings" w:hAnsi="Wingdings" w:hint="default"/>
      </w:rPr>
    </w:lvl>
  </w:abstractNum>
  <w:abstractNum w:abstractNumId="13" w15:restartNumberingAfterBreak="0">
    <w:nsid w:val="42237464"/>
    <w:multiLevelType w:val="hybridMultilevel"/>
    <w:tmpl w:val="0358C4FA"/>
    <w:lvl w:ilvl="0" w:tplc="D62AC826">
      <w:start w:val="1"/>
      <w:numFmt w:val="bullet"/>
      <w:lvlText w:val=""/>
      <w:lvlJc w:val="left"/>
      <w:pPr>
        <w:tabs>
          <w:tab w:val="num" w:pos="720"/>
        </w:tabs>
        <w:ind w:left="720" w:hanging="360"/>
      </w:pPr>
      <w:rPr>
        <w:rFonts w:ascii="Symbol" w:hAnsi="Symbol" w:hint="default"/>
        <w:color w:val="auto"/>
        <w:sz w:val="2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31035D"/>
    <w:multiLevelType w:val="hybridMultilevel"/>
    <w:tmpl w:val="4176DCDA"/>
    <w:lvl w:ilvl="0" w:tplc="240A000F">
      <w:start w:val="1"/>
      <w:numFmt w:val="decimal"/>
      <w:lvlText w:val="%1."/>
      <w:lvlJc w:val="left"/>
      <w:pPr>
        <w:ind w:left="36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15" w15:restartNumberingAfterBreak="0">
    <w:nsid w:val="443B517F"/>
    <w:multiLevelType w:val="multilevel"/>
    <w:tmpl w:val="926E1B02"/>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4801AC8"/>
    <w:multiLevelType w:val="hybridMultilevel"/>
    <w:tmpl w:val="436AB406"/>
    <w:lvl w:ilvl="0" w:tplc="D91E0C4C">
      <w:start w:val="1"/>
      <w:numFmt w:val="lowerLetter"/>
      <w:lvlText w:val="%1)"/>
      <w:lvlJc w:val="left"/>
      <w:pPr>
        <w:ind w:left="720" w:hanging="360"/>
      </w:pPr>
      <w:rPr>
        <w:rFonts w:ascii="Arial" w:eastAsia="Times New Roman" w:hAnsi="Arial" w:cs="Aria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5093C4D"/>
    <w:multiLevelType w:val="hybridMultilevel"/>
    <w:tmpl w:val="4CF4A5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4B446B8"/>
    <w:multiLevelType w:val="hybridMultilevel"/>
    <w:tmpl w:val="870A143E"/>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BF476EB"/>
    <w:multiLevelType w:val="hybridMultilevel"/>
    <w:tmpl w:val="D5E44A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CC836DD"/>
    <w:multiLevelType w:val="multilevel"/>
    <w:tmpl w:val="EF1A69F2"/>
    <w:lvl w:ilvl="0">
      <w:start w:val="6"/>
      <w:numFmt w:val="decimal"/>
      <w:lvlText w:val="%1"/>
      <w:lvlJc w:val="left"/>
      <w:pPr>
        <w:ind w:left="580" w:hanging="580"/>
      </w:pPr>
      <w:rPr>
        <w:rFonts w:hint="default"/>
      </w:rPr>
    </w:lvl>
    <w:lvl w:ilvl="1">
      <w:start w:val="2"/>
      <w:numFmt w:val="decimal"/>
      <w:lvlText w:val="%1.%2"/>
      <w:lvlJc w:val="left"/>
      <w:pPr>
        <w:ind w:left="580" w:hanging="580"/>
      </w:pPr>
      <w:rPr>
        <w:rFonts w:hint="default"/>
      </w:rPr>
    </w:lvl>
    <w:lvl w:ilvl="2">
      <w:start w:val="55"/>
      <w:numFmt w:val="decimal"/>
      <w:lvlText w:val="%1.%2.%3"/>
      <w:lvlJc w:val="left"/>
      <w:pPr>
        <w:ind w:left="580" w:hanging="580"/>
      </w:pPr>
      <w:rPr>
        <w:rFonts w:hint="default"/>
      </w:rPr>
    </w:lvl>
    <w:lvl w:ilvl="3">
      <w:start w:val="1"/>
      <w:numFmt w:val="decimal"/>
      <w:lvlText w:val="6.2.55.%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B2511"/>
    <w:multiLevelType w:val="hybridMultilevel"/>
    <w:tmpl w:val="62667838"/>
    <w:lvl w:ilvl="0" w:tplc="9B98A940">
      <w:start w:val="1"/>
      <w:numFmt w:val="lowerLetter"/>
      <w:lvlText w:val="%1)"/>
      <w:lvlJc w:val="left"/>
      <w:pPr>
        <w:tabs>
          <w:tab w:val="num" w:pos="720"/>
        </w:tabs>
        <w:ind w:left="720" w:hanging="360"/>
      </w:pPr>
      <w:rPr>
        <w:rFonts w:ascii="Arial" w:hAnsi="Arial" w:cs="Arial" w:hint="default"/>
        <w:sz w:val="24"/>
        <w:szCs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E76DD7"/>
    <w:multiLevelType w:val="multilevel"/>
    <w:tmpl w:val="514E9552"/>
    <w:lvl w:ilvl="0">
      <w:start w:val="1"/>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4"/>
      <w:numFmt w:val="decimal"/>
      <w:lvlText w:val="%1.%2.%3"/>
      <w:lvlJc w:val="left"/>
      <w:pPr>
        <w:ind w:left="620" w:hanging="6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08C13A6"/>
    <w:multiLevelType w:val="multilevel"/>
    <w:tmpl w:val="0496519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3D91669"/>
    <w:multiLevelType w:val="hybridMultilevel"/>
    <w:tmpl w:val="E396A2F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BA77DC0"/>
    <w:multiLevelType w:val="hybridMultilevel"/>
    <w:tmpl w:val="DF3A2E4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EDB6E99"/>
    <w:multiLevelType w:val="multilevel"/>
    <w:tmpl w:val="85045E6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1"/>
  </w:num>
  <w:num w:numId="3">
    <w:abstractNumId w:val="0"/>
  </w:num>
  <w:num w:numId="4">
    <w:abstractNumId w:val="4"/>
  </w:num>
  <w:num w:numId="5">
    <w:abstractNumId w:val="10"/>
  </w:num>
  <w:num w:numId="6">
    <w:abstractNumId w:val="13"/>
  </w:num>
  <w:num w:numId="7">
    <w:abstractNumId w:val="19"/>
  </w:num>
  <w:num w:numId="8">
    <w:abstractNumId w:val="17"/>
  </w:num>
  <w:num w:numId="9">
    <w:abstractNumId w:val="7"/>
  </w:num>
  <w:num w:numId="10">
    <w:abstractNumId w:val="21"/>
  </w:num>
  <w:num w:numId="11">
    <w:abstractNumId w:val="2"/>
  </w:num>
  <w:num w:numId="12">
    <w:abstractNumId w:val="14"/>
  </w:num>
  <w:num w:numId="13">
    <w:abstractNumId w:val="16"/>
  </w:num>
  <w:num w:numId="14">
    <w:abstractNumId w:val="8"/>
  </w:num>
  <w:num w:numId="15">
    <w:abstractNumId w:val="9"/>
  </w:num>
  <w:num w:numId="16">
    <w:abstractNumId w:val="24"/>
  </w:num>
  <w:num w:numId="17">
    <w:abstractNumId w:val="23"/>
  </w:num>
  <w:num w:numId="18">
    <w:abstractNumId w:val="26"/>
  </w:num>
  <w:num w:numId="19">
    <w:abstractNumId w:val="22"/>
  </w:num>
  <w:num w:numId="20">
    <w:abstractNumId w:val="15"/>
  </w:num>
  <w:num w:numId="21">
    <w:abstractNumId w:val="3"/>
  </w:num>
  <w:num w:numId="22">
    <w:abstractNumId w:val="5"/>
  </w:num>
  <w:num w:numId="23">
    <w:abstractNumId w:val="12"/>
  </w:num>
  <w:num w:numId="24">
    <w:abstractNumId w:val="20"/>
  </w:num>
  <w:num w:numId="25">
    <w:abstractNumId w:val="25"/>
  </w:num>
  <w:num w:numId="26">
    <w:abstractNumId w:val="11"/>
  </w:num>
  <w:num w:numId="27">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s-CO" w:vendorID="64" w:dllVersion="6" w:nlCheck="1" w:checkStyle="0"/>
  <w:activeWritingStyle w:appName="MSWord" w:lang="es-MX" w:vendorID="64" w:dllVersion="6" w:nlCheck="1" w:checkStyle="0"/>
  <w:activeWritingStyle w:appName="MSWord" w:lang="en-US" w:vendorID="64" w:dllVersion="6" w:nlCheck="1" w:checkStyle="1"/>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s-CO" w:vendorID="64" w:dllVersion="0" w:nlCheck="1" w:checkStyle="0"/>
  <w:activeWritingStyle w:appName="MSWord" w:lang="pt-BR" w:vendorID="64" w:dllVersion="0" w:nlCheck="1" w:checkStyle="0"/>
  <w:activeWritingStyle w:appName="MSWord" w:lang="es-419"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122"/>
    <w:rsid w:val="000013CD"/>
    <w:rsid w:val="00001C85"/>
    <w:rsid w:val="00002259"/>
    <w:rsid w:val="0000302C"/>
    <w:rsid w:val="00004425"/>
    <w:rsid w:val="00007C3C"/>
    <w:rsid w:val="00011EE0"/>
    <w:rsid w:val="0001347D"/>
    <w:rsid w:val="00014250"/>
    <w:rsid w:val="00015417"/>
    <w:rsid w:val="00017E6E"/>
    <w:rsid w:val="00021037"/>
    <w:rsid w:val="00022981"/>
    <w:rsid w:val="000243CE"/>
    <w:rsid w:val="00026D83"/>
    <w:rsid w:val="000279F9"/>
    <w:rsid w:val="000300ED"/>
    <w:rsid w:val="000320BF"/>
    <w:rsid w:val="00032D59"/>
    <w:rsid w:val="0003552E"/>
    <w:rsid w:val="00036CF2"/>
    <w:rsid w:val="000405F8"/>
    <w:rsid w:val="00041E8C"/>
    <w:rsid w:val="000436CA"/>
    <w:rsid w:val="00043DF3"/>
    <w:rsid w:val="00044EAA"/>
    <w:rsid w:val="00047899"/>
    <w:rsid w:val="000515B5"/>
    <w:rsid w:val="00051E8E"/>
    <w:rsid w:val="00052659"/>
    <w:rsid w:val="00052E3D"/>
    <w:rsid w:val="0005360F"/>
    <w:rsid w:val="00056F59"/>
    <w:rsid w:val="00057405"/>
    <w:rsid w:val="00057445"/>
    <w:rsid w:val="00060097"/>
    <w:rsid w:val="0006052B"/>
    <w:rsid w:val="0006078B"/>
    <w:rsid w:val="00062F7F"/>
    <w:rsid w:val="00063AEF"/>
    <w:rsid w:val="000667FA"/>
    <w:rsid w:val="00067C18"/>
    <w:rsid w:val="00073376"/>
    <w:rsid w:val="00073ECE"/>
    <w:rsid w:val="0008195F"/>
    <w:rsid w:val="00083F34"/>
    <w:rsid w:val="000877CE"/>
    <w:rsid w:val="000918A9"/>
    <w:rsid w:val="00091F75"/>
    <w:rsid w:val="00095D9F"/>
    <w:rsid w:val="000A157B"/>
    <w:rsid w:val="000A2351"/>
    <w:rsid w:val="000A3E69"/>
    <w:rsid w:val="000A4C33"/>
    <w:rsid w:val="000A5CFF"/>
    <w:rsid w:val="000A7CB1"/>
    <w:rsid w:val="000B03FF"/>
    <w:rsid w:val="000C0929"/>
    <w:rsid w:val="000C099B"/>
    <w:rsid w:val="000C1113"/>
    <w:rsid w:val="000C1D77"/>
    <w:rsid w:val="000C5FF5"/>
    <w:rsid w:val="000C6421"/>
    <w:rsid w:val="000D0289"/>
    <w:rsid w:val="000D0BF4"/>
    <w:rsid w:val="000D0DEB"/>
    <w:rsid w:val="000D63A8"/>
    <w:rsid w:val="000E1DAE"/>
    <w:rsid w:val="000E1E7E"/>
    <w:rsid w:val="000E2334"/>
    <w:rsid w:val="000E2576"/>
    <w:rsid w:val="000E6E4D"/>
    <w:rsid w:val="000F1B12"/>
    <w:rsid w:val="000F2A86"/>
    <w:rsid w:val="000F7E39"/>
    <w:rsid w:val="00103400"/>
    <w:rsid w:val="001105D0"/>
    <w:rsid w:val="00110B5C"/>
    <w:rsid w:val="00111BAA"/>
    <w:rsid w:val="0011206D"/>
    <w:rsid w:val="0011551C"/>
    <w:rsid w:val="00122289"/>
    <w:rsid w:val="001252CC"/>
    <w:rsid w:val="001307A3"/>
    <w:rsid w:val="00130900"/>
    <w:rsid w:val="00134568"/>
    <w:rsid w:val="001346A5"/>
    <w:rsid w:val="00134766"/>
    <w:rsid w:val="00135F08"/>
    <w:rsid w:val="001423D2"/>
    <w:rsid w:val="0014331E"/>
    <w:rsid w:val="00143CAD"/>
    <w:rsid w:val="00145FAC"/>
    <w:rsid w:val="00146EFD"/>
    <w:rsid w:val="00151FB2"/>
    <w:rsid w:val="001557F8"/>
    <w:rsid w:val="001617C7"/>
    <w:rsid w:val="00162C05"/>
    <w:rsid w:val="00162F5B"/>
    <w:rsid w:val="001636D7"/>
    <w:rsid w:val="00165D9A"/>
    <w:rsid w:val="001666FC"/>
    <w:rsid w:val="00173544"/>
    <w:rsid w:val="00174E23"/>
    <w:rsid w:val="00175249"/>
    <w:rsid w:val="001760B9"/>
    <w:rsid w:val="001767FF"/>
    <w:rsid w:val="00177A57"/>
    <w:rsid w:val="00180422"/>
    <w:rsid w:val="00180AAF"/>
    <w:rsid w:val="00183A0C"/>
    <w:rsid w:val="00190F13"/>
    <w:rsid w:val="00191D9A"/>
    <w:rsid w:val="00192573"/>
    <w:rsid w:val="001930D2"/>
    <w:rsid w:val="001937B2"/>
    <w:rsid w:val="00193EC6"/>
    <w:rsid w:val="00195270"/>
    <w:rsid w:val="0019668B"/>
    <w:rsid w:val="00196DD3"/>
    <w:rsid w:val="00197250"/>
    <w:rsid w:val="001A13B9"/>
    <w:rsid w:val="001A1DC9"/>
    <w:rsid w:val="001A40B6"/>
    <w:rsid w:val="001A4AD0"/>
    <w:rsid w:val="001B1622"/>
    <w:rsid w:val="001B34EB"/>
    <w:rsid w:val="001B48BB"/>
    <w:rsid w:val="001B548C"/>
    <w:rsid w:val="001B6272"/>
    <w:rsid w:val="001C2844"/>
    <w:rsid w:val="001C3B5B"/>
    <w:rsid w:val="001C5DA9"/>
    <w:rsid w:val="001C6BDD"/>
    <w:rsid w:val="001C72CB"/>
    <w:rsid w:val="001D017E"/>
    <w:rsid w:val="001D0C4B"/>
    <w:rsid w:val="001D1017"/>
    <w:rsid w:val="001D1191"/>
    <w:rsid w:val="001D1C7F"/>
    <w:rsid w:val="001D5956"/>
    <w:rsid w:val="001E2F09"/>
    <w:rsid w:val="001E3CCE"/>
    <w:rsid w:val="001E4BCE"/>
    <w:rsid w:val="001E619E"/>
    <w:rsid w:val="001F1C94"/>
    <w:rsid w:val="001F392D"/>
    <w:rsid w:val="001F7F21"/>
    <w:rsid w:val="00201975"/>
    <w:rsid w:val="0020350E"/>
    <w:rsid w:val="0020474E"/>
    <w:rsid w:val="00204EFB"/>
    <w:rsid w:val="002106E1"/>
    <w:rsid w:val="00215371"/>
    <w:rsid w:val="00216447"/>
    <w:rsid w:val="00217412"/>
    <w:rsid w:val="0022054C"/>
    <w:rsid w:val="002231E5"/>
    <w:rsid w:val="002246F1"/>
    <w:rsid w:val="00233DC9"/>
    <w:rsid w:val="00240325"/>
    <w:rsid w:val="00240D60"/>
    <w:rsid w:val="002443EB"/>
    <w:rsid w:val="00250E35"/>
    <w:rsid w:val="002532AB"/>
    <w:rsid w:val="00257225"/>
    <w:rsid w:val="002575D8"/>
    <w:rsid w:val="00260354"/>
    <w:rsid w:val="00264473"/>
    <w:rsid w:val="00267557"/>
    <w:rsid w:val="002677AA"/>
    <w:rsid w:val="00267C03"/>
    <w:rsid w:val="00273E37"/>
    <w:rsid w:val="00275D4E"/>
    <w:rsid w:val="00276E34"/>
    <w:rsid w:val="002804BF"/>
    <w:rsid w:val="00281B8E"/>
    <w:rsid w:val="00282738"/>
    <w:rsid w:val="0028279A"/>
    <w:rsid w:val="00282D21"/>
    <w:rsid w:val="002838F8"/>
    <w:rsid w:val="0028485C"/>
    <w:rsid w:val="00286763"/>
    <w:rsid w:val="002875C8"/>
    <w:rsid w:val="00290843"/>
    <w:rsid w:val="00291570"/>
    <w:rsid w:val="00291FE3"/>
    <w:rsid w:val="00293693"/>
    <w:rsid w:val="00293969"/>
    <w:rsid w:val="00294C03"/>
    <w:rsid w:val="0029768E"/>
    <w:rsid w:val="002A0B78"/>
    <w:rsid w:val="002A1C4D"/>
    <w:rsid w:val="002A6FC7"/>
    <w:rsid w:val="002B0571"/>
    <w:rsid w:val="002B1086"/>
    <w:rsid w:val="002B39AC"/>
    <w:rsid w:val="002B7257"/>
    <w:rsid w:val="002C0121"/>
    <w:rsid w:val="002C22BA"/>
    <w:rsid w:val="002C5DBB"/>
    <w:rsid w:val="002D1633"/>
    <w:rsid w:val="002D3216"/>
    <w:rsid w:val="002D462B"/>
    <w:rsid w:val="002D4779"/>
    <w:rsid w:val="002D5907"/>
    <w:rsid w:val="002D74A0"/>
    <w:rsid w:val="002E53DA"/>
    <w:rsid w:val="002E5AF1"/>
    <w:rsid w:val="002E6BFB"/>
    <w:rsid w:val="002F0491"/>
    <w:rsid w:val="002F1E79"/>
    <w:rsid w:val="002F4978"/>
    <w:rsid w:val="002F62E9"/>
    <w:rsid w:val="002F6D22"/>
    <w:rsid w:val="00300587"/>
    <w:rsid w:val="00300E24"/>
    <w:rsid w:val="00300FF1"/>
    <w:rsid w:val="0030531F"/>
    <w:rsid w:val="003057FB"/>
    <w:rsid w:val="00306242"/>
    <w:rsid w:val="003136F3"/>
    <w:rsid w:val="00314238"/>
    <w:rsid w:val="00315012"/>
    <w:rsid w:val="00315BC2"/>
    <w:rsid w:val="00320E11"/>
    <w:rsid w:val="00321679"/>
    <w:rsid w:val="00321DFA"/>
    <w:rsid w:val="00322E98"/>
    <w:rsid w:val="0032326A"/>
    <w:rsid w:val="003273DB"/>
    <w:rsid w:val="00327452"/>
    <w:rsid w:val="00330F51"/>
    <w:rsid w:val="00332A67"/>
    <w:rsid w:val="00332F17"/>
    <w:rsid w:val="003359E5"/>
    <w:rsid w:val="00337F62"/>
    <w:rsid w:val="0034028B"/>
    <w:rsid w:val="00341490"/>
    <w:rsid w:val="003419D7"/>
    <w:rsid w:val="00343E61"/>
    <w:rsid w:val="003448E0"/>
    <w:rsid w:val="00344DF8"/>
    <w:rsid w:val="00346513"/>
    <w:rsid w:val="003465C8"/>
    <w:rsid w:val="003512C2"/>
    <w:rsid w:val="00351319"/>
    <w:rsid w:val="00351927"/>
    <w:rsid w:val="003520E8"/>
    <w:rsid w:val="0035275F"/>
    <w:rsid w:val="003528A4"/>
    <w:rsid w:val="00352D7A"/>
    <w:rsid w:val="00354F88"/>
    <w:rsid w:val="00361D32"/>
    <w:rsid w:val="00364101"/>
    <w:rsid w:val="00364B82"/>
    <w:rsid w:val="00366634"/>
    <w:rsid w:val="00370296"/>
    <w:rsid w:val="0037385A"/>
    <w:rsid w:val="003817F8"/>
    <w:rsid w:val="00383481"/>
    <w:rsid w:val="00385E1C"/>
    <w:rsid w:val="00386425"/>
    <w:rsid w:val="00387FE9"/>
    <w:rsid w:val="00390605"/>
    <w:rsid w:val="00390721"/>
    <w:rsid w:val="00390CD2"/>
    <w:rsid w:val="00396F3F"/>
    <w:rsid w:val="003972DC"/>
    <w:rsid w:val="003A1441"/>
    <w:rsid w:val="003A30B8"/>
    <w:rsid w:val="003A4C01"/>
    <w:rsid w:val="003A6D85"/>
    <w:rsid w:val="003B4E92"/>
    <w:rsid w:val="003B5109"/>
    <w:rsid w:val="003B53B2"/>
    <w:rsid w:val="003B5550"/>
    <w:rsid w:val="003B6699"/>
    <w:rsid w:val="003B66DA"/>
    <w:rsid w:val="003C003F"/>
    <w:rsid w:val="003C0328"/>
    <w:rsid w:val="003C06E2"/>
    <w:rsid w:val="003C10C8"/>
    <w:rsid w:val="003C2788"/>
    <w:rsid w:val="003C3EA8"/>
    <w:rsid w:val="003C51D9"/>
    <w:rsid w:val="003C56D2"/>
    <w:rsid w:val="003C6681"/>
    <w:rsid w:val="003D3447"/>
    <w:rsid w:val="003D34E5"/>
    <w:rsid w:val="003D39C8"/>
    <w:rsid w:val="003D3A57"/>
    <w:rsid w:val="003D6045"/>
    <w:rsid w:val="003E157C"/>
    <w:rsid w:val="003E2A5A"/>
    <w:rsid w:val="003E315C"/>
    <w:rsid w:val="003E51BE"/>
    <w:rsid w:val="003E61F3"/>
    <w:rsid w:val="003F11A7"/>
    <w:rsid w:val="003F138B"/>
    <w:rsid w:val="003F79C1"/>
    <w:rsid w:val="00400580"/>
    <w:rsid w:val="0040352E"/>
    <w:rsid w:val="00405169"/>
    <w:rsid w:val="004104A3"/>
    <w:rsid w:val="00411F7D"/>
    <w:rsid w:val="00414098"/>
    <w:rsid w:val="004140BB"/>
    <w:rsid w:val="00414A3B"/>
    <w:rsid w:val="00415512"/>
    <w:rsid w:val="00416484"/>
    <w:rsid w:val="004173D7"/>
    <w:rsid w:val="00421A99"/>
    <w:rsid w:val="00421B41"/>
    <w:rsid w:val="004256CC"/>
    <w:rsid w:val="0042574C"/>
    <w:rsid w:val="004269D4"/>
    <w:rsid w:val="004316B1"/>
    <w:rsid w:val="00432933"/>
    <w:rsid w:val="00436763"/>
    <w:rsid w:val="00440A5A"/>
    <w:rsid w:val="00440EEA"/>
    <w:rsid w:val="00443112"/>
    <w:rsid w:val="004457C4"/>
    <w:rsid w:val="00445A1B"/>
    <w:rsid w:val="0044724F"/>
    <w:rsid w:val="0045176A"/>
    <w:rsid w:val="0045444B"/>
    <w:rsid w:val="004621CB"/>
    <w:rsid w:val="00464205"/>
    <w:rsid w:val="004643A9"/>
    <w:rsid w:val="00466371"/>
    <w:rsid w:val="0046653F"/>
    <w:rsid w:val="004673B0"/>
    <w:rsid w:val="004765EE"/>
    <w:rsid w:val="004800B9"/>
    <w:rsid w:val="004810AD"/>
    <w:rsid w:val="004815C2"/>
    <w:rsid w:val="00482437"/>
    <w:rsid w:val="00484F1B"/>
    <w:rsid w:val="00485A37"/>
    <w:rsid w:val="004910DB"/>
    <w:rsid w:val="004923BE"/>
    <w:rsid w:val="004936DD"/>
    <w:rsid w:val="00495348"/>
    <w:rsid w:val="004A06FF"/>
    <w:rsid w:val="004A3147"/>
    <w:rsid w:val="004A32C4"/>
    <w:rsid w:val="004A3E00"/>
    <w:rsid w:val="004A5575"/>
    <w:rsid w:val="004A5B6B"/>
    <w:rsid w:val="004B46B6"/>
    <w:rsid w:val="004B7142"/>
    <w:rsid w:val="004C18F4"/>
    <w:rsid w:val="004C39CE"/>
    <w:rsid w:val="004C5039"/>
    <w:rsid w:val="004C5ADA"/>
    <w:rsid w:val="004C6D58"/>
    <w:rsid w:val="004D47DE"/>
    <w:rsid w:val="004D6FE3"/>
    <w:rsid w:val="004D7CD7"/>
    <w:rsid w:val="004E0821"/>
    <w:rsid w:val="004E5BF0"/>
    <w:rsid w:val="004F0018"/>
    <w:rsid w:val="004F12F4"/>
    <w:rsid w:val="004F2E58"/>
    <w:rsid w:val="004F4B5B"/>
    <w:rsid w:val="004F5DCC"/>
    <w:rsid w:val="004F6803"/>
    <w:rsid w:val="00500B1E"/>
    <w:rsid w:val="00501B0E"/>
    <w:rsid w:val="005027FF"/>
    <w:rsid w:val="00503F19"/>
    <w:rsid w:val="0050517D"/>
    <w:rsid w:val="00507D77"/>
    <w:rsid w:val="00514297"/>
    <w:rsid w:val="00515041"/>
    <w:rsid w:val="0051514A"/>
    <w:rsid w:val="005158C8"/>
    <w:rsid w:val="005162EB"/>
    <w:rsid w:val="005201CD"/>
    <w:rsid w:val="00522D5D"/>
    <w:rsid w:val="00526391"/>
    <w:rsid w:val="00527C51"/>
    <w:rsid w:val="00527DB3"/>
    <w:rsid w:val="00534253"/>
    <w:rsid w:val="0053604B"/>
    <w:rsid w:val="0053608B"/>
    <w:rsid w:val="005406FF"/>
    <w:rsid w:val="00541244"/>
    <w:rsid w:val="00542D9A"/>
    <w:rsid w:val="00543C35"/>
    <w:rsid w:val="00543D93"/>
    <w:rsid w:val="00547B0C"/>
    <w:rsid w:val="00551140"/>
    <w:rsid w:val="00553379"/>
    <w:rsid w:val="0055686E"/>
    <w:rsid w:val="00556BFF"/>
    <w:rsid w:val="00557176"/>
    <w:rsid w:val="005610BC"/>
    <w:rsid w:val="00565C2A"/>
    <w:rsid w:val="005669E2"/>
    <w:rsid w:val="0057494F"/>
    <w:rsid w:val="005856CB"/>
    <w:rsid w:val="00586399"/>
    <w:rsid w:val="00591259"/>
    <w:rsid w:val="0059314E"/>
    <w:rsid w:val="00593526"/>
    <w:rsid w:val="005936E7"/>
    <w:rsid w:val="00594B5A"/>
    <w:rsid w:val="00597F40"/>
    <w:rsid w:val="005A29EB"/>
    <w:rsid w:val="005A65B8"/>
    <w:rsid w:val="005B0F17"/>
    <w:rsid w:val="005B5AD2"/>
    <w:rsid w:val="005B5CF2"/>
    <w:rsid w:val="005C0726"/>
    <w:rsid w:val="005C0E06"/>
    <w:rsid w:val="005C1C1C"/>
    <w:rsid w:val="005C38C9"/>
    <w:rsid w:val="005D2ED4"/>
    <w:rsid w:val="005D440D"/>
    <w:rsid w:val="005D60DD"/>
    <w:rsid w:val="005D722F"/>
    <w:rsid w:val="005E0BE9"/>
    <w:rsid w:val="005E13E8"/>
    <w:rsid w:val="005E15BC"/>
    <w:rsid w:val="005E3F9E"/>
    <w:rsid w:val="005E6936"/>
    <w:rsid w:val="005F3F02"/>
    <w:rsid w:val="005F3FB3"/>
    <w:rsid w:val="005F5BBD"/>
    <w:rsid w:val="005F7623"/>
    <w:rsid w:val="00600219"/>
    <w:rsid w:val="00602E39"/>
    <w:rsid w:val="00603EED"/>
    <w:rsid w:val="00604F35"/>
    <w:rsid w:val="00605FD8"/>
    <w:rsid w:val="006076B7"/>
    <w:rsid w:val="006119FA"/>
    <w:rsid w:val="00613601"/>
    <w:rsid w:val="00614EE9"/>
    <w:rsid w:val="0061683B"/>
    <w:rsid w:val="0062187D"/>
    <w:rsid w:val="0062387F"/>
    <w:rsid w:val="00625F6D"/>
    <w:rsid w:val="006301AF"/>
    <w:rsid w:val="00630C65"/>
    <w:rsid w:val="006328E0"/>
    <w:rsid w:val="0063334D"/>
    <w:rsid w:val="00634D8E"/>
    <w:rsid w:val="00637269"/>
    <w:rsid w:val="00646BBA"/>
    <w:rsid w:val="00646DCE"/>
    <w:rsid w:val="00650DEA"/>
    <w:rsid w:val="00651F89"/>
    <w:rsid w:val="006521A8"/>
    <w:rsid w:val="006523FA"/>
    <w:rsid w:val="0065499C"/>
    <w:rsid w:val="00654FD4"/>
    <w:rsid w:val="00657FFC"/>
    <w:rsid w:val="0066175E"/>
    <w:rsid w:val="00666B69"/>
    <w:rsid w:val="00672991"/>
    <w:rsid w:val="00672B68"/>
    <w:rsid w:val="00680D93"/>
    <w:rsid w:val="00680EEF"/>
    <w:rsid w:val="00684095"/>
    <w:rsid w:val="00685798"/>
    <w:rsid w:val="00685C1B"/>
    <w:rsid w:val="006876E5"/>
    <w:rsid w:val="00690858"/>
    <w:rsid w:val="00692010"/>
    <w:rsid w:val="0069398E"/>
    <w:rsid w:val="006A2AFA"/>
    <w:rsid w:val="006A3B54"/>
    <w:rsid w:val="006A49B9"/>
    <w:rsid w:val="006A64A6"/>
    <w:rsid w:val="006B0CB2"/>
    <w:rsid w:val="006B0D2E"/>
    <w:rsid w:val="006B723F"/>
    <w:rsid w:val="006C2875"/>
    <w:rsid w:val="006C5EAC"/>
    <w:rsid w:val="006C6725"/>
    <w:rsid w:val="006C7998"/>
    <w:rsid w:val="006D0080"/>
    <w:rsid w:val="006D06B2"/>
    <w:rsid w:val="006D10F4"/>
    <w:rsid w:val="006D1884"/>
    <w:rsid w:val="006D3B25"/>
    <w:rsid w:val="006D6DFE"/>
    <w:rsid w:val="006D6E65"/>
    <w:rsid w:val="006E1F7E"/>
    <w:rsid w:val="006E2D2D"/>
    <w:rsid w:val="006E43CC"/>
    <w:rsid w:val="006E78AE"/>
    <w:rsid w:val="006E7DB8"/>
    <w:rsid w:val="006F18BB"/>
    <w:rsid w:val="006F4930"/>
    <w:rsid w:val="006F4A6B"/>
    <w:rsid w:val="006F4D33"/>
    <w:rsid w:val="006F65E1"/>
    <w:rsid w:val="006F7448"/>
    <w:rsid w:val="006F7E6F"/>
    <w:rsid w:val="00705F82"/>
    <w:rsid w:val="007070A0"/>
    <w:rsid w:val="007116F9"/>
    <w:rsid w:val="007241EE"/>
    <w:rsid w:val="0072687B"/>
    <w:rsid w:val="00726A9F"/>
    <w:rsid w:val="00727F74"/>
    <w:rsid w:val="0073014E"/>
    <w:rsid w:val="0073172A"/>
    <w:rsid w:val="00731CCA"/>
    <w:rsid w:val="00731F15"/>
    <w:rsid w:val="007325B6"/>
    <w:rsid w:val="007329DF"/>
    <w:rsid w:val="00733C47"/>
    <w:rsid w:val="00734E20"/>
    <w:rsid w:val="007367BC"/>
    <w:rsid w:val="00740D19"/>
    <w:rsid w:val="00743C32"/>
    <w:rsid w:val="007441D8"/>
    <w:rsid w:val="00750B4D"/>
    <w:rsid w:val="007523ED"/>
    <w:rsid w:val="0075265C"/>
    <w:rsid w:val="00753ECE"/>
    <w:rsid w:val="00754FB9"/>
    <w:rsid w:val="0075642A"/>
    <w:rsid w:val="00762B93"/>
    <w:rsid w:val="007638FC"/>
    <w:rsid w:val="00770B60"/>
    <w:rsid w:val="00770F8F"/>
    <w:rsid w:val="00771851"/>
    <w:rsid w:val="00774434"/>
    <w:rsid w:val="00776114"/>
    <w:rsid w:val="00776215"/>
    <w:rsid w:val="0077786B"/>
    <w:rsid w:val="00781766"/>
    <w:rsid w:val="0078185C"/>
    <w:rsid w:val="00781C0D"/>
    <w:rsid w:val="00785552"/>
    <w:rsid w:val="007874CE"/>
    <w:rsid w:val="007931C4"/>
    <w:rsid w:val="00793AA8"/>
    <w:rsid w:val="00793B7B"/>
    <w:rsid w:val="00793CFC"/>
    <w:rsid w:val="007A133A"/>
    <w:rsid w:val="007A15F7"/>
    <w:rsid w:val="007A31F0"/>
    <w:rsid w:val="007A3BAD"/>
    <w:rsid w:val="007A59CC"/>
    <w:rsid w:val="007A7049"/>
    <w:rsid w:val="007B093D"/>
    <w:rsid w:val="007B256B"/>
    <w:rsid w:val="007B2720"/>
    <w:rsid w:val="007B62AD"/>
    <w:rsid w:val="007C31D8"/>
    <w:rsid w:val="007C63C3"/>
    <w:rsid w:val="007C75C7"/>
    <w:rsid w:val="007C7B21"/>
    <w:rsid w:val="007D0A4E"/>
    <w:rsid w:val="007D1866"/>
    <w:rsid w:val="007D1A8A"/>
    <w:rsid w:val="007D2ED8"/>
    <w:rsid w:val="007D3A2A"/>
    <w:rsid w:val="007D3F88"/>
    <w:rsid w:val="007D48E8"/>
    <w:rsid w:val="007D49C6"/>
    <w:rsid w:val="007D5E69"/>
    <w:rsid w:val="007E0702"/>
    <w:rsid w:val="007E10D9"/>
    <w:rsid w:val="007E2796"/>
    <w:rsid w:val="007E5E40"/>
    <w:rsid w:val="007E6A2A"/>
    <w:rsid w:val="007E716A"/>
    <w:rsid w:val="007E758B"/>
    <w:rsid w:val="007F1FE7"/>
    <w:rsid w:val="007F2D59"/>
    <w:rsid w:val="007F4195"/>
    <w:rsid w:val="007F5A58"/>
    <w:rsid w:val="007F6480"/>
    <w:rsid w:val="0081475E"/>
    <w:rsid w:val="00814DC8"/>
    <w:rsid w:val="00814E2C"/>
    <w:rsid w:val="00815896"/>
    <w:rsid w:val="00815EE7"/>
    <w:rsid w:val="008177AE"/>
    <w:rsid w:val="00821769"/>
    <w:rsid w:val="00821AC0"/>
    <w:rsid w:val="00822163"/>
    <w:rsid w:val="008307AA"/>
    <w:rsid w:val="00833A05"/>
    <w:rsid w:val="00834795"/>
    <w:rsid w:val="00835ABA"/>
    <w:rsid w:val="00835FC4"/>
    <w:rsid w:val="00836383"/>
    <w:rsid w:val="00837D9E"/>
    <w:rsid w:val="00840671"/>
    <w:rsid w:val="0084158D"/>
    <w:rsid w:val="0084367D"/>
    <w:rsid w:val="00846589"/>
    <w:rsid w:val="008474BE"/>
    <w:rsid w:val="008510F5"/>
    <w:rsid w:val="008524FF"/>
    <w:rsid w:val="008538B3"/>
    <w:rsid w:val="00856FE3"/>
    <w:rsid w:val="0086083A"/>
    <w:rsid w:val="0086137B"/>
    <w:rsid w:val="00870B8A"/>
    <w:rsid w:val="00872AA4"/>
    <w:rsid w:val="00874D5C"/>
    <w:rsid w:val="00875389"/>
    <w:rsid w:val="00877045"/>
    <w:rsid w:val="008834B4"/>
    <w:rsid w:val="00885B25"/>
    <w:rsid w:val="00891243"/>
    <w:rsid w:val="00891E3D"/>
    <w:rsid w:val="0089219F"/>
    <w:rsid w:val="00893B3B"/>
    <w:rsid w:val="00893D1C"/>
    <w:rsid w:val="00896360"/>
    <w:rsid w:val="008A23CB"/>
    <w:rsid w:val="008A3A2C"/>
    <w:rsid w:val="008A3B2C"/>
    <w:rsid w:val="008A648A"/>
    <w:rsid w:val="008B2ADE"/>
    <w:rsid w:val="008B4D50"/>
    <w:rsid w:val="008B5570"/>
    <w:rsid w:val="008C2204"/>
    <w:rsid w:val="008C3003"/>
    <w:rsid w:val="008C67E9"/>
    <w:rsid w:val="008E2230"/>
    <w:rsid w:val="008E316F"/>
    <w:rsid w:val="008E5F88"/>
    <w:rsid w:val="008F2AB5"/>
    <w:rsid w:val="008F635F"/>
    <w:rsid w:val="008F750D"/>
    <w:rsid w:val="00900514"/>
    <w:rsid w:val="00901AFC"/>
    <w:rsid w:val="00901F4A"/>
    <w:rsid w:val="00902328"/>
    <w:rsid w:val="009042F4"/>
    <w:rsid w:val="009044AB"/>
    <w:rsid w:val="0090557E"/>
    <w:rsid w:val="00906D00"/>
    <w:rsid w:val="00906F2D"/>
    <w:rsid w:val="00907A7D"/>
    <w:rsid w:val="00912394"/>
    <w:rsid w:val="00912A98"/>
    <w:rsid w:val="00920357"/>
    <w:rsid w:val="009219D7"/>
    <w:rsid w:val="0092205A"/>
    <w:rsid w:val="00925288"/>
    <w:rsid w:val="009260E6"/>
    <w:rsid w:val="00926C7A"/>
    <w:rsid w:val="0092707C"/>
    <w:rsid w:val="009277F1"/>
    <w:rsid w:val="00927B6B"/>
    <w:rsid w:val="009307BE"/>
    <w:rsid w:val="00931F36"/>
    <w:rsid w:val="00932608"/>
    <w:rsid w:val="00934145"/>
    <w:rsid w:val="0093575F"/>
    <w:rsid w:val="00940851"/>
    <w:rsid w:val="009414B5"/>
    <w:rsid w:val="00946CA7"/>
    <w:rsid w:val="009473E6"/>
    <w:rsid w:val="00951B0D"/>
    <w:rsid w:val="00952705"/>
    <w:rsid w:val="0095498D"/>
    <w:rsid w:val="00957BC8"/>
    <w:rsid w:val="00961EBD"/>
    <w:rsid w:val="00962BCB"/>
    <w:rsid w:val="0096430B"/>
    <w:rsid w:val="009645AD"/>
    <w:rsid w:val="009646A6"/>
    <w:rsid w:val="0096504C"/>
    <w:rsid w:val="009650BA"/>
    <w:rsid w:val="00966878"/>
    <w:rsid w:val="00966CB6"/>
    <w:rsid w:val="00967BAD"/>
    <w:rsid w:val="00970363"/>
    <w:rsid w:val="00970851"/>
    <w:rsid w:val="00970BB6"/>
    <w:rsid w:val="00970C6B"/>
    <w:rsid w:val="00971AA7"/>
    <w:rsid w:val="00975301"/>
    <w:rsid w:val="00976DAA"/>
    <w:rsid w:val="00977A7A"/>
    <w:rsid w:val="00980708"/>
    <w:rsid w:val="00980A9A"/>
    <w:rsid w:val="00980BC9"/>
    <w:rsid w:val="00986C29"/>
    <w:rsid w:val="009917BC"/>
    <w:rsid w:val="00993618"/>
    <w:rsid w:val="0099725D"/>
    <w:rsid w:val="009A0A59"/>
    <w:rsid w:val="009A2C7A"/>
    <w:rsid w:val="009A311E"/>
    <w:rsid w:val="009A4950"/>
    <w:rsid w:val="009A5BF9"/>
    <w:rsid w:val="009A5E41"/>
    <w:rsid w:val="009A7073"/>
    <w:rsid w:val="009B125D"/>
    <w:rsid w:val="009B1D12"/>
    <w:rsid w:val="009B2222"/>
    <w:rsid w:val="009B366A"/>
    <w:rsid w:val="009C285C"/>
    <w:rsid w:val="009C319B"/>
    <w:rsid w:val="009C5D0C"/>
    <w:rsid w:val="009D4AB2"/>
    <w:rsid w:val="009D61A8"/>
    <w:rsid w:val="009E0217"/>
    <w:rsid w:val="009E03AE"/>
    <w:rsid w:val="009E1300"/>
    <w:rsid w:val="009E2C27"/>
    <w:rsid w:val="009F1056"/>
    <w:rsid w:val="009F4C34"/>
    <w:rsid w:val="009F4FBA"/>
    <w:rsid w:val="009F7B3B"/>
    <w:rsid w:val="00A00B57"/>
    <w:rsid w:val="00A0544D"/>
    <w:rsid w:val="00A0621D"/>
    <w:rsid w:val="00A06618"/>
    <w:rsid w:val="00A06626"/>
    <w:rsid w:val="00A11100"/>
    <w:rsid w:val="00A121A4"/>
    <w:rsid w:val="00A12BB8"/>
    <w:rsid w:val="00A15DC4"/>
    <w:rsid w:val="00A1601B"/>
    <w:rsid w:val="00A17044"/>
    <w:rsid w:val="00A21102"/>
    <w:rsid w:val="00A21818"/>
    <w:rsid w:val="00A221F3"/>
    <w:rsid w:val="00A224C8"/>
    <w:rsid w:val="00A22E98"/>
    <w:rsid w:val="00A23D1D"/>
    <w:rsid w:val="00A2429D"/>
    <w:rsid w:val="00A271F2"/>
    <w:rsid w:val="00A27572"/>
    <w:rsid w:val="00A31F53"/>
    <w:rsid w:val="00A35CCC"/>
    <w:rsid w:val="00A36A59"/>
    <w:rsid w:val="00A420DA"/>
    <w:rsid w:val="00A43029"/>
    <w:rsid w:val="00A4668F"/>
    <w:rsid w:val="00A47F20"/>
    <w:rsid w:val="00A5495E"/>
    <w:rsid w:val="00A54BE0"/>
    <w:rsid w:val="00A5621C"/>
    <w:rsid w:val="00A60382"/>
    <w:rsid w:val="00A60A7E"/>
    <w:rsid w:val="00A60B8A"/>
    <w:rsid w:val="00A6147F"/>
    <w:rsid w:val="00A64E8F"/>
    <w:rsid w:val="00A66CF1"/>
    <w:rsid w:val="00A70294"/>
    <w:rsid w:val="00A73FBF"/>
    <w:rsid w:val="00A75903"/>
    <w:rsid w:val="00A81BB5"/>
    <w:rsid w:val="00A83F88"/>
    <w:rsid w:val="00A86930"/>
    <w:rsid w:val="00A8740A"/>
    <w:rsid w:val="00A910BA"/>
    <w:rsid w:val="00A91621"/>
    <w:rsid w:val="00A91917"/>
    <w:rsid w:val="00A91C18"/>
    <w:rsid w:val="00A9260C"/>
    <w:rsid w:val="00A95DD2"/>
    <w:rsid w:val="00AA0425"/>
    <w:rsid w:val="00AA139A"/>
    <w:rsid w:val="00AA14B3"/>
    <w:rsid w:val="00AA14DF"/>
    <w:rsid w:val="00AA306E"/>
    <w:rsid w:val="00AA41EB"/>
    <w:rsid w:val="00AA555F"/>
    <w:rsid w:val="00AA6CE8"/>
    <w:rsid w:val="00AA6F74"/>
    <w:rsid w:val="00AA73F4"/>
    <w:rsid w:val="00AA7A1C"/>
    <w:rsid w:val="00AA7C01"/>
    <w:rsid w:val="00AB032B"/>
    <w:rsid w:val="00AB1122"/>
    <w:rsid w:val="00AB1E29"/>
    <w:rsid w:val="00AB309C"/>
    <w:rsid w:val="00AB4459"/>
    <w:rsid w:val="00AB7919"/>
    <w:rsid w:val="00AC089B"/>
    <w:rsid w:val="00AC2C49"/>
    <w:rsid w:val="00AC31B7"/>
    <w:rsid w:val="00AC58B2"/>
    <w:rsid w:val="00AC6357"/>
    <w:rsid w:val="00AC675F"/>
    <w:rsid w:val="00AD0C14"/>
    <w:rsid w:val="00AD18C4"/>
    <w:rsid w:val="00AD1AD7"/>
    <w:rsid w:val="00AD1EBA"/>
    <w:rsid w:val="00AD4585"/>
    <w:rsid w:val="00AD496D"/>
    <w:rsid w:val="00AD6607"/>
    <w:rsid w:val="00AD7E3E"/>
    <w:rsid w:val="00AE1BBE"/>
    <w:rsid w:val="00AE2866"/>
    <w:rsid w:val="00AE2ED8"/>
    <w:rsid w:val="00AE4960"/>
    <w:rsid w:val="00AF3447"/>
    <w:rsid w:val="00AF3804"/>
    <w:rsid w:val="00AF5232"/>
    <w:rsid w:val="00AF57F3"/>
    <w:rsid w:val="00AF616B"/>
    <w:rsid w:val="00AF6263"/>
    <w:rsid w:val="00AF6DF1"/>
    <w:rsid w:val="00B01ACA"/>
    <w:rsid w:val="00B0252B"/>
    <w:rsid w:val="00B026F6"/>
    <w:rsid w:val="00B03BE2"/>
    <w:rsid w:val="00B03D45"/>
    <w:rsid w:val="00B04B6A"/>
    <w:rsid w:val="00B0643C"/>
    <w:rsid w:val="00B06779"/>
    <w:rsid w:val="00B10170"/>
    <w:rsid w:val="00B126AC"/>
    <w:rsid w:val="00B219C8"/>
    <w:rsid w:val="00B235D0"/>
    <w:rsid w:val="00B23BE8"/>
    <w:rsid w:val="00B26A67"/>
    <w:rsid w:val="00B324FD"/>
    <w:rsid w:val="00B344A8"/>
    <w:rsid w:val="00B37D98"/>
    <w:rsid w:val="00B40334"/>
    <w:rsid w:val="00B408A5"/>
    <w:rsid w:val="00B40973"/>
    <w:rsid w:val="00B44BFD"/>
    <w:rsid w:val="00B45B75"/>
    <w:rsid w:val="00B4606D"/>
    <w:rsid w:val="00B46219"/>
    <w:rsid w:val="00B46E77"/>
    <w:rsid w:val="00B47DC0"/>
    <w:rsid w:val="00B538FB"/>
    <w:rsid w:val="00B5496F"/>
    <w:rsid w:val="00B577A3"/>
    <w:rsid w:val="00B606AD"/>
    <w:rsid w:val="00B62B17"/>
    <w:rsid w:val="00B65397"/>
    <w:rsid w:val="00B65EA1"/>
    <w:rsid w:val="00B66EFD"/>
    <w:rsid w:val="00B677EE"/>
    <w:rsid w:val="00B722DB"/>
    <w:rsid w:val="00B723D3"/>
    <w:rsid w:val="00B742F2"/>
    <w:rsid w:val="00B74D08"/>
    <w:rsid w:val="00B752C7"/>
    <w:rsid w:val="00B76947"/>
    <w:rsid w:val="00B7748E"/>
    <w:rsid w:val="00B77CA8"/>
    <w:rsid w:val="00B8196B"/>
    <w:rsid w:val="00B81AA3"/>
    <w:rsid w:val="00B868B0"/>
    <w:rsid w:val="00B87BD7"/>
    <w:rsid w:val="00B9012B"/>
    <w:rsid w:val="00B909D5"/>
    <w:rsid w:val="00B93AF3"/>
    <w:rsid w:val="00B9497C"/>
    <w:rsid w:val="00B96796"/>
    <w:rsid w:val="00B96830"/>
    <w:rsid w:val="00B9728C"/>
    <w:rsid w:val="00BA0D71"/>
    <w:rsid w:val="00BA44EA"/>
    <w:rsid w:val="00BA4B01"/>
    <w:rsid w:val="00BA776C"/>
    <w:rsid w:val="00BB0283"/>
    <w:rsid w:val="00BB1FAE"/>
    <w:rsid w:val="00BB3731"/>
    <w:rsid w:val="00BB5D75"/>
    <w:rsid w:val="00BB735B"/>
    <w:rsid w:val="00BC00A6"/>
    <w:rsid w:val="00BC0B38"/>
    <w:rsid w:val="00BC196A"/>
    <w:rsid w:val="00BC39DD"/>
    <w:rsid w:val="00BC511A"/>
    <w:rsid w:val="00BC5C2A"/>
    <w:rsid w:val="00BC7A0E"/>
    <w:rsid w:val="00BD4F11"/>
    <w:rsid w:val="00BD6D72"/>
    <w:rsid w:val="00BD7D21"/>
    <w:rsid w:val="00BE07CB"/>
    <w:rsid w:val="00BE19B2"/>
    <w:rsid w:val="00BE633D"/>
    <w:rsid w:val="00BE645D"/>
    <w:rsid w:val="00BF3108"/>
    <w:rsid w:val="00BF3347"/>
    <w:rsid w:val="00BF3770"/>
    <w:rsid w:val="00C02CA8"/>
    <w:rsid w:val="00C03D5F"/>
    <w:rsid w:val="00C04043"/>
    <w:rsid w:val="00C04B05"/>
    <w:rsid w:val="00C04E03"/>
    <w:rsid w:val="00C04E6A"/>
    <w:rsid w:val="00C12B87"/>
    <w:rsid w:val="00C13752"/>
    <w:rsid w:val="00C1395A"/>
    <w:rsid w:val="00C15D52"/>
    <w:rsid w:val="00C15FEE"/>
    <w:rsid w:val="00C16C44"/>
    <w:rsid w:val="00C2157C"/>
    <w:rsid w:val="00C2335D"/>
    <w:rsid w:val="00C23B6B"/>
    <w:rsid w:val="00C2441E"/>
    <w:rsid w:val="00C24B51"/>
    <w:rsid w:val="00C27754"/>
    <w:rsid w:val="00C30016"/>
    <w:rsid w:val="00C335FA"/>
    <w:rsid w:val="00C41D4A"/>
    <w:rsid w:val="00C44E58"/>
    <w:rsid w:val="00C45DC6"/>
    <w:rsid w:val="00C476F9"/>
    <w:rsid w:val="00C511EC"/>
    <w:rsid w:val="00C54611"/>
    <w:rsid w:val="00C54953"/>
    <w:rsid w:val="00C54D2E"/>
    <w:rsid w:val="00C55982"/>
    <w:rsid w:val="00C56404"/>
    <w:rsid w:val="00C57EA2"/>
    <w:rsid w:val="00C61CC9"/>
    <w:rsid w:val="00C65452"/>
    <w:rsid w:val="00C676B1"/>
    <w:rsid w:val="00C70C16"/>
    <w:rsid w:val="00C73064"/>
    <w:rsid w:val="00C73EDD"/>
    <w:rsid w:val="00C740C8"/>
    <w:rsid w:val="00C74158"/>
    <w:rsid w:val="00C759FA"/>
    <w:rsid w:val="00C77B11"/>
    <w:rsid w:val="00C8130D"/>
    <w:rsid w:val="00C822CB"/>
    <w:rsid w:val="00C827D6"/>
    <w:rsid w:val="00C85E4B"/>
    <w:rsid w:val="00C87F14"/>
    <w:rsid w:val="00C92AFC"/>
    <w:rsid w:val="00C9354D"/>
    <w:rsid w:val="00C9386B"/>
    <w:rsid w:val="00C94055"/>
    <w:rsid w:val="00C94827"/>
    <w:rsid w:val="00CA051A"/>
    <w:rsid w:val="00CA061D"/>
    <w:rsid w:val="00CA2A17"/>
    <w:rsid w:val="00CA3FE6"/>
    <w:rsid w:val="00CA6749"/>
    <w:rsid w:val="00CA73B4"/>
    <w:rsid w:val="00CB2779"/>
    <w:rsid w:val="00CB2882"/>
    <w:rsid w:val="00CB708B"/>
    <w:rsid w:val="00CC1FB7"/>
    <w:rsid w:val="00CC32DD"/>
    <w:rsid w:val="00CD15AD"/>
    <w:rsid w:val="00CD46BF"/>
    <w:rsid w:val="00CD612A"/>
    <w:rsid w:val="00CD6E73"/>
    <w:rsid w:val="00CD782D"/>
    <w:rsid w:val="00CE4D97"/>
    <w:rsid w:val="00CE7600"/>
    <w:rsid w:val="00CF14A1"/>
    <w:rsid w:val="00CF6D1E"/>
    <w:rsid w:val="00CF7803"/>
    <w:rsid w:val="00D00792"/>
    <w:rsid w:val="00D00A52"/>
    <w:rsid w:val="00D00B53"/>
    <w:rsid w:val="00D00F4B"/>
    <w:rsid w:val="00D01277"/>
    <w:rsid w:val="00D02E36"/>
    <w:rsid w:val="00D03F2F"/>
    <w:rsid w:val="00D0446F"/>
    <w:rsid w:val="00D046A7"/>
    <w:rsid w:val="00D04D71"/>
    <w:rsid w:val="00D055FD"/>
    <w:rsid w:val="00D1306D"/>
    <w:rsid w:val="00D13378"/>
    <w:rsid w:val="00D1409C"/>
    <w:rsid w:val="00D15176"/>
    <w:rsid w:val="00D1689C"/>
    <w:rsid w:val="00D17BD0"/>
    <w:rsid w:val="00D2166A"/>
    <w:rsid w:val="00D220B7"/>
    <w:rsid w:val="00D24D00"/>
    <w:rsid w:val="00D27420"/>
    <w:rsid w:val="00D3013A"/>
    <w:rsid w:val="00D34CA4"/>
    <w:rsid w:val="00D403FD"/>
    <w:rsid w:val="00D43216"/>
    <w:rsid w:val="00D43F0D"/>
    <w:rsid w:val="00D4741E"/>
    <w:rsid w:val="00D50617"/>
    <w:rsid w:val="00D52D4F"/>
    <w:rsid w:val="00D54A14"/>
    <w:rsid w:val="00D54FBE"/>
    <w:rsid w:val="00D55247"/>
    <w:rsid w:val="00D61112"/>
    <w:rsid w:val="00D620DD"/>
    <w:rsid w:val="00D63812"/>
    <w:rsid w:val="00D648E0"/>
    <w:rsid w:val="00D64F42"/>
    <w:rsid w:val="00D6509D"/>
    <w:rsid w:val="00D714AF"/>
    <w:rsid w:val="00D71A2E"/>
    <w:rsid w:val="00D71A84"/>
    <w:rsid w:val="00D73712"/>
    <w:rsid w:val="00D748FA"/>
    <w:rsid w:val="00D778CB"/>
    <w:rsid w:val="00D81707"/>
    <w:rsid w:val="00D82775"/>
    <w:rsid w:val="00D84F8A"/>
    <w:rsid w:val="00D872F1"/>
    <w:rsid w:val="00D901E1"/>
    <w:rsid w:val="00D924B9"/>
    <w:rsid w:val="00D92D90"/>
    <w:rsid w:val="00D9463B"/>
    <w:rsid w:val="00D94946"/>
    <w:rsid w:val="00D96338"/>
    <w:rsid w:val="00D96EE0"/>
    <w:rsid w:val="00DA12F6"/>
    <w:rsid w:val="00DA39AD"/>
    <w:rsid w:val="00DA51AB"/>
    <w:rsid w:val="00DA576B"/>
    <w:rsid w:val="00DB07E8"/>
    <w:rsid w:val="00DB145D"/>
    <w:rsid w:val="00DB1E70"/>
    <w:rsid w:val="00DB27C0"/>
    <w:rsid w:val="00DB5970"/>
    <w:rsid w:val="00DC0702"/>
    <w:rsid w:val="00DC1A68"/>
    <w:rsid w:val="00DC30DC"/>
    <w:rsid w:val="00DD3E06"/>
    <w:rsid w:val="00DD5FBD"/>
    <w:rsid w:val="00DD65A3"/>
    <w:rsid w:val="00DE0355"/>
    <w:rsid w:val="00DE0ADA"/>
    <w:rsid w:val="00DE118C"/>
    <w:rsid w:val="00DE1E71"/>
    <w:rsid w:val="00DE2A0C"/>
    <w:rsid w:val="00DE2BF2"/>
    <w:rsid w:val="00DE3B5B"/>
    <w:rsid w:val="00DE3E2F"/>
    <w:rsid w:val="00DE42DD"/>
    <w:rsid w:val="00DE5B2B"/>
    <w:rsid w:val="00DE610E"/>
    <w:rsid w:val="00DE7928"/>
    <w:rsid w:val="00DF3527"/>
    <w:rsid w:val="00DF4E5A"/>
    <w:rsid w:val="00DF571B"/>
    <w:rsid w:val="00DF63C1"/>
    <w:rsid w:val="00DF7180"/>
    <w:rsid w:val="00DF7F71"/>
    <w:rsid w:val="00E00D60"/>
    <w:rsid w:val="00E01779"/>
    <w:rsid w:val="00E0419C"/>
    <w:rsid w:val="00E06307"/>
    <w:rsid w:val="00E06764"/>
    <w:rsid w:val="00E0780F"/>
    <w:rsid w:val="00E12EAC"/>
    <w:rsid w:val="00E14B59"/>
    <w:rsid w:val="00E14F91"/>
    <w:rsid w:val="00E14FAB"/>
    <w:rsid w:val="00E159E8"/>
    <w:rsid w:val="00E166D1"/>
    <w:rsid w:val="00E17552"/>
    <w:rsid w:val="00E2438F"/>
    <w:rsid w:val="00E31E60"/>
    <w:rsid w:val="00E325FF"/>
    <w:rsid w:val="00E3329A"/>
    <w:rsid w:val="00E33DD5"/>
    <w:rsid w:val="00E34903"/>
    <w:rsid w:val="00E35BA0"/>
    <w:rsid w:val="00E35E2F"/>
    <w:rsid w:val="00E37EEA"/>
    <w:rsid w:val="00E37F15"/>
    <w:rsid w:val="00E414EE"/>
    <w:rsid w:val="00E45EE4"/>
    <w:rsid w:val="00E4648F"/>
    <w:rsid w:val="00E465D3"/>
    <w:rsid w:val="00E50BF6"/>
    <w:rsid w:val="00E5233A"/>
    <w:rsid w:val="00E54703"/>
    <w:rsid w:val="00E549B7"/>
    <w:rsid w:val="00E626B6"/>
    <w:rsid w:val="00E7145E"/>
    <w:rsid w:val="00E73EAB"/>
    <w:rsid w:val="00E75A10"/>
    <w:rsid w:val="00E764F8"/>
    <w:rsid w:val="00E80004"/>
    <w:rsid w:val="00E80C0A"/>
    <w:rsid w:val="00E84A9E"/>
    <w:rsid w:val="00E8564B"/>
    <w:rsid w:val="00E876D4"/>
    <w:rsid w:val="00E910B3"/>
    <w:rsid w:val="00E91507"/>
    <w:rsid w:val="00E959B6"/>
    <w:rsid w:val="00E96C0F"/>
    <w:rsid w:val="00E96EEC"/>
    <w:rsid w:val="00E97BDE"/>
    <w:rsid w:val="00EA12D5"/>
    <w:rsid w:val="00EA17DC"/>
    <w:rsid w:val="00EA233C"/>
    <w:rsid w:val="00EA7685"/>
    <w:rsid w:val="00EA7A41"/>
    <w:rsid w:val="00EB158C"/>
    <w:rsid w:val="00EB5E3E"/>
    <w:rsid w:val="00EB7DC6"/>
    <w:rsid w:val="00EC0EFB"/>
    <w:rsid w:val="00EC32E4"/>
    <w:rsid w:val="00EC36DF"/>
    <w:rsid w:val="00EC7EC8"/>
    <w:rsid w:val="00ED375F"/>
    <w:rsid w:val="00ED3C1B"/>
    <w:rsid w:val="00ED53F2"/>
    <w:rsid w:val="00ED5E1B"/>
    <w:rsid w:val="00ED667B"/>
    <w:rsid w:val="00ED6919"/>
    <w:rsid w:val="00ED7073"/>
    <w:rsid w:val="00ED7F8B"/>
    <w:rsid w:val="00EE2270"/>
    <w:rsid w:val="00EE6175"/>
    <w:rsid w:val="00EE61B0"/>
    <w:rsid w:val="00EE6DAA"/>
    <w:rsid w:val="00EF2ECA"/>
    <w:rsid w:val="00EF362F"/>
    <w:rsid w:val="00EF514A"/>
    <w:rsid w:val="00EF56FA"/>
    <w:rsid w:val="00EF7CCE"/>
    <w:rsid w:val="00F00015"/>
    <w:rsid w:val="00F02007"/>
    <w:rsid w:val="00F034C8"/>
    <w:rsid w:val="00F05A6A"/>
    <w:rsid w:val="00F075AB"/>
    <w:rsid w:val="00F1181F"/>
    <w:rsid w:val="00F13092"/>
    <w:rsid w:val="00F15EA0"/>
    <w:rsid w:val="00F23E92"/>
    <w:rsid w:val="00F2410C"/>
    <w:rsid w:val="00F2462E"/>
    <w:rsid w:val="00F24898"/>
    <w:rsid w:val="00F27288"/>
    <w:rsid w:val="00F302CC"/>
    <w:rsid w:val="00F31D1A"/>
    <w:rsid w:val="00F36B14"/>
    <w:rsid w:val="00F3755B"/>
    <w:rsid w:val="00F43C04"/>
    <w:rsid w:val="00F43DCD"/>
    <w:rsid w:val="00F45E5D"/>
    <w:rsid w:val="00F460D5"/>
    <w:rsid w:val="00F46545"/>
    <w:rsid w:val="00F5157C"/>
    <w:rsid w:val="00F5494A"/>
    <w:rsid w:val="00F549A6"/>
    <w:rsid w:val="00F54F40"/>
    <w:rsid w:val="00F62426"/>
    <w:rsid w:val="00F651CF"/>
    <w:rsid w:val="00F677D0"/>
    <w:rsid w:val="00F70D89"/>
    <w:rsid w:val="00F7189B"/>
    <w:rsid w:val="00F734A6"/>
    <w:rsid w:val="00F7477B"/>
    <w:rsid w:val="00F75A32"/>
    <w:rsid w:val="00F77A3D"/>
    <w:rsid w:val="00F825A5"/>
    <w:rsid w:val="00F843A4"/>
    <w:rsid w:val="00F858C8"/>
    <w:rsid w:val="00F85973"/>
    <w:rsid w:val="00F86D30"/>
    <w:rsid w:val="00F86F64"/>
    <w:rsid w:val="00F91F15"/>
    <w:rsid w:val="00F9200D"/>
    <w:rsid w:val="00FA1F67"/>
    <w:rsid w:val="00FA4811"/>
    <w:rsid w:val="00FA5E0B"/>
    <w:rsid w:val="00FB080E"/>
    <w:rsid w:val="00FB0860"/>
    <w:rsid w:val="00FB0BBA"/>
    <w:rsid w:val="00FB614A"/>
    <w:rsid w:val="00FC0789"/>
    <w:rsid w:val="00FC07B4"/>
    <w:rsid w:val="00FC14B4"/>
    <w:rsid w:val="00FC1F5C"/>
    <w:rsid w:val="00FC2B31"/>
    <w:rsid w:val="00FC676B"/>
    <w:rsid w:val="00FC7318"/>
    <w:rsid w:val="00FD1366"/>
    <w:rsid w:val="00FD15D9"/>
    <w:rsid w:val="00FD21B4"/>
    <w:rsid w:val="00FD59FB"/>
    <w:rsid w:val="00FD6AD0"/>
    <w:rsid w:val="00FE0D19"/>
    <w:rsid w:val="00FE1EEB"/>
    <w:rsid w:val="00FE3C84"/>
    <w:rsid w:val="00FE4995"/>
    <w:rsid w:val="00FE6532"/>
    <w:rsid w:val="00FF0D8A"/>
    <w:rsid w:val="00FF1093"/>
    <w:rsid w:val="00FF48C1"/>
    <w:rsid w:val="00FF5CAA"/>
    <w:rsid w:val="00FF7870"/>
    <w:rsid w:val="00FF7CD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C869D8A"/>
  <w15:chartTrackingRefBased/>
  <w15:docId w15:val="{49132D64-5F1F-46DA-8BBA-CABB3CE9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5903"/>
    <w:rPr>
      <w:rFonts w:ascii="Courier New" w:hAnsi="Courier New" w:cs="Courier New"/>
      <w:sz w:val="24"/>
      <w:szCs w:val="24"/>
      <w:lang w:val="es-ES_tradnl"/>
    </w:rPr>
  </w:style>
  <w:style w:type="paragraph" w:styleId="Ttulo1">
    <w:name w:val="heading 1"/>
    <w:basedOn w:val="Normal"/>
    <w:next w:val="Normal"/>
    <w:link w:val="Ttulo1Car"/>
    <w:qFormat/>
    <w:rsid w:val="00CD612A"/>
    <w:pPr>
      <w:keepNext/>
      <w:jc w:val="both"/>
      <w:outlineLvl w:val="0"/>
    </w:pPr>
    <w:rPr>
      <w:rFonts w:ascii="Arial" w:hAnsi="Arial" w:cs="Times New Roman"/>
      <w:b/>
      <w:bCs/>
      <w:caps/>
      <w:kern w:val="32"/>
      <w:sz w:val="16"/>
      <w:szCs w:val="32"/>
    </w:rPr>
  </w:style>
  <w:style w:type="paragraph" w:styleId="Ttulo2">
    <w:name w:val="heading 2"/>
    <w:basedOn w:val="Normal"/>
    <w:next w:val="Normal"/>
    <w:link w:val="Ttulo2Car"/>
    <w:qFormat/>
    <w:rsid w:val="00FF48C1"/>
    <w:pPr>
      <w:keepNext/>
      <w:jc w:val="both"/>
      <w:outlineLvl w:val="1"/>
    </w:pPr>
    <w:rPr>
      <w:rFonts w:ascii="Arial" w:hAnsi="Arial" w:cs="Times New Roman"/>
      <w:b/>
      <w:bCs/>
      <w:iCs/>
      <w:sz w:val="16"/>
      <w:szCs w:val="28"/>
    </w:rPr>
  </w:style>
  <w:style w:type="paragraph" w:styleId="Ttulo3">
    <w:name w:val="heading 3"/>
    <w:basedOn w:val="Normal"/>
    <w:next w:val="Normal"/>
    <w:link w:val="Ttulo3Car"/>
    <w:qFormat/>
    <w:rsid w:val="00731CCA"/>
    <w:pPr>
      <w:keepNext/>
      <w:spacing w:before="240" w:after="60"/>
      <w:outlineLvl w:val="2"/>
    </w:pPr>
    <w:rPr>
      <w:rFonts w:ascii="Arial" w:hAnsi="Arial" w:cs="Arial"/>
      <w:b/>
      <w:b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A75903"/>
    <w:pPr>
      <w:tabs>
        <w:tab w:val="center" w:pos="4419"/>
        <w:tab w:val="right" w:pos="8838"/>
      </w:tabs>
    </w:pPr>
    <w:rPr>
      <w:rFonts w:cs="Times New Roman"/>
      <w:lang w:eastAsia="x-none"/>
    </w:rPr>
  </w:style>
  <w:style w:type="paragraph" w:styleId="Piedepgina">
    <w:name w:val="footer"/>
    <w:basedOn w:val="Normal"/>
    <w:link w:val="PiedepginaCar"/>
    <w:rsid w:val="00A75903"/>
    <w:pPr>
      <w:tabs>
        <w:tab w:val="center" w:pos="4252"/>
        <w:tab w:val="right" w:pos="8504"/>
      </w:tabs>
    </w:pPr>
    <w:rPr>
      <w:rFonts w:cs="Times New Roman"/>
      <w:lang w:eastAsia="x-none"/>
    </w:rPr>
  </w:style>
  <w:style w:type="character" w:styleId="Nmerodepgina">
    <w:name w:val="page number"/>
    <w:basedOn w:val="Fuentedeprrafopredeter"/>
    <w:rsid w:val="00A75903"/>
  </w:style>
  <w:style w:type="paragraph" w:styleId="Sangradetextonormal">
    <w:name w:val="Body Text Indent"/>
    <w:basedOn w:val="Normal"/>
    <w:link w:val="SangradetextonormalCar"/>
    <w:rsid w:val="00A75903"/>
    <w:pPr>
      <w:suppressAutoHyphens/>
      <w:jc w:val="center"/>
    </w:pPr>
    <w:rPr>
      <w:rFonts w:ascii="Arial" w:hAnsi="Arial" w:cs="Times New Roman"/>
      <w:b/>
      <w:bCs/>
      <w:spacing w:val="20"/>
      <w:sz w:val="16"/>
      <w:szCs w:val="16"/>
      <w:lang w:eastAsia="x-none"/>
    </w:rPr>
  </w:style>
  <w:style w:type="paragraph" w:styleId="Textoindependiente">
    <w:name w:val="Body Text"/>
    <w:basedOn w:val="Normal"/>
    <w:link w:val="TextoindependienteCar"/>
    <w:rsid w:val="00980BC9"/>
    <w:pPr>
      <w:spacing w:after="120"/>
    </w:pPr>
  </w:style>
  <w:style w:type="paragraph" w:styleId="Textodebloque">
    <w:name w:val="Block Text"/>
    <w:basedOn w:val="Normal"/>
    <w:rsid w:val="00F858C8"/>
    <w:pPr>
      <w:tabs>
        <w:tab w:val="left" w:pos="12474"/>
      </w:tabs>
      <w:ind w:left="426" w:right="192"/>
    </w:pPr>
    <w:rPr>
      <w:rFonts w:ascii="Arial" w:hAnsi="Arial" w:cs="Times New Roman"/>
      <w:sz w:val="18"/>
      <w:szCs w:val="20"/>
      <w:lang w:val="es-ES"/>
    </w:rPr>
  </w:style>
  <w:style w:type="character" w:customStyle="1" w:styleId="EncabezadoCar">
    <w:name w:val="Encabezado Car"/>
    <w:link w:val="Encabezado"/>
    <w:uiPriority w:val="99"/>
    <w:rsid w:val="00414A3B"/>
    <w:rPr>
      <w:rFonts w:ascii="Courier New" w:hAnsi="Courier New" w:cs="Courier New"/>
      <w:sz w:val="24"/>
      <w:szCs w:val="24"/>
      <w:lang w:val="es-ES_tradnl"/>
    </w:rPr>
  </w:style>
  <w:style w:type="character" w:customStyle="1" w:styleId="PiedepginaCar">
    <w:name w:val="Pie de página Car"/>
    <w:link w:val="Piedepgina"/>
    <w:rsid w:val="00414A3B"/>
    <w:rPr>
      <w:rFonts w:ascii="Courier New" w:hAnsi="Courier New" w:cs="Courier New"/>
      <w:sz w:val="24"/>
      <w:szCs w:val="24"/>
      <w:lang w:val="es-ES_tradnl"/>
    </w:rPr>
  </w:style>
  <w:style w:type="paragraph" w:customStyle="1" w:styleId="nfasissutil1">
    <w:name w:val="Énfasis sutil1"/>
    <w:basedOn w:val="Normal"/>
    <w:qFormat/>
    <w:rsid w:val="000D0289"/>
    <w:pPr>
      <w:widowControl w:val="0"/>
      <w:ind w:left="720"/>
      <w:contextualSpacing/>
      <w:jc w:val="both"/>
    </w:pPr>
    <w:rPr>
      <w:rFonts w:ascii="Arial" w:hAnsi="Arial" w:cs="Arial"/>
      <w:color w:val="000000"/>
      <w:spacing w:val="20"/>
      <w:sz w:val="20"/>
      <w:szCs w:val="20"/>
      <w:lang w:val="es-ES"/>
    </w:rPr>
  </w:style>
  <w:style w:type="character" w:customStyle="1" w:styleId="SangradetextonormalCar">
    <w:name w:val="Sangría de texto normal Car"/>
    <w:link w:val="Sangradetextonormal"/>
    <w:rsid w:val="002C22BA"/>
    <w:rPr>
      <w:rFonts w:ascii="Arial" w:hAnsi="Arial" w:cs="Arial"/>
      <w:b/>
      <w:bCs/>
      <w:spacing w:val="20"/>
      <w:sz w:val="16"/>
      <w:szCs w:val="16"/>
      <w:lang w:val="es-ES_tradnl"/>
    </w:rPr>
  </w:style>
  <w:style w:type="paragraph" w:styleId="Textodeglobo">
    <w:name w:val="Balloon Text"/>
    <w:basedOn w:val="Normal"/>
    <w:link w:val="TextodegloboCar"/>
    <w:rsid w:val="006F7448"/>
    <w:rPr>
      <w:rFonts w:ascii="Lucida Grande" w:hAnsi="Lucida Grande" w:cs="Times New Roman"/>
      <w:sz w:val="18"/>
      <w:szCs w:val="18"/>
      <w:lang w:val="x-none"/>
    </w:rPr>
  </w:style>
  <w:style w:type="character" w:customStyle="1" w:styleId="TextodegloboCar">
    <w:name w:val="Texto de globo Car"/>
    <w:link w:val="Textodeglobo"/>
    <w:rsid w:val="006F7448"/>
    <w:rPr>
      <w:rFonts w:ascii="Lucida Grande" w:hAnsi="Lucida Grande" w:cs="Lucida Grande"/>
      <w:sz w:val="18"/>
      <w:szCs w:val="18"/>
      <w:lang w:eastAsia="es-CO"/>
    </w:rPr>
  </w:style>
  <w:style w:type="character" w:styleId="Refdecomentario">
    <w:name w:val="annotation reference"/>
    <w:rsid w:val="00216447"/>
    <w:rPr>
      <w:sz w:val="18"/>
      <w:szCs w:val="18"/>
    </w:rPr>
  </w:style>
  <w:style w:type="paragraph" w:styleId="Textocomentario">
    <w:name w:val="annotation text"/>
    <w:basedOn w:val="Normal"/>
    <w:link w:val="TextocomentarioCar"/>
    <w:rsid w:val="00216447"/>
    <w:rPr>
      <w:rFonts w:cs="Times New Roman"/>
      <w:lang w:val="x-none"/>
    </w:rPr>
  </w:style>
  <w:style w:type="character" w:customStyle="1" w:styleId="TextocomentarioCar">
    <w:name w:val="Texto comentario Car"/>
    <w:link w:val="Textocomentario"/>
    <w:rsid w:val="00216447"/>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16447"/>
    <w:rPr>
      <w:b/>
      <w:bCs/>
    </w:rPr>
  </w:style>
  <w:style w:type="character" w:customStyle="1" w:styleId="AsuntodelcomentarioCar">
    <w:name w:val="Asunto del comentario Car"/>
    <w:link w:val="Asuntodelcomentario"/>
    <w:rsid w:val="00216447"/>
    <w:rPr>
      <w:rFonts w:ascii="Courier New" w:hAnsi="Courier New" w:cs="Courier New"/>
      <w:b/>
      <w:bCs/>
      <w:sz w:val="24"/>
      <w:szCs w:val="24"/>
      <w:lang w:eastAsia="es-CO"/>
    </w:rPr>
  </w:style>
  <w:style w:type="paragraph" w:customStyle="1" w:styleId="Cuadrculamulticolor-nfasis61">
    <w:name w:val="Cuadrícula multicolor - Énfasis 61"/>
    <w:hidden/>
    <w:uiPriority w:val="71"/>
    <w:rsid w:val="00346513"/>
    <w:rPr>
      <w:rFonts w:ascii="Courier New" w:hAnsi="Courier New" w:cs="Courier New"/>
      <w:sz w:val="24"/>
      <w:szCs w:val="24"/>
      <w:lang w:val="es-ES_tradnl"/>
    </w:rPr>
  </w:style>
  <w:style w:type="paragraph" w:styleId="Lista">
    <w:name w:val="List"/>
    <w:basedOn w:val="Normal"/>
    <w:rsid w:val="00CA2A17"/>
    <w:pPr>
      <w:ind w:left="283" w:hanging="283"/>
      <w:jc w:val="both"/>
    </w:pPr>
    <w:rPr>
      <w:rFonts w:ascii="Arial" w:hAnsi="Arial" w:cs="Times New Roman"/>
      <w:szCs w:val="20"/>
    </w:rPr>
  </w:style>
  <w:style w:type="paragraph" w:styleId="Continuarlista">
    <w:name w:val="List Continue"/>
    <w:basedOn w:val="Normal"/>
    <w:rsid w:val="00CA2A17"/>
    <w:pPr>
      <w:spacing w:after="120"/>
      <w:ind w:left="283" w:hanging="567"/>
      <w:jc w:val="both"/>
    </w:pPr>
    <w:rPr>
      <w:rFonts w:ascii="Arial" w:hAnsi="Arial" w:cs="Times New Roman"/>
      <w:szCs w:val="20"/>
    </w:rPr>
  </w:style>
  <w:style w:type="paragraph" w:customStyle="1" w:styleId="Textoindependiente31">
    <w:name w:val="Texto independiente 31"/>
    <w:basedOn w:val="Normal"/>
    <w:rsid w:val="00CA2A17"/>
    <w:pPr>
      <w:jc w:val="both"/>
    </w:pPr>
    <w:rPr>
      <w:rFonts w:ascii="Arial" w:hAnsi="Arial" w:cs="Times New Roman"/>
      <w:spacing w:val="20"/>
      <w:sz w:val="16"/>
      <w:szCs w:val="20"/>
      <w:lang w:val="es-MX" w:eastAsia="es-ES"/>
    </w:rPr>
  </w:style>
  <w:style w:type="paragraph" w:styleId="NormalWeb">
    <w:name w:val="Normal (Web)"/>
    <w:basedOn w:val="Normal"/>
    <w:unhideWhenUsed/>
    <w:rsid w:val="00CA2A17"/>
    <w:pPr>
      <w:spacing w:before="100" w:beforeAutospacing="1" w:after="100" w:afterAutospacing="1"/>
    </w:pPr>
    <w:rPr>
      <w:rFonts w:ascii="Times New Roman" w:hAnsi="Times New Roman" w:cs="Times New Roman"/>
      <w:lang w:val="es-ES" w:eastAsia="es-ES"/>
    </w:rPr>
  </w:style>
  <w:style w:type="paragraph" w:customStyle="1" w:styleId="Titulo">
    <w:name w:val="Titulo"/>
    <w:basedOn w:val="Normal"/>
    <w:rsid w:val="00CA2A17"/>
    <w:pPr>
      <w:numPr>
        <w:ilvl w:val="1"/>
        <w:numId w:val="1"/>
      </w:numPr>
    </w:pPr>
    <w:rPr>
      <w:rFonts w:ascii="Arial" w:eastAsia="Calibri" w:hAnsi="Arial" w:cs="Times New Roman"/>
      <w:lang w:val="es-ES" w:eastAsia="es-ES"/>
    </w:rPr>
  </w:style>
  <w:style w:type="paragraph" w:styleId="Mapadeldocumento">
    <w:name w:val="Document Map"/>
    <w:basedOn w:val="Normal"/>
    <w:link w:val="MapadeldocumentoCar"/>
    <w:rsid w:val="000E1E7E"/>
    <w:rPr>
      <w:rFonts w:ascii="Lucida Grande" w:hAnsi="Lucida Grande" w:cs="Times New Roman"/>
      <w:lang w:val="x-none"/>
    </w:rPr>
  </w:style>
  <w:style w:type="character" w:customStyle="1" w:styleId="MapadeldocumentoCar">
    <w:name w:val="Mapa del documento Car"/>
    <w:link w:val="Mapadeldocumento"/>
    <w:rsid w:val="000E1E7E"/>
    <w:rPr>
      <w:rFonts w:ascii="Lucida Grande" w:hAnsi="Lucida Grande" w:cs="Lucida Grande"/>
      <w:sz w:val="24"/>
      <w:szCs w:val="24"/>
      <w:lang w:eastAsia="es-CO"/>
    </w:rPr>
  </w:style>
  <w:style w:type="paragraph" w:styleId="Listaconvietas">
    <w:name w:val="List Bullet"/>
    <w:basedOn w:val="Normal"/>
    <w:rsid w:val="007E6A2A"/>
    <w:pPr>
      <w:numPr>
        <w:numId w:val="2"/>
      </w:numPr>
      <w:contextualSpacing/>
    </w:pPr>
  </w:style>
  <w:style w:type="paragraph" w:customStyle="1" w:styleId="Cuadrculavistosa-nfasis61">
    <w:name w:val="Cuadrícula vistosa - Énfasis 61"/>
    <w:hidden/>
    <w:uiPriority w:val="99"/>
    <w:semiHidden/>
    <w:rsid w:val="00B04B6A"/>
    <w:rPr>
      <w:rFonts w:ascii="Courier New" w:hAnsi="Courier New" w:cs="Courier New"/>
      <w:sz w:val="24"/>
      <w:szCs w:val="24"/>
      <w:lang w:val="es-ES_tradnl"/>
    </w:rPr>
  </w:style>
  <w:style w:type="paragraph" w:customStyle="1" w:styleId="Sombreadomedio2-nfasis61">
    <w:name w:val="Sombreado medio 2 - Énfasis 61"/>
    <w:hidden/>
    <w:uiPriority w:val="99"/>
    <w:semiHidden/>
    <w:rsid w:val="002B0571"/>
    <w:rPr>
      <w:rFonts w:ascii="Courier New" w:hAnsi="Courier New" w:cs="Courier New"/>
      <w:sz w:val="24"/>
      <w:szCs w:val="24"/>
      <w:lang w:val="es-ES_tradnl"/>
    </w:rPr>
  </w:style>
  <w:style w:type="paragraph" w:customStyle="1" w:styleId="Listaoscura-nfasis51">
    <w:name w:val="Lista oscura - Énfasis 51"/>
    <w:basedOn w:val="Normal"/>
    <w:uiPriority w:val="99"/>
    <w:qFormat/>
    <w:rsid w:val="00F24898"/>
    <w:pPr>
      <w:ind w:left="720"/>
      <w:contextualSpacing/>
    </w:pPr>
    <w:rPr>
      <w:rFonts w:ascii="Times New Roman" w:hAnsi="Times New Roman" w:cs="Times New Roman"/>
      <w:lang w:val="es-ES" w:eastAsia="es-ES"/>
    </w:rPr>
  </w:style>
  <w:style w:type="paragraph" w:customStyle="1" w:styleId="Sombreadoclaro-nfasis51">
    <w:name w:val="Sombreado claro - Énfasis 51"/>
    <w:hidden/>
    <w:uiPriority w:val="99"/>
    <w:semiHidden/>
    <w:rsid w:val="00A22E98"/>
    <w:rPr>
      <w:rFonts w:ascii="Courier New" w:hAnsi="Courier New" w:cs="Courier New"/>
      <w:sz w:val="24"/>
      <w:szCs w:val="24"/>
      <w:lang w:val="es-ES_tradnl"/>
    </w:rPr>
  </w:style>
  <w:style w:type="paragraph" w:customStyle="1" w:styleId="Listaclara-nfasis51">
    <w:name w:val="Lista clara - Énfasis 51"/>
    <w:basedOn w:val="Normal"/>
    <w:uiPriority w:val="34"/>
    <w:qFormat/>
    <w:rsid w:val="00332F17"/>
    <w:pPr>
      <w:ind w:left="708"/>
    </w:pPr>
  </w:style>
  <w:style w:type="character" w:customStyle="1" w:styleId="Ttulo1Car">
    <w:name w:val="Título 1 Car"/>
    <w:link w:val="Ttulo1"/>
    <w:rsid w:val="00CD612A"/>
    <w:rPr>
      <w:rFonts w:ascii="Arial" w:eastAsia="Times New Roman" w:hAnsi="Arial" w:cs="Times New Roman"/>
      <w:b/>
      <w:bCs/>
      <w:caps/>
      <w:kern w:val="32"/>
      <w:sz w:val="16"/>
      <w:szCs w:val="32"/>
      <w:lang w:val="es-ES_tradnl"/>
    </w:rPr>
  </w:style>
  <w:style w:type="character" w:customStyle="1" w:styleId="Ttulo2Car">
    <w:name w:val="Título 2 Car"/>
    <w:link w:val="Ttulo2"/>
    <w:rsid w:val="00FF48C1"/>
    <w:rPr>
      <w:rFonts w:ascii="Arial" w:eastAsia="Times New Roman" w:hAnsi="Arial" w:cs="Times New Roman"/>
      <w:b/>
      <w:bCs/>
      <w:iCs/>
      <w:sz w:val="16"/>
      <w:szCs w:val="28"/>
      <w:lang w:val="es-ES_tradnl"/>
    </w:rPr>
  </w:style>
  <w:style w:type="paragraph" w:customStyle="1" w:styleId="Encabezadodetabladecontenido">
    <w:name w:val="Encabezado de tabla de contenido"/>
    <w:basedOn w:val="Ttulo1"/>
    <w:next w:val="Normal"/>
    <w:uiPriority w:val="39"/>
    <w:semiHidden/>
    <w:unhideWhenUsed/>
    <w:qFormat/>
    <w:rsid w:val="00095D9F"/>
    <w:pPr>
      <w:keepLines/>
      <w:spacing w:before="480" w:line="276" w:lineRule="auto"/>
      <w:jc w:val="left"/>
      <w:outlineLvl w:val="9"/>
    </w:pPr>
    <w:rPr>
      <w:rFonts w:ascii="Cambria" w:hAnsi="Cambria"/>
      <w:caps w:val="0"/>
      <w:color w:val="365F91"/>
      <w:kern w:val="0"/>
      <w:sz w:val="28"/>
      <w:szCs w:val="28"/>
      <w:lang w:val="es-CO"/>
    </w:rPr>
  </w:style>
  <w:style w:type="paragraph" w:styleId="TDC1">
    <w:name w:val="toc 1"/>
    <w:basedOn w:val="Normal"/>
    <w:next w:val="Normal"/>
    <w:autoRedefine/>
    <w:uiPriority w:val="39"/>
    <w:rsid w:val="000C1D77"/>
    <w:pPr>
      <w:spacing w:before="240" w:after="120"/>
    </w:pPr>
    <w:rPr>
      <w:rFonts w:ascii="Arial" w:hAnsi="Arial"/>
      <w:b/>
      <w:bCs/>
      <w:sz w:val="16"/>
      <w:szCs w:val="20"/>
    </w:rPr>
  </w:style>
  <w:style w:type="paragraph" w:styleId="TDC2">
    <w:name w:val="toc 2"/>
    <w:basedOn w:val="Normal"/>
    <w:next w:val="Normal"/>
    <w:autoRedefine/>
    <w:uiPriority w:val="39"/>
    <w:rsid w:val="000C1D77"/>
    <w:pPr>
      <w:ind w:left="240"/>
    </w:pPr>
    <w:rPr>
      <w:rFonts w:ascii="Arial" w:hAnsi="Arial"/>
      <w:iCs/>
      <w:sz w:val="16"/>
      <w:szCs w:val="20"/>
    </w:rPr>
  </w:style>
  <w:style w:type="character" w:styleId="Hipervnculo">
    <w:name w:val="Hyperlink"/>
    <w:unhideWhenUsed/>
    <w:rsid w:val="00095D9F"/>
    <w:rPr>
      <w:color w:val="0000FF"/>
      <w:u w:val="single"/>
    </w:rPr>
  </w:style>
  <w:style w:type="paragraph" w:styleId="TDC3">
    <w:name w:val="toc 3"/>
    <w:basedOn w:val="Normal"/>
    <w:next w:val="Normal"/>
    <w:autoRedefine/>
    <w:rsid w:val="00095D9F"/>
    <w:pPr>
      <w:ind w:left="480"/>
    </w:pPr>
    <w:rPr>
      <w:rFonts w:ascii="Calibri" w:hAnsi="Calibri"/>
      <w:sz w:val="20"/>
      <w:szCs w:val="20"/>
    </w:rPr>
  </w:style>
  <w:style w:type="paragraph" w:styleId="TDC4">
    <w:name w:val="toc 4"/>
    <w:basedOn w:val="Normal"/>
    <w:next w:val="Normal"/>
    <w:autoRedefine/>
    <w:rsid w:val="00095D9F"/>
    <w:pPr>
      <w:ind w:left="720"/>
    </w:pPr>
    <w:rPr>
      <w:rFonts w:ascii="Calibri" w:hAnsi="Calibri"/>
      <w:sz w:val="20"/>
      <w:szCs w:val="20"/>
    </w:rPr>
  </w:style>
  <w:style w:type="paragraph" w:styleId="TDC5">
    <w:name w:val="toc 5"/>
    <w:basedOn w:val="Normal"/>
    <w:next w:val="Normal"/>
    <w:autoRedefine/>
    <w:rsid w:val="00095D9F"/>
    <w:pPr>
      <w:ind w:left="960"/>
    </w:pPr>
    <w:rPr>
      <w:rFonts w:ascii="Calibri" w:hAnsi="Calibri"/>
      <w:sz w:val="20"/>
      <w:szCs w:val="20"/>
    </w:rPr>
  </w:style>
  <w:style w:type="paragraph" w:styleId="TDC6">
    <w:name w:val="toc 6"/>
    <w:basedOn w:val="Normal"/>
    <w:next w:val="Normal"/>
    <w:autoRedefine/>
    <w:rsid w:val="00095D9F"/>
    <w:pPr>
      <w:ind w:left="1200"/>
    </w:pPr>
    <w:rPr>
      <w:rFonts w:ascii="Calibri" w:hAnsi="Calibri"/>
      <w:sz w:val="20"/>
      <w:szCs w:val="20"/>
    </w:rPr>
  </w:style>
  <w:style w:type="paragraph" w:styleId="TDC7">
    <w:name w:val="toc 7"/>
    <w:basedOn w:val="Normal"/>
    <w:next w:val="Normal"/>
    <w:autoRedefine/>
    <w:rsid w:val="00095D9F"/>
    <w:pPr>
      <w:ind w:left="1440"/>
    </w:pPr>
    <w:rPr>
      <w:rFonts w:ascii="Calibri" w:hAnsi="Calibri"/>
      <w:sz w:val="20"/>
      <w:szCs w:val="20"/>
    </w:rPr>
  </w:style>
  <w:style w:type="paragraph" w:styleId="TDC8">
    <w:name w:val="toc 8"/>
    <w:basedOn w:val="Normal"/>
    <w:next w:val="Normal"/>
    <w:autoRedefine/>
    <w:rsid w:val="00095D9F"/>
    <w:pPr>
      <w:ind w:left="1680"/>
    </w:pPr>
    <w:rPr>
      <w:rFonts w:ascii="Calibri" w:hAnsi="Calibri"/>
      <w:sz w:val="20"/>
      <w:szCs w:val="20"/>
    </w:rPr>
  </w:style>
  <w:style w:type="paragraph" w:styleId="TDC9">
    <w:name w:val="toc 9"/>
    <w:basedOn w:val="Normal"/>
    <w:next w:val="Normal"/>
    <w:autoRedefine/>
    <w:rsid w:val="00095D9F"/>
    <w:pPr>
      <w:ind w:left="1920"/>
    </w:pPr>
    <w:rPr>
      <w:rFonts w:ascii="Calibri" w:hAnsi="Calibri"/>
      <w:sz w:val="20"/>
      <w:szCs w:val="20"/>
    </w:rPr>
  </w:style>
  <w:style w:type="character" w:customStyle="1" w:styleId="apple-converted-space">
    <w:name w:val="apple-converted-space"/>
    <w:rsid w:val="00526391"/>
  </w:style>
  <w:style w:type="paragraph" w:customStyle="1" w:styleId="Listamedia2-nfasis21">
    <w:name w:val="Lista media 2 - Énfasis 21"/>
    <w:hidden/>
    <w:uiPriority w:val="99"/>
    <w:semiHidden/>
    <w:rsid w:val="00526391"/>
    <w:rPr>
      <w:rFonts w:ascii="Courier New" w:hAnsi="Courier New" w:cs="Courier New"/>
      <w:sz w:val="24"/>
      <w:szCs w:val="24"/>
      <w:lang w:val="es-ES_tradnl"/>
    </w:rPr>
  </w:style>
  <w:style w:type="paragraph" w:customStyle="1" w:styleId="Sombreadovistoso-nfasis11">
    <w:name w:val="Sombreado vistoso - Énfasis 11"/>
    <w:hidden/>
    <w:uiPriority w:val="99"/>
    <w:semiHidden/>
    <w:rsid w:val="008E316F"/>
    <w:rPr>
      <w:rFonts w:ascii="Courier New" w:hAnsi="Courier New" w:cs="Courier New"/>
      <w:sz w:val="24"/>
      <w:szCs w:val="24"/>
      <w:lang w:val="es-ES_tradnl"/>
    </w:rPr>
  </w:style>
  <w:style w:type="paragraph" w:customStyle="1" w:styleId="Default">
    <w:name w:val="Default"/>
    <w:rsid w:val="00EA17DC"/>
    <w:pPr>
      <w:autoSpaceDE w:val="0"/>
      <w:autoSpaceDN w:val="0"/>
      <w:adjustRightInd w:val="0"/>
    </w:pPr>
    <w:rPr>
      <w:color w:val="000000"/>
      <w:sz w:val="24"/>
      <w:szCs w:val="24"/>
      <w:lang w:val="es-ES" w:eastAsia="es-ES"/>
    </w:rPr>
  </w:style>
  <w:style w:type="paragraph" w:customStyle="1" w:styleId="Cuadrculamedia3-nfasis51">
    <w:name w:val="Cuadrícula media 3 - Énfasis 51"/>
    <w:hidden/>
    <w:uiPriority w:val="99"/>
    <w:semiHidden/>
    <w:rsid w:val="00692010"/>
    <w:rPr>
      <w:rFonts w:ascii="Courier New" w:hAnsi="Courier New" w:cs="Courier New"/>
      <w:sz w:val="24"/>
      <w:szCs w:val="24"/>
      <w:lang w:val="es-ES_tradnl"/>
    </w:rPr>
  </w:style>
  <w:style w:type="character" w:customStyle="1" w:styleId="Ttulo3Car">
    <w:name w:val="Título 3 Car"/>
    <w:link w:val="Ttulo3"/>
    <w:rsid w:val="00731CCA"/>
    <w:rPr>
      <w:rFonts w:ascii="Arial" w:hAnsi="Arial" w:cs="Arial"/>
      <w:b/>
      <w:bCs/>
      <w:sz w:val="26"/>
      <w:szCs w:val="26"/>
    </w:rPr>
  </w:style>
  <w:style w:type="paragraph" w:styleId="Textoindependiente3">
    <w:name w:val="Body Text 3"/>
    <w:basedOn w:val="Normal"/>
    <w:link w:val="Textoindependiente3Car"/>
    <w:rsid w:val="00731CCA"/>
    <w:pPr>
      <w:jc w:val="both"/>
    </w:pPr>
    <w:rPr>
      <w:rFonts w:ascii="Arial" w:hAnsi="Arial" w:cs="Arial"/>
      <w:b/>
      <w:bCs/>
      <w:sz w:val="22"/>
      <w:szCs w:val="22"/>
      <w:lang w:val="es-ES" w:eastAsia="es-ES"/>
    </w:rPr>
  </w:style>
  <w:style w:type="character" w:customStyle="1" w:styleId="Textoindependiente3Car">
    <w:name w:val="Texto independiente 3 Car"/>
    <w:link w:val="Textoindependiente3"/>
    <w:rsid w:val="00731CCA"/>
    <w:rPr>
      <w:rFonts w:ascii="Arial" w:hAnsi="Arial" w:cs="Arial"/>
      <w:b/>
      <w:bCs/>
      <w:sz w:val="22"/>
      <w:szCs w:val="22"/>
      <w:lang w:val="es-ES"/>
    </w:rPr>
  </w:style>
  <w:style w:type="paragraph" w:customStyle="1" w:styleId="Cuadrculaclara-nfasis31">
    <w:name w:val="Cuadrícula clara - Énfasis 31"/>
    <w:basedOn w:val="Normal"/>
    <w:uiPriority w:val="72"/>
    <w:qFormat/>
    <w:rsid w:val="00731CCA"/>
    <w:pPr>
      <w:ind w:left="708"/>
    </w:pPr>
    <w:rPr>
      <w:rFonts w:ascii="Times New Roman" w:hAnsi="Times New Roman" w:cs="Times New Roman"/>
      <w:sz w:val="20"/>
      <w:szCs w:val="20"/>
      <w:lang w:eastAsia="es-ES"/>
    </w:rPr>
  </w:style>
  <w:style w:type="character" w:customStyle="1" w:styleId="TextoindependienteCar">
    <w:name w:val="Texto independiente Car"/>
    <w:link w:val="Textoindependiente"/>
    <w:rsid w:val="00731CCA"/>
    <w:rPr>
      <w:rFonts w:ascii="Courier New" w:hAnsi="Courier New" w:cs="Courier New"/>
      <w:sz w:val="24"/>
      <w:szCs w:val="24"/>
      <w:lang w:eastAsia="es-CO"/>
    </w:rPr>
  </w:style>
  <w:style w:type="character" w:styleId="nfasis">
    <w:name w:val="Emphasis"/>
    <w:qFormat/>
    <w:rsid w:val="00731CCA"/>
    <w:rPr>
      <w:i/>
      <w:iCs/>
    </w:rPr>
  </w:style>
  <w:style w:type="paragraph" w:styleId="Textoindependiente2">
    <w:name w:val="Body Text 2"/>
    <w:basedOn w:val="Normal"/>
    <w:link w:val="Textoindependiente2Car"/>
    <w:rsid w:val="00731CCA"/>
    <w:pPr>
      <w:spacing w:after="120" w:line="480" w:lineRule="auto"/>
    </w:pPr>
    <w:rPr>
      <w:rFonts w:ascii="Times New Roman" w:hAnsi="Times New Roman" w:cs="Times New Roman"/>
      <w:sz w:val="20"/>
      <w:szCs w:val="20"/>
      <w:lang w:eastAsia="es-ES"/>
    </w:rPr>
  </w:style>
  <w:style w:type="character" w:customStyle="1" w:styleId="Textoindependiente2Car">
    <w:name w:val="Texto independiente 2 Car"/>
    <w:basedOn w:val="Fuentedeprrafopredeter"/>
    <w:link w:val="Textoindependiente2"/>
    <w:rsid w:val="00731CCA"/>
  </w:style>
  <w:style w:type="paragraph" w:customStyle="1" w:styleId="Textosinformato1">
    <w:name w:val="Texto sin formato1"/>
    <w:basedOn w:val="Normal"/>
    <w:rsid w:val="00731CCA"/>
    <w:rPr>
      <w:rFonts w:cs="Times New Roman"/>
      <w:sz w:val="20"/>
      <w:szCs w:val="20"/>
      <w:lang w:val="es-ES" w:eastAsia="es-ES"/>
    </w:rPr>
  </w:style>
  <w:style w:type="paragraph" w:customStyle="1" w:styleId="Textosinformato2">
    <w:name w:val="Texto sin formato2"/>
    <w:basedOn w:val="Normal"/>
    <w:rsid w:val="00731CCA"/>
    <w:rPr>
      <w:rFonts w:cs="Times New Roman"/>
      <w:sz w:val="20"/>
      <w:szCs w:val="20"/>
      <w:lang w:val="es-ES" w:eastAsia="es-ES"/>
    </w:rPr>
  </w:style>
  <w:style w:type="paragraph" w:customStyle="1" w:styleId="Textosinformato3">
    <w:name w:val="Texto sin formato3"/>
    <w:basedOn w:val="Normal"/>
    <w:rsid w:val="00731CCA"/>
    <w:rPr>
      <w:rFonts w:cs="Times New Roman"/>
      <w:sz w:val="20"/>
      <w:szCs w:val="20"/>
      <w:lang w:val="es-ES" w:eastAsia="es-ES"/>
    </w:rPr>
  </w:style>
  <w:style w:type="character" w:customStyle="1" w:styleId="Ninguno">
    <w:name w:val="Ninguno"/>
    <w:rsid w:val="00BA776C"/>
    <w:rPr>
      <w:lang w:val="es-ES_tradnl"/>
    </w:rPr>
  </w:style>
  <w:style w:type="paragraph" w:customStyle="1" w:styleId="Cuerpo">
    <w:name w:val="Cuerpo"/>
    <w:rsid w:val="00BA776C"/>
    <w:pPr>
      <w:pBdr>
        <w:top w:val="nil"/>
        <w:left w:val="nil"/>
        <w:bottom w:val="nil"/>
        <w:right w:val="nil"/>
        <w:between w:val="nil"/>
        <w:bar w:val="nil"/>
      </w:pBdr>
    </w:pPr>
    <w:rPr>
      <w:rFonts w:ascii="Courier New" w:eastAsia="Arial Unicode MS" w:hAnsi="Courier New" w:cs="Arial Unicode MS"/>
      <w:color w:val="000000"/>
      <w:sz w:val="24"/>
      <w:szCs w:val="24"/>
      <w:u w:color="000000"/>
      <w:bdr w:val="nil"/>
      <w:lang w:val="es-ES_tradnl" w:eastAsia="es-ES"/>
    </w:rPr>
  </w:style>
  <w:style w:type="paragraph" w:customStyle="1" w:styleId="Standard">
    <w:name w:val="Standard"/>
    <w:rsid w:val="00B26A67"/>
    <w:pPr>
      <w:widowControl w:val="0"/>
      <w:suppressAutoHyphens/>
      <w:autoSpaceDN w:val="0"/>
      <w:textAlignment w:val="baseline"/>
    </w:pPr>
    <w:rPr>
      <w:rFonts w:eastAsia="SimSun" w:cs="Mangal"/>
      <w:kern w:val="3"/>
      <w:sz w:val="24"/>
      <w:szCs w:val="24"/>
      <w:lang w:eastAsia="zh-CN" w:bidi="hi-IN"/>
    </w:rPr>
  </w:style>
  <w:style w:type="paragraph" w:styleId="Prrafodelista">
    <w:name w:val="List Paragraph"/>
    <w:basedOn w:val="Normal"/>
    <w:uiPriority w:val="34"/>
    <w:qFormat/>
    <w:rsid w:val="004269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2114">
      <w:bodyDiv w:val="1"/>
      <w:marLeft w:val="0"/>
      <w:marRight w:val="0"/>
      <w:marTop w:val="0"/>
      <w:marBottom w:val="0"/>
      <w:divBdr>
        <w:top w:val="none" w:sz="0" w:space="0" w:color="auto"/>
        <w:left w:val="none" w:sz="0" w:space="0" w:color="auto"/>
        <w:bottom w:val="none" w:sz="0" w:space="0" w:color="auto"/>
        <w:right w:val="none" w:sz="0" w:space="0" w:color="auto"/>
      </w:divBdr>
    </w:div>
    <w:div w:id="226574166">
      <w:bodyDiv w:val="1"/>
      <w:marLeft w:val="0"/>
      <w:marRight w:val="0"/>
      <w:marTop w:val="0"/>
      <w:marBottom w:val="0"/>
      <w:divBdr>
        <w:top w:val="none" w:sz="0" w:space="0" w:color="auto"/>
        <w:left w:val="none" w:sz="0" w:space="0" w:color="auto"/>
        <w:bottom w:val="none" w:sz="0" w:space="0" w:color="auto"/>
        <w:right w:val="none" w:sz="0" w:space="0" w:color="auto"/>
      </w:divBdr>
    </w:div>
    <w:div w:id="247156953">
      <w:bodyDiv w:val="1"/>
      <w:marLeft w:val="0"/>
      <w:marRight w:val="0"/>
      <w:marTop w:val="0"/>
      <w:marBottom w:val="0"/>
      <w:divBdr>
        <w:top w:val="none" w:sz="0" w:space="0" w:color="auto"/>
        <w:left w:val="none" w:sz="0" w:space="0" w:color="auto"/>
        <w:bottom w:val="none" w:sz="0" w:space="0" w:color="auto"/>
        <w:right w:val="none" w:sz="0" w:space="0" w:color="auto"/>
      </w:divBdr>
    </w:div>
    <w:div w:id="333413192">
      <w:bodyDiv w:val="1"/>
      <w:marLeft w:val="0"/>
      <w:marRight w:val="0"/>
      <w:marTop w:val="0"/>
      <w:marBottom w:val="0"/>
      <w:divBdr>
        <w:top w:val="none" w:sz="0" w:space="0" w:color="auto"/>
        <w:left w:val="none" w:sz="0" w:space="0" w:color="auto"/>
        <w:bottom w:val="none" w:sz="0" w:space="0" w:color="auto"/>
        <w:right w:val="none" w:sz="0" w:space="0" w:color="auto"/>
      </w:divBdr>
    </w:div>
    <w:div w:id="336277471">
      <w:bodyDiv w:val="1"/>
      <w:marLeft w:val="0"/>
      <w:marRight w:val="0"/>
      <w:marTop w:val="0"/>
      <w:marBottom w:val="0"/>
      <w:divBdr>
        <w:top w:val="none" w:sz="0" w:space="0" w:color="auto"/>
        <w:left w:val="none" w:sz="0" w:space="0" w:color="auto"/>
        <w:bottom w:val="none" w:sz="0" w:space="0" w:color="auto"/>
        <w:right w:val="none" w:sz="0" w:space="0" w:color="auto"/>
      </w:divBdr>
    </w:div>
    <w:div w:id="483163237">
      <w:bodyDiv w:val="1"/>
      <w:marLeft w:val="0"/>
      <w:marRight w:val="0"/>
      <w:marTop w:val="0"/>
      <w:marBottom w:val="0"/>
      <w:divBdr>
        <w:top w:val="none" w:sz="0" w:space="0" w:color="auto"/>
        <w:left w:val="none" w:sz="0" w:space="0" w:color="auto"/>
        <w:bottom w:val="none" w:sz="0" w:space="0" w:color="auto"/>
        <w:right w:val="none" w:sz="0" w:space="0" w:color="auto"/>
      </w:divBdr>
    </w:div>
    <w:div w:id="493568313">
      <w:bodyDiv w:val="1"/>
      <w:marLeft w:val="0"/>
      <w:marRight w:val="0"/>
      <w:marTop w:val="0"/>
      <w:marBottom w:val="0"/>
      <w:divBdr>
        <w:top w:val="none" w:sz="0" w:space="0" w:color="auto"/>
        <w:left w:val="none" w:sz="0" w:space="0" w:color="auto"/>
        <w:bottom w:val="none" w:sz="0" w:space="0" w:color="auto"/>
        <w:right w:val="none" w:sz="0" w:space="0" w:color="auto"/>
      </w:divBdr>
    </w:div>
    <w:div w:id="516189748">
      <w:bodyDiv w:val="1"/>
      <w:marLeft w:val="0"/>
      <w:marRight w:val="0"/>
      <w:marTop w:val="0"/>
      <w:marBottom w:val="0"/>
      <w:divBdr>
        <w:top w:val="none" w:sz="0" w:space="0" w:color="auto"/>
        <w:left w:val="none" w:sz="0" w:space="0" w:color="auto"/>
        <w:bottom w:val="none" w:sz="0" w:space="0" w:color="auto"/>
        <w:right w:val="none" w:sz="0" w:space="0" w:color="auto"/>
      </w:divBdr>
    </w:div>
    <w:div w:id="669677395">
      <w:bodyDiv w:val="1"/>
      <w:marLeft w:val="0"/>
      <w:marRight w:val="0"/>
      <w:marTop w:val="0"/>
      <w:marBottom w:val="0"/>
      <w:divBdr>
        <w:top w:val="none" w:sz="0" w:space="0" w:color="auto"/>
        <w:left w:val="none" w:sz="0" w:space="0" w:color="auto"/>
        <w:bottom w:val="none" w:sz="0" w:space="0" w:color="auto"/>
        <w:right w:val="none" w:sz="0" w:space="0" w:color="auto"/>
      </w:divBdr>
    </w:div>
    <w:div w:id="786121254">
      <w:bodyDiv w:val="1"/>
      <w:marLeft w:val="0"/>
      <w:marRight w:val="0"/>
      <w:marTop w:val="0"/>
      <w:marBottom w:val="0"/>
      <w:divBdr>
        <w:top w:val="none" w:sz="0" w:space="0" w:color="auto"/>
        <w:left w:val="none" w:sz="0" w:space="0" w:color="auto"/>
        <w:bottom w:val="none" w:sz="0" w:space="0" w:color="auto"/>
        <w:right w:val="none" w:sz="0" w:space="0" w:color="auto"/>
      </w:divBdr>
    </w:div>
    <w:div w:id="854541821">
      <w:bodyDiv w:val="1"/>
      <w:marLeft w:val="0"/>
      <w:marRight w:val="0"/>
      <w:marTop w:val="0"/>
      <w:marBottom w:val="0"/>
      <w:divBdr>
        <w:top w:val="none" w:sz="0" w:space="0" w:color="auto"/>
        <w:left w:val="none" w:sz="0" w:space="0" w:color="auto"/>
        <w:bottom w:val="none" w:sz="0" w:space="0" w:color="auto"/>
        <w:right w:val="none" w:sz="0" w:space="0" w:color="auto"/>
      </w:divBdr>
    </w:div>
    <w:div w:id="879438129">
      <w:bodyDiv w:val="1"/>
      <w:marLeft w:val="0"/>
      <w:marRight w:val="0"/>
      <w:marTop w:val="0"/>
      <w:marBottom w:val="0"/>
      <w:divBdr>
        <w:top w:val="none" w:sz="0" w:space="0" w:color="auto"/>
        <w:left w:val="none" w:sz="0" w:space="0" w:color="auto"/>
        <w:bottom w:val="none" w:sz="0" w:space="0" w:color="auto"/>
        <w:right w:val="none" w:sz="0" w:space="0" w:color="auto"/>
      </w:divBdr>
    </w:div>
    <w:div w:id="1019429772">
      <w:bodyDiv w:val="1"/>
      <w:marLeft w:val="0"/>
      <w:marRight w:val="0"/>
      <w:marTop w:val="0"/>
      <w:marBottom w:val="0"/>
      <w:divBdr>
        <w:top w:val="none" w:sz="0" w:space="0" w:color="auto"/>
        <w:left w:val="none" w:sz="0" w:space="0" w:color="auto"/>
        <w:bottom w:val="none" w:sz="0" w:space="0" w:color="auto"/>
        <w:right w:val="none" w:sz="0" w:space="0" w:color="auto"/>
      </w:divBdr>
    </w:div>
    <w:div w:id="1030301830">
      <w:bodyDiv w:val="1"/>
      <w:marLeft w:val="0"/>
      <w:marRight w:val="0"/>
      <w:marTop w:val="0"/>
      <w:marBottom w:val="0"/>
      <w:divBdr>
        <w:top w:val="none" w:sz="0" w:space="0" w:color="auto"/>
        <w:left w:val="none" w:sz="0" w:space="0" w:color="auto"/>
        <w:bottom w:val="none" w:sz="0" w:space="0" w:color="auto"/>
        <w:right w:val="none" w:sz="0" w:space="0" w:color="auto"/>
      </w:divBdr>
    </w:div>
    <w:div w:id="1143700033">
      <w:bodyDiv w:val="1"/>
      <w:marLeft w:val="0"/>
      <w:marRight w:val="0"/>
      <w:marTop w:val="0"/>
      <w:marBottom w:val="0"/>
      <w:divBdr>
        <w:top w:val="none" w:sz="0" w:space="0" w:color="auto"/>
        <w:left w:val="none" w:sz="0" w:space="0" w:color="auto"/>
        <w:bottom w:val="none" w:sz="0" w:space="0" w:color="auto"/>
        <w:right w:val="none" w:sz="0" w:space="0" w:color="auto"/>
      </w:divBdr>
    </w:div>
    <w:div w:id="1154182827">
      <w:bodyDiv w:val="1"/>
      <w:marLeft w:val="0"/>
      <w:marRight w:val="0"/>
      <w:marTop w:val="0"/>
      <w:marBottom w:val="0"/>
      <w:divBdr>
        <w:top w:val="none" w:sz="0" w:space="0" w:color="auto"/>
        <w:left w:val="none" w:sz="0" w:space="0" w:color="auto"/>
        <w:bottom w:val="none" w:sz="0" w:space="0" w:color="auto"/>
        <w:right w:val="none" w:sz="0" w:space="0" w:color="auto"/>
      </w:divBdr>
    </w:div>
    <w:div w:id="1432552532">
      <w:bodyDiv w:val="1"/>
      <w:marLeft w:val="0"/>
      <w:marRight w:val="0"/>
      <w:marTop w:val="0"/>
      <w:marBottom w:val="0"/>
      <w:divBdr>
        <w:top w:val="none" w:sz="0" w:space="0" w:color="auto"/>
        <w:left w:val="none" w:sz="0" w:space="0" w:color="auto"/>
        <w:bottom w:val="none" w:sz="0" w:space="0" w:color="auto"/>
        <w:right w:val="none" w:sz="0" w:space="0" w:color="auto"/>
      </w:divBdr>
    </w:div>
    <w:div w:id="1470317395">
      <w:bodyDiv w:val="1"/>
      <w:marLeft w:val="0"/>
      <w:marRight w:val="0"/>
      <w:marTop w:val="0"/>
      <w:marBottom w:val="0"/>
      <w:divBdr>
        <w:top w:val="none" w:sz="0" w:space="0" w:color="auto"/>
        <w:left w:val="none" w:sz="0" w:space="0" w:color="auto"/>
        <w:bottom w:val="none" w:sz="0" w:space="0" w:color="auto"/>
        <w:right w:val="none" w:sz="0" w:space="0" w:color="auto"/>
      </w:divBdr>
    </w:div>
    <w:div w:id="1672680118">
      <w:bodyDiv w:val="1"/>
      <w:marLeft w:val="0"/>
      <w:marRight w:val="0"/>
      <w:marTop w:val="0"/>
      <w:marBottom w:val="0"/>
      <w:divBdr>
        <w:top w:val="none" w:sz="0" w:space="0" w:color="auto"/>
        <w:left w:val="none" w:sz="0" w:space="0" w:color="auto"/>
        <w:bottom w:val="none" w:sz="0" w:space="0" w:color="auto"/>
        <w:right w:val="none" w:sz="0" w:space="0" w:color="auto"/>
      </w:divBdr>
    </w:div>
    <w:div w:id="1841847853">
      <w:bodyDiv w:val="1"/>
      <w:marLeft w:val="0"/>
      <w:marRight w:val="0"/>
      <w:marTop w:val="0"/>
      <w:marBottom w:val="0"/>
      <w:divBdr>
        <w:top w:val="none" w:sz="0" w:space="0" w:color="auto"/>
        <w:left w:val="none" w:sz="0" w:space="0" w:color="auto"/>
        <w:bottom w:val="none" w:sz="0" w:space="0" w:color="auto"/>
        <w:right w:val="none" w:sz="0" w:space="0" w:color="auto"/>
      </w:divBdr>
    </w:div>
    <w:div w:id="207199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B9BB2-D157-437C-BEDC-3345C5221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3737</Words>
  <Characters>20333</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CAPITULO SEXTO: REGLAS RELATIVAS A LA COMPETENCIA Y</vt:lpstr>
    </vt:vector>
  </TitlesOfParts>
  <Company>Superintendencia Bancaria</Company>
  <LinksUpToDate>false</LinksUpToDate>
  <CharactersWithSpaces>24022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SEXTO: REGLAS RELATIVAS A LA COMPETENCIA Y</dc:title>
  <dc:subject/>
  <dc:creator>Soporte Técnico</dc:creator>
  <cp:keywords/>
  <cp:lastModifiedBy>Gabriel Armando Ospina Garcia</cp:lastModifiedBy>
  <cp:revision>6</cp:revision>
  <cp:lastPrinted>2007-03-21T20:38:00Z</cp:lastPrinted>
  <dcterms:created xsi:type="dcterms:W3CDTF">2021-10-08T22:17:00Z</dcterms:created>
  <dcterms:modified xsi:type="dcterms:W3CDTF">2021-10-09T02:17:00Z</dcterms:modified>
</cp:coreProperties>
</file>