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EB891" w14:textId="77777777" w:rsidR="00E626F3" w:rsidRDefault="00E626F3"/>
    <w:tbl>
      <w:tblPr>
        <w:tblW w:w="909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9"/>
        <w:gridCol w:w="798"/>
        <w:gridCol w:w="4125"/>
        <w:gridCol w:w="24"/>
      </w:tblGrid>
      <w:tr w:rsidR="00972C05" w:rsidRPr="005D4872" w14:paraId="4C9E4303" w14:textId="77777777" w:rsidTr="00DD7C27">
        <w:trPr>
          <w:gridAfter w:val="1"/>
          <w:wAfter w:w="24" w:type="dxa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64BAD42A" w14:textId="77777777" w:rsidR="00972C05" w:rsidRPr="005D4872" w:rsidRDefault="00972C05">
            <w:pPr>
              <w:rPr>
                <w:b/>
                <w:sz w:val="18"/>
                <w:szCs w:val="18"/>
              </w:rPr>
            </w:pPr>
            <w:r w:rsidRPr="005D4872">
              <w:rPr>
                <w:b/>
                <w:sz w:val="18"/>
                <w:szCs w:val="18"/>
              </w:rPr>
              <w:t>TEMA:</w:t>
            </w:r>
          </w:p>
        </w:tc>
        <w:tc>
          <w:tcPr>
            <w:tcW w:w="4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9EE0C" w14:textId="6393BA90" w:rsidR="00837190" w:rsidRPr="005D4872" w:rsidRDefault="00E26C33" w:rsidP="00D428FA">
            <w:r>
              <w:rPr>
                <w:sz w:val="18"/>
                <w:szCs w:val="18"/>
              </w:rPr>
              <w:t>Saldos en Depósitos</w:t>
            </w:r>
          </w:p>
        </w:tc>
      </w:tr>
      <w:tr w:rsidR="00972C05" w:rsidRPr="005D4872" w14:paraId="18055386" w14:textId="77777777" w:rsidTr="00DD7C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4149" w:type="dxa"/>
          </w:tcPr>
          <w:p w14:paraId="6E7D9F48" w14:textId="77777777" w:rsidR="00972C05" w:rsidRPr="005D4872" w:rsidRDefault="00972C05">
            <w:pPr>
              <w:rPr>
                <w:b/>
                <w:sz w:val="18"/>
              </w:rPr>
            </w:pPr>
          </w:p>
        </w:tc>
        <w:tc>
          <w:tcPr>
            <w:tcW w:w="4947" w:type="dxa"/>
            <w:gridSpan w:val="3"/>
          </w:tcPr>
          <w:p w14:paraId="64547B26" w14:textId="77777777" w:rsidR="00972C05" w:rsidRPr="005D4872" w:rsidRDefault="00972C05">
            <w:pPr>
              <w:jc w:val="both"/>
              <w:rPr>
                <w:sz w:val="18"/>
              </w:rPr>
            </w:pPr>
          </w:p>
        </w:tc>
      </w:tr>
      <w:tr w:rsidR="00972C05" w:rsidRPr="005D4872" w14:paraId="3D0F4C24" w14:textId="77777777" w:rsidTr="00B82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</w:trPr>
        <w:tc>
          <w:tcPr>
            <w:tcW w:w="4149" w:type="dxa"/>
          </w:tcPr>
          <w:p w14:paraId="1F61F2AE" w14:textId="77777777" w:rsidR="00972C05" w:rsidRPr="005D4872" w:rsidRDefault="00972C05">
            <w:pPr>
              <w:rPr>
                <w:b/>
                <w:sz w:val="18"/>
              </w:rPr>
            </w:pPr>
            <w:r w:rsidRPr="005D4872">
              <w:rPr>
                <w:b/>
                <w:sz w:val="18"/>
              </w:rPr>
              <w:t>OBJETIVO:</w:t>
            </w:r>
          </w:p>
        </w:tc>
        <w:tc>
          <w:tcPr>
            <w:tcW w:w="4947" w:type="dxa"/>
            <w:gridSpan w:val="3"/>
          </w:tcPr>
          <w:p w14:paraId="0BA7BD21" w14:textId="15D37DB7" w:rsidR="00874CF7" w:rsidRPr="005D4872" w:rsidRDefault="00D67207" w:rsidP="00D67207">
            <w:pPr>
              <w:jc w:val="both"/>
              <w:rPr>
                <w:sz w:val="18"/>
              </w:rPr>
            </w:pPr>
            <w:r w:rsidRPr="005D4872">
              <w:rPr>
                <w:sz w:val="18"/>
              </w:rPr>
              <w:t>Establecer la estabilidad de los depósitos</w:t>
            </w:r>
            <w:r w:rsidR="00922819">
              <w:rPr>
                <w:sz w:val="18"/>
              </w:rPr>
              <w:t xml:space="preserve"> a la vista de l</w:t>
            </w:r>
            <w:r w:rsidR="0004042C">
              <w:rPr>
                <w:sz w:val="18"/>
              </w:rPr>
              <w:t>os negocios administrados por las Sociedades Fiduciarias en los establecimientos de crédito.</w:t>
            </w:r>
          </w:p>
        </w:tc>
      </w:tr>
      <w:tr w:rsidR="00D67207" w:rsidRPr="005D4872" w14:paraId="170930B3" w14:textId="77777777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49" w:type="dxa"/>
        </w:trPr>
        <w:tc>
          <w:tcPr>
            <w:tcW w:w="4947" w:type="dxa"/>
            <w:gridSpan w:val="2"/>
          </w:tcPr>
          <w:p w14:paraId="0EE8E0EA" w14:textId="77777777" w:rsidR="00D67207" w:rsidRPr="005D4872" w:rsidRDefault="00D67207">
            <w:pPr>
              <w:jc w:val="both"/>
              <w:rPr>
                <w:sz w:val="18"/>
              </w:rPr>
            </w:pPr>
          </w:p>
        </w:tc>
      </w:tr>
      <w:tr w:rsidR="00972C05" w:rsidRPr="005D4872" w14:paraId="42621D14" w14:textId="77777777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569E05A3" w14:textId="77777777" w:rsidR="00972C05" w:rsidRPr="005D4872" w:rsidRDefault="00972C05">
            <w:pPr>
              <w:rPr>
                <w:b/>
                <w:sz w:val="18"/>
              </w:rPr>
            </w:pPr>
            <w:r w:rsidRPr="005D4872">
              <w:rPr>
                <w:b/>
                <w:sz w:val="18"/>
              </w:rPr>
              <w:t>FECHA DE REPORTE:</w:t>
            </w:r>
          </w:p>
        </w:tc>
        <w:tc>
          <w:tcPr>
            <w:tcW w:w="4947" w:type="dxa"/>
            <w:gridSpan w:val="3"/>
          </w:tcPr>
          <w:p w14:paraId="074B2A6A" w14:textId="08C71ACA" w:rsidR="00D67207" w:rsidRPr="005D4872" w:rsidRDefault="00777D11" w:rsidP="00B82649">
            <w:pPr>
              <w:jc w:val="both"/>
              <w:rPr>
                <w:sz w:val="18"/>
              </w:rPr>
            </w:pPr>
            <w:r>
              <w:rPr>
                <w:sz w:val="18"/>
              </w:rPr>
              <w:t>25</w:t>
            </w:r>
            <w:r w:rsidR="0023780F" w:rsidRPr="005D4872">
              <w:rPr>
                <w:sz w:val="18"/>
              </w:rPr>
              <w:t xml:space="preserve"> de </w:t>
            </w:r>
            <w:r>
              <w:rPr>
                <w:sz w:val="18"/>
              </w:rPr>
              <w:t>marzo</w:t>
            </w:r>
            <w:r w:rsidR="0023780F" w:rsidRPr="005D4872">
              <w:rPr>
                <w:sz w:val="18"/>
              </w:rPr>
              <w:t xml:space="preserve"> de </w:t>
            </w:r>
            <w:r w:rsidR="00C66274">
              <w:rPr>
                <w:sz w:val="18"/>
              </w:rPr>
              <w:t>202</w:t>
            </w:r>
            <w:r w:rsidR="00DA27B9">
              <w:rPr>
                <w:sz w:val="18"/>
              </w:rPr>
              <w:t>2</w:t>
            </w:r>
          </w:p>
          <w:p w14:paraId="69A6E312" w14:textId="77777777" w:rsidR="00B82649" w:rsidRPr="005D4872" w:rsidRDefault="00B82649" w:rsidP="00B82649">
            <w:pPr>
              <w:jc w:val="both"/>
              <w:rPr>
                <w:sz w:val="18"/>
              </w:rPr>
            </w:pPr>
          </w:p>
        </w:tc>
      </w:tr>
      <w:tr w:rsidR="00972C05" w:rsidRPr="005D4872" w14:paraId="74ED8A0A" w14:textId="77777777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4902658D" w14:textId="77777777" w:rsidR="00972C05" w:rsidRPr="005D4872" w:rsidRDefault="000A76B2">
            <w:pPr>
              <w:rPr>
                <w:b/>
                <w:sz w:val="18"/>
              </w:rPr>
            </w:pPr>
            <w:r w:rsidRPr="005D4872">
              <w:rPr>
                <w:b/>
                <w:sz w:val="18"/>
              </w:rPr>
              <w:t>PERIODO DE TIEMPO</w:t>
            </w:r>
            <w:r w:rsidR="00972C05" w:rsidRPr="005D4872">
              <w:rPr>
                <w:b/>
                <w:sz w:val="18"/>
              </w:rPr>
              <w:t>:</w:t>
            </w:r>
          </w:p>
        </w:tc>
        <w:tc>
          <w:tcPr>
            <w:tcW w:w="4947" w:type="dxa"/>
            <w:gridSpan w:val="3"/>
          </w:tcPr>
          <w:p w14:paraId="7BFEB187" w14:textId="3B9E6A11" w:rsidR="00972C05" w:rsidRPr="005D4872" w:rsidRDefault="00074256" w:rsidP="00777D11">
            <w:pPr>
              <w:jc w:val="both"/>
              <w:rPr>
                <w:sz w:val="18"/>
              </w:rPr>
            </w:pPr>
            <w:r>
              <w:rPr>
                <w:sz w:val="18"/>
              </w:rPr>
              <w:t>30</w:t>
            </w:r>
            <w:r w:rsidRPr="005D4872">
              <w:rPr>
                <w:sz w:val="18"/>
              </w:rPr>
              <w:t xml:space="preserve"> </w:t>
            </w:r>
            <w:r w:rsidR="000A76B2" w:rsidRPr="005D4872">
              <w:rPr>
                <w:sz w:val="18"/>
              </w:rPr>
              <w:t xml:space="preserve">de </w:t>
            </w:r>
            <w:r w:rsidR="003D7DD5">
              <w:rPr>
                <w:sz w:val="18"/>
              </w:rPr>
              <w:t>junio</w:t>
            </w:r>
            <w:r w:rsidR="000A76B2" w:rsidRPr="005D4872">
              <w:rPr>
                <w:sz w:val="18"/>
              </w:rPr>
              <w:t xml:space="preserve"> de</w:t>
            </w:r>
            <w:r w:rsidR="006D7F4B">
              <w:rPr>
                <w:sz w:val="18"/>
              </w:rPr>
              <w:t xml:space="preserve"> </w:t>
            </w:r>
            <w:r w:rsidR="003D7DD5">
              <w:rPr>
                <w:sz w:val="18"/>
              </w:rPr>
              <w:t>2016</w:t>
            </w:r>
            <w:r w:rsidR="000A76B2" w:rsidRPr="005D4872">
              <w:rPr>
                <w:sz w:val="18"/>
              </w:rPr>
              <w:t xml:space="preserve"> a </w:t>
            </w:r>
            <w:r w:rsidR="00607F53" w:rsidRPr="005D4872">
              <w:rPr>
                <w:sz w:val="18"/>
              </w:rPr>
              <w:t>3</w:t>
            </w:r>
            <w:r w:rsidR="007E545A">
              <w:rPr>
                <w:sz w:val="18"/>
              </w:rPr>
              <w:t>1</w:t>
            </w:r>
            <w:r w:rsidR="00607F53" w:rsidRPr="005D4872">
              <w:rPr>
                <w:sz w:val="18"/>
              </w:rPr>
              <w:t xml:space="preserve"> de </w:t>
            </w:r>
            <w:r w:rsidR="00777D11">
              <w:rPr>
                <w:sz w:val="18"/>
              </w:rPr>
              <w:t>diciembre de</w:t>
            </w:r>
            <w:r w:rsidR="000A76B2" w:rsidRPr="005D4872">
              <w:rPr>
                <w:sz w:val="18"/>
              </w:rPr>
              <w:t xml:space="preserve"> 20</w:t>
            </w:r>
            <w:r w:rsidR="00922819">
              <w:rPr>
                <w:sz w:val="18"/>
              </w:rPr>
              <w:t>2</w:t>
            </w:r>
            <w:r w:rsidR="006D7F4B">
              <w:rPr>
                <w:sz w:val="18"/>
              </w:rPr>
              <w:t>1</w:t>
            </w:r>
          </w:p>
        </w:tc>
      </w:tr>
      <w:tr w:rsidR="00972C05" w:rsidRPr="005D4872" w14:paraId="2E9FEB76" w14:textId="77777777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57D5A787" w14:textId="77777777" w:rsidR="00972C05" w:rsidRPr="005D4872" w:rsidRDefault="00972C05">
            <w:pPr>
              <w:rPr>
                <w:b/>
                <w:sz w:val="18"/>
              </w:rPr>
            </w:pPr>
          </w:p>
        </w:tc>
        <w:tc>
          <w:tcPr>
            <w:tcW w:w="4947" w:type="dxa"/>
            <w:gridSpan w:val="3"/>
          </w:tcPr>
          <w:p w14:paraId="3A88D6A9" w14:textId="77777777" w:rsidR="00972C05" w:rsidRPr="005D4872" w:rsidRDefault="00972C05">
            <w:pPr>
              <w:jc w:val="both"/>
              <w:rPr>
                <w:sz w:val="18"/>
              </w:rPr>
            </w:pPr>
          </w:p>
        </w:tc>
      </w:tr>
      <w:tr w:rsidR="00972C05" w:rsidRPr="005D4872" w14:paraId="6B6CA461" w14:textId="77777777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4818CE15" w14:textId="586DAF3D" w:rsidR="00972C05" w:rsidRPr="005D4872" w:rsidRDefault="001B5D0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FRECUENCIA DE LA INFORMACIÓN:                   </w:t>
            </w:r>
          </w:p>
        </w:tc>
        <w:tc>
          <w:tcPr>
            <w:tcW w:w="4947" w:type="dxa"/>
            <w:gridSpan w:val="3"/>
          </w:tcPr>
          <w:p w14:paraId="7AA6C8A7" w14:textId="2FB656E3" w:rsidR="00972C05" w:rsidRPr="005D4872" w:rsidRDefault="001B5D00">
            <w:pPr>
              <w:jc w:val="both"/>
              <w:rPr>
                <w:sz w:val="18"/>
              </w:rPr>
            </w:pPr>
            <w:r>
              <w:rPr>
                <w:sz w:val="18"/>
              </w:rPr>
              <w:t>Datos mensuales</w:t>
            </w:r>
            <w:r w:rsidR="00074256">
              <w:rPr>
                <w:sz w:val="18"/>
              </w:rPr>
              <w:t>.</w:t>
            </w:r>
          </w:p>
        </w:tc>
      </w:tr>
      <w:tr w:rsidR="00972C05" w:rsidRPr="005D4872" w14:paraId="0E454B55" w14:textId="77777777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41EB04DD" w14:textId="77777777" w:rsidR="00972C05" w:rsidRPr="005D4872" w:rsidRDefault="00972C05">
            <w:pPr>
              <w:rPr>
                <w:b/>
                <w:sz w:val="18"/>
              </w:rPr>
            </w:pPr>
          </w:p>
        </w:tc>
        <w:tc>
          <w:tcPr>
            <w:tcW w:w="4947" w:type="dxa"/>
            <w:gridSpan w:val="3"/>
          </w:tcPr>
          <w:p w14:paraId="70267437" w14:textId="77777777" w:rsidR="00972C05" w:rsidRPr="005D4872" w:rsidRDefault="00972C05">
            <w:pPr>
              <w:jc w:val="both"/>
              <w:rPr>
                <w:sz w:val="18"/>
              </w:rPr>
            </w:pPr>
          </w:p>
        </w:tc>
      </w:tr>
      <w:tr w:rsidR="00AC2A22" w:rsidRPr="005D4872" w14:paraId="619B2474" w14:textId="77777777" w:rsidTr="00AC2A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49" w:type="dxa"/>
          </w:tcPr>
          <w:p w14:paraId="1367BE58" w14:textId="77777777" w:rsidR="00AC2A22" w:rsidRPr="005D4872" w:rsidRDefault="00AC2A22">
            <w:pPr>
              <w:rPr>
                <w:b/>
                <w:sz w:val="18"/>
              </w:rPr>
            </w:pPr>
          </w:p>
        </w:tc>
        <w:tc>
          <w:tcPr>
            <w:tcW w:w="4947" w:type="dxa"/>
            <w:gridSpan w:val="3"/>
          </w:tcPr>
          <w:p w14:paraId="0DFDEDDE" w14:textId="77777777" w:rsidR="00AC2A22" w:rsidRPr="005D4872" w:rsidRDefault="00AC2A22" w:rsidP="000A1324">
            <w:pPr>
              <w:ind w:left="397" w:hanging="397"/>
              <w:jc w:val="both"/>
              <w:rPr>
                <w:sz w:val="18"/>
              </w:rPr>
            </w:pPr>
          </w:p>
        </w:tc>
      </w:tr>
    </w:tbl>
    <w:p w14:paraId="00599C7D" w14:textId="77777777" w:rsidR="00016A73" w:rsidRDefault="00016A73" w:rsidP="00B82649">
      <w:pPr>
        <w:jc w:val="both"/>
        <w:rPr>
          <w:b/>
          <w:sz w:val="18"/>
          <w:szCs w:val="18"/>
        </w:rPr>
      </w:pPr>
    </w:p>
    <w:p w14:paraId="17D268EF" w14:textId="7B0B6CCB" w:rsidR="00B82649" w:rsidRPr="005D4872" w:rsidRDefault="00B82649" w:rsidP="00B82649">
      <w:pPr>
        <w:jc w:val="both"/>
        <w:rPr>
          <w:b/>
          <w:sz w:val="18"/>
          <w:szCs w:val="18"/>
        </w:rPr>
      </w:pPr>
      <w:r w:rsidRPr="005D4872">
        <w:rPr>
          <w:b/>
          <w:sz w:val="18"/>
          <w:szCs w:val="18"/>
        </w:rPr>
        <w:t>GENERALIDADES</w:t>
      </w:r>
    </w:p>
    <w:p w14:paraId="7E1056C9" w14:textId="77777777" w:rsidR="00B82649" w:rsidRPr="005D4872" w:rsidRDefault="00B82649" w:rsidP="00B82649">
      <w:pPr>
        <w:jc w:val="both"/>
        <w:rPr>
          <w:b/>
          <w:sz w:val="18"/>
          <w:szCs w:val="18"/>
        </w:rPr>
      </w:pPr>
    </w:p>
    <w:p w14:paraId="53DE658A" w14:textId="0B4DA962" w:rsidR="00B82649" w:rsidRPr="005D4872" w:rsidRDefault="00B82649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  <w:r w:rsidRPr="005D4872">
        <w:rPr>
          <w:rFonts w:cs="Arial"/>
          <w:sz w:val="18"/>
          <w:szCs w:val="18"/>
        </w:rPr>
        <w:t xml:space="preserve">La presente proforma debe ser remitida </w:t>
      </w:r>
      <w:r w:rsidR="009D4199">
        <w:rPr>
          <w:rFonts w:cs="Arial"/>
          <w:sz w:val="18"/>
          <w:szCs w:val="18"/>
        </w:rPr>
        <w:t>por una única</w:t>
      </w:r>
      <w:r w:rsidR="00C34FE3">
        <w:rPr>
          <w:rFonts w:cs="Arial"/>
          <w:sz w:val="18"/>
          <w:szCs w:val="18"/>
        </w:rPr>
        <w:t xml:space="preserve"> vez, en formato Excel </w:t>
      </w:r>
      <w:r w:rsidRPr="005D4872">
        <w:rPr>
          <w:rFonts w:cs="Arial"/>
          <w:sz w:val="18"/>
          <w:szCs w:val="18"/>
        </w:rPr>
        <w:t xml:space="preserve">a los </w:t>
      </w:r>
      <w:r w:rsidR="00296A39" w:rsidRPr="005D4872">
        <w:rPr>
          <w:rFonts w:cs="Arial"/>
          <w:sz w:val="18"/>
          <w:szCs w:val="18"/>
        </w:rPr>
        <w:t>siguientes correos electrónicos:</w:t>
      </w:r>
    </w:p>
    <w:p w14:paraId="15EA372D" w14:textId="04665315" w:rsidR="00296A39" w:rsidRDefault="00296A39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</w:p>
    <w:p w14:paraId="648E104A" w14:textId="309FBC66" w:rsidR="008116A9" w:rsidRDefault="00D502BD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  <w:hyperlink r:id="rId8" w:history="1">
        <w:r w:rsidR="00016A73" w:rsidRPr="00274018">
          <w:rPr>
            <w:rStyle w:val="Hipervnculo"/>
            <w:rFonts w:cs="Arial"/>
            <w:sz w:val="18"/>
            <w:szCs w:val="18"/>
          </w:rPr>
          <w:t>sarodriguezm@superfinanciera.gov.co</w:t>
        </w:r>
      </w:hyperlink>
      <w:r w:rsidR="00016A73">
        <w:rPr>
          <w:rFonts w:cs="Arial"/>
          <w:sz w:val="18"/>
          <w:szCs w:val="18"/>
        </w:rPr>
        <w:t xml:space="preserve"> </w:t>
      </w:r>
    </w:p>
    <w:p w14:paraId="71B5B5A5" w14:textId="16FA2048" w:rsidR="008116A9" w:rsidRPr="005D4872" w:rsidRDefault="00D502BD" w:rsidP="008116A9">
      <w:pPr>
        <w:tabs>
          <w:tab w:val="num" w:pos="2487"/>
        </w:tabs>
        <w:jc w:val="both"/>
        <w:rPr>
          <w:rFonts w:cs="Arial"/>
          <w:sz w:val="18"/>
          <w:szCs w:val="18"/>
        </w:rPr>
      </w:pPr>
      <w:hyperlink r:id="rId9" w:history="1">
        <w:r w:rsidR="008116A9" w:rsidRPr="00274018">
          <w:rPr>
            <w:rStyle w:val="Hipervnculo"/>
            <w:rFonts w:cs="Arial"/>
            <w:sz w:val="18"/>
            <w:szCs w:val="18"/>
          </w:rPr>
          <w:t>semendoza@superfinanciera.gov.co</w:t>
        </w:r>
      </w:hyperlink>
      <w:r w:rsidR="008116A9">
        <w:rPr>
          <w:rFonts w:cs="Arial"/>
          <w:sz w:val="18"/>
          <w:szCs w:val="18"/>
        </w:rPr>
        <w:t xml:space="preserve"> </w:t>
      </w:r>
    </w:p>
    <w:p w14:paraId="1604D021" w14:textId="614E7F0C" w:rsidR="00296A39" w:rsidRDefault="00D502BD" w:rsidP="00B82649">
      <w:pPr>
        <w:tabs>
          <w:tab w:val="num" w:pos="2487"/>
        </w:tabs>
        <w:jc w:val="both"/>
        <w:rPr>
          <w:rStyle w:val="Hipervnculo"/>
          <w:rFonts w:cs="Arial"/>
          <w:color w:val="auto"/>
          <w:sz w:val="18"/>
          <w:szCs w:val="18"/>
        </w:rPr>
      </w:pPr>
      <w:hyperlink r:id="rId10" w:history="1">
        <w:r w:rsidR="008116A9" w:rsidRPr="00274018">
          <w:rPr>
            <w:rStyle w:val="Hipervnculo"/>
            <w:rFonts w:cs="Arial"/>
            <w:sz w:val="18"/>
            <w:szCs w:val="18"/>
          </w:rPr>
          <w:t>lerincon@superfinanciera.gov.co</w:t>
        </w:r>
      </w:hyperlink>
    </w:p>
    <w:p w14:paraId="629E84CE" w14:textId="77777777" w:rsidR="00F55A00" w:rsidRPr="00F55A00" w:rsidRDefault="00F55A00" w:rsidP="00F55A00">
      <w:pPr>
        <w:tabs>
          <w:tab w:val="num" w:pos="2487"/>
        </w:tabs>
        <w:jc w:val="both"/>
        <w:rPr>
          <w:rStyle w:val="Hipervnculo"/>
          <w:sz w:val="18"/>
          <w:szCs w:val="18"/>
        </w:rPr>
      </w:pPr>
      <w:r w:rsidRPr="00F55A00">
        <w:rPr>
          <w:rStyle w:val="Hipervnculo"/>
          <w:rFonts w:cs="Arial"/>
        </w:rPr>
        <w:t>dlcaro@superfinanciera.gov.co</w:t>
      </w:r>
    </w:p>
    <w:p w14:paraId="7CD8F6D8" w14:textId="77777777" w:rsidR="009D4199" w:rsidRPr="005D4872" w:rsidRDefault="009D4199" w:rsidP="00B82649">
      <w:pPr>
        <w:tabs>
          <w:tab w:val="num" w:pos="2487"/>
        </w:tabs>
        <w:jc w:val="both"/>
        <w:rPr>
          <w:rFonts w:cs="Arial"/>
          <w:sz w:val="18"/>
          <w:szCs w:val="18"/>
        </w:rPr>
      </w:pPr>
    </w:p>
    <w:p w14:paraId="1967E4DC" w14:textId="31ACAF3D" w:rsidR="00B82649" w:rsidRPr="005D4872" w:rsidRDefault="00B82649" w:rsidP="00B82649">
      <w:pPr>
        <w:jc w:val="both"/>
        <w:outlineLvl w:val="0"/>
        <w:rPr>
          <w:rFonts w:cs="Arial"/>
          <w:sz w:val="18"/>
          <w:szCs w:val="18"/>
        </w:rPr>
      </w:pPr>
      <w:r w:rsidRPr="005D4872">
        <w:rPr>
          <w:rFonts w:cs="Arial"/>
          <w:sz w:val="18"/>
          <w:szCs w:val="18"/>
        </w:rPr>
        <w:t xml:space="preserve">La información se deberá reportar </w:t>
      </w:r>
      <w:r w:rsidRPr="008116A9">
        <w:rPr>
          <w:rFonts w:cs="Arial"/>
          <w:b/>
          <w:bCs/>
          <w:sz w:val="18"/>
          <w:szCs w:val="18"/>
        </w:rPr>
        <w:t>e</w:t>
      </w:r>
      <w:r w:rsidR="00FE7AC5" w:rsidRPr="008116A9">
        <w:rPr>
          <w:rFonts w:cs="Arial"/>
          <w:b/>
          <w:bCs/>
          <w:sz w:val="18"/>
          <w:szCs w:val="18"/>
        </w:rPr>
        <w:t>n</w:t>
      </w:r>
      <w:r w:rsidRPr="008116A9">
        <w:rPr>
          <w:rFonts w:cs="Arial"/>
          <w:b/>
          <w:bCs/>
          <w:sz w:val="18"/>
          <w:szCs w:val="18"/>
        </w:rPr>
        <w:t xml:space="preserve"> pesos</w:t>
      </w:r>
      <w:r w:rsidR="0015033C">
        <w:rPr>
          <w:rFonts w:cs="Arial"/>
          <w:sz w:val="18"/>
          <w:szCs w:val="18"/>
        </w:rPr>
        <w:t xml:space="preserve"> con dos cifras decimales</w:t>
      </w:r>
      <w:r w:rsidRPr="005D4872">
        <w:rPr>
          <w:rFonts w:cs="Arial"/>
          <w:sz w:val="18"/>
          <w:szCs w:val="18"/>
        </w:rPr>
        <w:t xml:space="preserve">. </w:t>
      </w:r>
    </w:p>
    <w:p w14:paraId="41C37AAD" w14:textId="77777777" w:rsidR="00B82649" w:rsidRPr="005D4872" w:rsidRDefault="00B82649" w:rsidP="00B82649">
      <w:pPr>
        <w:jc w:val="both"/>
        <w:rPr>
          <w:rFonts w:cs="Arial"/>
          <w:sz w:val="18"/>
          <w:szCs w:val="18"/>
        </w:rPr>
      </w:pPr>
    </w:p>
    <w:p w14:paraId="034625E1" w14:textId="77777777" w:rsidR="00B82649" w:rsidRPr="005D4872" w:rsidRDefault="00B82649" w:rsidP="00B82649">
      <w:pPr>
        <w:jc w:val="both"/>
        <w:rPr>
          <w:rFonts w:cs="Arial"/>
          <w:sz w:val="18"/>
          <w:szCs w:val="18"/>
        </w:rPr>
      </w:pPr>
      <w:r w:rsidRPr="005D4872">
        <w:rPr>
          <w:rFonts w:cs="Arial"/>
          <w:sz w:val="18"/>
          <w:szCs w:val="18"/>
        </w:rPr>
        <w:t>Las subcuentas, filas o columnas que no contengan valor o no apliquen, se deben reportar en cero.</w:t>
      </w:r>
    </w:p>
    <w:p w14:paraId="075C71BB" w14:textId="77777777" w:rsidR="00B82649" w:rsidRPr="005D4872" w:rsidRDefault="00B82649" w:rsidP="00B82649">
      <w:pPr>
        <w:jc w:val="both"/>
        <w:rPr>
          <w:rFonts w:cs="Arial"/>
          <w:sz w:val="18"/>
          <w:szCs w:val="18"/>
        </w:rPr>
      </w:pPr>
    </w:p>
    <w:p w14:paraId="0083CFA1" w14:textId="5EB5A051" w:rsidR="00B82649" w:rsidRPr="005D4872" w:rsidRDefault="00B82649" w:rsidP="00B82649">
      <w:pPr>
        <w:jc w:val="both"/>
        <w:rPr>
          <w:rFonts w:cs="Arial"/>
          <w:sz w:val="18"/>
          <w:szCs w:val="18"/>
        </w:rPr>
      </w:pPr>
      <w:r w:rsidRPr="005D4872">
        <w:rPr>
          <w:rFonts w:cs="Arial"/>
          <w:sz w:val="18"/>
          <w:szCs w:val="18"/>
        </w:rPr>
        <w:t xml:space="preserve">Las entidades deberán registrar para cada una de las categorías establecidas en las subcuentas (Columnas) </w:t>
      </w:r>
      <w:r w:rsidR="009F093B" w:rsidRPr="005D4872">
        <w:rPr>
          <w:rFonts w:cs="Arial"/>
          <w:sz w:val="18"/>
          <w:szCs w:val="18"/>
        </w:rPr>
        <w:t>la suma d</w:t>
      </w:r>
      <w:r w:rsidRPr="005D4872">
        <w:rPr>
          <w:rFonts w:cs="Arial"/>
          <w:sz w:val="18"/>
          <w:szCs w:val="18"/>
        </w:rPr>
        <w:t xml:space="preserve">el </w:t>
      </w:r>
      <w:r w:rsidR="008116A9">
        <w:rPr>
          <w:rFonts w:cs="Arial"/>
          <w:sz w:val="18"/>
          <w:szCs w:val="18"/>
        </w:rPr>
        <w:t xml:space="preserve">saldo </w:t>
      </w:r>
      <w:r w:rsidRPr="005D4872">
        <w:rPr>
          <w:rFonts w:cs="Arial"/>
          <w:sz w:val="18"/>
          <w:szCs w:val="18"/>
        </w:rPr>
        <w:t>de los depósitos</w:t>
      </w:r>
      <w:r w:rsidR="00EE5F96">
        <w:rPr>
          <w:rFonts w:cs="Arial"/>
          <w:sz w:val="18"/>
          <w:szCs w:val="18"/>
        </w:rPr>
        <w:t xml:space="preserve"> </w:t>
      </w:r>
      <w:r w:rsidR="00EE5F96" w:rsidRPr="005D4872">
        <w:rPr>
          <w:rFonts w:cs="Arial"/>
          <w:sz w:val="18"/>
          <w:szCs w:val="18"/>
        </w:rPr>
        <w:t xml:space="preserve">para </w:t>
      </w:r>
      <w:r w:rsidR="00EE5F96">
        <w:rPr>
          <w:rFonts w:cs="Arial"/>
          <w:sz w:val="18"/>
          <w:szCs w:val="18"/>
        </w:rPr>
        <w:t xml:space="preserve">el </w:t>
      </w:r>
      <w:r w:rsidR="009D4199">
        <w:rPr>
          <w:rFonts w:cs="Arial"/>
          <w:sz w:val="18"/>
          <w:szCs w:val="18"/>
        </w:rPr>
        <w:t>ú</w:t>
      </w:r>
      <w:r w:rsidR="00EE5F96">
        <w:rPr>
          <w:rFonts w:cs="Arial"/>
          <w:sz w:val="18"/>
          <w:szCs w:val="18"/>
        </w:rPr>
        <w:t>ltimo día calendario de cada mes</w:t>
      </w:r>
      <w:r w:rsidR="00EE5F96" w:rsidRPr="005D4872">
        <w:rPr>
          <w:rFonts w:cs="Arial"/>
          <w:sz w:val="18"/>
          <w:szCs w:val="18"/>
        </w:rPr>
        <w:t xml:space="preserve"> (filas).</w:t>
      </w:r>
      <w:r w:rsidR="00EE5F96">
        <w:rPr>
          <w:rFonts w:cs="Arial"/>
          <w:sz w:val="18"/>
          <w:szCs w:val="18"/>
        </w:rPr>
        <w:t xml:space="preserve"> S</w:t>
      </w:r>
      <w:r w:rsidR="00386F0C">
        <w:rPr>
          <w:rFonts w:cs="Arial"/>
          <w:sz w:val="18"/>
          <w:szCs w:val="18"/>
        </w:rPr>
        <w:t xml:space="preserve">e deben reportar todos los negocios que tuvieron depósitos durante </w:t>
      </w:r>
      <w:r w:rsidR="009D4199">
        <w:rPr>
          <w:rFonts w:cs="Arial"/>
          <w:sz w:val="18"/>
          <w:szCs w:val="18"/>
        </w:rPr>
        <w:t>la ventana de tiempo</w:t>
      </w:r>
      <w:r w:rsidR="00386F0C">
        <w:rPr>
          <w:rFonts w:cs="Arial"/>
          <w:sz w:val="18"/>
          <w:szCs w:val="18"/>
        </w:rPr>
        <w:t xml:space="preserve"> solicitad</w:t>
      </w:r>
      <w:r w:rsidR="009D4199">
        <w:rPr>
          <w:rFonts w:cs="Arial"/>
          <w:sz w:val="18"/>
          <w:szCs w:val="18"/>
        </w:rPr>
        <w:t>a</w:t>
      </w:r>
      <w:r w:rsidR="00065DD1">
        <w:rPr>
          <w:rFonts w:cs="Arial"/>
          <w:sz w:val="18"/>
          <w:szCs w:val="18"/>
        </w:rPr>
        <w:t>.</w:t>
      </w:r>
    </w:p>
    <w:p w14:paraId="1B5CD006" w14:textId="77777777" w:rsidR="00D217F6" w:rsidRPr="005D4872" w:rsidRDefault="00D217F6" w:rsidP="00C924B0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outlineLvl w:val="0"/>
        <w:rPr>
          <w:b/>
        </w:rPr>
      </w:pPr>
    </w:p>
    <w:p w14:paraId="52A52EF9" w14:textId="77777777" w:rsidR="00C924B0" w:rsidRPr="005D4872" w:rsidRDefault="00C924B0" w:rsidP="00C924B0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outlineLvl w:val="0"/>
        <w:rPr>
          <w:b/>
        </w:rPr>
      </w:pPr>
      <w:r w:rsidRPr="005D4872">
        <w:rPr>
          <w:b/>
        </w:rPr>
        <w:t>ENCABEZADO</w:t>
      </w:r>
    </w:p>
    <w:p w14:paraId="2607FA86" w14:textId="77777777" w:rsidR="00C924B0" w:rsidRPr="005D4872" w:rsidRDefault="00C924B0" w:rsidP="00C924B0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1B22A805" w14:textId="16C0D519" w:rsidR="00C924B0" w:rsidRDefault="00C924B0" w:rsidP="00C924B0">
      <w:pPr>
        <w:jc w:val="both"/>
        <w:rPr>
          <w:sz w:val="18"/>
          <w:szCs w:val="18"/>
        </w:rPr>
      </w:pPr>
      <w:r w:rsidRPr="005D4872">
        <w:rPr>
          <w:b/>
          <w:sz w:val="18"/>
          <w:szCs w:val="18"/>
        </w:rPr>
        <w:t xml:space="preserve">Entidad: </w:t>
      </w:r>
      <w:r w:rsidRPr="005D4872">
        <w:rPr>
          <w:sz w:val="18"/>
          <w:szCs w:val="18"/>
        </w:rPr>
        <w:t xml:space="preserve">Identificación de la </w:t>
      </w:r>
      <w:r w:rsidR="0004042C">
        <w:rPr>
          <w:sz w:val="18"/>
          <w:szCs w:val="18"/>
        </w:rPr>
        <w:t>sociedad fiduciaria</w:t>
      </w:r>
      <w:r w:rsidRPr="005D4872">
        <w:rPr>
          <w:sz w:val="18"/>
          <w:szCs w:val="18"/>
        </w:rPr>
        <w:t xml:space="preserve"> que diligencia este formato. </w:t>
      </w:r>
      <w:r w:rsidR="005E2A40" w:rsidRPr="005D4872">
        <w:rPr>
          <w:sz w:val="18"/>
          <w:szCs w:val="18"/>
        </w:rPr>
        <w:t xml:space="preserve">Para tal </w:t>
      </w:r>
      <w:r w:rsidRPr="005D4872">
        <w:rPr>
          <w:sz w:val="18"/>
          <w:szCs w:val="18"/>
        </w:rPr>
        <w:t>fin indique el tipo de entidad al que pertenece, el código asignado por esta Superintendencia y el nombre o sigla de la entidad.</w:t>
      </w:r>
    </w:p>
    <w:p w14:paraId="42B610EA" w14:textId="5DB3C3D6" w:rsidR="00C525E1" w:rsidRDefault="00C525E1" w:rsidP="00C924B0">
      <w:pPr>
        <w:jc w:val="both"/>
        <w:rPr>
          <w:sz w:val="18"/>
          <w:szCs w:val="18"/>
        </w:rPr>
      </w:pPr>
    </w:p>
    <w:p w14:paraId="036A12F0" w14:textId="3762A46B" w:rsidR="00C87130" w:rsidRDefault="00C87130" w:rsidP="00C924B0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COLUMNAS</w:t>
      </w:r>
    </w:p>
    <w:p w14:paraId="1FB39A2A" w14:textId="5E4A7523" w:rsidR="00C87130" w:rsidRDefault="00C87130" w:rsidP="00C924B0">
      <w:pPr>
        <w:jc w:val="both"/>
        <w:rPr>
          <w:b/>
          <w:sz w:val="18"/>
          <w:szCs w:val="18"/>
        </w:rPr>
      </w:pPr>
    </w:p>
    <w:p w14:paraId="697C9881" w14:textId="25A96D94" w:rsidR="00C87130" w:rsidRDefault="00C87130" w:rsidP="00C924B0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Fecha:</w:t>
      </w:r>
      <w:r w:rsidR="00D0774F">
        <w:rPr>
          <w:b/>
          <w:sz w:val="18"/>
          <w:szCs w:val="18"/>
        </w:rPr>
        <w:t xml:space="preserve"> </w:t>
      </w:r>
      <w:r w:rsidR="00D0774F">
        <w:rPr>
          <w:b/>
          <w:sz w:val="18"/>
        </w:rPr>
        <w:t>Se debe señalar bajo el formato DD (día), MM (mes) y AAAA (año a cuatro dígitos)</w:t>
      </w:r>
      <w:r w:rsidR="00C173A7" w:rsidRPr="004F4675">
        <w:rPr>
          <w:bCs/>
          <w:sz w:val="18"/>
          <w:szCs w:val="18"/>
        </w:rPr>
        <w:t>.</w:t>
      </w:r>
      <w:r w:rsidR="004F4675" w:rsidRPr="004F4675">
        <w:rPr>
          <w:bCs/>
          <w:sz w:val="18"/>
          <w:szCs w:val="18"/>
        </w:rPr>
        <w:t xml:space="preserve"> Se debe</w:t>
      </w:r>
      <w:r w:rsidR="004F4675">
        <w:rPr>
          <w:bCs/>
          <w:sz w:val="18"/>
          <w:szCs w:val="18"/>
        </w:rPr>
        <w:t>n</w:t>
      </w:r>
      <w:r w:rsidR="004F4675" w:rsidRPr="004F4675">
        <w:rPr>
          <w:bCs/>
          <w:sz w:val="18"/>
          <w:szCs w:val="18"/>
        </w:rPr>
        <w:t xml:space="preserve"> duplicar las fechas cuando se identifique </w:t>
      </w:r>
      <w:r w:rsidR="004F4675">
        <w:rPr>
          <w:bCs/>
          <w:sz w:val="18"/>
          <w:szCs w:val="18"/>
        </w:rPr>
        <w:t xml:space="preserve">que </w:t>
      </w:r>
      <w:r w:rsidR="004F4675" w:rsidRPr="004F4675">
        <w:rPr>
          <w:bCs/>
          <w:sz w:val="18"/>
          <w:szCs w:val="18"/>
        </w:rPr>
        <w:t>existen depósitos a la vista en diferentes establecimientos de crédito</w:t>
      </w:r>
      <w:r w:rsidR="004F4675">
        <w:rPr>
          <w:bCs/>
          <w:sz w:val="18"/>
          <w:szCs w:val="18"/>
        </w:rPr>
        <w:t xml:space="preserve"> en un determinado corte</w:t>
      </w:r>
      <w:r w:rsidR="006851D8">
        <w:rPr>
          <w:bCs/>
          <w:sz w:val="18"/>
          <w:szCs w:val="18"/>
        </w:rPr>
        <w:t xml:space="preserve"> y/o cuando se identifiquen múltiples tipos de negocio para una misma fecha.</w:t>
      </w:r>
    </w:p>
    <w:p w14:paraId="751F28E5" w14:textId="77777777" w:rsidR="00C87130" w:rsidRDefault="00C87130" w:rsidP="00C924B0">
      <w:pPr>
        <w:jc w:val="both"/>
        <w:rPr>
          <w:b/>
          <w:sz w:val="18"/>
          <w:szCs w:val="18"/>
        </w:rPr>
      </w:pPr>
    </w:p>
    <w:p w14:paraId="546CD8FC" w14:textId="36BFE87F" w:rsidR="00C525E1" w:rsidRDefault="00C525E1" w:rsidP="00C924B0">
      <w:pPr>
        <w:jc w:val="both"/>
        <w:rPr>
          <w:b/>
          <w:sz w:val="18"/>
          <w:szCs w:val="18"/>
        </w:rPr>
      </w:pPr>
      <w:r w:rsidRPr="00C525E1">
        <w:rPr>
          <w:b/>
          <w:sz w:val="18"/>
          <w:szCs w:val="18"/>
        </w:rPr>
        <w:t>Establecimiento de crédito:</w:t>
      </w:r>
      <w:r>
        <w:rPr>
          <w:b/>
          <w:sz w:val="18"/>
          <w:szCs w:val="18"/>
        </w:rPr>
        <w:t xml:space="preserve"> </w:t>
      </w:r>
      <w:r w:rsidRPr="00C525E1">
        <w:rPr>
          <w:bCs/>
          <w:sz w:val="18"/>
          <w:szCs w:val="18"/>
        </w:rPr>
        <w:t>En</w:t>
      </w:r>
      <w:r>
        <w:rPr>
          <w:bCs/>
          <w:sz w:val="18"/>
          <w:szCs w:val="18"/>
        </w:rPr>
        <w:t xml:space="preserve"> esta columna la entidad debe diligenciar el </w:t>
      </w:r>
      <w:r w:rsidR="000D6BC0">
        <w:rPr>
          <w:bCs/>
          <w:sz w:val="18"/>
          <w:szCs w:val="18"/>
        </w:rPr>
        <w:t>código correspondiente</w:t>
      </w:r>
      <w:r>
        <w:rPr>
          <w:bCs/>
          <w:sz w:val="18"/>
          <w:szCs w:val="18"/>
        </w:rPr>
        <w:t xml:space="preserve"> </w:t>
      </w:r>
      <w:r w:rsidR="000D6BC0">
        <w:rPr>
          <w:bCs/>
          <w:sz w:val="18"/>
          <w:szCs w:val="18"/>
        </w:rPr>
        <w:t>al</w:t>
      </w:r>
      <w:r>
        <w:rPr>
          <w:bCs/>
          <w:sz w:val="18"/>
          <w:szCs w:val="18"/>
        </w:rPr>
        <w:t xml:space="preserve"> establecimiento de crédito en el cual tiene el depósito</w:t>
      </w:r>
      <w:r w:rsidR="000D6BC0">
        <w:rPr>
          <w:bCs/>
          <w:sz w:val="18"/>
          <w:szCs w:val="18"/>
        </w:rPr>
        <w:t xml:space="preserve"> de acuerdo con la tabla que se encuentra en la hoja </w:t>
      </w:r>
      <w:r w:rsidR="000D6BC0" w:rsidRPr="000D6BC0">
        <w:rPr>
          <w:bCs/>
          <w:i/>
          <w:iCs/>
          <w:sz w:val="18"/>
          <w:szCs w:val="18"/>
        </w:rPr>
        <w:t>“Código entidades”</w:t>
      </w:r>
      <w:r w:rsidR="000D6BC0">
        <w:rPr>
          <w:bCs/>
          <w:i/>
          <w:iCs/>
          <w:sz w:val="18"/>
          <w:szCs w:val="18"/>
        </w:rPr>
        <w:t xml:space="preserve"> </w:t>
      </w:r>
      <w:r w:rsidR="000D6BC0">
        <w:rPr>
          <w:bCs/>
          <w:sz w:val="18"/>
          <w:szCs w:val="18"/>
        </w:rPr>
        <w:t>del archivo Excel anexo</w:t>
      </w:r>
      <w:r>
        <w:rPr>
          <w:bCs/>
          <w:sz w:val="18"/>
          <w:szCs w:val="18"/>
        </w:rPr>
        <w:t xml:space="preserve">. Para el caso de los establecimientos de crédito que se hayan fusionado se debe utilizar el nombre actual del establecimiento </w:t>
      </w:r>
      <w:r w:rsidR="00F07267">
        <w:rPr>
          <w:bCs/>
          <w:sz w:val="18"/>
          <w:szCs w:val="18"/>
        </w:rPr>
        <w:t xml:space="preserve">de crédito </w:t>
      </w:r>
      <w:r>
        <w:rPr>
          <w:bCs/>
          <w:sz w:val="18"/>
          <w:szCs w:val="18"/>
        </w:rPr>
        <w:t>para la serie de datos</w:t>
      </w:r>
      <w:r w:rsidR="009D4199">
        <w:rPr>
          <w:bCs/>
          <w:sz w:val="18"/>
          <w:szCs w:val="18"/>
        </w:rPr>
        <w:t>, conforme se reporta en el mencionado archivo Excel anexo</w:t>
      </w:r>
      <w:r>
        <w:rPr>
          <w:bCs/>
          <w:sz w:val="18"/>
          <w:szCs w:val="18"/>
        </w:rPr>
        <w:t xml:space="preserve">. </w:t>
      </w:r>
      <w:r>
        <w:rPr>
          <w:b/>
          <w:sz w:val="18"/>
          <w:szCs w:val="18"/>
        </w:rPr>
        <w:t xml:space="preserve"> </w:t>
      </w:r>
    </w:p>
    <w:p w14:paraId="7B472F98" w14:textId="74F9C3CA" w:rsidR="004B35D0" w:rsidRDefault="004B35D0" w:rsidP="00C924B0">
      <w:pPr>
        <w:jc w:val="both"/>
        <w:rPr>
          <w:b/>
          <w:sz w:val="18"/>
          <w:szCs w:val="18"/>
        </w:rPr>
      </w:pPr>
    </w:p>
    <w:p w14:paraId="2CD91A0A" w14:textId="4F083D12" w:rsidR="004B35D0" w:rsidRDefault="004B35D0" w:rsidP="00C924B0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Tipo de Negocio:</w:t>
      </w:r>
      <w:r w:rsidR="00C173A7" w:rsidRPr="00C173A7">
        <w:rPr>
          <w:bCs/>
          <w:sz w:val="18"/>
          <w:szCs w:val="18"/>
        </w:rPr>
        <w:t xml:space="preserve"> </w:t>
      </w:r>
      <w:r w:rsidR="00C173A7" w:rsidRPr="00C525E1">
        <w:rPr>
          <w:bCs/>
          <w:sz w:val="18"/>
          <w:szCs w:val="18"/>
        </w:rPr>
        <w:t>En</w:t>
      </w:r>
      <w:r w:rsidR="00C173A7">
        <w:rPr>
          <w:bCs/>
          <w:sz w:val="18"/>
          <w:szCs w:val="18"/>
        </w:rPr>
        <w:t xml:space="preserve"> esta columna la entidad debe diligenciar el código correspondiente al tipo de negocio de acuerdo con la tabla que se encuentra en la hoja </w:t>
      </w:r>
      <w:r w:rsidR="00C173A7" w:rsidRPr="000D6BC0">
        <w:rPr>
          <w:bCs/>
          <w:i/>
          <w:iCs/>
          <w:sz w:val="18"/>
          <w:szCs w:val="18"/>
        </w:rPr>
        <w:t xml:space="preserve">“Código </w:t>
      </w:r>
      <w:r w:rsidR="00C173A7">
        <w:rPr>
          <w:bCs/>
          <w:i/>
          <w:iCs/>
          <w:sz w:val="18"/>
          <w:szCs w:val="18"/>
        </w:rPr>
        <w:t>tipo de negocio</w:t>
      </w:r>
      <w:r w:rsidR="00C173A7" w:rsidRPr="000D6BC0">
        <w:rPr>
          <w:bCs/>
          <w:i/>
          <w:iCs/>
          <w:sz w:val="18"/>
          <w:szCs w:val="18"/>
        </w:rPr>
        <w:t>”</w:t>
      </w:r>
      <w:r w:rsidR="00C173A7">
        <w:rPr>
          <w:bCs/>
          <w:i/>
          <w:iCs/>
          <w:sz w:val="18"/>
          <w:szCs w:val="18"/>
        </w:rPr>
        <w:t xml:space="preserve"> </w:t>
      </w:r>
      <w:r w:rsidR="00C173A7">
        <w:rPr>
          <w:bCs/>
          <w:sz w:val="18"/>
          <w:szCs w:val="18"/>
        </w:rPr>
        <w:t xml:space="preserve">del archivo Excel anexo. </w:t>
      </w:r>
      <w:r w:rsidR="0004042C">
        <w:rPr>
          <w:bCs/>
          <w:sz w:val="18"/>
          <w:szCs w:val="18"/>
        </w:rPr>
        <w:t>Para diligenciar esta columna se tomarán en cuenta las definiciones que aparecen más adelante.</w:t>
      </w:r>
    </w:p>
    <w:p w14:paraId="72CD62EA" w14:textId="4C589D6C" w:rsidR="00781DC6" w:rsidRDefault="00781DC6" w:rsidP="00C924B0">
      <w:pPr>
        <w:jc w:val="both"/>
        <w:rPr>
          <w:b/>
          <w:sz w:val="18"/>
          <w:szCs w:val="18"/>
        </w:rPr>
      </w:pPr>
    </w:p>
    <w:p w14:paraId="5479380E" w14:textId="109948CB" w:rsidR="00C12075" w:rsidRDefault="00781DC6" w:rsidP="008428E2">
      <w:pPr>
        <w:jc w:val="both"/>
        <w:rPr>
          <w:b/>
        </w:rPr>
      </w:pPr>
      <w:r>
        <w:rPr>
          <w:b/>
          <w:sz w:val="18"/>
          <w:szCs w:val="18"/>
        </w:rPr>
        <w:t xml:space="preserve">Saldo: </w:t>
      </w:r>
      <w:r w:rsidR="008428E2">
        <w:rPr>
          <w:sz w:val="18"/>
          <w:szCs w:val="18"/>
        </w:rPr>
        <w:t>L</w:t>
      </w:r>
      <w:r w:rsidR="00A326D2">
        <w:rPr>
          <w:sz w:val="18"/>
          <w:szCs w:val="18"/>
        </w:rPr>
        <w:t xml:space="preserve">a entidad debe remitir </w:t>
      </w:r>
      <w:r w:rsidR="00A40DED">
        <w:rPr>
          <w:sz w:val="18"/>
          <w:szCs w:val="18"/>
        </w:rPr>
        <w:t xml:space="preserve">el </w:t>
      </w:r>
      <w:r w:rsidR="00A326D2">
        <w:rPr>
          <w:sz w:val="18"/>
          <w:szCs w:val="18"/>
        </w:rPr>
        <w:t>saldo</w:t>
      </w:r>
      <w:r w:rsidR="00A40DED">
        <w:rPr>
          <w:sz w:val="18"/>
          <w:szCs w:val="18"/>
        </w:rPr>
        <w:t xml:space="preserve"> total de los depósitos a la vista para el tipo de negocio y establecimiento de crédito</w:t>
      </w:r>
      <w:r w:rsidR="00A326D2">
        <w:rPr>
          <w:sz w:val="18"/>
          <w:szCs w:val="18"/>
        </w:rPr>
        <w:t xml:space="preserve"> </w:t>
      </w:r>
      <w:r w:rsidR="00A40DED">
        <w:rPr>
          <w:sz w:val="18"/>
          <w:szCs w:val="18"/>
        </w:rPr>
        <w:t xml:space="preserve">que se reporta </w:t>
      </w:r>
      <w:r w:rsidR="00A326D2">
        <w:rPr>
          <w:sz w:val="18"/>
          <w:szCs w:val="18"/>
        </w:rPr>
        <w:t>al cierre del últim</w:t>
      </w:r>
      <w:r w:rsidR="00B9393E">
        <w:rPr>
          <w:sz w:val="18"/>
          <w:szCs w:val="18"/>
        </w:rPr>
        <w:t>o</w:t>
      </w:r>
      <w:r w:rsidR="00A326D2">
        <w:rPr>
          <w:sz w:val="18"/>
          <w:szCs w:val="18"/>
        </w:rPr>
        <w:t xml:space="preserve"> día</w:t>
      </w:r>
      <w:r w:rsidR="006851D8">
        <w:rPr>
          <w:sz w:val="18"/>
          <w:szCs w:val="18"/>
        </w:rPr>
        <w:t xml:space="preserve"> del mes.</w:t>
      </w:r>
      <w:r w:rsidR="00A326D2">
        <w:rPr>
          <w:sz w:val="18"/>
          <w:szCs w:val="18"/>
        </w:rPr>
        <w:t xml:space="preserve"> </w:t>
      </w:r>
    </w:p>
    <w:p w14:paraId="6B363986" w14:textId="1A49BC3F" w:rsidR="00B9393E" w:rsidRDefault="00B9393E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14:paraId="19C78C63" w14:textId="291E08E7" w:rsidR="00B9393E" w:rsidRDefault="00B9393E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  <w:r>
        <w:rPr>
          <w:b/>
        </w:rPr>
        <w:t>TIPOS DE NEGOCIOS</w:t>
      </w:r>
    </w:p>
    <w:p w14:paraId="12A22201" w14:textId="77777777" w:rsidR="00B9393E" w:rsidRDefault="00B9393E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14:paraId="5A04D53F" w14:textId="38895AB0" w:rsidR="00C12075" w:rsidRPr="005D4872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C12075">
        <w:rPr>
          <w:b/>
          <w:sz w:val="18"/>
          <w:szCs w:val="18"/>
        </w:rPr>
        <w:t>Fondos de pensiones voluntarias</w:t>
      </w:r>
      <w:r w:rsidR="006B60FC">
        <w:rPr>
          <w:sz w:val="18"/>
          <w:szCs w:val="18"/>
        </w:rPr>
        <w:t xml:space="preserve"> </w:t>
      </w:r>
    </w:p>
    <w:p w14:paraId="0675A80F" w14:textId="77777777" w:rsidR="00C12075" w:rsidRPr="005D4872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6ABCF694" w14:textId="0868E051" w:rsidR="00C12075" w:rsidRPr="005D4872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C12075">
        <w:rPr>
          <w:b/>
          <w:sz w:val="18"/>
          <w:szCs w:val="18"/>
        </w:rPr>
        <w:t>Fiducia inmobiliaria</w:t>
      </w:r>
      <w:r w:rsidRPr="005D4872">
        <w:rPr>
          <w:b/>
          <w:sz w:val="18"/>
          <w:szCs w:val="18"/>
        </w:rPr>
        <w:t>:</w:t>
      </w:r>
      <w:r w:rsidRPr="005D4872">
        <w:rPr>
          <w:sz w:val="18"/>
          <w:szCs w:val="18"/>
        </w:rPr>
        <w:t xml:space="preserve"> </w:t>
      </w:r>
      <w:r w:rsidR="006B60FC">
        <w:rPr>
          <w:sz w:val="18"/>
          <w:szCs w:val="18"/>
        </w:rPr>
        <w:t xml:space="preserve">Se debe tomar la definición de fiducia inmobiliaria establecida en el Capítulo I del Título II de la Parte II de la Circular Básica Jurídica. </w:t>
      </w:r>
    </w:p>
    <w:p w14:paraId="3DF41E8B" w14:textId="77777777" w:rsidR="00C12075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380EACDC" w14:textId="4AAB4DD9" w:rsidR="006A07C2" w:rsidRPr="005D4872" w:rsidRDefault="00C12075" w:rsidP="006A07C2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C12075">
        <w:rPr>
          <w:b/>
          <w:sz w:val="18"/>
          <w:szCs w:val="18"/>
        </w:rPr>
        <w:t>Fiducia de inversión</w:t>
      </w:r>
      <w:r w:rsidRPr="005D4872">
        <w:rPr>
          <w:b/>
          <w:sz w:val="18"/>
          <w:szCs w:val="18"/>
        </w:rPr>
        <w:t>:</w:t>
      </w:r>
      <w:r w:rsidR="006A07C2">
        <w:rPr>
          <w:b/>
          <w:sz w:val="18"/>
          <w:szCs w:val="18"/>
        </w:rPr>
        <w:t xml:space="preserve"> </w:t>
      </w:r>
      <w:r w:rsidR="006A07C2">
        <w:rPr>
          <w:sz w:val="18"/>
          <w:szCs w:val="18"/>
        </w:rPr>
        <w:t xml:space="preserve">Se debe tomar la definición de fiducia de inversión establecida en el Capítulo I del Título II de la Parte II de la Circular Básica Jurídica. </w:t>
      </w:r>
    </w:p>
    <w:p w14:paraId="37C78FBC" w14:textId="77777777" w:rsidR="00C12075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4EBA1A33" w14:textId="431925B5" w:rsidR="006A07C2" w:rsidRPr="005D4872" w:rsidRDefault="00C12075" w:rsidP="006A07C2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C12075">
        <w:rPr>
          <w:b/>
          <w:sz w:val="18"/>
          <w:szCs w:val="18"/>
        </w:rPr>
        <w:t>Fiducia de administración</w:t>
      </w:r>
      <w:r w:rsidRPr="005D4872">
        <w:rPr>
          <w:b/>
          <w:sz w:val="18"/>
          <w:szCs w:val="18"/>
        </w:rPr>
        <w:t>:</w:t>
      </w:r>
      <w:r w:rsidR="006A07C2">
        <w:rPr>
          <w:b/>
          <w:sz w:val="18"/>
          <w:szCs w:val="18"/>
        </w:rPr>
        <w:t xml:space="preserve"> </w:t>
      </w:r>
      <w:r w:rsidR="006A07C2">
        <w:rPr>
          <w:sz w:val="18"/>
          <w:szCs w:val="18"/>
        </w:rPr>
        <w:t xml:space="preserve">Se debe tomar la definición de fiducia de administración establecida en el Capítulo I del Título II de la Parte II de la Circular Básica Jurídica. </w:t>
      </w:r>
    </w:p>
    <w:p w14:paraId="413DAACE" w14:textId="77777777" w:rsidR="00C12075" w:rsidRPr="005D4872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1B3FED67" w14:textId="1DA0D18A" w:rsidR="006A07C2" w:rsidRPr="005D4872" w:rsidRDefault="00C12075" w:rsidP="006A07C2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C12075">
        <w:rPr>
          <w:b/>
          <w:sz w:val="18"/>
          <w:szCs w:val="18"/>
        </w:rPr>
        <w:t>Fiducia en garantía</w:t>
      </w:r>
      <w:r w:rsidRPr="005D4872">
        <w:rPr>
          <w:b/>
          <w:sz w:val="18"/>
          <w:szCs w:val="18"/>
        </w:rPr>
        <w:t>:</w:t>
      </w:r>
      <w:r w:rsidR="0004042C">
        <w:rPr>
          <w:sz w:val="18"/>
          <w:szCs w:val="18"/>
        </w:rPr>
        <w:t xml:space="preserve"> </w:t>
      </w:r>
      <w:r w:rsidR="006A07C2">
        <w:rPr>
          <w:sz w:val="18"/>
          <w:szCs w:val="18"/>
        </w:rPr>
        <w:t xml:space="preserve">Se debe tomar la definición de fiducia en garantía establecida en el Capítulo I del Título II de la Parte II de la Circular Básica Jurídica. </w:t>
      </w:r>
    </w:p>
    <w:p w14:paraId="0D2B31B0" w14:textId="595F895D" w:rsidR="00C12075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4125A434" w14:textId="5C193C8D" w:rsidR="00383C39" w:rsidRDefault="00383C39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05526999" w14:textId="77777777" w:rsidR="00383C39" w:rsidRDefault="00383C39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13FC7808" w14:textId="38F1B285" w:rsidR="006A07C2" w:rsidRPr="005D4872" w:rsidRDefault="00C12075" w:rsidP="006A07C2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C12075">
        <w:rPr>
          <w:b/>
          <w:sz w:val="18"/>
          <w:szCs w:val="18"/>
        </w:rPr>
        <w:t>Recursos</w:t>
      </w:r>
      <w:r>
        <w:rPr>
          <w:b/>
          <w:sz w:val="18"/>
          <w:szCs w:val="18"/>
        </w:rPr>
        <w:t xml:space="preserve"> </w:t>
      </w:r>
      <w:proofErr w:type="spellStart"/>
      <w:r w:rsidRPr="00C12075">
        <w:rPr>
          <w:b/>
          <w:sz w:val="18"/>
          <w:szCs w:val="18"/>
        </w:rPr>
        <w:t>FICs</w:t>
      </w:r>
      <w:proofErr w:type="spellEnd"/>
      <w:r w:rsidRPr="00C12075">
        <w:rPr>
          <w:b/>
          <w:sz w:val="18"/>
          <w:szCs w:val="18"/>
        </w:rPr>
        <w:t xml:space="preserve"> abiertos con pacto de permanencia</w:t>
      </w:r>
    </w:p>
    <w:p w14:paraId="0DF7D707" w14:textId="77777777" w:rsidR="00C12075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504B7E4F" w14:textId="21178C35" w:rsidR="006A07C2" w:rsidRPr="005D4872" w:rsidRDefault="00C12075" w:rsidP="006A07C2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C12075">
        <w:rPr>
          <w:b/>
          <w:sz w:val="18"/>
          <w:szCs w:val="18"/>
        </w:rPr>
        <w:t>Fondos de Capital privado</w:t>
      </w:r>
      <w:r w:rsidR="006A07C2">
        <w:rPr>
          <w:sz w:val="18"/>
          <w:szCs w:val="18"/>
        </w:rPr>
        <w:t xml:space="preserve">. </w:t>
      </w:r>
    </w:p>
    <w:p w14:paraId="2B9654BD" w14:textId="77777777" w:rsidR="00C12075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66F298E3" w14:textId="7011E0EF" w:rsidR="006A07C2" w:rsidRPr="005D4872" w:rsidRDefault="00C12075" w:rsidP="006A07C2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C12075">
        <w:rPr>
          <w:b/>
          <w:sz w:val="18"/>
          <w:szCs w:val="18"/>
        </w:rPr>
        <w:t>Fondos inmobiliarios</w:t>
      </w:r>
      <w:r w:rsidR="006A07C2">
        <w:rPr>
          <w:sz w:val="18"/>
          <w:szCs w:val="18"/>
        </w:rPr>
        <w:t xml:space="preserve"> </w:t>
      </w:r>
    </w:p>
    <w:p w14:paraId="3F6EB4D0" w14:textId="77777777" w:rsidR="00C12075" w:rsidRDefault="00C12075" w:rsidP="00C1207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5B0F9362" w14:textId="6D38A64B" w:rsidR="006A07C2" w:rsidRPr="005D4872" w:rsidRDefault="00C12075" w:rsidP="006A07C2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proofErr w:type="spellStart"/>
      <w:r w:rsidRPr="00C12075">
        <w:rPr>
          <w:b/>
          <w:sz w:val="18"/>
          <w:szCs w:val="18"/>
        </w:rPr>
        <w:t>FICs</w:t>
      </w:r>
      <w:proofErr w:type="spellEnd"/>
      <w:r w:rsidRPr="00C12075">
        <w:rPr>
          <w:b/>
          <w:sz w:val="18"/>
          <w:szCs w:val="18"/>
        </w:rPr>
        <w:t xml:space="preserve"> cerrados</w:t>
      </w:r>
      <w:r w:rsidR="006A07C2">
        <w:rPr>
          <w:sz w:val="18"/>
          <w:szCs w:val="18"/>
        </w:rPr>
        <w:t xml:space="preserve"> </w:t>
      </w:r>
    </w:p>
    <w:p w14:paraId="31E12AEC" w14:textId="77777777" w:rsidR="006A07C2" w:rsidRDefault="006A07C2" w:rsidP="006A07C2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6D79BD21" w14:textId="49F9DB56" w:rsidR="00FD05DF" w:rsidRDefault="00C12075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  <w:r w:rsidRPr="00C12075">
        <w:rPr>
          <w:b/>
          <w:sz w:val="18"/>
          <w:szCs w:val="18"/>
        </w:rPr>
        <w:t>Otros recursos de seguridad social</w:t>
      </w:r>
      <w:r w:rsidR="00017225">
        <w:rPr>
          <w:b/>
          <w:sz w:val="18"/>
          <w:szCs w:val="18"/>
        </w:rPr>
        <w:t xml:space="preserve"> (FONPET)</w:t>
      </w:r>
      <w:r w:rsidRPr="005D4872">
        <w:rPr>
          <w:b/>
          <w:sz w:val="18"/>
          <w:szCs w:val="18"/>
        </w:rPr>
        <w:t>:</w:t>
      </w:r>
      <w:r w:rsidR="006A07C2">
        <w:rPr>
          <w:b/>
          <w:sz w:val="18"/>
          <w:szCs w:val="18"/>
        </w:rPr>
        <w:t xml:space="preserve"> </w:t>
      </w:r>
      <w:r w:rsidR="0004042C" w:rsidRPr="0004042C">
        <w:rPr>
          <w:sz w:val="18"/>
          <w:szCs w:val="18"/>
        </w:rPr>
        <w:t xml:space="preserve">Corresponde a los </w:t>
      </w:r>
      <w:r w:rsidR="006A07C2">
        <w:rPr>
          <w:sz w:val="18"/>
          <w:szCs w:val="18"/>
        </w:rPr>
        <w:t>recursos del Fondo Nacional de Pensiones de las Entidades Territoriales.</w:t>
      </w:r>
    </w:p>
    <w:p w14:paraId="42FEB212" w14:textId="77777777" w:rsidR="006A07C2" w:rsidRDefault="006A07C2" w:rsidP="00607198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22012070" w14:textId="2FF7BFE0" w:rsidR="00DC0E9F" w:rsidRDefault="00DC0E9F" w:rsidP="00DC0E9F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  <w:r w:rsidRPr="00C12075">
        <w:rPr>
          <w:b/>
          <w:sz w:val="18"/>
          <w:szCs w:val="18"/>
        </w:rPr>
        <w:t>Otros</w:t>
      </w:r>
      <w:r w:rsidRPr="005D4872">
        <w:rPr>
          <w:b/>
          <w:sz w:val="18"/>
          <w:szCs w:val="18"/>
        </w:rPr>
        <w:t>:</w:t>
      </w:r>
      <w:r w:rsidR="005D44FD">
        <w:rPr>
          <w:b/>
          <w:sz w:val="18"/>
          <w:szCs w:val="18"/>
        </w:rPr>
        <w:t xml:space="preserve"> </w:t>
      </w:r>
      <w:r w:rsidR="00B9393E">
        <w:rPr>
          <w:sz w:val="18"/>
          <w:szCs w:val="18"/>
        </w:rPr>
        <w:t>negocios</w:t>
      </w:r>
      <w:r w:rsidR="0004042C">
        <w:rPr>
          <w:sz w:val="18"/>
          <w:szCs w:val="18"/>
        </w:rPr>
        <w:t>/recursos</w:t>
      </w:r>
      <w:r w:rsidR="00B9393E">
        <w:rPr>
          <w:sz w:val="18"/>
          <w:szCs w:val="18"/>
        </w:rPr>
        <w:t xml:space="preserve"> </w:t>
      </w:r>
      <w:r w:rsidR="005D44FD">
        <w:rPr>
          <w:sz w:val="18"/>
          <w:szCs w:val="18"/>
        </w:rPr>
        <w:t>que no se encuentren en las categorías anteriores.</w:t>
      </w:r>
    </w:p>
    <w:p w14:paraId="0FEF37D1" w14:textId="5658FDED" w:rsidR="00593115" w:rsidRDefault="00593115" w:rsidP="00593115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</w:rPr>
      </w:pPr>
    </w:p>
    <w:p w14:paraId="4B1C8C47" w14:textId="77777777" w:rsidR="00DC0E9F" w:rsidRPr="005D4872" w:rsidRDefault="00DC0E9F" w:rsidP="00DC0E9F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35C505F2" w14:textId="77777777" w:rsidR="003B1F59" w:rsidRPr="005D4872" w:rsidRDefault="003B1F59" w:rsidP="00DD7C27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b/>
          <w:sz w:val="18"/>
          <w:szCs w:val="18"/>
        </w:rPr>
      </w:pPr>
    </w:p>
    <w:p w14:paraId="6281E622" w14:textId="77777777" w:rsidR="003C7528" w:rsidRPr="005D4872" w:rsidRDefault="003C7528" w:rsidP="00DD7C27">
      <w:pPr>
        <w:tabs>
          <w:tab w:val="left" w:pos="397"/>
          <w:tab w:val="left" w:pos="1701"/>
          <w:tab w:val="left" w:pos="3402"/>
          <w:tab w:val="left" w:pos="4139"/>
          <w:tab w:val="left" w:pos="5670"/>
          <w:tab w:val="left" w:pos="6804"/>
          <w:tab w:val="left" w:pos="7201"/>
          <w:tab w:val="left" w:pos="7938"/>
        </w:tabs>
        <w:jc w:val="both"/>
        <w:rPr>
          <w:sz w:val="18"/>
          <w:szCs w:val="18"/>
        </w:rPr>
      </w:pPr>
    </w:p>
    <w:sectPr w:rsidR="003C7528" w:rsidRPr="005D4872" w:rsidSect="008116A9">
      <w:headerReference w:type="default" r:id="rId11"/>
      <w:footerReference w:type="default" r:id="rId12"/>
      <w:pgSz w:w="12242" w:h="18722" w:code="14"/>
      <w:pgMar w:top="1134" w:right="1134" w:bottom="1701" w:left="1417" w:header="851" w:footer="567" w:gutter="0"/>
      <w:paperSrc w:first="3" w:other="3"/>
      <w:pgNumType w:start="27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D26D4" w14:textId="77777777" w:rsidR="00EE7326" w:rsidRDefault="00EE7326">
      <w:r>
        <w:separator/>
      </w:r>
    </w:p>
  </w:endnote>
  <w:endnote w:type="continuationSeparator" w:id="0">
    <w:p w14:paraId="3E8C704D" w14:textId="77777777" w:rsidR="00EE7326" w:rsidRDefault="00EE7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BF280" w14:textId="774FD3B1" w:rsidR="00367295" w:rsidRPr="008263A0" w:rsidRDefault="00D502BD" w:rsidP="005B3C19">
    <w:pPr>
      <w:pStyle w:val="Piedepgina"/>
      <w:tabs>
        <w:tab w:val="clear" w:pos="8504"/>
        <w:tab w:val="right" w:pos="8820"/>
      </w:tabs>
      <w:rPr>
        <w:b/>
        <w:sz w:val="18"/>
        <w:szCs w:val="18"/>
      </w:rPr>
    </w:pPr>
    <w:r w:rsidRPr="00D502BD">
      <w:rPr>
        <w:b/>
        <w:sz w:val="18"/>
        <w:szCs w:val="18"/>
      </w:rPr>
      <w:t xml:space="preserve">Carta </w:t>
    </w:r>
    <w:proofErr w:type="gramStart"/>
    <w:r w:rsidRPr="00D502BD">
      <w:rPr>
        <w:b/>
        <w:sz w:val="18"/>
        <w:szCs w:val="18"/>
      </w:rPr>
      <w:t>Circular  6</w:t>
    </w:r>
    <w:r>
      <w:rPr>
        <w:b/>
        <w:sz w:val="18"/>
        <w:szCs w:val="18"/>
      </w:rPr>
      <w:t>5</w:t>
    </w:r>
    <w:proofErr w:type="gramEnd"/>
    <w:r w:rsidRPr="00D502BD">
      <w:rPr>
        <w:b/>
        <w:sz w:val="18"/>
        <w:szCs w:val="18"/>
      </w:rPr>
      <w:t xml:space="preserve">  de 2021</w:t>
    </w:r>
    <w:r w:rsidR="00367295" w:rsidRPr="008263A0">
      <w:rPr>
        <w:b/>
        <w:sz w:val="18"/>
        <w:szCs w:val="18"/>
      </w:rPr>
      <w:tab/>
    </w:r>
    <w:r w:rsidR="00367295" w:rsidRPr="008263A0">
      <w:rPr>
        <w:b/>
        <w:sz w:val="18"/>
        <w:szCs w:val="18"/>
      </w:rPr>
      <w:tab/>
    </w:r>
    <w:r w:rsidR="00D7350D">
      <w:rPr>
        <w:b/>
        <w:sz w:val="18"/>
        <w:szCs w:val="18"/>
      </w:rPr>
      <w:t>OCTU</w:t>
    </w:r>
    <w:r w:rsidR="00117DC6">
      <w:rPr>
        <w:b/>
        <w:sz w:val="18"/>
        <w:szCs w:val="18"/>
      </w:rPr>
      <w:t>BRE</w:t>
    </w:r>
    <w:r w:rsidR="004C0EEE">
      <w:rPr>
        <w:b/>
        <w:sz w:val="18"/>
        <w:szCs w:val="18"/>
      </w:rPr>
      <w:t xml:space="preserve"> </w:t>
    </w:r>
    <w:r w:rsidR="00DC6C8C" w:rsidRPr="008263A0">
      <w:rPr>
        <w:b/>
        <w:sz w:val="18"/>
        <w:szCs w:val="18"/>
      </w:rPr>
      <w:t>20</w:t>
    </w:r>
    <w:r w:rsidR="0015033C">
      <w:rPr>
        <w:b/>
        <w:sz w:val="18"/>
        <w:szCs w:val="18"/>
      </w:rPr>
      <w:t>21</w:t>
    </w:r>
  </w:p>
  <w:p w14:paraId="75D2FB41" w14:textId="77777777" w:rsidR="00367295" w:rsidRDefault="00367295" w:rsidP="005B3C19">
    <w:pPr>
      <w:pStyle w:val="Piedepgin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A739" w14:textId="77777777" w:rsidR="00EE7326" w:rsidRDefault="00EE7326">
      <w:r>
        <w:separator/>
      </w:r>
    </w:p>
  </w:footnote>
  <w:footnote w:type="continuationSeparator" w:id="0">
    <w:p w14:paraId="663769F3" w14:textId="77777777" w:rsidR="00EE7326" w:rsidRDefault="00EE7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6E925" w14:textId="77777777" w:rsidR="00F5355A" w:rsidRDefault="00F5355A" w:rsidP="00F5355A">
    <w:pPr>
      <w:pStyle w:val="Encabezado"/>
      <w:jc w:val="center"/>
      <w:rPr>
        <w:b/>
        <w:sz w:val="24"/>
      </w:rPr>
    </w:pPr>
    <w:r>
      <w:rPr>
        <w:b/>
        <w:sz w:val="24"/>
      </w:rPr>
      <w:t>SUPERINTENDENCIA FINANCIERA DE COLOMBIA</w:t>
    </w:r>
  </w:p>
  <w:p w14:paraId="322B2F72" w14:textId="77777777" w:rsidR="00F5355A" w:rsidRDefault="00F5355A" w:rsidP="00F5355A">
    <w:pPr>
      <w:pStyle w:val="Encabezado"/>
      <w:rPr>
        <w:b/>
      </w:rPr>
    </w:pPr>
  </w:p>
  <w:p w14:paraId="3C5BF12D" w14:textId="45794BD8" w:rsidR="00F5355A" w:rsidRPr="00DE5430" w:rsidRDefault="00D67207" w:rsidP="008116A9">
    <w:pPr>
      <w:pStyle w:val="Encabezado"/>
      <w:jc w:val="both"/>
      <w:rPr>
        <w:b/>
        <w:highlight w:val="yellow"/>
      </w:rPr>
    </w:pPr>
    <w:r>
      <w:rPr>
        <w:b/>
      </w:rPr>
      <w:t>REQUERIMIENTO DE</w:t>
    </w:r>
    <w:r w:rsidR="005E1F64">
      <w:rPr>
        <w:b/>
      </w:rPr>
      <w:t xml:space="preserve"> INFORMACIÓN </w:t>
    </w:r>
    <w:r w:rsidR="005C4E7A">
      <w:rPr>
        <w:b/>
      </w:rPr>
      <w:t xml:space="preserve">FINANCIERA </w:t>
    </w:r>
    <w:r w:rsidR="005E1F64">
      <w:rPr>
        <w:b/>
      </w:rPr>
      <w:t>RELACIONAD</w:t>
    </w:r>
    <w:r w:rsidR="005C4E7A">
      <w:rPr>
        <w:b/>
      </w:rPr>
      <w:t>A</w:t>
    </w:r>
    <w:r w:rsidR="005E1F64">
      <w:rPr>
        <w:b/>
      </w:rPr>
      <w:t xml:space="preserve"> CON </w:t>
    </w:r>
    <w:r w:rsidR="005C4E7A">
      <w:rPr>
        <w:b/>
      </w:rPr>
      <w:t>LOS DEP</w:t>
    </w:r>
    <w:r w:rsidR="009D7944">
      <w:rPr>
        <w:b/>
      </w:rPr>
      <w:t>Ó</w:t>
    </w:r>
    <w:r w:rsidR="005C4E7A">
      <w:rPr>
        <w:b/>
      </w:rPr>
      <w:t xml:space="preserve">SITOS A LA VISTA </w:t>
    </w:r>
    <w:r w:rsidR="008116A9">
      <w:rPr>
        <w:b/>
      </w:rPr>
      <w:t>DE LAS SOCIEDADES FIDUCIARIAS EN</w:t>
    </w:r>
    <w:r w:rsidR="009D7944">
      <w:rPr>
        <w:b/>
      </w:rPr>
      <w:t xml:space="preserve"> LOS ESTABLECIMIENTOS DE CRÉDITO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1411F"/>
    <w:multiLevelType w:val="singleLevel"/>
    <w:tmpl w:val="E1C86A6C"/>
    <w:lvl w:ilvl="0">
      <w:start w:val="2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1" w15:restartNumberingAfterBreak="0">
    <w:nsid w:val="1E3505CE"/>
    <w:multiLevelType w:val="singleLevel"/>
    <w:tmpl w:val="B1A0EBE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21B14D8B"/>
    <w:multiLevelType w:val="singleLevel"/>
    <w:tmpl w:val="48FC4B2E"/>
    <w:lvl w:ilvl="0">
      <w:start w:val="3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3" w15:restartNumberingAfterBreak="0">
    <w:nsid w:val="2FE46A7D"/>
    <w:multiLevelType w:val="singleLevel"/>
    <w:tmpl w:val="2FCE5F4C"/>
    <w:lvl w:ilvl="0">
      <w:start w:val="3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2FF519B2"/>
    <w:multiLevelType w:val="singleLevel"/>
    <w:tmpl w:val="01FED0D4"/>
    <w:lvl w:ilvl="0">
      <w:start w:val="1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5" w15:restartNumberingAfterBreak="0">
    <w:nsid w:val="4358545D"/>
    <w:multiLevelType w:val="singleLevel"/>
    <w:tmpl w:val="62CE0E44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4872794F"/>
    <w:multiLevelType w:val="singleLevel"/>
    <w:tmpl w:val="5B449C8E"/>
    <w:lvl w:ilvl="0">
      <w:start w:val="2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 w15:restartNumberingAfterBreak="0">
    <w:nsid w:val="492550E3"/>
    <w:multiLevelType w:val="singleLevel"/>
    <w:tmpl w:val="B470C1CA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4E36375A"/>
    <w:multiLevelType w:val="hybridMultilevel"/>
    <w:tmpl w:val="61E4F4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B5587"/>
    <w:multiLevelType w:val="singleLevel"/>
    <w:tmpl w:val="D98444CC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0" w15:restartNumberingAfterBreak="0">
    <w:nsid w:val="55590CF6"/>
    <w:multiLevelType w:val="singleLevel"/>
    <w:tmpl w:val="F5601F7A"/>
    <w:lvl w:ilvl="0">
      <w:start w:val="4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</w:rPr>
    </w:lvl>
  </w:abstractNum>
  <w:abstractNum w:abstractNumId="11" w15:restartNumberingAfterBreak="0">
    <w:nsid w:val="5B9535FE"/>
    <w:multiLevelType w:val="singleLevel"/>
    <w:tmpl w:val="3BBE604C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 w15:restartNumberingAfterBreak="0">
    <w:nsid w:val="630A52EB"/>
    <w:multiLevelType w:val="singleLevel"/>
    <w:tmpl w:val="9766AF9C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3" w15:restartNumberingAfterBreak="0">
    <w:nsid w:val="6B7B1331"/>
    <w:multiLevelType w:val="hybridMultilevel"/>
    <w:tmpl w:val="FC54CC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CB17E6"/>
    <w:multiLevelType w:val="hybridMultilevel"/>
    <w:tmpl w:val="F8DC9C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56F3C"/>
    <w:multiLevelType w:val="hybridMultilevel"/>
    <w:tmpl w:val="5936E3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0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9"/>
  </w:num>
  <w:num w:numId="13">
    <w:abstractNumId w:val="13"/>
  </w:num>
  <w:num w:numId="14">
    <w:abstractNumId w:val="14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A22"/>
    <w:rsid w:val="00002C25"/>
    <w:rsid w:val="00004536"/>
    <w:rsid w:val="00010C53"/>
    <w:rsid w:val="000151FE"/>
    <w:rsid w:val="0001693C"/>
    <w:rsid w:val="00016A73"/>
    <w:rsid w:val="00017225"/>
    <w:rsid w:val="00030976"/>
    <w:rsid w:val="00037597"/>
    <w:rsid w:val="0004042C"/>
    <w:rsid w:val="00052F7F"/>
    <w:rsid w:val="00054981"/>
    <w:rsid w:val="000559CC"/>
    <w:rsid w:val="000652EE"/>
    <w:rsid w:val="00065DD1"/>
    <w:rsid w:val="000677EC"/>
    <w:rsid w:val="00074256"/>
    <w:rsid w:val="00076412"/>
    <w:rsid w:val="00085295"/>
    <w:rsid w:val="00095551"/>
    <w:rsid w:val="00097778"/>
    <w:rsid w:val="000A1324"/>
    <w:rsid w:val="000A22CC"/>
    <w:rsid w:val="000A76B2"/>
    <w:rsid w:val="000C61AB"/>
    <w:rsid w:val="000C794A"/>
    <w:rsid w:val="000D2EA6"/>
    <w:rsid w:val="000D6BC0"/>
    <w:rsid w:val="000D7657"/>
    <w:rsid w:val="000E03DB"/>
    <w:rsid w:val="000F0B1F"/>
    <w:rsid w:val="000F5B26"/>
    <w:rsid w:val="000F5C92"/>
    <w:rsid w:val="00102B6D"/>
    <w:rsid w:val="00117DC6"/>
    <w:rsid w:val="0012381D"/>
    <w:rsid w:val="00126D71"/>
    <w:rsid w:val="001325B3"/>
    <w:rsid w:val="00134A0E"/>
    <w:rsid w:val="0015033C"/>
    <w:rsid w:val="00152A17"/>
    <w:rsid w:val="001836A9"/>
    <w:rsid w:val="00185D62"/>
    <w:rsid w:val="001967A3"/>
    <w:rsid w:val="001A0096"/>
    <w:rsid w:val="001A769E"/>
    <w:rsid w:val="001B5D00"/>
    <w:rsid w:val="001E1001"/>
    <w:rsid w:val="001F377D"/>
    <w:rsid w:val="0021362B"/>
    <w:rsid w:val="00214DF6"/>
    <w:rsid w:val="00225148"/>
    <w:rsid w:val="00226431"/>
    <w:rsid w:val="002318D8"/>
    <w:rsid w:val="0023780F"/>
    <w:rsid w:val="0025099E"/>
    <w:rsid w:val="00274A7B"/>
    <w:rsid w:val="00296A39"/>
    <w:rsid w:val="00296B90"/>
    <w:rsid w:val="002B7FBD"/>
    <w:rsid w:val="002C4BD1"/>
    <w:rsid w:val="002E49C9"/>
    <w:rsid w:val="002F0988"/>
    <w:rsid w:val="002F1FB3"/>
    <w:rsid w:val="002F3DC8"/>
    <w:rsid w:val="002F6B76"/>
    <w:rsid w:val="00303E6F"/>
    <w:rsid w:val="00305DDE"/>
    <w:rsid w:val="00324538"/>
    <w:rsid w:val="003404F1"/>
    <w:rsid w:val="00346421"/>
    <w:rsid w:val="00351885"/>
    <w:rsid w:val="00357788"/>
    <w:rsid w:val="003633C5"/>
    <w:rsid w:val="00367295"/>
    <w:rsid w:val="00383C39"/>
    <w:rsid w:val="0038516D"/>
    <w:rsid w:val="00386F0C"/>
    <w:rsid w:val="003A109F"/>
    <w:rsid w:val="003B1F59"/>
    <w:rsid w:val="003C7528"/>
    <w:rsid w:val="003D1D83"/>
    <w:rsid w:val="003D7DD5"/>
    <w:rsid w:val="003F2FE2"/>
    <w:rsid w:val="00406CD4"/>
    <w:rsid w:val="004072DE"/>
    <w:rsid w:val="004316A7"/>
    <w:rsid w:val="0043472D"/>
    <w:rsid w:val="0044020A"/>
    <w:rsid w:val="0044662F"/>
    <w:rsid w:val="0045162E"/>
    <w:rsid w:val="004516E2"/>
    <w:rsid w:val="004577F5"/>
    <w:rsid w:val="004648D9"/>
    <w:rsid w:val="004653F3"/>
    <w:rsid w:val="00472DBD"/>
    <w:rsid w:val="00473F44"/>
    <w:rsid w:val="00480C59"/>
    <w:rsid w:val="00496D70"/>
    <w:rsid w:val="004B35D0"/>
    <w:rsid w:val="004C0EEE"/>
    <w:rsid w:val="004D15C0"/>
    <w:rsid w:val="004D2EEA"/>
    <w:rsid w:val="004E3CF1"/>
    <w:rsid w:val="004F0E14"/>
    <w:rsid w:val="004F41B1"/>
    <w:rsid w:val="004F4675"/>
    <w:rsid w:val="005119B8"/>
    <w:rsid w:val="005643C6"/>
    <w:rsid w:val="00567EC9"/>
    <w:rsid w:val="00587838"/>
    <w:rsid w:val="005907F7"/>
    <w:rsid w:val="00593115"/>
    <w:rsid w:val="005A0D6F"/>
    <w:rsid w:val="005B3C19"/>
    <w:rsid w:val="005C1D66"/>
    <w:rsid w:val="005C4E7A"/>
    <w:rsid w:val="005D0932"/>
    <w:rsid w:val="005D1628"/>
    <w:rsid w:val="005D44FD"/>
    <w:rsid w:val="005D4872"/>
    <w:rsid w:val="005E1F64"/>
    <w:rsid w:val="005E2A40"/>
    <w:rsid w:val="005F6E61"/>
    <w:rsid w:val="006038AB"/>
    <w:rsid w:val="00607198"/>
    <w:rsid w:val="00607F53"/>
    <w:rsid w:val="006506A8"/>
    <w:rsid w:val="00662B9A"/>
    <w:rsid w:val="0066755B"/>
    <w:rsid w:val="006851D8"/>
    <w:rsid w:val="00690BA7"/>
    <w:rsid w:val="006A07C2"/>
    <w:rsid w:val="006A08B6"/>
    <w:rsid w:val="006A22B6"/>
    <w:rsid w:val="006B60FC"/>
    <w:rsid w:val="006C6868"/>
    <w:rsid w:val="006D7F4B"/>
    <w:rsid w:val="006E4FB0"/>
    <w:rsid w:val="006F0DCE"/>
    <w:rsid w:val="006F2CD5"/>
    <w:rsid w:val="007010DF"/>
    <w:rsid w:val="00702032"/>
    <w:rsid w:val="00724A59"/>
    <w:rsid w:val="00742403"/>
    <w:rsid w:val="007425F7"/>
    <w:rsid w:val="00751685"/>
    <w:rsid w:val="0077300F"/>
    <w:rsid w:val="007754F1"/>
    <w:rsid w:val="00777A6D"/>
    <w:rsid w:val="00777D11"/>
    <w:rsid w:val="00781DC6"/>
    <w:rsid w:val="00785C45"/>
    <w:rsid w:val="00790CBB"/>
    <w:rsid w:val="00792AE9"/>
    <w:rsid w:val="007A10BF"/>
    <w:rsid w:val="007B4ACD"/>
    <w:rsid w:val="007B5E5E"/>
    <w:rsid w:val="007B6760"/>
    <w:rsid w:val="007D1EB4"/>
    <w:rsid w:val="007D272F"/>
    <w:rsid w:val="007E545A"/>
    <w:rsid w:val="007F644D"/>
    <w:rsid w:val="008116A9"/>
    <w:rsid w:val="008120FE"/>
    <w:rsid w:val="00837190"/>
    <w:rsid w:val="008428E2"/>
    <w:rsid w:val="00852AAA"/>
    <w:rsid w:val="00852F6C"/>
    <w:rsid w:val="00860C45"/>
    <w:rsid w:val="00874CF7"/>
    <w:rsid w:val="0087596A"/>
    <w:rsid w:val="00881A25"/>
    <w:rsid w:val="00884F2B"/>
    <w:rsid w:val="008C0E10"/>
    <w:rsid w:val="008C4EF5"/>
    <w:rsid w:val="008E50F9"/>
    <w:rsid w:val="0090258F"/>
    <w:rsid w:val="00922819"/>
    <w:rsid w:val="00926DD9"/>
    <w:rsid w:val="00932421"/>
    <w:rsid w:val="00934CEF"/>
    <w:rsid w:val="00934ECD"/>
    <w:rsid w:val="009442DB"/>
    <w:rsid w:val="00960769"/>
    <w:rsid w:val="00964F15"/>
    <w:rsid w:val="00965DF8"/>
    <w:rsid w:val="00972C05"/>
    <w:rsid w:val="00986870"/>
    <w:rsid w:val="00987545"/>
    <w:rsid w:val="00994A37"/>
    <w:rsid w:val="009955BF"/>
    <w:rsid w:val="009A78C9"/>
    <w:rsid w:val="009B209C"/>
    <w:rsid w:val="009B77F2"/>
    <w:rsid w:val="009C40BE"/>
    <w:rsid w:val="009D4199"/>
    <w:rsid w:val="009D7944"/>
    <w:rsid w:val="009D7ACB"/>
    <w:rsid w:val="009F093B"/>
    <w:rsid w:val="00A060BB"/>
    <w:rsid w:val="00A11DD9"/>
    <w:rsid w:val="00A14489"/>
    <w:rsid w:val="00A23753"/>
    <w:rsid w:val="00A24FF9"/>
    <w:rsid w:val="00A25B34"/>
    <w:rsid w:val="00A26E8B"/>
    <w:rsid w:val="00A326D2"/>
    <w:rsid w:val="00A338AC"/>
    <w:rsid w:val="00A40991"/>
    <w:rsid w:val="00A40DED"/>
    <w:rsid w:val="00A41150"/>
    <w:rsid w:val="00A47FEF"/>
    <w:rsid w:val="00A61EB0"/>
    <w:rsid w:val="00A66784"/>
    <w:rsid w:val="00A7362B"/>
    <w:rsid w:val="00A83FAB"/>
    <w:rsid w:val="00A84671"/>
    <w:rsid w:val="00A84A86"/>
    <w:rsid w:val="00A86CA2"/>
    <w:rsid w:val="00AB2884"/>
    <w:rsid w:val="00AC2A22"/>
    <w:rsid w:val="00AC53B9"/>
    <w:rsid w:val="00AC5439"/>
    <w:rsid w:val="00AD27AB"/>
    <w:rsid w:val="00AE3745"/>
    <w:rsid w:val="00AF1E01"/>
    <w:rsid w:val="00B20963"/>
    <w:rsid w:val="00B21707"/>
    <w:rsid w:val="00B32E13"/>
    <w:rsid w:val="00B37AC2"/>
    <w:rsid w:val="00B44BAE"/>
    <w:rsid w:val="00B45E7C"/>
    <w:rsid w:val="00B55A20"/>
    <w:rsid w:val="00B568C1"/>
    <w:rsid w:val="00B736BE"/>
    <w:rsid w:val="00B82649"/>
    <w:rsid w:val="00B83799"/>
    <w:rsid w:val="00B868E9"/>
    <w:rsid w:val="00B8790A"/>
    <w:rsid w:val="00B87E2D"/>
    <w:rsid w:val="00B9393E"/>
    <w:rsid w:val="00B97772"/>
    <w:rsid w:val="00BA467C"/>
    <w:rsid w:val="00BA532B"/>
    <w:rsid w:val="00BA6DF7"/>
    <w:rsid w:val="00BC035B"/>
    <w:rsid w:val="00BC0A6F"/>
    <w:rsid w:val="00BC2FE6"/>
    <w:rsid w:val="00BD5F82"/>
    <w:rsid w:val="00BE08E9"/>
    <w:rsid w:val="00BE2BEF"/>
    <w:rsid w:val="00BF0436"/>
    <w:rsid w:val="00BF08C9"/>
    <w:rsid w:val="00BF461B"/>
    <w:rsid w:val="00C0713B"/>
    <w:rsid w:val="00C12075"/>
    <w:rsid w:val="00C173A7"/>
    <w:rsid w:val="00C2040B"/>
    <w:rsid w:val="00C22ED3"/>
    <w:rsid w:val="00C34FE3"/>
    <w:rsid w:val="00C41742"/>
    <w:rsid w:val="00C4194F"/>
    <w:rsid w:val="00C46115"/>
    <w:rsid w:val="00C46A1A"/>
    <w:rsid w:val="00C525E1"/>
    <w:rsid w:val="00C53618"/>
    <w:rsid w:val="00C54273"/>
    <w:rsid w:val="00C60407"/>
    <w:rsid w:val="00C66274"/>
    <w:rsid w:val="00C72DEA"/>
    <w:rsid w:val="00C87130"/>
    <w:rsid w:val="00C924B0"/>
    <w:rsid w:val="00CA1C27"/>
    <w:rsid w:val="00CB3DAC"/>
    <w:rsid w:val="00CC6599"/>
    <w:rsid w:val="00CD2B4D"/>
    <w:rsid w:val="00CE5C22"/>
    <w:rsid w:val="00CE6E2E"/>
    <w:rsid w:val="00CF56D4"/>
    <w:rsid w:val="00D03D12"/>
    <w:rsid w:val="00D067BD"/>
    <w:rsid w:val="00D069E9"/>
    <w:rsid w:val="00D0774F"/>
    <w:rsid w:val="00D1346A"/>
    <w:rsid w:val="00D217F6"/>
    <w:rsid w:val="00D25D95"/>
    <w:rsid w:val="00D27547"/>
    <w:rsid w:val="00D34777"/>
    <w:rsid w:val="00D3555F"/>
    <w:rsid w:val="00D428FA"/>
    <w:rsid w:val="00D42A68"/>
    <w:rsid w:val="00D45E82"/>
    <w:rsid w:val="00D502BD"/>
    <w:rsid w:val="00D51E2C"/>
    <w:rsid w:val="00D570C1"/>
    <w:rsid w:val="00D67207"/>
    <w:rsid w:val="00D7350D"/>
    <w:rsid w:val="00D77B25"/>
    <w:rsid w:val="00D8020F"/>
    <w:rsid w:val="00D80D62"/>
    <w:rsid w:val="00D93B1C"/>
    <w:rsid w:val="00DA27B9"/>
    <w:rsid w:val="00DA627E"/>
    <w:rsid w:val="00DC0E9F"/>
    <w:rsid w:val="00DC1AB1"/>
    <w:rsid w:val="00DC6525"/>
    <w:rsid w:val="00DC6C8C"/>
    <w:rsid w:val="00DD0129"/>
    <w:rsid w:val="00DD7C27"/>
    <w:rsid w:val="00DE5430"/>
    <w:rsid w:val="00DF6E44"/>
    <w:rsid w:val="00E020AB"/>
    <w:rsid w:val="00E024A9"/>
    <w:rsid w:val="00E05475"/>
    <w:rsid w:val="00E1798C"/>
    <w:rsid w:val="00E26C33"/>
    <w:rsid w:val="00E359D3"/>
    <w:rsid w:val="00E4022E"/>
    <w:rsid w:val="00E44ACC"/>
    <w:rsid w:val="00E56291"/>
    <w:rsid w:val="00E56ADB"/>
    <w:rsid w:val="00E60DA6"/>
    <w:rsid w:val="00E626F3"/>
    <w:rsid w:val="00E866DD"/>
    <w:rsid w:val="00ED2527"/>
    <w:rsid w:val="00ED6A82"/>
    <w:rsid w:val="00ED6D3D"/>
    <w:rsid w:val="00EE5F96"/>
    <w:rsid w:val="00EE7326"/>
    <w:rsid w:val="00EF7917"/>
    <w:rsid w:val="00F07267"/>
    <w:rsid w:val="00F15AB1"/>
    <w:rsid w:val="00F21089"/>
    <w:rsid w:val="00F2559B"/>
    <w:rsid w:val="00F35DA8"/>
    <w:rsid w:val="00F366AB"/>
    <w:rsid w:val="00F4031D"/>
    <w:rsid w:val="00F4619A"/>
    <w:rsid w:val="00F512AA"/>
    <w:rsid w:val="00F5355A"/>
    <w:rsid w:val="00F55A00"/>
    <w:rsid w:val="00F629F9"/>
    <w:rsid w:val="00FC37B0"/>
    <w:rsid w:val="00FD05DF"/>
    <w:rsid w:val="00FD658E"/>
    <w:rsid w:val="00FE789C"/>
    <w:rsid w:val="00FE7AC5"/>
    <w:rsid w:val="00FF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104FEE"/>
  <w15:docId w15:val="{3E57404A-6BE6-4A3E-B6C6-977345B8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lang w:val="es-ES_tradnl"/>
    </w:rPr>
  </w:style>
  <w:style w:type="paragraph" w:styleId="Ttulo1">
    <w:name w:val="heading 1"/>
    <w:basedOn w:val="Normal"/>
    <w:next w:val="Normal"/>
    <w:qFormat/>
    <w:pPr>
      <w:keepNext/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  <w:outlineLvl w:val="0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Sangradetextonormal">
    <w:name w:val="Body Text Indent"/>
    <w:basedOn w:val="Normal"/>
    <w:pPr>
      <w:tabs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ind w:left="397" w:hanging="390"/>
      <w:jc w:val="both"/>
    </w:pPr>
    <w:rPr>
      <w:sz w:val="18"/>
    </w:rPr>
  </w:style>
  <w:style w:type="paragraph" w:styleId="Textoindependiente">
    <w:name w:val="Body Text"/>
    <w:basedOn w:val="Normal"/>
    <w:pPr>
      <w:pBdr>
        <w:left w:val="single" w:sz="4" w:space="4" w:color="auto"/>
      </w:pBdr>
      <w:tabs>
        <w:tab w:val="left" w:pos="397"/>
        <w:tab w:val="left" w:pos="1701"/>
        <w:tab w:val="left" w:pos="3402"/>
        <w:tab w:val="left" w:pos="4139"/>
        <w:tab w:val="left" w:pos="5670"/>
        <w:tab w:val="left" w:pos="6804"/>
        <w:tab w:val="left" w:pos="7201"/>
        <w:tab w:val="left" w:pos="7938"/>
      </w:tabs>
      <w:jc w:val="both"/>
    </w:pPr>
    <w:rPr>
      <w:b/>
      <w:sz w:val="18"/>
    </w:rPr>
  </w:style>
  <w:style w:type="character" w:styleId="Hipervnculo">
    <w:name w:val="Hyperlink"/>
    <w:rsid w:val="00932421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09555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095551"/>
    <w:rPr>
      <w:rFonts w:ascii="Tahoma" w:hAnsi="Tahoma" w:cs="Tahoma"/>
      <w:sz w:val="16"/>
      <w:szCs w:val="16"/>
      <w:lang w:val="es-ES_tradnl" w:eastAsia="es-ES"/>
    </w:rPr>
  </w:style>
  <w:style w:type="character" w:customStyle="1" w:styleId="apple-converted-space">
    <w:name w:val="apple-converted-space"/>
    <w:rsid w:val="00C46A1A"/>
  </w:style>
  <w:style w:type="character" w:styleId="Hipervnculovisitado">
    <w:name w:val="FollowedHyperlink"/>
    <w:rsid w:val="00F2559B"/>
    <w:rPr>
      <w:color w:val="954F72"/>
      <w:u w:val="single"/>
    </w:rPr>
  </w:style>
  <w:style w:type="paragraph" w:styleId="Revisin">
    <w:name w:val="Revision"/>
    <w:hidden/>
    <w:uiPriority w:val="99"/>
    <w:semiHidden/>
    <w:rsid w:val="00AD27AB"/>
    <w:rPr>
      <w:rFonts w:ascii="Arial" w:hAnsi="Arial"/>
      <w:lang w:val="es-ES_tradnl"/>
    </w:rPr>
  </w:style>
  <w:style w:type="character" w:customStyle="1" w:styleId="EncabezadoCar">
    <w:name w:val="Encabezado Car"/>
    <w:link w:val="Encabezado"/>
    <w:uiPriority w:val="99"/>
    <w:rsid w:val="00F5355A"/>
    <w:rPr>
      <w:rFonts w:ascii="Arial" w:hAnsi="Arial"/>
      <w:lang w:val="es-ES_tradnl"/>
    </w:rPr>
  </w:style>
  <w:style w:type="character" w:styleId="Refdecomentario">
    <w:name w:val="annotation reference"/>
    <w:rsid w:val="00296B9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96B90"/>
  </w:style>
  <w:style w:type="character" w:customStyle="1" w:styleId="TextocomentarioCar">
    <w:name w:val="Texto comentario Car"/>
    <w:link w:val="Textocomentario"/>
    <w:rsid w:val="00296B90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96B90"/>
    <w:rPr>
      <w:b/>
      <w:bCs/>
    </w:rPr>
  </w:style>
  <w:style w:type="character" w:customStyle="1" w:styleId="AsuntodelcomentarioCar">
    <w:name w:val="Asunto del comentario Car"/>
    <w:link w:val="Asuntodelcomentario"/>
    <w:rsid w:val="00296B90"/>
    <w:rPr>
      <w:rFonts w:ascii="Arial" w:hAnsi="Arial"/>
      <w:b/>
      <w:bCs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FD658E"/>
    <w:pPr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22819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8116A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55A0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CO" w:eastAsia="es-CO"/>
    </w:rPr>
  </w:style>
  <w:style w:type="character" w:customStyle="1" w:styleId="cf01">
    <w:name w:val="cf01"/>
    <w:basedOn w:val="Fuentedeprrafopredeter"/>
    <w:rsid w:val="00F55A00"/>
    <w:rPr>
      <w:rFonts w:ascii="Segoe UI" w:hAnsi="Segoe UI" w:cs="Segoe UI" w:hint="default"/>
      <w:color w:val="66666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odriguezm@superfinanciera.gov.c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erincon@superfinanciera.gov.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mendoza@superfinanciera.gov.co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~wd09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AEAB6-EF60-4E6E-8087-D7CB4F7D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~wd09.tmp</Template>
  <TotalTime>1</TotalTime>
  <Pages>2</Pages>
  <Words>565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TEMA:_Controles de Ley_</vt:lpstr>
    </vt:vector>
  </TitlesOfParts>
  <Company>Superintendencia Bancaria</Company>
  <LinksUpToDate>false</LinksUpToDate>
  <CharactersWithSpaces>3842</CharactersWithSpaces>
  <SharedDoc>false</SharedDoc>
  <HLinks>
    <vt:vector size="36" baseType="variant">
      <vt:variant>
        <vt:i4>8126560</vt:i4>
      </vt:variant>
      <vt:variant>
        <vt:i4>15</vt:i4>
      </vt:variant>
      <vt:variant>
        <vt:i4>0</vt:i4>
      </vt:variant>
      <vt:variant>
        <vt:i4>5</vt:i4>
      </vt:variant>
      <vt:variant>
        <vt:lpwstr>https://www.superfinanciera.gov.co/descargas?com=institucional&amp;name=pubFile13069&amp;downloadname=entidades_formato_338.zip</vt:lpwstr>
      </vt:variant>
      <vt:variant>
        <vt:lpwstr/>
      </vt:variant>
      <vt:variant>
        <vt:i4>6029376</vt:i4>
      </vt:variant>
      <vt:variant>
        <vt:i4>12</vt:i4>
      </vt:variant>
      <vt:variant>
        <vt:i4>0</vt:i4>
      </vt:variant>
      <vt:variant>
        <vt:i4>5</vt:i4>
      </vt:variant>
      <vt:variant>
        <vt:lpwstr>https://www.superfinanciera.gov.co/jsp/loader.jsf?lServicio=Publicaciones&amp;lTipo=publicaciones&amp;lFuncion=loadContenidoPublicacion&amp;id=61694</vt:lpwstr>
      </vt:variant>
      <vt:variant>
        <vt:lpwstr/>
      </vt:variant>
      <vt:variant>
        <vt:i4>4456506</vt:i4>
      </vt:variant>
      <vt:variant>
        <vt:i4>9</vt:i4>
      </vt:variant>
      <vt:variant>
        <vt:i4>0</vt:i4>
      </vt:variant>
      <vt:variant>
        <vt:i4>5</vt:i4>
      </vt:variant>
      <vt:variant>
        <vt:lpwstr>mailto:ramunozg@superfinanciera.gov.co</vt:lpwstr>
      </vt:variant>
      <vt:variant>
        <vt:lpwstr/>
      </vt:variant>
      <vt:variant>
        <vt:i4>4128838</vt:i4>
      </vt:variant>
      <vt:variant>
        <vt:i4>6</vt:i4>
      </vt:variant>
      <vt:variant>
        <vt:i4>0</vt:i4>
      </vt:variant>
      <vt:variant>
        <vt:i4>5</vt:i4>
      </vt:variant>
      <vt:variant>
        <vt:lpwstr>mailto:camartinez@superfinanciera.gov.co</vt:lpwstr>
      </vt:variant>
      <vt:variant>
        <vt:lpwstr/>
      </vt:variant>
      <vt:variant>
        <vt:i4>7405575</vt:i4>
      </vt:variant>
      <vt:variant>
        <vt:i4>3</vt:i4>
      </vt:variant>
      <vt:variant>
        <vt:i4>0</vt:i4>
      </vt:variant>
      <vt:variant>
        <vt:i4>5</vt:i4>
      </vt:variant>
      <vt:variant>
        <vt:lpwstr>mailto:lfjimenez@superfinanciera.gov.co</vt:lpwstr>
      </vt:variant>
      <vt:variant>
        <vt:lpwstr/>
      </vt:variant>
      <vt:variant>
        <vt:i4>4390952</vt:i4>
      </vt:variant>
      <vt:variant>
        <vt:i4>0</vt:i4>
      </vt:variant>
      <vt:variant>
        <vt:i4>0</vt:i4>
      </vt:variant>
      <vt:variant>
        <vt:i4>5</vt:i4>
      </vt:variant>
      <vt:variant>
        <vt:lpwstr>mailto:sakiuhan@superfinanciera.gov.co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TEMA:_Controles de Ley_</dc:title>
  <dc:creator>CURSO3</dc:creator>
  <cp:lastModifiedBy>Gabriel Armando Ospina Garcia</cp:lastModifiedBy>
  <cp:revision>3</cp:revision>
  <cp:lastPrinted>2014-10-31T14:04:00Z</cp:lastPrinted>
  <dcterms:created xsi:type="dcterms:W3CDTF">2021-10-25T21:51:00Z</dcterms:created>
  <dcterms:modified xsi:type="dcterms:W3CDTF">2021-10-26T14:42:00Z</dcterms:modified>
</cp:coreProperties>
</file>