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2F934" w14:textId="77777777" w:rsidR="00E77E63" w:rsidRPr="0035539B" w:rsidRDefault="00E77E63" w:rsidP="00E77E63">
      <w:pPr>
        <w:tabs>
          <w:tab w:val="left" w:pos="540"/>
        </w:tabs>
        <w:rPr>
          <w:rFonts w:ascii="Arial" w:hAnsi="Arial" w:cs="Arial"/>
          <w:b/>
          <w:bCs/>
          <w:sz w:val="18"/>
          <w:szCs w:val="18"/>
        </w:rPr>
      </w:pPr>
    </w:p>
    <w:p w14:paraId="5B418E08" w14:textId="31EDBCB4" w:rsidR="00493D79" w:rsidRPr="00444606" w:rsidRDefault="0080112F" w:rsidP="00FA4BF7">
      <w:pPr>
        <w:tabs>
          <w:tab w:val="left" w:pos="540"/>
        </w:tabs>
        <w:jc w:val="center"/>
        <w:rPr>
          <w:rFonts w:ascii="Arial" w:hAnsi="Arial" w:cs="Arial"/>
          <w:b/>
          <w:sz w:val="18"/>
          <w:szCs w:val="18"/>
        </w:rPr>
      </w:pPr>
      <w:r w:rsidRPr="00444606">
        <w:rPr>
          <w:rFonts w:ascii="Arial" w:hAnsi="Arial" w:cs="Arial"/>
          <w:b/>
          <w:bCs/>
          <w:sz w:val="18"/>
          <w:szCs w:val="18"/>
        </w:rPr>
        <w:t xml:space="preserve">ANEXO </w:t>
      </w:r>
      <w:r w:rsidR="009036F8" w:rsidRPr="00444606">
        <w:rPr>
          <w:rFonts w:ascii="Arial" w:hAnsi="Arial" w:cs="Arial"/>
          <w:b/>
          <w:bCs/>
          <w:sz w:val="18"/>
          <w:szCs w:val="18"/>
        </w:rPr>
        <w:t>1</w:t>
      </w:r>
      <w:r w:rsidR="00166F44" w:rsidRPr="00444606">
        <w:rPr>
          <w:rFonts w:ascii="Arial" w:hAnsi="Arial" w:cs="Arial"/>
          <w:b/>
          <w:bCs/>
          <w:sz w:val="18"/>
          <w:szCs w:val="18"/>
        </w:rPr>
        <w:t>3</w:t>
      </w:r>
      <w:r w:rsidR="00E77E63" w:rsidRPr="00444606">
        <w:rPr>
          <w:rFonts w:ascii="Arial" w:hAnsi="Arial" w:cs="Arial"/>
          <w:b/>
          <w:bCs/>
          <w:sz w:val="18"/>
          <w:szCs w:val="18"/>
        </w:rPr>
        <w:t xml:space="preserve">: </w:t>
      </w:r>
      <w:r w:rsidR="005B1912" w:rsidRPr="00444606">
        <w:rPr>
          <w:rFonts w:ascii="Arial" w:hAnsi="Arial" w:cs="Arial"/>
          <w:b/>
          <w:sz w:val="18"/>
          <w:szCs w:val="18"/>
        </w:rPr>
        <w:t>MÉTO</w:t>
      </w:r>
      <w:r w:rsidR="00FC0D00" w:rsidRPr="00444606">
        <w:rPr>
          <w:rFonts w:ascii="Arial" w:hAnsi="Arial" w:cs="Arial"/>
          <w:b/>
          <w:sz w:val="18"/>
          <w:szCs w:val="18"/>
        </w:rPr>
        <w:t>DOLOGÍA</w:t>
      </w:r>
      <w:r w:rsidR="005B1912" w:rsidRPr="00444606">
        <w:rPr>
          <w:rFonts w:ascii="Arial" w:hAnsi="Arial" w:cs="Arial"/>
          <w:b/>
          <w:sz w:val="18"/>
          <w:szCs w:val="18"/>
        </w:rPr>
        <w:t xml:space="preserve"> ESTANDAR PARA DET</w:t>
      </w:r>
      <w:r w:rsidR="00240E45" w:rsidRPr="00444606">
        <w:rPr>
          <w:rFonts w:ascii="Arial" w:hAnsi="Arial" w:cs="Arial"/>
          <w:b/>
          <w:sz w:val="18"/>
          <w:szCs w:val="18"/>
        </w:rPr>
        <w:t>ERMINAR EL VALOR DE LA EXPOSICIÓ</w:t>
      </w:r>
      <w:r w:rsidR="005B1912" w:rsidRPr="00444606">
        <w:rPr>
          <w:rFonts w:ascii="Arial" w:hAnsi="Arial" w:cs="Arial"/>
          <w:b/>
          <w:sz w:val="18"/>
          <w:szCs w:val="18"/>
        </w:rPr>
        <w:t xml:space="preserve">N </w:t>
      </w:r>
      <w:r w:rsidR="001E1F5E" w:rsidRPr="00444606">
        <w:rPr>
          <w:rFonts w:ascii="Arial" w:hAnsi="Arial" w:cs="Arial"/>
          <w:b/>
          <w:sz w:val="18"/>
          <w:szCs w:val="18"/>
        </w:rPr>
        <w:t>A</w:t>
      </w:r>
      <w:r w:rsidR="005B1912" w:rsidRPr="00444606">
        <w:rPr>
          <w:rFonts w:ascii="Arial" w:hAnsi="Arial" w:cs="Arial"/>
          <w:b/>
          <w:sz w:val="18"/>
          <w:szCs w:val="18"/>
        </w:rPr>
        <w:t>L</w:t>
      </w:r>
      <w:r w:rsidR="001E1F5E" w:rsidRPr="00444606">
        <w:rPr>
          <w:rFonts w:ascii="Arial" w:hAnsi="Arial" w:cs="Arial"/>
          <w:b/>
          <w:sz w:val="18"/>
          <w:szCs w:val="18"/>
        </w:rPr>
        <w:t xml:space="preserve"> RIESGO</w:t>
      </w:r>
      <w:r w:rsidR="005B1912" w:rsidRPr="00444606">
        <w:rPr>
          <w:rFonts w:ascii="Arial" w:hAnsi="Arial" w:cs="Arial"/>
          <w:b/>
          <w:sz w:val="18"/>
          <w:szCs w:val="18"/>
        </w:rPr>
        <w:t xml:space="preserve"> OPERACIONAL DE </w:t>
      </w:r>
      <w:r w:rsidR="001E1F5E" w:rsidRPr="00444606">
        <w:rPr>
          <w:rFonts w:ascii="Arial" w:hAnsi="Arial" w:cs="Arial"/>
          <w:b/>
          <w:sz w:val="18"/>
          <w:szCs w:val="18"/>
        </w:rPr>
        <w:t>LOS ESTABLECIMIENTOS DE CR</w:t>
      </w:r>
      <w:r w:rsidR="00FC48AB" w:rsidRPr="00444606">
        <w:rPr>
          <w:rFonts w:ascii="Arial" w:hAnsi="Arial" w:cs="Arial"/>
          <w:b/>
          <w:sz w:val="18"/>
          <w:szCs w:val="18"/>
        </w:rPr>
        <w:t>É</w:t>
      </w:r>
      <w:r w:rsidR="001E1F5E" w:rsidRPr="00444606">
        <w:rPr>
          <w:rFonts w:ascii="Arial" w:hAnsi="Arial" w:cs="Arial"/>
          <w:b/>
          <w:sz w:val="18"/>
          <w:szCs w:val="18"/>
        </w:rPr>
        <w:t>DITO</w:t>
      </w:r>
    </w:p>
    <w:p w14:paraId="7CF2BD1E" w14:textId="77777777" w:rsidR="0080112F" w:rsidRPr="00444606" w:rsidRDefault="0080112F" w:rsidP="00FA4BF7">
      <w:pPr>
        <w:tabs>
          <w:tab w:val="left" w:pos="540"/>
        </w:tabs>
        <w:jc w:val="center"/>
        <w:rPr>
          <w:rFonts w:ascii="Arial" w:hAnsi="Arial" w:cs="Arial"/>
          <w:b/>
          <w:sz w:val="18"/>
          <w:szCs w:val="18"/>
        </w:rPr>
      </w:pPr>
    </w:p>
    <w:p w14:paraId="5ACFF180" w14:textId="77777777" w:rsidR="00BD4FB2" w:rsidRPr="00444606" w:rsidRDefault="00BD4FB2" w:rsidP="00FA4BF7">
      <w:p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</w:p>
    <w:p w14:paraId="57B785F3" w14:textId="77777777" w:rsidR="003C2248" w:rsidRPr="00444606" w:rsidRDefault="003C2248" w:rsidP="005B1912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A8D0FE4" w14:textId="77777777" w:rsidR="00240E45" w:rsidRPr="00444606" w:rsidRDefault="001E1F5E" w:rsidP="0014464F">
      <w:pPr>
        <w:pStyle w:val="Prrafodelista"/>
        <w:numPr>
          <w:ilvl w:val="0"/>
          <w:numId w:val="1"/>
        </w:num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  <w:r w:rsidRPr="00444606">
        <w:rPr>
          <w:rFonts w:ascii="Arial" w:hAnsi="Arial" w:cs="Arial"/>
          <w:b/>
          <w:sz w:val="18"/>
          <w:szCs w:val="18"/>
        </w:rPr>
        <w:t>Reglas relativas a la aplicación de método estándar</w:t>
      </w:r>
    </w:p>
    <w:p w14:paraId="40A78C7F" w14:textId="77777777" w:rsidR="00240E45" w:rsidRPr="00444606" w:rsidRDefault="00240E45" w:rsidP="005B1912">
      <w:p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</w:p>
    <w:p w14:paraId="76C5C8D6" w14:textId="77777777" w:rsidR="00240E45" w:rsidRPr="00444606" w:rsidRDefault="001E1F5E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De acuerdo con lo establecido en el artículo 2.1.1.3.9 del Decreto 2555 de 2010, e</w:t>
      </w:r>
      <w:r w:rsidR="00240E45" w:rsidRPr="00444606">
        <w:rPr>
          <w:rFonts w:ascii="Arial" w:hAnsi="Arial" w:cs="Arial"/>
          <w:sz w:val="18"/>
          <w:szCs w:val="18"/>
        </w:rPr>
        <w:t>l valor de la exposic</w:t>
      </w:r>
      <w:r w:rsidRPr="00444606">
        <w:rPr>
          <w:rFonts w:ascii="Arial" w:hAnsi="Arial" w:cs="Arial"/>
          <w:sz w:val="18"/>
          <w:szCs w:val="18"/>
        </w:rPr>
        <w:t>ión a los riesgos operacionales</w:t>
      </w:r>
      <w:r w:rsidR="00240E45" w:rsidRPr="00444606">
        <w:rPr>
          <w:rFonts w:ascii="Arial" w:hAnsi="Arial" w:cs="Arial"/>
          <w:sz w:val="18"/>
          <w:szCs w:val="18"/>
        </w:rPr>
        <w:t xml:space="preserve"> se determina como resultado de aplicar la siguiente ecuación: </w:t>
      </w:r>
    </w:p>
    <w:p w14:paraId="1CB6BEBE" w14:textId="77777777" w:rsidR="00240E45" w:rsidRPr="00444606" w:rsidRDefault="00240E45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9C04263" w14:textId="62E6E24B" w:rsidR="00240E45" w:rsidRPr="00444606" w:rsidRDefault="00666F0D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 w:cs="Arial"/>
                  <w:sz w:val="18"/>
                  <w:szCs w:val="18"/>
                </w:rPr>
                <m:t>VeR</m:t>
              </m:r>
            </m:e>
            <m:sub>
              <m:r>
                <w:rPr>
                  <w:rFonts w:ascii="Cambria Math" w:hAnsi="Cambria Math" w:cs="Arial"/>
                  <w:sz w:val="18"/>
                  <w:szCs w:val="18"/>
                </w:rPr>
                <m:t>RO</m:t>
              </m:r>
            </m:sub>
          </m:sSub>
          <m:r>
            <w:rPr>
              <w:rFonts w:ascii="Cambria Math" w:hAnsi="Cambria Math" w:cs="Arial"/>
              <w:sz w:val="18"/>
              <w:szCs w:val="18"/>
            </w:rPr>
            <m:t>=IN*CRO*IPI</m:t>
          </m:r>
        </m:oMath>
      </m:oMathPara>
    </w:p>
    <w:p w14:paraId="4FBF8EC1" w14:textId="77777777" w:rsidR="0014464F" w:rsidRPr="00444606" w:rsidRDefault="0014464F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2D46433" w14:textId="77777777" w:rsidR="0014464F" w:rsidRPr="00444606" w:rsidRDefault="0014464F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Donde: </w:t>
      </w:r>
    </w:p>
    <w:p w14:paraId="2914A317" w14:textId="77777777" w:rsidR="0014464F" w:rsidRPr="00444606" w:rsidRDefault="0014464F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7C1636E" w14:textId="77777777" w:rsidR="00BC61F8" w:rsidRPr="00444606" w:rsidRDefault="00666F0D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m:oMath>
        <m:sSub>
          <m:sSub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Arial"/>
                <w:sz w:val="18"/>
                <w:szCs w:val="18"/>
              </w:rPr>
              <m:t>VeR</m:t>
            </m:r>
          </m:e>
          <m:sub>
            <m:r>
              <w:rPr>
                <w:rFonts w:ascii="Cambria Math" w:hAnsi="Cambria Math" w:cs="Arial"/>
                <w:sz w:val="18"/>
                <w:szCs w:val="18"/>
              </w:rPr>
              <m:t>RO</m:t>
            </m:r>
          </m:sub>
        </m:sSub>
      </m:oMath>
      <w:r w:rsidR="00BC61F8" w:rsidRPr="00444606">
        <w:rPr>
          <w:rFonts w:ascii="Arial" w:hAnsi="Arial" w:cs="Arial"/>
          <w:sz w:val="18"/>
          <w:szCs w:val="18"/>
        </w:rPr>
        <w:t>: Valor de la exposición</w:t>
      </w:r>
      <w:r w:rsidR="001E1F5E" w:rsidRPr="00444606">
        <w:rPr>
          <w:rFonts w:ascii="Arial" w:hAnsi="Arial" w:cs="Arial"/>
          <w:sz w:val="18"/>
          <w:szCs w:val="18"/>
        </w:rPr>
        <w:t xml:space="preserve"> a los riesgos operacionales.</w:t>
      </w:r>
    </w:p>
    <w:p w14:paraId="711034AC" w14:textId="77777777" w:rsidR="0014464F" w:rsidRPr="00444606" w:rsidRDefault="00EE7BB4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IN</w:t>
      </w:r>
      <w:r w:rsidRPr="00444606">
        <w:rPr>
          <w:rFonts w:ascii="Arial" w:hAnsi="Arial" w:cs="Arial"/>
          <w:sz w:val="18"/>
          <w:szCs w:val="18"/>
        </w:rPr>
        <w:t>: Indicador de n</w:t>
      </w:r>
      <w:r w:rsidR="0014464F" w:rsidRPr="00444606">
        <w:rPr>
          <w:rFonts w:ascii="Arial" w:hAnsi="Arial" w:cs="Arial"/>
          <w:sz w:val="18"/>
          <w:szCs w:val="18"/>
        </w:rPr>
        <w:t>egocio</w:t>
      </w:r>
      <w:r w:rsidR="001E1F5E" w:rsidRPr="00444606">
        <w:rPr>
          <w:rFonts w:ascii="Arial" w:hAnsi="Arial" w:cs="Arial"/>
          <w:sz w:val="18"/>
          <w:szCs w:val="18"/>
        </w:rPr>
        <w:t>.</w:t>
      </w:r>
    </w:p>
    <w:p w14:paraId="15C18FCA" w14:textId="77777777" w:rsidR="0014464F" w:rsidRPr="00444606" w:rsidRDefault="00EE7BB4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CRO</w:t>
      </w:r>
      <w:r w:rsidRPr="00444606">
        <w:rPr>
          <w:rFonts w:ascii="Arial" w:hAnsi="Arial" w:cs="Arial"/>
          <w:sz w:val="18"/>
          <w:szCs w:val="18"/>
        </w:rPr>
        <w:t>: Coeficiente de riesgo o</w:t>
      </w:r>
      <w:r w:rsidR="0014464F" w:rsidRPr="00444606">
        <w:rPr>
          <w:rFonts w:ascii="Arial" w:hAnsi="Arial" w:cs="Arial"/>
          <w:sz w:val="18"/>
          <w:szCs w:val="18"/>
        </w:rPr>
        <w:t>peracional</w:t>
      </w:r>
      <w:r w:rsidR="001E1F5E" w:rsidRPr="00444606">
        <w:rPr>
          <w:rFonts w:ascii="Arial" w:hAnsi="Arial" w:cs="Arial"/>
          <w:sz w:val="18"/>
          <w:szCs w:val="18"/>
        </w:rPr>
        <w:t>.</w:t>
      </w:r>
    </w:p>
    <w:p w14:paraId="3DB6020A" w14:textId="77777777" w:rsidR="0014464F" w:rsidRPr="00444606" w:rsidRDefault="00EE7BB4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IPI</w:t>
      </w:r>
      <w:r w:rsidRPr="00444606">
        <w:rPr>
          <w:rFonts w:ascii="Arial" w:hAnsi="Arial" w:cs="Arial"/>
          <w:sz w:val="18"/>
          <w:szCs w:val="18"/>
        </w:rPr>
        <w:t>: Indicador de pérdida i</w:t>
      </w:r>
      <w:r w:rsidR="0014464F" w:rsidRPr="00444606">
        <w:rPr>
          <w:rFonts w:ascii="Arial" w:hAnsi="Arial" w:cs="Arial"/>
          <w:sz w:val="18"/>
          <w:szCs w:val="18"/>
        </w:rPr>
        <w:t>nterna</w:t>
      </w:r>
      <w:r w:rsidR="001E1F5E" w:rsidRPr="00444606">
        <w:rPr>
          <w:rFonts w:ascii="Arial" w:hAnsi="Arial" w:cs="Arial"/>
          <w:sz w:val="18"/>
          <w:szCs w:val="18"/>
        </w:rPr>
        <w:t>.</w:t>
      </w:r>
    </w:p>
    <w:p w14:paraId="0A790251" w14:textId="77777777" w:rsidR="0014464F" w:rsidRPr="00444606" w:rsidRDefault="0014464F" w:rsidP="0014464F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F5A983E" w14:textId="23FA598F" w:rsidR="00103E17" w:rsidRPr="00444606" w:rsidRDefault="00F8668E" w:rsidP="00103E17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Aquellas entidades que </w:t>
      </w:r>
      <w:r w:rsidR="00103E17" w:rsidRPr="00444606">
        <w:rPr>
          <w:rFonts w:ascii="Arial" w:hAnsi="Arial" w:cs="Arial"/>
          <w:sz w:val="18"/>
          <w:szCs w:val="18"/>
        </w:rPr>
        <w:t xml:space="preserve">lleven </w:t>
      </w:r>
      <w:r w:rsidR="00C722E3" w:rsidRPr="00444606">
        <w:rPr>
          <w:rFonts w:ascii="Arial" w:hAnsi="Arial" w:cs="Arial"/>
          <w:sz w:val="18"/>
          <w:szCs w:val="18"/>
        </w:rPr>
        <w:t>menos</w:t>
      </w:r>
      <w:r w:rsidR="00103E17" w:rsidRPr="00444606">
        <w:rPr>
          <w:rFonts w:ascii="Arial" w:hAnsi="Arial" w:cs="Arial"/>
          <w:sz w:val="18"/>
          <w:szCs w:val="18"/>
        </w:rPr>
        <w:t xml:space="preserve"> de 3 años</w:t>
      </w:r>
      <w:r w:rsidR="00C722E3" w:rsidRPr="00444606">
        <w:rPr>
          <w:rFonts w:ascii="Arial" w:hAnsi="Arial" w:cs="Arial"/>
          <w:sz w:val="18"/>
          <w:szCs w:val="18"/>
        </w:rPr>
        <w:t xml:space="preserve"> de operación</w:t>
      </w:r>
      <w:r w:rsidR="00103E17" w:rsidRPr="00444606">
        <w:rPr>
          <w:rFonts w:ascii="Arial" w:hAnsi="Arial" w:cs="Arial"/>
          <w:sz w:val="18"/>
          <w:szCs w:val="18"/>
        </w:rPr>
        <w:t>,</w:t>
      </w:r>
      <w:r w:rsidR="00C722E3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 xml:space="preserve">y por ende no cuenten con la información para aplicar la anterior ecuación, </w:t>
      </w:r>
      <w:r w:rsidR="00C722E3" w:rsidRPr="00444606">
        <w:rPr>
          <w:rFonts w:ascii="Arial" w:hAnsi="Arial" w:cs="Arial"/>
          <w:sz w:val="18"/>
          <w:szCs w:val="18"/>
        </w:rPr>
        <w:t>el valor de la exposición a los riesgos operacionales</w:t>
      </w:r>
      <w:r w:rsidR="00103E17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>corresponderá al</w:t>
      </w:r>
      <w:r w:rsidR="001235C6" w:rsidRPr="00444606">
        <w:rPr>
          <w:rFonts w:ascii="Arial" w:hAnsi="Arial" w:cs="Arial"/>
          <w:sz w:val="18"/>
          <w:szCs w:val="18"/>
        </w:rPr>
        <w:t xml:space="preserve"> 1.5</w:t>
      </w:r>
      <w:r w:rsidR="00103E17" w:rsidRPr="00444606">
        <w:rPr>
          <w:rFonts w:ascii="Arial" w:hAnsi="Arial" w:cs="Arial"/>
          <w:sz w:val="18"/>
          <w:szCs w:val="18"/>
        </w:rPr>
        <w:t>% de</w:t>
      </w:r>
      <w:r w:rsidRPr="00444606">
        <w:rPr>
          <w:rFonts w:ascii="Arial" w:hAnsi="Arial" w:cs="Arial"/>
          <w:sz w:val="18"/>
          <w:szCs w:val="18"/>
        </w:rPr>
        <w:t xml:space="preserve"> </w:t>
      </w:r>
      <w:r w:rsidR="00103E17" w:rsidRPr="00444606">
        <w:rPr>
          <w:rFonts w:ascii="Arial" w:hAnsi="Arial" w:cs="Arial"/>
          <w:sz w:val="18"/>
          <w:szCs w:val="18"/>
        </w:rPr>
        <w:t>l</w:t>
      </w:r>
      <w:r w:rsidRPr="00444606">
        <w:rPr>
          <w:rFonts w:ascii="Arial" w:hAnsi="Arial" w:cs="Arial"/>
          <w:sz w:val="18"/>
          <w:szCs w:val="18"/>
        </w:rPr>
        <w:t>os</w:t>
      </w:r>
      <w:r w:rsidR="00C722E3" w:rsidRPr="00444606">
        <w:rPr>
          <w:rFonts w:ascii="Arial" w:hAnsi="Arial" w:cs="Arial"/>
          <w:sz w:val="18"/>
          <w:szCs w:val="18"/>
        </w:rPr>
        <w:t xml:space="preserve"> Activos Ponderados por Nivel de Riesgo (APNR)</w:t>
      </w:r>
      <w:r w:rsidR="00103E17" w:rsidRPr="00444606">
        <w:rPr>
          <w:rFonts w:ascii="Arial" w:hAnsi="Arial" w:cs="Arial"/>
          <w:sz w:val="18"/>
          <w:szCs w:val="18"/>
        </w:rPr>
        <w:t xml:space="preserve">, de acuerdo con las reglas de cálculo establecidas </w:t>
      </w:r>
      <w:r w:rsidR="00C722E3" w:rsidRPr="00444606">
        <w:rPr>
          <w:rFonts w:ascii="Arial" w:hAnsi="Arial" w:cs="Arial"/>
          <w:sz w:val="18"/>
          <w:szCs w:val="18"/>
        </w:rPr>
        <w:t xml:space="preserve">en </w:t>
      </w:r>
      <w:r w:rsidRPr="00444606">
        <w:rPr>
          <w:rFonts w:ascii="Arial" w:hAnsi="Arial" w:cs="Arial"/>
          <w:sz w:val="18"/>
          <w:szCs w:val="18"/>
        </w:rPr>
        <w:t>Capítulo XIII-16</w:t>
      </w:r>
      <w:r w:rsidR="00103E17" w:rsidRPr="00444606">
        <w:rPr>
          <w:rFonts w:ascii="Arial" w:hAnsi="Arial" w:cs="Arial"/>
          <w:sz w:val="18"/>
          <w:szCs w:val="18"/>
        </w:rPr>
        <w:t xml:space="preserve"> </w:t>
      </w:r>
      <w:r w:rsidR="00C722E3" w:rsidRPr="00444606">
        <w:rPr>
          <w:rFonts w:ascii="Arial" w:hAnsi="Arial" w:cs="Arial"/>
          <w:sz w:val="18"/>
          <w:szCs w:val="18"/>
        </w:rPr>
        <w:t xml:space="preserve">de la </w:t>
      </w:r>
      <w:r w:rsidR="00A90C90" w:rsidRPr="00444606">
        <w:rPr>
          <w:rFonts w:ascii="Arial" w:hAnsi="Arial" w:cs="Arial"/>
          <w:sz w:val="18"/>
          <w:szCs w:val="18"/>
        </w:rPr>
        <w:t>CBCF</w:t>
      </w:r>
      <w:r w:rsidR="00870FA2" w:rsidRPr="00444606">
        <w:rPr>
          <w:rFonts w:ascii="Arial" w:hAnsi="Arial" w:cs="Arial"/>
          <w:sz w:val="18"/>
          <w:szCs w:val="18"/>
        </w:rPr>
        <w:t>, por un plazo máximo de 3 años.</w:t>
      </w:r>
    </w:p>
    <w:p w14:paraId="67386687" w14:textId="77777777" w:rsidR="00103E17" w:rsidRPr="00444606" w:rsidRDefault="00103E17" w:rsidP="0014464F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9C23BFB" w14:textId="6263366A" w:rsidR="00EE7BB4" w:rsidRPr="00444606" w:rsidRDefault="0014464F" w:rsidP="001942BA">
      <w:pPr>
        <w:pStyle w:val="Prrafodelista"/>
        <w:numPr>
          <w:ilvl w:val="1"/>
          <w:numId w:val="1"/>
        </w:num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  <w:r w:rsidRPr="00444606">
        <w:rPr>
          <w:rFonts w:ascii="Arial" w:hAnsi="Arial" w:cs="Arial"/>
          <w:b/>
          <w:sz w:val="18"/>
          <w:szCs w:val="18"/>
        </w:rPr>
        <w:t>Trata</w:t>
      </w:r>
      <w:r w:rsidR="001E1F5E" w:rsidRPr="00444606">
        <w:rPr>
          <w:rFonts w:ascii="Arial" w:hAnsi="Arial" w:cs="Arial"/>
          <w:b/>
          <w:sz w:val="18"/>
          <w:szCs w:val="18"/>
        </w:rPr>
        <w:t>miento del Indicador de Negocio</w:t>
      </w:r>
      <w:r w:rsidR="001B355A" w:rsidRPr="00444606">
        <w:rPr>
          <w:rFonts w:ascii="Arial" w:hAnsi="Arial" w:cs="Arial"/>
          <w:b/>
          <w:sz w:val="18"/>
          <w:szCs w:val="18"/>
        </w:rPr>
        <w:t xml:space="preserve"> (IN)</w:t>
      </w:r>
    </w:p>
    <w:p w14:paraId="2B83FE73" w14:textId="77777777" w:rsidR="001E1F5E" w:rsidRPr="00444606" w:rsidRDefault="001E1F5E" w:rsidP="001E1F5E">
      <w:pPr>
        <w:pStyle w:val="Prrafodelista"/>
        <w:tabs>
          <w:tab w:val="left" w:pos="540"/>
        </w:tabs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01C55BC5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El indicador de negocio se define como la suma de los siguientes componentes: </w:t>
      </w:r>
    </w:p>
    <w:p w14:paraId="0B5E4DD1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BDBF5B6" w14:textId="144A6E09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IN=CILD+ CS+CF</m:t>
          </m:r>
        </m:oMath>
      </m:oMathPara>
    </w:p>
    <w:p w14:paraId="006E2D17" w14:textId="77777777" w:rsidR="00EE7BB4" w:rsidRPr="00444606" w:rsidRDefault="00EE7BB4" w:rsidP="00EE7BB4">
      <w:pPr>
        <w:rPr>
          <w:rFonts w:ascii="Arial" w:hAnsi="Arial" w:cs="Arial"/>
          <w:sz w:val="18"/>
          <w:szCs w:val="18"/>
        </w:rPr>
      </w:pPr>
    </w:p>
    <w:p w14:paraId="1DC477B7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Donde: </w:t>
      </w:r>
    </w:p>
    <w:p w14:paraId="15316F57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4892301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IN</w:t>
      </w:r>
      <w:r w:rsidRPr="00444606">
        <w:rPr>
          <w:rFonts w:ascii="Arial" w:hAnsi="Arial" w:cs="Arial"/>
          <w:sz w:val="18"/>
          <w:szCs w:val="18"/>
        </w:rPr>
        <w:t>: Indicador de negocio</w:t>
      </w:r>
      <w:r w:rsidR="001E1F5E" w:rsidRPr="00444606">
        <w:rPr>
          <w:rFonts w:ascii="Arial" w:hAnsi="Arial" w:cs="Arial"/>
          <w:sz w:val="18"/>
          <w:szCs w:val="18"/>
        </w:rPr>
        <w:t>.</w:t>
      </w:r>
    </w:p>
    <w:p w14:paraId="3C1096A6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CILD</w:t>
      </w:r>
      <w:r w:rsidRPr="00444606">
        <w:rPr>
          <w:rFonts w:ascii="Arial" w:hAnsi="Arial" w:cs="Arial"/>
          <w:sz w:val="18"/>
          <w:szCs w:val="18"/>
        </w:rPr>
        <w:t>: Componente de intereses, operaciones de leasing y dividendos</w:t>
      </w:r>
      <w:r w:rsidR="001E1F5E" w:rsidRPr="00444606">
        <w:rPr>
          <w:rFonts w:ascii="Arial" w:hAnsi="Arial" w:cs="Arial"/>
          <w:sz w:val="18"/>
          <w:szCs w:val="18"/>
        </w:rPr>
        <w:t>.</w:t>
      </w:r>
    </w:p>
    <w:p w14:paraId="63701FC1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CS:</w:t>
      </w:r>
      <w:r w:rsidRPr="00444606">
        <w:rPr>
          <w:rFonts w:ascii="Arial" w:hAnsi="Arial" w:cs="Arial"/>
          <w:sz w:val="18"/>
          <w:szCs w:val="18"/>
        </w:rPr>
        <w:t xml:space="preserve"> Componente de servicios</w:t>
      </w:r>
      <w:r w:rsidR="001E1F5E" w:rsidRPr="00444606">
        <w:rPr>
          <w:rFonts w:ascii="Arial" w:hAnsi="Arial" w:cs="Arial"/>
          <w:sz w:val="18"/>
          <w:szCs w:val="18"/>
        </w:rPr>
        <w:t>.</w:t>
      </w:r>
      <w:r w:rsidRPr="00444606">
        <w:rPr>
          <w:rFonts w:ascii="Arial" w:hAnsi="Arial" w:cs="Arial"/>
          <w:sz w:val="18"/>
          <w:szCs w:val="18"/>
        </w:rPr>
        <w:t xml:space="preserve"> </w:t>
      </w:r>
    </w:p>
    <w:p w14:paraId="5F7F0F2B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CF:</w:t>
      </w:r>
      <w:r w:rsidRPr="00444606">
        <w:rPr>
          <w:rFonts w:ascii="Arial" w:hAnsi="Arial" w:cs="Arial"/>
          <w:sz w:val="18"/>
          <w:szCs w:val="18"/>
        </w:rPr>
        <w:t xml:space="preserve"> Componente financiero.</w:t>
      </w:r>
    </w:p>
    <w:p w14:paraId="2875DF95" w14:textId="49387EEF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</w:p>
    <w:p w14:paraId="176A728A" w14:textId="1FD857A8" w:rsidR="00215E7C" w:rsidRPr="00444606" w:rsidRDefault="00215E7C" w:rsidP="00322EA2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Para efectuar los cálculos del método estándar a nivel consolidado, las entidades deben utilizar las cifras del Indicador de Negocio (IN) a nivel consolidado.</w:t>
      </w:r>
    </w:p>
    <w:p w14:paraId="54C5C0F3" w14:textId="77777777" w:rsidR="00215E7C" w:rsidRPr="00444606" w:rsidRDefault="00215E7C" w:rsidP="00EE7BB4">
      <w:p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</w:p>
    <w:p w14:paraId="4D0F0D60" w14:textId="4CD387D9" w:rsidR="0096158E" w:rsidRPr="00444606" w:rsidRDefault="0096158E" w:rsidP="00EE7BB4">
      <w:pPr>
        <w:pStyle w:val="Prrafodelista"/>
        <w:numPr>
          <w:ilvl w:val="2"/>
          <w:numId w:val="1"/>
        </w:num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</w:rPr>
        <w:t>Compon</w:t>
      </w:r>
      <w:r w:rsidR="004716EF" w:rsidRPr="00444606">
        <w:rPr>
          <w:rFonts w:ascii="Arial" w:hAnsi="Arial" w:cs="Arial"/>
          <w:bCs/>
          <w:sz w:val="18"/>
          <w:szCs w:val="18"/>
        </w:rPr>
        <w:t>e</w:t>
      </w:r>
      <w:r w:rsidR="001B355A" w:rsidRPr="00444606">
        <w:rPr>
          <w:rFonts w:ascii="Arial" w:hAnsi="Arial" w:cs="Arial"/>
          <w:bCs/>
          <w:sz w:val="18"/>
          <w:szCs w:val="18"/>
        </w:rPr>
        <w:t>ntes del indicador de negocio (</w:t>
      </w:r>
      <w:r w:rsidR="004716EF" w:rsidRPr="00444606">
        <w:rPr>
          <w:rFonts w:ascii="Arial" w:hAnsi="Arial" w:cs="Arial"/>
          <w:bCs/>
          <w:sz w:val="18"/>
          <w:szCs w:val="18"/>
        </w:rPr>
        <w:t>IN</w:t>
      </w:r>
      <w:r w:rsidR="001B355A" w:rsidRPr="00444606">
        <w:rPr>
          <w:rFonts w:ascii="Arial" w:hAnsi="Arial" w:cs="Arial"/>
          <w:bCs/>
          <w:sz w:val="18"/>
          <w:szCs w:val="18"/>
        </w:rPr>
        <w:t>)</w:t>
      </w:r>
    </w:p>
    <w:p w14:paraId="55810932" w14:textId="77777777" w:rsidR="004716EF" w:rsidRPr="00444606" w:rsidRDefault="004716EF" w:rsidP="004716EF">
      <w:pPr>
        <w:pStyle w:val="Prrafodelista"/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</w:p>
    <w:p w14:paraId="524A9D87" w14:textId="31C9D4CD" w:rsidR="00EE7BB4" w:rsidRPr="00444606" w:rsidRDefault="00EE7BB4" w:rsidP="0096158E">
      <w:pPr>
        <w:pStyle w:val="Prrafodelista"/>
        <w:numPr>
          <w:ilvl w:val="3"/>
          <w:numId w:val="1"/>
        </w:num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</w:rPr>
        <w:t>Componente de intereses, operaciones de leasing y dividendos</w:t>
      </w:r>
      <w:r w:rsidR="001B355A" w:rsidRPr="00444606">
        <w:rPr>
          <w:rFonts w:ascii="Arial" w:hAnsi="Arial" w:cs="Arial"/>
          <w:bCs/>
          <w:sz w:val="18"/>
          <w:szCs w:val="18"/>
        </w:rPr>
        <w:t xml:space="preserve"> (</w:t>
      </w:r>
      <w:r w:rsidR="004716EF" w:rsidRPr="00444606">
        <w:rPr>
          <w:rFonts w:ascii="Arial" w:hAnsi="Arial" w:cs="Arial"/>
          <w:bCs/>
          <w:sz w:val="18"/>
          <w:szCs w:val="18"/>
        </w:rPr>
        <w:t>CI</w:t>
      </w:r>
      <w:r w:rsidR="00EB04B6" w:rsidRPr="00444606">
        <w:rPr>
          <w:rFonts w:ascii="Arial" w:hAnsi="Arial" w:cs="Arial"/>
          <w:bCs/>
          <w:sz w:val="18"/>
          <w:szCs w:val="18"/>
        </w:rPr>
        <w:t>L</w:t>
      </w:r>
      <w:r w:rsidR="004716EF" w:rsidRPr="00444606">
        <w:rPr>
          <w:rFonts w:ascii="Arial" w:hAnsi="Arial" w:cs="Arial"/>
          <w:bCs/>
          <w:sz w:val="18"/>
          <w:szCs w:val="18"/>
        </w:rPr>
        <w:t>D</w:t>
      </w:r>
      <w:r w:rsidR="001B355A" w:rsidRPr="00444606">
        <w:rPr>
          <w:rFonts w:ascii="Arial" w:hAnsi="Arial" w:cs="Arial"/>
          <w:bCs/>
          <w:sz w:val="18"/>
          <w:szCs w:val="18"/>
        </w:rPr>
        <w:t>)</w:t>
      </w:r>
    </w:p>
    <w:p w14:paraId="138A2022" w14:textId="77777777" w:rsidR="00EE7BB4" w:rsidRPr="00444606" w:rsidRDefault="00EE7BB4" w:rsidP="00EE7BB4">
      <w:pPr>
        <w:pStyle w:val="Prrafodelista"/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</w:p>
    <w:p w14:paraId="3B6FC719" w14:textId="2E88B0D6" w:rsidR="00EE7BB4" w:rsidRPr="00444606" w:rsidRDefault="001E1F5E" w:rsidP="00322EA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De acuerdo con los </w:t>
      </w:r>
      <w:r w:rsidR="00322EA2" w:rsidRPr="00444606">
        <w:rPr>
          <w:rFonts w:ascii="Arial" w:hAnsi="Arial" w:cs="Arial"/>
          <w:sz w:val="18"/>
          <w:szCs w:val="18"/>
        </w:rPr>
        <w:t>numerales 1.1</w:t>
      </w:r>
      <w:r w:rsidR="00854841" w:rsidRPr="00444606">
        <w:rPr>
          <w:rFonts w:ascii="Arial" w:hAnsi="Arial" w:cs="Arial"/>
          <w:sz w:val="18"/>
          <w:szCs w:val="18"/>
        </w:rPr>
        <w:t>, 1.6 y</w:t>
      </w:r>
      <w:r w:rsidRPr="00444606">
        <w:rPr>
          <w:rFonts w:ascii="Arial" w:hAnsi="Arial" w:cs="Arial"/>
          <w:sz w:val="18"/>
          <w:szCs w:val="18"/>
        </w:rPr>
        <w:t xml:space="preserve"> 1.7 del artículo 2.1.1.3.9 del Decreto 2555 de 2010, e</w:t>
      </w:r>
      <w:r w:rsidR="00EE7BB4" w:rsidRPr="00444606">
        <w:rPr>
          <w:rFonts w:ascii="Arial" w:hAnsi="Arial" w:cs="Arial"/>
          <w:sz w:val="18"/>
          <w:szCs w:val="18"/>
        </w:rPr>
        <w:t>l componente de intereses, operaciones d</w:t>
      </w:r>
      <w:r w:rsidR="008D60EB" w:rsidRPr="00444606">
        <w:rPr>
          <w:rFonts w:ascii="Arial" w:hAnsi="Arial" w:cs="Arial"/>
          <w:sz w:val="18"/>
          <w:szCs w:val="18"/>
        </w:rPr>
        <w:t>e leasing y dividendos</w:t>
      </w:r>
      <w:r w:rsidR="001B355A" w:rsidRPr="00444606">
        <w:rPr>
          <w:rFonts w:ascii="Arial" w:hAnsi="Arial" w:cs="Arial"/>
          <w:sz w:val="18"/>
          <w:szCs w:val="18"/>
        </w:rPr>
        <w:t xml:space="preserve"> (CILD)</w:t>
      </w:r>
      <w:r w:rsidR="008D60EB" w:rsidRPr="00444606">
        <w:rPr>
          <w:rFonts w:ascii="Arial" w:hAnsi="Arial" w:cs="Arial"/>
          <w:sz w:val="18"/>
          <w:szCs w:val="18"/>
        </w:rPr>
        <w:t xml:space="preserve"> </w:t>
      </w:r>
      <w:r w:rsidR="0058639A" w:rsidRPr="00444606">
        <w:rPr>
          <w:rFonts w:ascii="Arial" w:hAnsi="Arial" w:cs="Arial"/>
          <w:sz w:val="18"/>
          <w:szCs w:val="18"/>
        </w:rPr>
        <w:t>corresponde a</w:t>
      </w:r>
      <w:r w:rsidR="00EE7BB4" w:rsidRPr="00444606">
        <w:rPr>
          <w:rFonts w:ascii="Arial" w:hAnsi="Arial" w:cs="Arial"/>
          <w:sz w:val="18"/>
          <w:szCs w:val="18"/>
        </w:rPr>
        <w:t>:</w:t>
      </w:r>
    </w:p>
    <w:p w14:paraId="4A35DF46" w14:textId="77777777" w:rsidR="00EE7BB4" w:rsidRPr="00444606" w:rsidRDefault="00EE7BB4" w:rsidP="00EE7BB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4DF9CE8E" w14:textId="03760DD5" w:rsidR="00EB04B6" w:rsidRPr="00444606" w:rsidRDefault="00EB04B6" w:rsidP="00E2306D">
      <w:pPr>
        <w:rPr>
          <w:rFonts w:ascii="Arial" w:hAnsi="Arial" w:cs="Arial"/>
          <w:i/>
          <w:iCs/>
          <w:sz w:val="18"/>
          <w:szCs w:val="18"/>
          <w:lang w:val="es-CO"/>
        </w:rPr>
      </w:pPr>
    </w:p>
    <w:p w14:paraId="62FD5B99" w14:textId="719BF841" w:rsidR="00EB04B6" w:rsidRPr="00444606" w:rsidRDefault="00EB04B6" w:rsidP="00EE7BB4">
      <w:pPr>
        <w:jc w:val="center"/>
        <w:rPr>
          <w:rFonts w:ascii="Arial" w:hAnsi="Arial" w:cs="Arial"/>
          <w:i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CILD=MIN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bar>
                <m:barPr>
                  <m:pos m:val="top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Ingresos Netos</m:t>
                  </m:r>
                </m:e>
              </m:bar>
              <m:r>
                <w:rPr>
                  <w:rFonts w:ascii="Cambria Math" w:hAnsi="Cambria Math" w:cs="Arial"/>
                  <w:sz w:val="18"/>
                  <w:szCs w:val="18"/>
                </w:rPr>
                <m:t>;2,25%*</m:t>
              </m:r>
              <m:bar>
                <m:barPr>
                  <m:pos m:val="top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Activos que Devengan Intereses</m:t>
                  </m:r>
                </m:e>
              </m:bar>
            </m:e>
          </m:d>
          <m:r>
            <w:rPr>
              <w:rFonts w:ascii="Cambria Math" w:eastAsiaTheme="minorEastAsia" w:hAnsi="Cambria Math" w:cs="Arial"/>
              <w:sz w:val="18"/>
              <w:szCs w:val="18"/>
            </w:rPr>
            <m:t>+</m:t>
          </m:r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barPr>
            <m:e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Ingresos por Dividendos</m:t>
              </m:r>
            </m:e>
          </m:bar>
        </m:oMath>
      </m:oMathPara>
    </w:p>
    <w:p w14:paraId="11497DA0" w14:textId="4B651314" w:rsidR="00EB04B6" w:rsidRPr="00444606" w:rsidRDefault="00EB04B6" w:rsidP="00EB04B6">
      <w:pPr>
        <w:rPr>
          <w:rFonts w:ascii="Arial" w:hAnsi="Arial" w:cs="Arial"/>
          <w:i/>
          <w:sz w:val="18"/>
          <w:szCs w:val="18"/>
        </w:rPr>
      </w:pPr>
    </w:p>
    <w:p w14:paraId="577017F3" w14:textId="2202F303" w:rsidR="00EE7BB4" w:rsidRPr="00444606" w:rsidRDefault="00EE7BB4" w:rsidP="00EE7BB4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CO"/>
        </w:rPr>
      </w:pPr>
    </w:p>
    <w:p w14:paraId="3E16E075" w14:textId="466B12DE" w:rsidR="00EB04B6" w:rsidRPr="00444606" w:rsidRDefault="00EB04B6" w:rsidP="00322EA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  <w:lang w:val="es-CO"/>
        </w:rPr>
        <w:t>L</w:t>
      </w:r>
      <w:r w:rsidRPr="00444606">
        <w:rPr>
          <w:rFonts w:ascii="Arial" w:hAnsi="Arial" w:cs="Arial"/>
          <w:sz w:val="18"/>
          <w:szCs w:val="18"/>
        </w:rPr>
        <w:t>as barras que aparecen encima de los términos indican que estos se calculan como el promedio de tres años: t, t-1 y t-2.</w:t>
      </w:r>
    </w:p>
    <w:p w14:paraId="2116446D" w14:textId="6E4BC53D" w:rsidR="00EB04B6" w:rsidRPr="00444606" w:rsidRDefault="00EB04B6" w:rsidP="00EE7BB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BDAA57A" w14:textId="02EF009A" w:rsidR="00EB04B6" w:rsidRPr="00444606" w:rsidRDefault="002F6BE1" w:rsidP="00EE7BB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Los ingresos netos corresponden</w:t>
      </w:r>
      <w:r w:rsidR="00EB04B6" w:rsidRPr="00444606">
        <w:rPr>
          <w:rFonts w:ascii="Arial" w:hAnsi="Arial" w:cs="Arial"/>
          <w:sz w:val="18"/>
          <w:szCs w:val="18"/>
        </w:rPr>
        <w:t xml:space="preserve"> a</w:t>
      </w:r>
      <w:r w:rsidR="0080775B" w:rsidRPr="00444606">
        <w:rPr>
          <w:rFonts w:ascii="Arial" w:hAnsi="Arial" w:cs="Arial"/>
          <w:sz w:val="18"/>
          <w:szCs w:val="18"/>
        </w:rPr>
        <w:t>l valor absoluto anual</w:t>
      </w:r>
      <w:r w:rsidR="00F9515E" w:rsidRPr="00444606">
        <w:rPr>
          <w:rFonts w:ascii="Arial" w:hAnsi="Arial" w:cs="Arial"/>
          <w:sz w:val="18"/>
          <w:szCs w:val="18"/>
        </w:rPr>
        <w:t xml:space="preserve"> conforme a</w:t>
      </w:r>
      <w:r w:rsidR="0097517C" w:rsidRPr="00444606">
        <w:rPr>
          <w:rFonts w:ascii="Arial" w:hAnsi="Arial" w:cs="Arial"/>
          <w:sz w:val="18"/>
          <w:szCs w:val="18"/>
        </w:rPr>
        <w:t xml:space="preserve"> la siguiente ecuación</w:t>
      </w:r>
      <w:r w:rsidR="00EB04B6" w:rsidRPr="00444606">
        <w:rPr>
          <w:rFonts w:ascii="Arial" w:hAnsi="Arial" w:cs="Arial"/>
          <w:sz w:val="18"/>
          <w:szCs w:val="18"/>
        </w:rPr>
        <w:t xml:space="preserve">:  </w:t>
      </w:r>
    </w:p>
    <w:p w14:paraId="3E06F787" w14:textId="1E9E2E91" w:rsidR="00EB04B6" w:rsidRPr="00444606" w:rsidRDefault="00666F0D" w:rsidP="00EE7BB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m:oMathPara>
        <m:oMath>
          <m:sSub>
            <m:sSub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Ingresos Netos</m:t>
              </m:r>
            </m:e>
            <m: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t</m:t>
              </m:r>
            </m:sub>
          </m:sSub>
          <m:r>
            <w:rPr>
              <w:rFonts w:ascii="Cambria Math" w:eastAsiaTheme="minorEastAsia" w:hAnsi="Cambria Math" w:cs="Arial"/>
              <w:sz w:val="18"/>
              <w:szCs w:val="1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i=1</m:t>
                  </m:r>
                </m:sub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12 (4)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ingresos por intereses y operaciones de leasing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 xml:space="preserve">- 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12 (4)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gastos por intereses y operaciones de leasing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</m:e>
                  </m:nary>
                </m:e>
              </m:nary>
            </m:e>
          </m:d>
        </m:oMath>
      </m:oMathPara>
    </w:p>
    <w:p w14:paraId="0EB82738" w14:textId="003CF886" w:rsidR="00EB04B6" w:rsidRPr="00444606" w:rsidRDefault="00EB04B6" w:rsidP="00EE7BB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74BE1EA" w14:textId="4F892AE7" w:rsidR="00500146" w:rsidRPr="00444606" w:rsidRDefault="00EB04B6" w:rsidP="004445DE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Donde </w:t>
      </w:r>
      <m:oMath>
        <m:r>
          <w:rPr>
            <w:rFonts w:ascii="Cambria Math" w:hAnsi="Cambria Math" w:cs="Arial"/>
            <w:sz w:val="18"/>
            <w:szCs w:val="18"/>
          </w:rPr>
          <m:t>i</m:t>
        </m:r>
      </m:oMath>
      <w:r w:rsidRPr="00444606">
        <w:rPr>
          <w:rFonts w:ascii="Arial" w:hAnsi="Arial" w:cs="Arial"/>
          <w:sz w:val="18"/>
          <w:szCs w:val="18"/>
        </w:rPr>
        <w:t xml:space="preserve"> representa los 12 cortes mensuales</w:t>
      </w:r>
      <w:r w:rsidR="00071C0A" w:rsidRPr="00444606">
        <w:rPr>
          <w:rFonts w:ascii="Arial" w:hAnsi="Arial" w:cs="Arial"/>
          <w:sz w:val="18"/>
          <w:szCs w:val="18"/>
        </w:rPr>
        <w:t xml:space="preserve"> </w:t>
      </w:r>
      <w:r w:rsidR="000F41E3" w:rsidRPr="00444606">
        <w:rPr>
          <w:rFonts w:ascii="Arial" w:hAnsi="Arial" w:cs="Arial"/>
          <w:sz w:val="18"/>
          <w:szCs w:val="18"/>
        </w:rPr>
        <w:t xml:space="preserve">para el reporte </w:t>
      </w:r>
      <w:r w:rsidR="00071C0A" w:rsidRPr="00444606">
        <w:rPr>
          <w:rFonts w:ascii="Arial" w:hAnsi="Arial" w:cs="Arial"/>
          <w:sz w:val="18"/>
          <w:szCs w:val="18"/>
        </w:rPr>
        <w:t>individual</w:t>
      </w:r>
      <w:r w:rsidR="000F41E3" w:rsidRPr="00444606">
        <w:rPr>
          <w:rFonts w:ascii="Arial" w:hAnsi="Arial" w:cs="Arial"/>
          <w:sz w:val="18"/>
          <w:szCs w:val="18"/>
        </w:rPr>
        <w:t xml:space="preserve"> </w:t>
      </w:r>
      <w:r w:rsidR="00071C0A" w:rsidRPr="00444606">
        <w:rPr>
          <w:rFonts w:ascii="Arial" w:hAnsi="Arial" w:cs="Arial"/>
          <w:sz w:val="18"/>
          <w:szCs w:val="18"/>
        </w:rPr>
        <w:t xml:space="preserve">o 4 cortes trimestrales </w:t>
      </w:r>
      <w:r w:rsidR="000F41E3" w:rsidRPr="00444606">
        <w:rPr>
          <w:rFonts w:ascii="Arial" w:hAnsi="Arial" w:cs="Arial"/>
          <w:sz w:val="18"/>
          <w:szCs w:val="18"/>
        </w:rPr>
        <w:t xml:space="preserve">para el reporte </w:t>
      </w:r>
      <w:r w:rsidR="00071C0A" w:rsidRPr="00444606">
        <w:rPr>
          <w:rFonts w:ascii="Arial" w:hAnsi="Arial" w:cs="Arial"/>
          <w:sz w:val="18"/>
          <w:szCs w:val="18"/>
        </w:rPr>
        <w:t>consolidado</w:t>
      </w:r>
      <w:r w:rsidR="000F41E3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 xml:space="preserve">de cada año </w:t>
      </w:r>
      <m:oMath>
        <m:r>
          <w:rPr>
            <w:rFonts w:ascii="Cambria Math" w:hAnsi="Cambria Math" w:cs="Arial"/>
            <w:sz w:val="18"/>
            <w:szCs w:val="18"/>
          </w:rPr>
          <m:t>t</m:t>
        </m:r>
      </m:oMath>
      <w:r w:rsidRPr="00444606">
        <w:rPr>
          <w:rFonts w:ascii="Arial" w:hAnsi="Arial" w:cs="Arial"/>
          <w:sz w:val="18"/>
          <w:szCs w:val="18"/>
        </w:rPr>
        <w:t xml:space="preserve">, </w:t>
      </w:r>
      <m:oMath>
        <m:r>
          <w:rPr>
            <w:rFonts w:ascii="Cambria Math" w:hAnsi="Cambria Math" w:cs="Arial"/>
            <w:sz w:val="18"/>
            <w:szCs w:val="18"/>
          </w:rPr>
          <m:t>t</m:t>
        </m:r>
        <m:r>
          <m:rPr>
            <m:sty m:val="p"/>
          </m:rPr>
          <w:rPr>
            <w:rFonts w:ascii="Cambria Math" w:hAnsi="Cambria Math" w:cs="Arial"/>
            <w:sz w:val="18"/>
            <w:szCs w:val="18"/>
          </w:rPr>
          <m:t>-1</m:t>
        </m:r>
      </m:oMath>
      <w:r w:rsidRPr="00444606">
        <w:rPr>
          <w:rFonts w:ascii="Arial" w:hAnsi="Arial" w:cs="Arial"/>
          <w:sz w:val="18"/>
          <w:szCs w:val="18"/>
        </w:rPr>
        <w:t xml:space="preserve"> y </w:t>
      </w:r>
      <m:oMath>
        <m:r>
          <w:rPr>
            <w:rFonts w:ascii="Cambria Math" w:hAnsi="Cambria Math" w:cs="Arial"/>
            <w:sz w:val="18"/>
            <w:szCs w:val="18"/>
          </w:rPr>
          <m:t>t</m:t>
        </m:r>
        <m:r>
          <m:rPr>
            <m:sty m:val="p"/>
          </m:rPr>
          <w:rPr>
            <w:rFonts w:ascii="Cambria Math" w:hAnsi="Cambria Math" w:cs="Arial"/>
            <w:sz w:val="18"/>
            <w:szCs w:val="18"/>
          </w:rPr>
          <m:t>-2</m:t>
        </m:r>
      </m:oMath>
      <w:r w:rsidRPr="00444606">
        <w:rPr>
          <w:rFonts w:ascii="Arial" w:hAnsi="Arial" w:cs="Arial"/>
          <w:sz w:val="18"/>
          <w:szCs w:val="18"/>
        </w:rPr>
        <w:t>. Para el año</w:t>
      </w:r>
      <m:oMath>
        <m:r>
          <m:rPr>
            <m:sty m:val="p"/>
          </m:rPr>
          <w:rPr>
            <w:rFonts w:ascii="Cambria Math" w:hAnsi="Cambria Math" w:cs="Arial"/>
            <w:sz w:val="18"/>
            <w:szCs w:val="18"/>
          </w:rPr>
          <m:t xml:space="preserve"> </m:t>
        </m:r>
        <m:r>
          <w:rPr>
            <w:rFonts w:ascii="Cambria Math" w:hAnsi="Cambria Math" w:cs="Arial"/>
            <w:sz w:val="18"/>
            <w:szCs w:val="18"/>
          </w:rPr>
          <m:t>t</m:t>
        </m:r>
      </m:oMath>
      <w:r w:rsidRPr="00444606">
        <w:rPr>
          <w:rFonts w:ascii="Arial" w:hAnsi="Arial" w:cs="Arial"/>
          <w:sz w:val="18"/>
          <w:szCs w:val="18"/>
        </w:rPr>
        <w:t xml:space="preserve"> deben tomarse los 12 cortes mensuales </w:t>
      </w:r>
      <w:r w:rsidR="000F41E3" w:rsidRPr="00444606">
        <w:rPr>
          <w:rFonts w:ascii="Arial" w:hAnsi="Arial" w:cs="Arial"/>
          <w:sz w:val="18"/>
          <w:szCs w:val="18"/>
        </w:rPr>
        <w:t xml:space="preserve">o 4 cortes trimestrales </w:t>
      </w:r>
      <w:r w:rsidRPr="00444606">
        <w:rPr>
          <w:rFonts w:ascii="Arial" w:hAnsi="Arial" w:cs="Arial"/>
          <w:sz w:val="18"/>
          <w:szCs w:val="18"/>
        </w:rPr>
        <w:t>más recientes, incluyendo el mes de corte de la información a reportar.</w:t>
      </w:r>
    </w:p>
    <w:p w14:paraId="19B6C257" w14:textId="77777777" w:rsidR="00500146" w:rsidRPr="00444606" w:rsidRDefault="00500146" w:rsidP="000A78A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CO"/>
        </w:rPr>
      </w:pPr>
    </w:p>
    <w:p w14:paraId="29584AFB" w14:textId="0476E533" w:rsidR="00EE7BB4" w:rsidRPr="00444606" w:rsidRDefault="001E1F5E" w:rsidP="000A78A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CO"/>
        </w:rPr>
      </w:pPr>
      <w:r w:rsidRPr="00444606">
        <w:rPr>
          <w:rFonts w:ascii="Arial" w:hAnsi="Arial" w:cs="Arial"/>
          <w:sz w:val="18"/>
          <w:szCs w:val="18"/>
          <w:lang w:val="es-CO"/>
        </w:rPr>
        <w:t xml:space="preserve">Para estos efectos, se deben considerar los siguientes conceptos y cuentas del </w:t>
      </w:r>
      <w:r w:rsidR="00C64EFC" w:rsidRPr="00444606">
        <w:rPr>
          <w:rFonts w:ascii="Arial" w:hAnsi="Arial" w:cs="Arial"/>
          <w:sz w:val="18"/>
          <w:szCs w:val="18"/>
          <w:lang w:val="es-CO"/>
        </w:rPr>
        <w:t>CUIF</w:t>
      </w:r>
      <w:r w:rsidRPr="00444606">
        <w:rPr>
          <w:rFonts w:ascii="Arial" w:hAnsi="Arial" w:cs="Arial"/>
          <w:sz w:val="18"/>
          <w:szCs w:val="18"/>
          <w:lang w:val="es-CO"/>
        </w:rPr>
        <w:t>:</w:t>
      </w:r>
    </w:p>
    <w:p w14:paraId="3B41508E" w14:textId="77777777" w:rsidR="00EE7BB4" w:rsidRPr="00444606" w:rsidRDefault="00EE7BB4" w:rsidP="00EE7BB4">
      <w:p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  <w:lang w:val="es-CO"/>
        </w:rPr>
      </w:pPr>
    </w:p>
    <w:p w14:paraId="53BC3B77" w14:textId="11D0A43F" w:rsidR="00EE7BB4" w:rsidRPr="00444606" w:rsidRDefault="00DA6D6E" w:rsidP="001E1F5E">
      <w:pPr>
        <w:pStyle w:val="Prrafodelista"/>
        <w:numPr>
          <w:ilvl w:val="0"/>
          <w:numId w:val="8"/>
        </w:numPr>
        <w:tabs>
          <w:tab w:val="left" w:pos="540"/>
        </w:tabs>
        <w:spacing w:after="20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  <w:lang w:val="es-CO"/>
        </w:rPr>
        <w:lastRenderedPageBreak/>
        <w:t>Ingresos por intereses</w:t>
      </w:r>
      <w:r w:rsidR="00A87AA4" w:rsidRPr="00444606">
        <w:rPr>
          <w:rFonts w:ascii="Arial" w:hAnsi="Arial" w:cs="Arial"/>
          <w:bCs/>
          <w:sz w:val="18"/>
          <w:szCs w:val="18"/>
          <w:lang w:val="es-CO"/>
        </w:rPr>
        <w:t xml:space="preserve"> y operaciones de leasing</w:t>
      </w:r>
      <w:r w:rsidRPr="00444606">
        <w:rPr>
          <w:rFonts w:ascii="Arial" w:hAnsi="Arial" w:cs="Arial"/>
          <w:bCs/>
          <w:sz w:val="18"/>
          <w:szCs w:val="18"/>
          <w:lang w:val="es-CO"/>
        </w:rPr>
        <w:t>: Corresponde</w:t>
      </w:r>
      <w:r w:rsidRPr="00444606">
        <w:rPr>
          <w:rFonts w:ascii="Arial" w:hAnsi="Arial" w:cs="Arial"/>
          <w:sz w:val="18"/>
          <w:szCs w:val="18"/>
          <w:lang w:val="es-CO"/>
        </w:rPr>
        <w:t xml:space="preserve"> a los ingresos por intereses de todos los activos financieros y otros ingresos por intereses </w:t>
      </w:r>
      <w:r w:rsidR="00BC61F8" w:rsidRPr="00444606">
        <w:rPr>
          <w:rFonts w:ascii="Arial" w:hAnsi="Arial" w:cs="Arial"/>
          <w:sz w:val="18"/>
          <w:szCs w:val="18"/>
          <w:lang w:val="es-CO"/>
        </w:rPr>
        <w:t>(incluye el ingreso por intereses de leasing o arriendos financieros y operativos, y ganancias por activos en arriendo)</w:t>
      </w:r>
      <w:r w:rsidR="001E1F5E" w:rsidRPr="00444606">
        <w:rPr>
          <w:rFonts w:ascii="Arial" w:hAnsi="Arial" w:cs="Arial"/>
          <w:sz w:val="18"/>
          <w:szCs w:val="18"/>
          <w:lang w:val="es-CO"/>
        </w:rPr>
        <w:t xml:space="preserve">: </w:t>
      </w:r>
    </w:p>
    <w:tbl>
      <w:tblPr>
        <w:tblW w:w="74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61"/>
        <w:gridCol w:w="751"/>
        <w:gridCol w:w="4744"/>
      </w:tblGrid>
      <w:tr w:rsidR="00C50596" w:rsidRPr="00444606" w14:paraId="3B2650CA" w14:textId="77777777" w:rsidTr="00FB01B7">
        <w:trPr>
          <w:trHeight w:val="300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74222F0" w14:textId="77777777" w:rsidR="00C50596" w:rsidRPr="00444606" w:rsidRDefault="00C50596" w:rsidP="002F6B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Concepto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4341CE" w14:textId="77777777" w:rsidR="00C50596" w:rsidRPr="00444606" w:rsidRDefault="00C50596" w:rsidP="002F6B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Fuente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24055FA" w14:textId="77777777" w:rsidR="00C50596" w:rsidRPr="00444606" w:rsidRDefault="00C50596" w:rsidP="002F6B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Cuenta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492F1F01" w14:textId="77777777" w:rsidR="00C50596" w:rsidRPr="00444606" w:rsidRDefault="00C50596" w:rsidP="002F6B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Descripción</w:t>
            </w:r>
          </w:p>
        </w:tc>
      </w:tr>
      <w:tr w:rsidR="00C50596" w:rsidRPr="00444606" w14:paraId="4F051420" w14:textId="77777777" w:rsidTr="00C50596">
        <w:trPr>
          <w:trHeight w:val="300"/>
          <w:jc w:val="center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63969" w14:textId="18FC8DF1" w:rsidR="00C50596" w:rsidRPr="00444606" w:rsidRDefault="00C50596" w:rsidP="001942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Ingresos por intereses</w:t>
            </w:r>
            <w:r w:rsidR="00D5661A"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="00145792"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y operaciones de leasing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55DCA" w14:textId="77777777" w:rsidR="00C50596" w:rsidRPr="00444606" w:rsidRDefault="00C50596" w:rsidP="001942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Catálogo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F6C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410202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4B4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Créditos comerciales</w:t>
            </w:r>
          </w:p>
        </w:tc>
      </w:tr>
      <w:tr w:rsidR="00C50596" w:rsidRPr="00444606" w14:paraId="250944E5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E9B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EB8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F3F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410204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5B38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Créditos de consumo</w:t>
            </w:r>
          </w:p>
        </w:tc>
      </w:tr>
      <w:tr w:rsidR="00C50596" w:rsidRPr="00444606" w14:paraId="33A0AD27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C56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F3C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1B8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410206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8B16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Cartera de tarjetas de crédito comercial</w:t>
            </w:r>
          </w:p>
        </w:tc>
      </w:tr>
      <w:tr w:rsidR="00C50596" w:rsidRPr="00444606" w14:paraId="48E1C8BD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6EF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8DC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7856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410208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D56E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Sobregiros créditos comerciales</w:t>
            </w:r>
          </w:p>
        </w:tc>
      </w:tr>
      <w:tr w:rsidR="00C50596" w:rsidRPr="00444606" w14:paraId="10B989C8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D1E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68B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6B3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410210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C6B02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Créditos de vivienda y leasing habitacional</w:t>
            </w:r>
          </w:p>
        </w:tc>
      </w:tr>
      <w:tr w:rsidR="00C50596" w:rsidRPr="00444606" w14:paraId="0B486EA8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836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577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67E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410212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772B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Microcréditos</w:t>
            </w:r>
          </w:p>
        </w:tc>
      </w:tr>
      <w:tr w:rsidR="00C50596" w:rsidRPr="00444606" w14:paraId="165A7E92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DA40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C46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A17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410214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A65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Cartera de tarjetas de crédito consumo</w:t>
            </w:r>
          </w:p>
        </w:tc>
      </w:tr>
      <w:tr w:rsidR="00C50596" w:rsidRPr="00444606" w14:paraId="48BE7595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72D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819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80F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410216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1F23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Sobregiros créditos consumo</w:t>
            </w:r>
          </w:p>
        </w:tc>
      </w:tr>
      <w:tr w:rsidR="00C50596" w:rsidRPr="00444606" w14:paraId="22B0BC24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B1B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8CF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538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410218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FDF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factoring</w:t>
            </w:r>
          </w:p>
        </w:tc>
      </w:tr>
      <w:tr w:rsidR="00C50596" w:rsidRPr="00444606" w14:paraId="36F85623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642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0DE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44F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410220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3713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Conceptos reputados intereses</w:t>
            </w:r>
          </w:p>
        </w:tc>
      </w:tr>
      <w:tr w:rsidR="00C50596" w:rsidRPr="00444606" w14:paraId="38A0FBD7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50B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215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14E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410222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6C8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descuento de cartera comercial</w:t>
            </w:r>
          </w:p>
        </w:tc>
      </w:tr>
      <w:tr w:rsidR="00C50596" w:rsidRPr="00444606" w14:paraId="4BBA7948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2FF0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DD2F2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4FB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410224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8724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descuento de cartera de consumo</w:t>
            </w:r>
          </w:p>
        </w:tc>
      </w:tr>
      <w:tr w:rsidR="00C50596" w:rsidRPr="00444606" w14:paraId="35E5314F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9CD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D9B6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088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410228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F6AE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descuento de cartera de microcrédito</w:t>
            </w:r>
          </w:p>
        </w:tc>
      </w:tr>
      <w:tr w:rsidR="00C50596" w:rsidRPr="00444606" w14:paraId="5224E063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710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DE6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EC7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410230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2D6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redescuento de cartera consumo</w:t>
            </w:r>
          </w:p>
        </w:tc>
      </w:tr>
      <w:tr w:rsidR="00C50596" w:rsidRPr="00444606" w14:paraId="34011A84" w14:textId="77777777" w:rsidTr="00C50596">
        <w:trPr>
          <w:trHeight w:val="36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10E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419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400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410232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10D8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redescuento de cartera de vivienda y leasing habitacional</w:t>
            </w:r>
          </w:p>
        </w:tc>
      </w:tr>
      <w:tr w:rsidR="00C50596" w:rsidRPr="00444606" w14:paraId="7BAA9619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0D0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700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BC1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410234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0045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redescuento de cartera comercial</w:t>
            </w:r>
          </w:p>
        </w:tc>
      </w:tr>
      <w:tr w:rsidR="00C50596" w:rsidRPr="00444606" w14:paraId="400936DA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2CF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477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3E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410236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593B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redescuento de cartera de microcrédito</w:t>
            </w:r>
          </w:p>
        </w:tc>
      </w:tr>
      <w:tr w:rsidR="00C50596" w:rsidRPr="00444606" w14:paraId="64EE9DA2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1D3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AC0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707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410238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82F6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Moratorios cartera de consumo</w:t>
            </w:r>
          </w:p>
        </w:tc>
      </w:tr>
      <w:tr w:rsidR="00C50596" w:rsidRPr="00444606" w14:paraId="049AB7E9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381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242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60D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410240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97AF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Moratorios cartera de vivienda y leasing habitacional</w:t>
            </w:r>
          </w:p>
        </w:tc>
      </w:tr>
      <w:tr w:rsidR="00C50596" w:rsidRPr="00444606" w14:paraId="2926E9DA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0830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E92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DE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410242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2236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Moratorios cartera comercial</w:t>
            </w:r>
          </w:p>
        </w:tc>
      </w:tr>
      <w:tr w:rsidR="00C50596" w:rsidRPr="00444606" w14:paraId="0A438822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095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255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DA9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410244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57D5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Moratorios cartera de microcrédito</w:t>
            </w:r>
          </w:p>
        </w:tc>
      </w:tr>
      <w:tr w:rsidR="00C50596" w:rsidRPr="00444606" w14:paraId="0C69ED37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2FC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E4A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6C3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410246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F3D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Líneas de crédito externas</w:t>
            </w:r>
          </w:p>
        </w:tc>
      </w:tr>
      <w:tr w:rsidR="00C50596" w:rsidRPr="00444606" w14:paraId="25580BA9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1FC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375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069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410248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321A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Deuda externa privada - resol. 33/84 y 17/87</w:t>
            </w:r>
          </w:p>
        </w:tc>
      </w:tr>
      <w:tr w:rsidR="00C50596" w:rsidRPr="00444606" w14:paraId="09167CB0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09B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A71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E46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410250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88B4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Cupos de liquidez sistema financiero</w:t>
            </w:r>
          </w:p>
        </w:tc>
      </w:tr>
      <w:tr w:rsidR="00C50596" w:rsidRPr="00444606" w14:paraId="28133CC3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12E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ECC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655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410295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56C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Otros</w:t>
            </w:r>
          </w:p>
        </w:tc>
      </w:tr>
      <w:tr w:rsidR="00C50596" w:rsidRPr="00444606" w14:paraId="065012AC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DFE2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88D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77B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410515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E883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Aportes en organismos internacionales</w:t>
            </w:r>
          </w:p>
        </w:tc>
      </w:tr>
      <w:tr w:rsidR="00C50596" w:rsidRPr="00444606" w14:paraId="5926E1BB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099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5C5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4CD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410905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FE9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Intereses</w:t>
            </w:r>
          </w:p>
        </w:tc>
      </w:tr>
      <w:tr w:rsidR="00C50596" w:rsidRPr="00444606" w14:paraId="3E29DAB3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96D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13D2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24F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411005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3B7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Depósitos a la vista</w:t>
            </w:r>
          </w:p>
        </w:tc>
      </w:tr>
      <w:tr w:rsidR="00C50596" w:rsidRPr="00444606" w14:paraId="10D9F5E8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EB6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C6B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82E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411010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57C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Cartera de créditos</w:t>
            </w:r>
          </w:p>
        </w:tc>
      </w:tr>
      <w:tr w:rsidR="00C50596" w:rsidRPr="00444606" w14:paraId="5B202312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85B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C5C6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264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411015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65A9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leasing financiero</w:t>
            </w:r>
          </w:p>
        </w:tc>
      </w:tr>
      <w:tr w:rsidR="00C50596" w:rsidRPr="00444606" w14:paraId="316639CC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583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CDF6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0EA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412700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6CD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venta de cartera</w:t>
            </w:r>
          </w:p>
        </w:tc>
      </w:tr>
      <w:tr w:rsidR="00C50596" w:rsidRPr="00444606" w14:paraId="66C28192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17A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6BF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883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413005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1DF3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Bienes recibidos en pago</w:t>
            </w:r>
          </w:p>
        </w:tc>
      </w:tr>
      <w:tr w:rsidR="00C50596" w:rsidRPr="00444606" w14:paraId="64DA0C21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9CD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1BE0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365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413010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A861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Bienes restituidos de contrato de leasing</w:t>
            </w:r>
          </w:p>
        </w:tc>
      </w:tr>
      <w:tr w:rsidR="00C50596" w:rsidRPr="00444606" w14:paraId="775D6DB4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06D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54C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3AB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413095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2CDE2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Otros activos no corrientes mantenidos para la venta</w:t>
            </w:r>
          </w:p>
        </w:tc>
      </w:tr>
      <w:tr w:rsidR="00C50596" w:rsidRPr="00444606" w14:paraId="2648C029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935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61A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E0F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414505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E647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Cajillas de seguridad</w:t>
            </w:r>
          </w:p>
        </w:tc>
      </w:tr>
      <w:tr w:rsidR="00C50596" w:rsidRPr="00444606" w14:paraId="10F0D180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9D8A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9D43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DCE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414510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90B72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Medios de pago</w:t>
            </w:r>
          </w:p>
        </w:tc>
      </w:tr>
      <w:tr w:rsidR="00C50596" w:rsidRPr="00444606" w14:paraId="4D356A3E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E42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99E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B03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414515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44B5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Inmuebles</w:t>
            </w:r>
          </w:p>
        </w:tc>
      </w:tr>
      <w:tr w:rsidR="00C50596" w:rsidRPr="00444606" w14:paraId="5F93A756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B966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2E9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E51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414595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4B6E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Otros</w:t>
            </w:r>
          </w:p>
        </w:tc>
      </w:tr>
      <w:tr w:rsidR="00C50596" w:rsidRPr="00444606" w14:paraId="0A898E46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7E8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1880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DD90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418050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A8E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Propiedades y equipo en arrendamiento operativo</w:t>
            </w:r>
          </w:p>
        </w:tc>
      </w:tr>
      <w:tr w:rsidR="00C50596" w:rsidRPr="00444606" w14:paraId="10489146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C0E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8E4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E9C6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419605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4DE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Cánones de arrendamiento de leasing operativo</w:t>
            </w:r>
          </w:p>
        </w:tc>
      </w:tr>
      <w:tr w:rsidR="00C50596" w:rsidRPr="00444606" w14:paraId="18572B44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E88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0C96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CC80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419610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4E00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Utilidad en venta de activos en leasing financiero</w:t>
            </w:r>
          </w:p>
        </w:tc>
      </w:tr>
      <w:tr w:rsidR="00C50596" w:rsidRPr="00444606" w14:paraId="75A1518A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841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CBD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78A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419615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7DE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Utilidad en venta de activos en leasing operativo</w:t>
            </w:r>
          </w:p>
        </w:tc>
      </w:tr>
      <w:tr w:rsidR="00C50596" w:rsidRPr="00444606" w14:paraId="6CA108BC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21989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871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73E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419620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D94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Sanciones por incumplimiento en contratos de leasing financiero</w:t>
            </w:r>
          </w:p>
        </w:tc>
      </w:tr>
      <w:tr w:rsidR="00C50596" w:rsidRPr="00444606" w14:paraId="55A275C4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0EF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FDB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2E6C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419625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B00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Componente financiero de leasing financiero -consumo</w:t>
            </w:r>
          </w:p>
        </w:tc>
      </w:tr>
      <w:tr w:rsidR="00C50596" w:rsidRPr="00444606" w14:paraId="10F08A03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D63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D90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4567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419630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420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Componente financiero de leasing financiero -comercial</w:t>
            </w:r>
          </w:p>
        </w:tc>
      </w:tr>
      <w:tr w:rsidR="00C50596" w:rsidRPr="00444606" w14:paraId="0113473D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5D6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D065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9154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419635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906CE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Componente financiero de leasing financiero -microcrédito</w:t>
            </w:r>
          </w:p>
        </w:tc>
      </w:tr>
      <w:tr w:rsidR="00C50596" w:rsidRPr="00444606" w14:paraId="7D62A066" w14:textId="77777777" w:rsidTr="00C505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9958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A8ED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56DF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419640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B3DB" w14:textId="77777777" w:rsidR="00C50596" w:rsidRPr="00444606" w:rsidRDefault="00C50596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Componente financiero de leasing habitacional</w:t>
            </w:r>
          </w:p>
        </w:tc>
      </w:tr>
    </w:tbl>
    <w:p w14:paraId="549D7C1A" w14:textId="77777777" w:rsidR="001E1F5E" w:rsidRPr="00444606" w:rsidRDefault="001E1F5E" w:rsidP="001E1F5E">
      <w:pPr>
        <w:pStyle w:val="Prrafodelista"/>
        <w:tabs>
          <w:tab w:val="left" w:pos="540"/>
        </w:tabs>
        <w:spacing w:after="200" w:line="276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14:paraId="38AED3FA" w14:textId="6620B631" w:rsidR="00BC61F8" w:rsidRPr="00444606" w:rsidRDefault="00BC61F8" w:rsidP="00CE7124">
      <w:pPr>
        <w:pStyle w:val="Prrafodelista"/>
        <w:numPr>
          <w:ilvl w:val="0"/>
          <w:numId w:val="8"/>
        </w:numPr>
        <w:tabs>
          <w:tab w:val="left" w:pos="540"/>
        </w:tabs>
        <w:spacing w:after="20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  <w:lang w:val="es-CO"/>
        </w:rPr>
        <w:t>Gastos por intereses</w:t>
      </w:r>
      <w:r w:rsidR="00500B72" w:rsidRPr="00444606">
        <w:rPr>
          <w:rFonts w:ascii="Arial" w:hAnsi="Arial" w:cs="Arial"/>
          <w:bCs/>
          <w:sz w:val="18"/>
          <w:szCs w:val="18"/>
          <w:lang w:val="es-CO"/>
        </w:rPr>
        <w:t xml:space="preserve"> y operaciones de leasing</w:t>
      </w:r>
      <w:r w:rsidRPr="00444606">
        <w:rPr>
          <w:rFonts w:ascii="Arial" w:hAnsi="Arial" w:cs="Arial"/>
          <w:bCs/>
          <w:sz w:val="18"/>
          <w:szCs w:val="18"/>
          <w:lang w:val="es-CO"/>
        </w:rPr>
        <w:t>: Corresponde</w:t>
      </w:r>
      <w:r w:rsidRPr="00444606">
        <w:rPr>
          <w:rFonts w:ascii="Arial" w:hAnsi="Arial" w:cs="Arial"/>
          <w:sz w:val="18"/>
          <w:szCs w:val="18"/>
          <w:lang w:val="es-CO"/>
        </w:rPr>
        <w:t xml:space="preserve"> a los gastos por intereses de todos los pasivos financieros y otros gastos por intereses. (incluye gastos por interés de leasing o arriendos financieros y operativos, pérdidas, depreciación y deterioro de activos en arrendamientos operativos).</w:t>
      </w:r>
    </w:p>
    <w:tbl>
      <w:tblPr>
        <w:tblW w:w="749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61"/>
        <w:gridCol w:w="751"/>
        <w:gridCol w:w="4749"/>
      </w:tblGrid>
      <w:tr w:rsidR="00C50596" w:rsidRPr="00444606" w14:paraId="48672429" w14:textId="77777777" w:rsidTr="00FB01B7">
        <w:trPr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606F231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3860981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Fuente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827938B" w14:textId="77777777" w:rsidR="00C50596" w:rsidRPr="00444606" w:rsidRDefault="00C50596" w:rsidP="00CE712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1543B1A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C50596" w:rsidRPr="00444606" w14:paraId="6CC6D69D" w14:textId="77777777" w:rsidTr="00C5059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E3265E" w14:textId="01D72D56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Gastos por intereses</w:t>
            </w:r>
            <w:r w:rsidR="00145792" w:rsidRPr="0044460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45792"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y operaciones de leasing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043A616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Catálogo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6DD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8E6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Depósitos de ahorro ordinario</w:t>
            </w:r>
          </w:p>
        </w:tc>
      </w:tr>
      <w:tr w:rsidR="00C50596" w:rsidRPr="00444606" w14:paraId="311435C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424F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A1E9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ABE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6366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Depósitos de ahorro de valor constante</w:t>
            </w:r>
          </w:p>
        </w:tc>
      </w:tr>
      <w:tr w:rsidR="00C50596" w:rsidRPr="00444606" w14:paraId="0B7D9E8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0D8A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38C8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E50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FA8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certificados de ahorro a termino</w:t>
            </w:r>
          </w:p>
        </w:tc>
      </w:tr>
      <w:tr w:rsidR="00C50596" w:rsidRPr="00444606" w14:paraId="77D207CE" w14:textId="77777777" w:rsidTr="00C50596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71D9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742C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E88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058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CDT o certificados de ahorro de valor constante emitidos a menos de 6 meses</w:t>
            </w:r>
          </w:p>
        </w:tc>
      </w:tr>
      <w:tr w:rsidR="00C50596" w:rsidRPr="00444606" w14:paraId="1402E508" w14:textId="77777777" w:rsidTr="00C50596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24F9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4211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ED1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59F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CDT o certificados de ahorro de valor constante emitidos igual a 6 meses y menor a 12 meses</w:t>
            </w:r>
          </w:p>
        </w:tc>
      </w:tr>
      <w:tr w:rsidR="00C50596" w:rsidRPr="00444606" w14:paraId="7C6795F6" w14:textId="77777777" w:rsidTr="00C50596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9128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804A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5FE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E35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CDT o certificados de ahorro de valor constante emitidos igual o superior a 12 meses</w:t>
            </w:r>
          </w:p>
        </w:tc>
      </w:tr>
      <w:tr w:rsidR="00C50596" w:rsidRPr="00444606" w14:paraId="51AEA3F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0E68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8426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305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872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Pérdida de poder adquisitivo - cesantías</w:t>
            </w:r>
          </w:p>
        </w:tc>
      </w:tr>
      <w:tr w:rsidR="00C50596" w:rsidRPr="00444606" w14:paraId="5B62CF9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418B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5C95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42F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5B8F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Intereses doceavas partes estimadas</w:t>
            </w:r>
          </w:p>
        </w:tc>
      </w:tr>
      <w:tr w:rsidR="00C50596" w:rsidRPr="00444606" w14:paraId="4063F75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3E35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6A0D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E5D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165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 intereses</w:t>
            </w:r>
          </w:p>
        </w:tc>
      </w:tr>
      <w:tr w:rsidR="00C50596" w:rsidRPr="00444606" w14:paraId="5661E4D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3B45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B611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EBF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AA62" w14:textId="5812C32E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Créditos ordinarios y extraordinarios Banco de la República</w:t>
            </w:r>
          </w:p>
        </w:tc>
      </w:tr>
      <w:tr w:rsidR="00C50596" w:rsidRPr="00444606" w14:paraId="05C3BCA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43ED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C26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59B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252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Créditos bancos</w:t>
            </w:r>
          </w:p>
        </w:tc>
      </w:tr>
      <w:tr w:rsidR="00C50596" w:rsidRPr="00444606" w14:paraId="43E60BD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A447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065B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D07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1FAD" w14:textId="0D12EA32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Redescuentos Banco de la República</w:t>
            </w:r>
          </w:p>
        </w:tc>
      </w:tr>
      <w:tr w:rsidR="00C50596" w:rsidRPr="00444606" w14:paraId="65D8818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041F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08AC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0ED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504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Redescuentos otras entidades</w:t>
            </w:r>
          </w:p>
        </w:tc>
      </w:tr>
      <w:tr w:rsidR="00C50596" w:rsidRPr="00444606" w14:paraId="4518D9F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E052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7FB8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9F3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094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Bancos del exterior y líneas de redescuento en dólares</w:t>
            </w:r>
          </w:p>
        </w:tc>
      </w:tr>
      <w:tr w:rsidR="00C50596" w:rsidRPr="00444606" w14:paraId="2B67600E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ECF7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AEAC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354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FB6B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Líneas de crédito externo</w:t>
            </w:r>
          </w:p>
        </w:tc>
      </w:tr>
      <w:tr w:rsidR="00C50596" w:rsidRPr="00444606" w14:paraId="502B74E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CD42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29DB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C03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857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Convenios internacionales</w:t>
            </w:r>
          </w:p>
        </w:tc>
      </w:tr>
      <w:tr w:rsidR="00C50596" w:rsidRPr="00444606" w14:paraId="0D86EB6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133D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F6C9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C03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9D20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Aportes en organismos internacionales</w:t>
            </w:r>
          </w:p>
        </w:tc>
      </w:tr>
      <w:tr w:rsidR="00C50596" w:rsidRPr="00444606" w14:paraId="631ACE1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26BA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96C5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258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510345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025B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Depósitos de contracción monetaria</w:t>
            </w:r>
          </w:p>
        </w:tc>
      </w:tr>
      <w:tr w:rsidR="00C50596" w:rsidRPr="00444606" w14:paraId="2C99DC3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1A9A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6C00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2A7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510350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652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Intereses moratorios</w:t>
            </w:r>
          </w:p>
        </w:tc>
      </w:tr>
      <w:tr w:rsidR="00C50596" w:rsidRPr="00444606" w14:paraId="6999483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1F64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1185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88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AA0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 créditos</w:t>
            </w:r>
          </w:p>
        </w:tc>
      </w:tr>
      <w:tr w:rsidR="00C50596" w:rsidRPr="00444606" w14:paraId="4B6FB4E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495D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5187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8D3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510505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338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Bienes inmuebles</w:t>
            </w:r>
          </w:p>
        </w:tc>
      </w:tr>
      <w:tr w:rsidR="00C50596" w:rsidRPr="00444606" w14:paraId="1B0010E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BE54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782B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DA4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510510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E02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Bienes muebles</w:t>
            </w:r>
          </w:p>
        </w:tc>
      </w:tr>
      <w:tr w:rsidR="00C50596" w:rsidRPr="00444606" w14:paraId="47EC576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4319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08F3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B43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511005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8017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Cuentas de ahorro de valor constante</w:t>
            </w:r>
          </w:p>
        </w:tc>
      </w:tr>
      <w:tr w:rsidR="00C50596" w:rsidRPr="00444606" w14:paraId="57DAB7C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0FB7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B7B7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546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511010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EDAE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Certificados de ahorro de valor constante hasta 6 meses</w:t>
            </w:r>
          </w:p>
        </w:tc>
      </w:tr>
      <w:tr w:rsidR="00C50596" w:rsidRPr="00444606" w14:paraId="119B8D3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9D2D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B6C9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6E1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511015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75FB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Certificados de ahorro de valor constante entre 6 y 12 meses</w:t>
            </w:r>
          </w:p>
        </w:tc>
      </w:tr>
      <w:tr w:rsidR="00C50596" w:rsidRPr="00444606" w14:paraId="733C9EF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45F1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13B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A87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511020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319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Certificados de ahorro de valor constante más de 12 meses</w:t>
            </w:r>
          </w:p>
        </w:tc>
      </w:tr>
      <w:tr w:rsidR="00C50596" w:rsidRPr="00444606" w14:paraId="33A93F9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BEE4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0232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876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511025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951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Créditos</w:t>
            </w:r>
          </w:p>
        </w:tc>
      </w:tr>
      <w:tr w:rsidR="00C50596" w:rsidRPr="00444606" w14:paraId="1B3A4B6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A3BA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E884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B7C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511030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D18A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Bonos de fomento urbano</w:t>
            </w:r>
          </w:p>
        </w:tc>
      </w:tr>
      <w:tr w:rsidR="00C50596" w:rsidRPr="00444606" w14:paraId="691D2BA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BEBE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631A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654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511035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9229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Bonos de garantía general</w:t>
            </w:r>
          </w:p>
        </w:tc>
      </w:tr>
      <w:tr w:rsidR="00C50596" w:rsidRPr="00444606" w14:paraId="509F42D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1441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F1C8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050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511095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95D3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</w:t>
            </w:r>
          </w:p>
        </w:tc>
      </w:tr>
      <w:tr w:rsidR="00C50596" w:rsidRPr="00444606" w14:paraId="44EDCD7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4B16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5F70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E67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512605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0470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Inmuebles</w:t>
            </w:r>
          </w:p>
        </w:tc>
      </w:tr>
      <w:tr w:rsidR="00C50596" w:rsidRPr="00444606" w14:paraId="0AF2E61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0281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E0C3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4D2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512610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7D3B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Terrenos</w:t>
            </w:r>
          </w:p>
        </w:tc>
      </w:tr>
      <w:tr w:rsidR="00C50596" w:rsidRPr="00444606" w14:paraId="17E46CE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140B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D8AB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A80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512705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EF5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Pérdida en venta de cartera</w:t>
            </w:r>
          </w:p>
        </w:tc>
      </w:tr>
      <w:tr w:rsidR="00C50596" w:rsidRPr="00444606" w14:paraId="2E29E11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2BAC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51EF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CBE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513115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C17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Cartera de créditos</w:t>
            </w:r>
          </w:p>
        </w:tc>
      </w:tr>
      <w:tr w:rsidR="00C50596" w:rsidRPr="00444606" w14:paraId="218E5A0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C18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7E91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C50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519075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5C903" w14:textId="36D2F990" w:rsidR="00C50596" w:rsidRPr="00444606" w:rsidRDefault="001528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Pé</w:t>
            </w:r>
            <w:r w:rsidR="00C50596" w:rsidRPr="00444606">
              <w:rPr>
                <w:rFonts w:ascii="Arial" w:hAnsi="Arial" w:cs="Arial"/>
                <w:color w:val="000000"/>
                <w:sz w:val="18"/>
                <w:szCs w:val="18"/>
              </w:rPr>
              <w:t>rdida en venta de activos en leasing</w:t>
            </w:r>
          </w:p>
        </w:tc>
      </w:tr>
    </w:tbl>
    <w:p w14:paraId="6D203C11" w14:textId="77777777" w:rsidR="00CE7124" w:rsidRPr="00444606" w:rsidRDefault="00CE7124" w:rsidP="00CE7124">
      <w:pPr>
        <w:tabs>
          <w:tab w:val="left" w:pos="540"/>
        </w:tabs>
        <w:spacing w:after="200"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08AD589B" w14:textId="77777777" w:rsidR="00BC61F8" w:rsidRPr="00444606" w:rsidRDefault="00BC61F8" w:rsidP="00CE7124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sz w:val="18"/>
          <w:szCs w:val="18"/>
          <w:lang w:val="es-CO"/>
        </w:rPr>
      </w:pPr>
      <w:r w:rsidRPr="00444606">
        <w:rPr>
          <w:rFonts w:ascii="Arial" w:hAnsi="Arial" w:cs="Arial"/>
          <w:bCs/>
          <w:sz w:val="18"/>
          <w:szCs w:val="18"/>
          <w:lang w:val="es-CO"/>
        </w:rPr>
        <w:lastRenderedPageBreak/>
        <w:t>Activos que devengan intereses:  Corresponde</w:t>
      </w:r>
      <w:r w:rsidRPr="00444606">
        <w:rPr>
          <w:rFonts w:ascii="Arial" w:hAnsi="Arial" w:cs="Arial"/>
          <w:sz w:val="18"/>
          <w:szCs w:val="18"/>
          <w:lang w:val="es-CO"/>
        </w:rPr>
        <w:t xml:space="preserve"> a las partidas de balance del importe bruto total de préstamos pendientes, anticipos, activos que devengan intereses (incluida deuda pública) y activos en arrendamiento medido al final de cada ejercicio financiero</w:t>
      </w:r>
      <w:r w:rsidR="00CE7124" w:rsidRPr="00444606">
        <w:rPr>
          <w:rFonts w:ascii="Arial" w:hAnsi="Arial" w:cs="Arial"/>
          <w:sz w:val="18"/>
          <w:szCs w:val="18"/>
          <w:lang w:val="es-CO"/>
        </w:rPr>
        <w:t>.</w:t>
      </w:r>
    </w:p>
    <w:tbl>
      <w:tblPr>
        <w:tblW w:w="749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61"/>
        <w:gridCol w:w="751"/>
        <w:gridCol w:w="4749"/>
      </w:tblGrid>
      <w:tr w:rsidR="00C50596" w:rsidRPr="00444606" w14:paraId="1B97E067" w14:textId="77777777" w:rsidTr="00FB01B7">
        <w:trPr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D2CF2AB" w14:textId="77777777" w:rsidR="00C50596" w:rsidRPr="00444606" w:rsidRDefault="00C50596" w:rsidP="005C741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0668B73" w14:textId="77777777" w:rsidR="00C50596" w:rsidRPr="00444606" w:rsidRDefault="00C50596" w:rsidP="005C741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Fuente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9008209" w14:textId="77777777" w:rsidR="00C50596" w:rsidRPr="00444606" w:rsidRDefault="00C50596" w:rsidP="005C741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3896324" w14:textId="77777777" w:rsidR="00C50596" w:rsidRPr="00444606" w:rsidRDefault="00C50596" w:rsidP="005C741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C50596" w:rsidRPr="00444606" w14:paraId="26009FED" w14:textId="77777777" w:rsidTr="00071C0A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8922E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 xml:space="preserve">Activos que devengan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CC27C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Catálogo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C55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111000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9B71" w14:textId="6FDD1AC0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Banco de la República</w:t>
            </w:r>
          </w:p>
        </w:tc>
      </w:tr>
      <w:tr w:rsidR="00C50596" w:rsidRPr="00444606" w14:paraId="7A8D3E3C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004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214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40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111500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D36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Bancos y otras entidades financieras</w:t>
            </w:r>
          </w:p>
        </w:tc>
      </w:tr>
      <w:tr w:rsidR="009A21B9" w:rsidRPr="00444606" w14:paraId="11DE7993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5174" w14:textId="77777777" w:rsidR="009A21B9" w:rsidRPr="00444606" w:rsidRDefault="009A2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9A98" w14:textId="77777777" w:rsidR="009A21B9" w:rsidRPr="00444606" w:rsidRDefault="009A2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8FB0" w14:textId="56728408" w:rsidR="009A21B9" w:rsidRPr="00444606" w:rsidRDefault="009A2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140400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91DF1" w14:textId="28BAF975" w:rsidR="009A21B9" w:rsidRPr="00444606" w:rsidRDefault="009A2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Cartera de vivienda y operaciones de leasing habitacional</w:t>
            </w:r>
          </w:p>
        </w:tc>
      </w:tr>
      <w:tr w:rsidR="00C50596" w:rsidRPr="00444606" w14:paraId="4B66BCE7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836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C6C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C19F" w14:textId="0FFA606D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  <w:r w:rsidR="00FD5468" w:rsidRPr="0044460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0B804" w14:textId="2D9A375F" w:rsidR="00C50596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 xml:space="preserve">Cartera y operaciones de leasing de consumo. </w:t>
            </w:r>
          </w:p>
        </w:tc>
      </w:tr>
      <w:tr w:rsidR="00FD5468" w:rsidRPr="00444606" w14:paraId="29CEB8F1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A6FE" w14:textId="77777777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3CD5" w14:textId="77777777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D9A0F" w14:textId="609ABCE8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141000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13C1" w14:textId="14692908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Cartera y operaciones de leasing comerciales</w:t>
            </w:r>
          </w:p>
        </w:tc>
      </w:tr>
      <w:tr w:rsidR="00FD5468" w:rsidRPr="00444606" w14:paraId="751076F1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5DB1" w14:textId="77777777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FEE1" w14:textId="77777777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E4B1" w14:textId="566F5CB0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141200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23CE" w14:textId="5775A40C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Cartera y leasing de microcréditos</w:t>
            </w:r>
          </w:p>
        </w:tc>
      </w:tr>
      <w:tr w:rsidR="00FD5468" w:rsidRPr="00444606" w14:paraId="0E007AEE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0E4C" w14:textId="77777777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267D" w14:textId="77777777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820B" w14:textId="240BEE15" w:rsidR="00FD5468" w:rsidRPr="00444606" w:rsidRDefault="00FD54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141400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7CAEB" w14:textId="1D7565FE" w:rsidR="00FD5468" w:rsidRPr="00444606" w:rsidRDefault="005C74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Préstamos</w:t>
            </w:r>
            <w:r w:rsidR="00FD5468" w:rsidRPr="00444606">
              <w:rPr>
                <w:rFonts w:ascii="Arial" w:hAnsi="Arial" w:cs="Arial"/>
                <w:color w:val="000000"/>
                <w:sz w:val="18"/>
                <w:szCs w:val="18"/>
              </w:rPr>
              <w:t xml:space="preserve"> a empleados. </w:t>
            </w:r>
          </w:p>
        </w:tc>
      </w:tr>
      <w:tr w:rsidR="00C104D9" w:rsidRPr="00444606" w14:paraId="35415259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6F4C" w14:textId="77777777" w:rsidR="00C104D9" w:rsidRPr="00444606" w:rsidRDefault="00C104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7D6B" w14:textId="77777777" w:rsidR="00C104D9" w:rsidRPr="00444606" w:rsidRDefault="00C104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3E4D" w14:textId="496B8BDE" w:rsidR="00C104D9" w:rsidRPr="00444606" w:rsidRDefault="00C104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141600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CDF1" w14:textId="2A602A86" w:rsidR="00C104D9" w:rsidRPr="00444606" w:rsidRDefault="00C104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Derechos de transferencia de cartera de crédito por operaciones de apoyo transitorios de liquidez.</w:t>
            </w:r>
          </w:p>
        </w:tc>
      </w:tr>
      <w:tr w:rsidR="00C104D9" w:rsidRPr="00444606" w14:paraId="31AE5D83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16E1" w14:textId="77777777" w:rsidR="00C104D9" w:rsidRPr="00444606" w:rsidRDefault="00C104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6F36" w14:textId="77777777" w:rsidR="00C104D9" w:rsidRPr="00444606" w:rsidRDefault="00C104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2A4E" w14:textId="64987A60" w:rsidR="00C104D9" w:rsidRPr="00444606" w:rsidRDefault="00C104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141800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DB4F" w14:textId="31ECBFB2" w:rsidR="00C104D9" w:rsidRPr="00444606" w:rsidRDefault="00C104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Cartera de créditos entregadas en operaciones repo (derechos de transferencia)</w:t>
            </w:r>
            <w:r w:rsidR="00E25FD2" w:rsidRPr="0044460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25FD2" w:rsidRPr="00444606" w14:paraId="0CEFD165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35C4" w14:textId="77777777" w:rsidR="00E25FD2" w:rsidRPr="00444606" w:rsidRDefault="00E25F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843B" w14:textId="77777777" w:rsidR="00E25FD2" w:rsidRPr="00444606" w:rsidRDefault="00E25F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B814" w14:textId="143A14B5" w:rsidR="00E25FD2" w:rsidRPr="00444606" w:rsidRDefault="00E25F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160510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7BFA5" w14:textId="155D28A3" w:rsidR="00E25FD2" w:rsidRPr="00444606" w:rsidRDefault="00E25F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normal, vivienda.</w:t>
            </w:r>
          </w:p>
        </w:tc>
      </w:tr>
      <w:tr w:rsidR="00E25FD2" w:rsidRPr="00444606" w14:paraId="29A2C27C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AF70" w14:textId="77777777" w:rsidR="00E25FD2" w:rsidRPr="00444606" w:rsidRDefault="00E25F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36BA" w14:textId="77777777" w:rsidR="00E25FD2" w:rsidRPr="00444606" w:rsidRDefault="00E25F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4BA5" w14:textId="6C499FF1" w:rsidR="00E25FD2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160520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DD20" w14:textId="40BE69F3" w:rsidR="00E25FD2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normal, consumo</w:t>
            </w:r>
          </w:p>
        </w:tc>
      </w:tr>
      <w:tr w:rsidR="000D0815" w:rsidRPr="00444606" w14:paraId="5926C9CC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4A9D" w14:textId="77777777" w:rsidR="000D0815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70A8" w14:textId="77777777" w:rsidR="000D0815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AE2D" w14:textId="7F7D5117" w:rsidR="000D0815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160522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E9B0" w14:textId="5296EFDD" w:rsidR="000D0815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B riesgo</w:t>
            </w:r>
            <w:r w:rsidR="000A72E9" w:rsidRPr="00444606">
              <w:rPr>
                <w:rFonts w:ascii="Arial" w:hAnsi="Arial" w:cs="Arial"/>
                <w:color w:val="000000"/>
                <w:sz w:val="18"/>
                <w:szCs w:val="18"/>
              </w:rPr>
              <w:t xml:space="preserve"> aceptable</w:t>
            </w: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, consumo</w:t>
            </w:r>
          </w:p>
        </w:tc>
      </w:tr>
      <w:tr w:rsidR="000D0815" w:rsidRPr="00444606" w14:paraId="08C49EBC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296F" w14:textId="77777777" w:rsidR="000D0815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4E6F" w14:textId="77777777" w:rsidR="000D0815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BA43" w14:textId="6BBC2610" w:rsidR="000D0815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160530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87030" w14:textId="19F9149F" w:rsidR="000D0815" w:rsidRPr="00444606" w:rsidRDefault="000D081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normal, microcrédito</w:t>
            </w:r>
          </w:p>
        </w:tc>
      </w:tr>
      <w:tr w:rsidR="00256029" w:rsidRPr="00444606" w14:paraId="30F96AB8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47A0" w14:textId="77777777" w:rsidR="00256029" w:rsidRPr="00444606" w:rsidRDefault="002560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8BDC" w14:textId="77777777" w:rsidR="00256029" w:rsidRPr="00444606" w:rsidRDefault="002560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3C61" w14:textId="0E9415C4" w:rsidR="00256029" w:rsidRPr="00444606" w:rsidRDefault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160540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63DB0" w14:textId="194890A4" w:rsidR="00256029" w:rsidRPr="00444606" w:rsidRDefault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normal, comercial</w:t>
            </w:r>
          </w:p>
        </w:tc>
      </w:tr>
      <w:tr w:rsidR="00F816C5" w:rsidRPr="00444606" w14:paraId="43F8CA93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C451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1CCF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12AF" w14:textId="3F9B15CC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160542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E831D" w14:textId="46A4F943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B riesgo aceptable, comercial</w:t>
            </w:r>
          </w:p>
        </w:tc>
      </w:tr>
      <w:tr w:rsidR="00F816C5" w:rsidRPr="00444606" w14:paraId="38EA0007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DD19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DABB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0452" w14:textId="599F0DD2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160810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B1C7" w14:textId="6C59E055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normal, leasing habitacional</w:t>
            </w:r>
          </w:p>
        </w:tc>
      </w:tr>
      <w:tr w:rsidR="00F816C5" w:rsidRPr="00444606" w14:paraId="56F7777D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0F32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D5A5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E4AB" w14:textId="660CE29A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160820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6A22" w14:textId="7276145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normal, consumo</w:t>
            </w:r>
          </w:p>
        </w:tc>
      </w:tr>
      <w:tr w:rsidR="00F816C5" w:rsidRPr="00444606" w14:paraId="1B9ED0BE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C7BB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503C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FF04" w14:textId="4002B1B9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160822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0189" w14:textId="7AC6EBAE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B riesgo aceptable, consumo</w:t>
            </w:r>
          </w:p>
        </w:tc>
      </w:tr>
      <w:tr w:rsidR="00F816C5" w:rsidRPr="00444606" w14:paraId="4B700C15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5F9D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D112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5A81" w14:textId="50894313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160830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C0531" w14:textId="6B92DBB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normal, microcrédito</w:t>
            </w:r>
          </w:p>
        </w:tc>
      </w:tr>
      <w:tr w:rsidR="00F816C5" w:rsidRPr="00444606" w14:paraId="0F562CA6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7F52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51B9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CD19" w14:textId="5824DD51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1608</w:t>
            </w:r>
            <w:r w:rsidR="009B57B3" w:rsidRPr="00444606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1F5FA" w14:textId="33D26C7E" w:rsidR="00F816C5" w:rsidRPr="00444606" w:rsidRDefault="009B57B3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normal, comercial</w:t>
            </w:r>
          </w:p>
        </w:tc>
      </w:tr>
      <w:tr w:rsidR="00F816C5" w:rsidRPr="00444606" w14:paraId="2B83CB77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1DE8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28B2" w14:textId="77777777" w:rsidR="00F816C5" w:rsidRPr="00444606" w:rsidRDefault="00F816C5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FF38" w14:textId="025DC54A" w:rsidR="00F816C5" w:rsidRPr="00444606" w:rsidRDefault="009B57B3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160842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D6EA" w14:textId="08458642" w:rsidR="00F816C5" w:rsidRPr="00444606" w:rsidRDefault="009B57B3" w:rsidP="00F816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B riesgo aceptable, comercial</w:t>
            </w:r>
          </w:p>
        </w:tc>
      </w:tr>
      <w:tr w:rsidR="009B57B3" w:rsidRPr="00444606" w14:paraId="71953919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E83D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2841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1304" w14:textId="7F50AA9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161305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24C48" w14:textId="04020059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crédito normal, consumo</w:t>
            </w:r>
          </w:p>
        </w:tc>
      </w:tr>
      <w:tr w:rsidR="009B57B3" w:rsidRPr="00444606" w14:paraId="5D63A23B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C2FE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799D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7917" w14:textId="09697E15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161310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E4758" w14:textId="7996987A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B crédito aceptable, consumo</w:t>
            </w:r>
          </w:p>
        </w:tc>
      </w:tr>
      <w:tr w:rsidR="009B57B3" w:rsidRPr="00444606" w14:paraId="20F62B15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A2B4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7FE6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705A" w14:textId="7A585B38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161330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DF59" w14:textId="182303C2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crédito normal, comercial</w:t>
            </w:r>
          </w:p>
        </w:tc>
      </w:tr>
      <w:tr w:rsidR="009B57B3" w:rsidRPr="00444606" w14:paraId="743E31EA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D283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B7DD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960B" w14:textId="69484B98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161335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DE81B" w14:textId="746589CA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B crédito aceptable, comercial</w:t>
            </w:r>
          </w:p>
        </w:tc>
      </w:tr>
      <w:tr w:rsidR="009B57B3" w:rsidRPr="00444606" w14:paraId="3C8727D3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57B9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12B3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233C" w14:textId="3DD9B695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161355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89635" w14:textId="172DBFA3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crédito normal, microcrédito</w:t>
            </w:r>
          </w:p>
        </w:tc>
      </w:tr>
      <w:tr w:rsidR="009B57B3" w:rsidRPr="00444606" w14:paraId="3411E58E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B2EC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D38F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0E42" w14:textId="3A2E5BF9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163605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D6BD" w14:textId="6EBDB78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</w:t>
            </w:r>
          </w:p>
        </w:tc>
      </w:tr>
      <w:tr w:rsidR="009B57B3" w:rsidRPr="00444606" w14:paraId="2C23BFCE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1175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6CE1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B022" w14:textId="3F075199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163705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CB44" w14:textId="3C79D55A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</w:t>
            </w:r>
          </w:p>
        </w:tc>
      </w:tr>
      <w:tr w:rsidR="009B57B3" w:rsidRPr="00444606" w14:paraId="0BF2779C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1082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40CB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5F13" w14:textId="6EC6DF02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163710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1FA4" w14:textId="309992B0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B riesgo aceptable</w:t>
            </w:r>
          </w:p>
        </w:tc>
      </w:tr>
      <w:tr w:rsidR="009B57B3" w:rsidRPr="00444606" w14:paraId="4B2B2C0B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48ED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1A135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6ADD" w14:textId="05478141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163805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5676" w14:textId="456C423B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</w:t>
            </w:r>
          </w:p>
        </w:tc>
      </w:tr>
      <w:tr w:rsidR="009B57B3" w:rsidRPr="00444606" w14:paraId="59034963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FE8E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9355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068E" w14:textId="41B49C86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163905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7E55" w14:textId="42E50D3B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A riesgo normal</w:t>
            </w:r>
          </w:p>
        </w:tc>
      </w:tr>
      <w:tr w:rsidR="009B57B3" w:rsidRPr="00444606" w14:paraId="22114AC9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7DB5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6F2E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1D2B" w14:textId="1C25793F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163910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DABDA" w14:textId="7BD48670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Categoría B riesgo aceptable</w:t>
            </w:r>
          </w:p>
        </w:tc>
      </w:tr>
      <w:tr w:rsidR="009B57B3" w:rsidRPr="00444606" w14:paraId="0FE54CAC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02A4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4683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F007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E740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Maquinaria y equipo</w:t>
            </w:r>
          </w:p>
        </w:tc>
      </w:tr>
      <w:tr w:rsidR="009B57B3" w:rsidRPr="00444606" w14:paraId="45F6A961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0BD8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4180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91C8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8E07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Vehículos</w:t>
            </w:r>
          </w:p>
        </w:tc>
      </w:tr>
      <w:tr w:rsidR="009B57B3" w:rsidRPr="00444606" w14:paraId="6DFE1FF1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B86B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B3F8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F56D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499D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Muebles y enseres</w:t>
            </w:r>
          </w:p>
        </w:tc>
      </w:tr>
      <w:tr w:rsidR="009B57B3" w:rsidRPr="00444606" w14:paraId="14ED610A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5BF5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A623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6848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74448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Barcos, trenes, aviones y similares</w:t>
            </w:r>
          </w:p>
        </w:tc>
      </w:tr>
      <w:tr w:rsidR="009B57B3" w:rsidRPr="00444606" w14:paraId="05046727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841D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3151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AFBE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3D229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Equipo de computación</w:t>
            </w:r>
          </w:p>
        </w:tc>
      </w:tr>
      <w:tr w:rsidR="009B57B3" w:rsidRPr="00444606" w14:paraId="2A823D66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FBBE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60D2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25FD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429C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Bienes inmuebles</w:t>
            </w:r>
          </w:p>
        </w:tc>
      </w:tr>
      <w:tr w:rsidR="009B57B3" w:rsidRPr="00444606" w14:paraId="508001C6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38DC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42B7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2472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30B92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Semovientes</w:t>
            </w:r>
          </w:p>
        </w:tc>
      </w:tr>
      <w:tr w:rsidR="009B57B3" w:rsidRPr="00444606" w14:paraId="646F4BEF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DA60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7FB9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B6CB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7ABC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Programas para computador –software</w:t>
            </w:r>
          </w:p>
        </w:tc>
      </w:tr>
      <w:tr w:rsidR="009B57B3" w:rsidRPr="00444606" w14:paraId="72731571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0C0F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5512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612A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068FE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</w:t>
            </w:r>
          </w:p>
        </w:tc>
      </w:tr>
      <w:tr w:rsidR="009B57B3" w:rsidRPr="00444606" w14:paraId="1F91238D" w14:textId="77777777" w:rsidTr="00071C0A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A80BE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9DA0E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2D8B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181696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FAE6" w14:textId="77777777" w:rsidR="009B57B3" w:rsidRPr="00444606" w:rsidRDefault="009B57B3" w:rsidP="009B57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Revaluación</w:t>
            </w:r>
          </w:p>
        </w:tc>
      </w:tr>
    </w:tbl>
    <w:p w14:paraId="3A7E03B7" w14:textId="77777777" w:rsidR="00CE7124" w:rsidRPr="00444606" w:rsidRDefault="00CE7124" w:rsidP="00CE7124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18"/>
          <w:szCs w:val="18"/>
          <w:lang w:val="es-CO"/>
        </w:rPr>
      </w:pPr>
    </w:p>
    <w:p w14:paraId="0F6167AA" w14:textId="673BF825" w:rsidR="00CE7124" w:rsidRPr="00444606" w:rsidRDefault="00BC61F8" w:rsidP="00CE7124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sz w:val="18"/>
          <w:szCs w:val="18"/>
          <w:lang w:val="es-CO"/>
        </w:rPr>
      </w:pPr>
      <w:r w:rsidRPr="00444606">
        <w:rPr>
          <w:rFonts w:ascii="Arial" w:hAnsi="Arial" w:cs="Arial"/>
          <w:bCs/>
          <w:sz w:val="18"/>
          <w:szCs w:val="18"/>
          <w:lang w:val="es-CO"/>
        </w:rPr>
        <w:lastRenderedPageBreak/>
        <w:t>Ingresos por dividendos: Corresponde</w:t>
      </w:r>
      <w:r w:rsidRPr="00444606">
        <w:rPr>
          <w:rFonts w:ascii="Arial" w:hAnsi="Arial" w:cs="Arial"/>
          <w:sz w:val="18"/>
          <w:szCs w:val="18"/>
          <w:lang w:val="es-CO"/>
        </w:rPr>
        <w:t xml:space="preserve"> a los ingresos por dividendos de inversiones en acciones y fondos no consolidado</w:t>
      </w:r>
      <w:r w:rsidR="00B74A59" w:rsidRPr="00444606">
        <w:rPr>
          <w:rFonts w:ascii="Arial" w:hAnsi="Arial" w:cs="Arial"/>
          <w:sz w:val="18"/>
          <w:szCs w:val="18"/>
          <w:lang w:val="es-CO"/>
        </w:rPr>
        <w:t>s en los estados financieros de la entidad</w:t>
      </w:r>
      <w:r w:rsidRPr="00444606">
        <w:rPr>
          <w:rFonts w:ascii="Arial" w:hAnsi="Arial" w:cs="Arial"/>
          <w:sz w:val="18"/>
          <w:szCs w:val="18"/>
          <w:lang w:val="es-CO"/>
        </w:rPr>
        <w:t>, incluidos ingresos por dividendos de filiales no consolidadas, asociadas y joint ventures.</w:t>
      </w:r>
    </w:p>
    <w:p w14:paraId="02AB982F" w14:textId="77777777" w:rsidR="00760EA8" w:rsidRPr="00444606" w:rsidRDefault="00760EA8" w:rsidP="00A57D46">
      <w:pPr>
        <w:pStyle w:val="Prrafodelista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b/>
          <w:sz w:val="18"/>
          <w:szCs w:val="18"/>
          <w:lang w:val="es-CO"/>
        </w:rPr>
      </w:pPr>
    </w:p>
    <w:tbl>
      <w:tblPr>
        <w:tblW w:w="749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61"/>
        <w:gridCol w:w="751"/>
        <w:gridCol w:w="4749"/>
      </w:tblGrid>
      <w:tr w:rsidR="00C50596" w:rsidRPr="00444606" w14:paraId="517E2E80" w14:textId="77777777" w:rsidTr="00FB01B7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6D2929E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74F712A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Fuente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DB55A2F" w14:textId="77777777" w:rsidR="00C50596" w:rsidRPr="00444606" w:rsidRDefault="00C505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15195B6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C50596" w:rsidRPr="00444606" w14:paraId="4AB19156" w14:textId="77777777" w:rsidTr="00C5059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BAAA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Ingresos por dividendos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079E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Catálogo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F59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411415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713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Dividendos.</w:t>
            </w:r>
          </w:p>
        </w:tc>
      </w:tr>
      <w:tr w:rsidR="00C50596" w:rsidRPr="00444606" w14:paraId="0CFA169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5E8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CD3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53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414005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B76C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Matriz, filiales, subsidiarias.</w:t>
            </w:r>
          </w:p>
        </w:tc>
      </w:tr>
      <w:tr w:rsidR="00C50596" w:rsidRPr="00444606" w14:paraId="61087ED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B04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F66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A58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414010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1D8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Otras personas jurídicas.</w:t>
            </w:r>
          </w:p>
        </w:tc>
      </w:tr>
      <w:tr w:rsidR="00C50596" w:rsidRPr="00444606" w14:paraId="01777C8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AC5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3BD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078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415005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2D5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En subsidiarias</w:t>
            </w:r>
          </w:p>
        </w:tc>
      </w:tr>
      <w:tr w:rsidR="00C50596" w:rsidRPr="00444606" w14:paraId="23D76FB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FE4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710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60C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415010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8655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En asociada</w:t>
            </w:r>
          </w:p>
        </w:tc>
      </w:tr>
      <w:tr w:rsidR="00C50596" w:rsidRPr="00444606" w14:paraId="6FAD802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0AA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A6B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E86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415015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C82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En negocios conjuntos</w:t>
            </w:r>
          </w:p>
        </w:tc>
      </w:tr>
      <w:tr w:rsidR="00C50596" w:rsidRPr="00444606" w14:paraId="3633E53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5B0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5B9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51F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415020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8A38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En operaciones conjuntas</w:t>
            </w:r>
          </w:p>
        </w:tc>
      </w:tr>
      <w:tr w:rsidR="00C50596" w:rsidRPr="00444606" w14:paraId="03015F0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6C7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B46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A7D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415500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497F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Actividades en operaciones conjuntas</w:t>
            </w:r>
          </w:p>
        </w:tc>
      </w:tr>
      <w:tr w:rsidR="00C50596" w:rsidRPr="00444606" w14:paraId="21C6A99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90F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61F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221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415800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BDD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Ingresos participación no controladoras</w:t>
            </w:r>
          </w:p>
        </w:tc>
      </w:tr>
    </w:tbl>
    <w:p w14:paraId="5D648AA6" w14:textId="77777777" w:rsidR="00BC61F8" w:rsidRPr="00444606" w:rsidRDefault="00BC61F8" w:rsidP="00CE7124">
      <w:pPr>
        <w:tabs>
          <w:tab w:val="left" w:pos="540"/>
        </w:tabs>
        <w:spacing w:after="200" w:line="276" w:lineRule="auto"/>
        <w:jc w:val="both"/>
        <w:rPr>
          <w:rFonts w:ascii="Arial" w:hAnsi="Arial" w:cs="Arial"/>
          <w:sz w:val="18"/>
          <w:szCs w:val="18"/>
          <w:lang w:val="es-CO"/>
        </w:rPr>
      </w:pPr>
    </w:p>
    <w:p w14:paraId="7527F41E" w14:textId="453BD7A7" w:rsidR="00EE7BB4" w:rsidRPr="00444606" w:rsidRDefault="00EE7BB4" w:rsidP="0096158E">
      <w:pPr>
        <w:pStyle w:val="Prrafodelista"/>
        <w:numPr>
          <w:ilvl w:val="3"/>
          <w:numId w:val="1"/>
        </w:num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</w:rPr>
        <w:t>Componente de servicios</w:t>
      </w:r>
      <w:r w:rsidR="001B355A" w:rsidRPr="00444606">
        <w:rPr>
          <w:rFonts w:ascii="Arial" w:hAnsi="Arial" w:cs="Arial"/>
          <w:bCs/>
          <w:sz w:val="18"/>
          <w:szCs w:val="18"/>
        </w:rPr>
        <w:t xml:space="preserve"> (CS)</w:t>
      </w:r>
      <w:r w:rsidRPr="00444606">
        <w:rPr>
          <w:rFonts w:ascii="Arial" w:hAnsi="Arial" w:cs="Arial"/>
          <w:bCs/>
          <w:sz w:val="18"/>
          <w:szCs w:val="18"/>
        </w:rPr>
        <w:t>.</w:t>
      </w:r>
    </w:p>
    <w:p w14:paraId="18CD1FBB" w14:textId="77777777" w:rsidR="00DA6D6E" w:rsidRPr="00444606" w:rsidRDefault="00DA6D6E" w:rsidP="00DA6D6E">
      <w:pPr>
        <w:pStyle w:val="Prrafodelista"/>
        <w:tabs>
          <w:tab w:val="left" w:pos="540"/>
        </w:tabs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10471417" w14:textId="181AC50B" w:rsidR="008D60EB" w:rsidRPr="00444606" w:rsidRDefault="00CE7124" w:rsidP="001B355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De acuerdo con los numerales 1.2. y 1.3 del artículo 2.1.1.3.9 del Decreto 2555 de 2010, e</w:t>
      </w:r>
      <w:r w:rsidR="008D60EB" w:rsidRPr="00444606">
        <w:rPr>
          <w:rFonts w:ascii="Arial" w:hAnsi="Arial" w:cs="Arial"/>
          <w:sz w:val="18"/>
          <w:szCs w:val="18"/>
        </w:rPr>
        <w:t xml:space="preserve">l </w:t>
      </w:r>
      <w:r w:rsidR="001B355A" w:rsidRPr="00444606">
        <w:rPr>
          <w:rFonts w:ascii="Arial" w:hAnsi="Arial" w:cs="Arial"/>
          <w:sz w:val="18"/>
          <w:szCs w:val="18"/>
        </w:rPr>
        <w:t>Componente de S</w:t>
      </w:r>
      <w:r w:rsidR="008D60EB" w:rsidRPr="00444606">
        <w:rPr>
          <w:rFonts w:ascii="Arial" w:hAnsi="Arial" w:cs="Arial"/>
          <w:sz w:val="18"/>
          <w:szCs w:val="18"/>
        </w:rPr>
        <w:t xml:space="preserve">ervicios </w:t>
      </w:r>
      <w:r w:rsidR="001B355A" w:rsidRPr="00444606">
        <w:rPr>
          <w:rFonts w:ascii="Arial" w:hAnsi="Arial" w:cs="Arial"/>
          <w:sz w:val="18"/>
          <w:szCs w:val="18"/>
        </w:rPr>
        <w:t xml:space="preserve">(CS) </w:t>
      </w:r>
      <w:r w:rsidR="0058639A" w:rsidRPr="00444606">
        <w:rPr>
          <w:rFonts w:ascii="Arial" w:hAnsi="Arial" w:cs="Arial"/>
          <w:sz w:val="18"/>
          <w:szCs w:val="18"/>
        </w:rPr>
        <w:t>corresponde a</w:t>
      </w:r>
      <w:r w:rsidR="008D60EB" w:rsidRPr="00444606">
        <w:rPr>
          <w:rFonts w:ascii="Arial" w:hAnsi="Arial" w:cs="Arial"/>
          <w:sz w:val="18"/>
          <w:szCs w:val="18"/>
        </w:rPr>
        <w:t>:</w:t>
      </w:r>
      <w:r w:rsidR="0058639A" w:rsidRPr="00444606">
        <w:rPr>
          <w:rFonts w:ascii="Arial" w:hAnsi="Arial" w:cs="Arial"/>
          <w:sz w:val="18"/>
          <w:szCs w:val="18"/>
        </w:rPr>
        <w:t xml:space="preserve"> </w:t>
      </w:r>
    </w:p>
    <w:p w14:paraId="11DA70F4" w14:textId="77777777" w:rsidR="00DA6D6E" w:rsidRPr="00444606" w:rsidRDefault="00DA6D6E" w:rsidP="0035539B">
      <w:p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</w:p>
    <w:p w14:paraId="06A7398D" w14:textId="5FAA5981" w:rsidR="003C0156" w:rsidRPr="00444606" w:rsidRDefault="003C0156" w:rsidP="0058639A">
      <w:pPr>
        <w:jc w:val="center"/>
        <w:rPr>
          <w:rFonts w:ascii="Arial" w:eastAsia="SymbolMT" w:hAnsi="Arial" w:cs="Arial"/>
          <w:sz w:val="18"/>
          <w:szCs w:val="18"/>
          <w:lang w:val="es-CO"/>
        </w:rPr>
      </w:pPr>
    </w:p>
    <w:p w14:paraId="302AF6A2" w14:textId="719F587C" w:rsidR="003C0156" w:rsidRPr="00444606" w:rsidRDefault="00B25536" w:rsidP="0058639A">
      <w:pPr>
        <w:jc w:val="center"/>
        <w:rPr>
          <w:rFonts w:ascii="Arial" w:hAnsi="Arial" w:cs="Arial"/>
          <w:i/>
          <w:iCs/>
          <w:sz w:val="18"/>
          <w:szCs w:val="18"/>
          <w:lang w:val="es-CO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  <w:sz w:val="18"/>
              <w:szCs w:val="18"/>
            </w:rPr>
            <m:t xml:space="preserve">                         CS=MAX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bar>
                <m:barPr>
                  <m:pos m:val="top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Otros ingresos de operación</m:t>
                  </m:r>
                </m:e>
              </m:bar>
              <m:r>
                <w:rPr>
                  <w:rFonts w:ascii="Cambria Math" w:hAnsi="Cambria Math" w:cs="Arial"/>
                  <w:sz w:val="18"/>
                  <w:szCs w:val="18"/>
                </w:rPr>
                <m:t>;</m:t>
              </m:r>
              <m:bar>
                <m:barPr>
                  <m:pos m:val="top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Otros gastos de operación</m:t>
                  </m:r>
                </m:e>
              </m:bar>
            </m:e>
          </m:d>
          <m:r>
            <w:rPr>
              <w:rFonts w:ascii="Cambria Math" w:eastAsiaTheme="minorEastAsia" w:hAnsi="Cambria Math" w:cs="Arial"/>
              <w:sz w:val="18"/>
              <w:szCs w:val="18"/>
            </w:rPr>
            <m:t xml:space="preserve">+ </m:t>
          </m:r>
          <m:r>
            <w:rPr>
              <w:rFonts w:ascii="Cambria Math" w:hAnsi="Cambria Math" w:cs="Arial"/>
              <w:sz w:val="18"/>
              <w:szCs w:val="18"/>
            </w:rPr>
            <m:t>MAX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bar>
                <m:barPr>
                  <m:pos m:val="top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Ingresos por honorarios y comisiones</m:t>
                  </m:r>
                </m:e>
              </m:bar>
              <m:r>
                <w:rPr>
                  <w:rFonts w:ascii="Cambria Math" w:hAnsi="Cambria Math" w:cs="Arial"/>
                  <w:sz w:val="18"/>
                  <w:szCs w:val="18"/>
                </w:rPr>
                <m:t>;</m:t>
              </m:r>
              <m:bar>
                <m:barPr>
                  <m:pos m:val="top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Gastos por honorarios y comisiones</m:t>
                  </m:r>
                </m:e>
              </m:bar>
            </m:e>
          </m:d>
        </m:oMath>
      </m:oMathPara>
    </w:p>
    <w:p w14:paraId="42007806" w14:textId="77777777" w:rsidR="008D60EB" w:rsidRPr="00444606" w:rsidRDefault="008D60EB" w:rsidP="0035539B">
      <w:p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  <w:lang w:val="es-CO"/>
        </w:rPr>
      </w:pPr>
    </w:p>
    <w:p w14:paraId="4DA8296F" w14:textId="7A87B2CF" w:rsidR="003C0156" w:rsidRPr="00444606" w:rsidRDefault="003C0156" w:rsidP="00322EA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  <w:lang w:val="es-CO"/>
        </w:rPr>
        <w:t>L</w:t>
      </w:r>
      <w:r w:rsidRPr="00444606">
        <w:rPr>
          <w:rFonts w:ascii="Arial" w:hAnsi="Arial" w:cs="Arial"/>
          <w:sz w:val="18"/>
          <w:szCs w:val="18"/>
        </w:rPr>
        <w:t>as barras que aparecen encima de los términos indican que estos se calculan como el promedio de tres años: t, t-1 y t-2.</w:t>
      </w:r>
    </w:p>
    <w:p w14:paraId="2C012F4F" w14:textId="474A5D57" w:rsidR="008D60EB" w:rsidRPr="00444606" w:rsidRDefault="008D60EB" w:rsidP="00EB075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4480BCB8" w14:textId="77777777" w:rsidR="008D60EB" w:rsidRPr="00444606" w:rsidRDefault="008D60EB" w:rsidP="008D60EB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es-CO"/>
        </w:rPr>
      </w:pPr>
    </w:p>
    <w:p w14:paraId="19D4C293" w14:textId="2EE1E90F" w:rsidR="008D6BE2" w:rsidRPr="00444606" w:rsidRDefault="008D6BE2" w:rsidP="001B355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CO"/>
        </w:rPr>
      </w:pPr>
      <w:r w:rsidRPr="00444606">
        <w:rPr>
          <w:rFonts w:ascii="Arial" w:hAnsi="Arial" w:cs="Arial"/>
          <w:sz w:val="18"/>
          <w:szCs w:val="18"/>
          <w:lang w:val="es-CO"/>
        </w:rPr>
        <w:t>Para estos efectos, se deben considerar los siguientes conceptos y cuentas del CUIF:</w:t>
      </w:r>
    </w:p>
    <w:p w14:paraId="1239522E" w14:textId="77777777" w:rsidR="008D60EB" w:rsidRPr="00444606" w:rsidRDefault="008D60EB" w:rsidP="008D60EB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C125AD8" w14:textId="77777777" w:rsidR="004E2AB0" w:rsidRPr="00444606" w:rsidRDefault="004E2AB0" w:rsidP="004E2AB0">
      <w:pPr>
        <w:pStyle w:val="Prrafodelista"/>
        <w:numPr>
          <w:ilvl w:val="0"/>
          <w:numId w:val="5"/>
        </w:numPr>
        <w:tabs>
          <w:tab w:val="left" w:pos="940"/>
        </w:tabs>
        <w:spacing w:after="200" w:line="276" w:lineRule="auto"/>
        <w:ind w:left="426"/>
        <w:jc w:val="both"/>
        <w:rPr>
          <w:rFonts w:ascii="Arial" w:hAnsi="Arial" w:cs="Arial"/>
          <w:sz w:val="18"/>
          <w:szCs w:val="18"/>
          <w:lang w:val="es-CO"/>
        </w:rPr>
      </w:pPr>
      <w:r w:rsidRPr="00444606">
        <w:rPr>
          <w:rFonts w:ascii="Arial" w:hAnsi="Arial" w:cs="Arial"/>
          <w:sz w:val="18"/>
          <w:szCs w:val="18"/>
          <w:lang w:val="es-CO"/>
        </w:rPr>
        <w:t>Otros ingresos de operación: Corresponde a los ingresos de operaciones bancaria ordinarias no incluidas en otras parti</w:t>
      </w:r>
      <w:r w:rsidR="00A53730" w:rsidRPr="00444606">
        <w:rPr>
          <w:rFonts w:ascii="Arial" w:hAnsi="Arial" w:cs="Arial"/>
          <w:sz w:val="18"/>
          <w:szCs w:val="18"/>
          <w:lang w:val="es-CO"/>
        </w:rPr>
        <w:t>das del Indicador de Negocio (IN</w:t>
      </w:r>
      <w:r w:rsidRPr="00444606">
        <w:rPr>
          <w:rFonts w:ascii="Arial" w:hAnsi="Arial" w:cs="Arial"/>
          <w:sz w:val="18"/>
          <w:szCs w:val="18"/>
          <w:lang w:val="es-CO"/>
        </w:rPr>
        <w:t>) pero de naturaleza similar. Deberán excluirse los ingresos de arrendamientos operativos.</w:t>
      </w:r>
    </w:p>
    <w:p w14:paraId="2733E9C9" w14:textId="77777777" w:rsidR="004E2AB0" w:rsidRPr="00444606" w:rsidRDefault="004E2AB0" w:rsidP="004E2AB0">
      <w:pPr>
        <w:pStyle w:val="Prrafodelista"/>
        <w:tabs>
          <w:tab w:val="left" w:pos="940"/>
        </w:tabs>
        <w:ind w:left="426"/>
        <w:jc w:val="both"/>
        <w:rPr>
          <w:rFonts w:ascii="Arial" w:hAnsi="Arial" w:cs="Arial"/>
          <w:sz w:val="18"/>
          <w:szCs w:val="18"/>
          <w:lang w:val="es-CO"/>
        </w:rPr>
      </w:pPr>
    </w:p>
    <w:tbl>
      <w:tblPr>
        <w:tblW w:w="749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61"/>
        <w:gridCol w:w="751"/>
        <w:gridCol w:w="4749"/>
      </w:tblGrid>
      <w:tr w:rsidR="00C50596" w:rsidRPr="00444606" w14:paraId="7FBED8E0" w14:textId="77777777" w:rsidTr="00FB01B7">
        <w:trPr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D9C8B48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997F2AB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Fuente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54555B9" w14:textId="77777777" w:rsidR="00C50596" w:rsidRPr="00444606" w:rsidRDefault="00C505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FF67E9D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C50596" w:rsidRPr="00444606" w14:paraId="47EB48D5" w14:textId="77777777" w:rsidTr="00C5059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7930C6C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 ingresos</w:t>
            </w: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br/>
              <w:t>de operación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F507F99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Catálogo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EDC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419105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5D1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Recuperaciones por seguros- riesgo operativo</w:t>
            </w:r>
          </w:p>
        </w:tc>
      </w:tr>
      <w:tr w:rsidR="00C50596" w:rsidRPr="00444606" w14:paraId="71D6DCC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6007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D0DC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73B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419110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21C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Recuperaciones diferentes a seguros- riesgo operativo</w:t>
            </w:r>
          </w:p>
        </w:tc>
      </w:tr>
      <w:tr w:rsidR="00C50596" w:rsidRPr="00444606" w14:paraId="5E4E6CB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19A6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D846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A66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419205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982F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siniestro</w:t>
            </w:r>
          </w:p>
        </w:tc>
      </w:tr>
      <w:tr w:rsidR="00C50596" w:rsidRPr="00444606" w14:paraId="1BAE8F8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DD61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B04E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DB0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419210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D30E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suministros</w:t>
            </w:r>
          </w:p>
        </w:tc>
      </w:tr>
      <w:tr w:rsidR="00C50596" w:rsidRPr="00444606" w14:paraId="08450B4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4005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EA19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D5D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419215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B19E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Lucro cesante compañías de seguros</w:t>
            </w:r>
          </w:p>
        </w:tc>
      </w:tr>
      <w:tr w:rsidR="00C50596" w:rsidRPr="00444606" w14:paraId="3C3B342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E8E1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DE66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629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419220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3A0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Daño emergente compañías de seguros</w:t>
            </w:r>
          </w:p>
        </w:tc>
      </w:tr>
      <w:tr w:rsidR="00C50596" w:rsidRPr="00444606" w14:paraId="6A1616B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DB80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AC7C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FD3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419225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47A8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pérdida de inversiones</w:t>
            </w:r>
          </w:p>
        </w:tc>
      </w:tr>
      <w:tr w:rsidR="00C50596" w:rsidRPr="00444606" w14:paraId="755A70D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15CA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BEAC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919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419230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176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incumplimiento de contratos</w:t>
            </w:r>
          </w:p>
        </w:tc>
      </w:tr>
      <w:tr w:rsidR="00C50596" w:rsidRPr="00444606" w14:paraId="44609CC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8C30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E970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6C7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419235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2D0C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terceros</w:t>
            </w:r>
          </w:p>
        </w:tc>
      </w:tr>
      <w:tr w:rsidR="00C50596" w:rsidRPr="00444606" w14:paraId="2E3111E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B70A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CD7B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BD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419295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0F69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</w:t>
            </w:r>
          </w:p>
        </w:tc>
      </w:tr>
    </w:tbl>
    <w:p w14:paraId="2B882E5F" w14:textId="77777777" w:rsidR="008D6BE2" w:rsidRPr="00444606" w:rsidRDefault="008D6BE2" w:rsidP="00525391">
      <w:pPr>
        <w:tabs>
          <w:tab w:val="left" w:pos="940"/>
        </w:tabs>
        <w:jc w:val="both"/>
        <w:rPr>
          <w:rFonts w:ascii="Arial" w:hAnsi="Arial" w:cs="Arial"/>
          <w:b/>
          <w:bCs/>
          <w:sz w:val="18"/>
          <w:szCs w:val="18"/>
          <w:lang w:val="es-CO"/>
        </w:rPr>
      </w:pPr>
    </w:p>
    <w:p w14:paraId="2267C47C" w14:textId="77777777" w:rsidR="004E2AB0" w:rsidRPr="00444606" w:rsidRDefault="004E2AB0" w:rsidP="004E2AB0">
      <w:pPr>
        <w:pStyle w:val="Prrafodelista"/>
        <w:numPr>
          <w:ilvl w:val="0"/>
          <w:numId w:val="5"/>
        </w:numPr>
        <w:tabs>
          <w:tab w:val="left" w:pos="940"/>
        </w:tabs>
        <w:spacing w:after="200" w:line="276" w:lineRule="auto"/>
        <w:ind w:left="426"/>
        <w:jc w:val="both"/>
        <w:rPr>
          <w:rFonts w:ascii="Arial" w:hAnsi="Arial" w:cs="Arial"/>
          <w:sz w:val="18"/>
          <w:szCs w:val="18"/>
          <w:lang w:val="es-CO"/>
        </w:rPr>
      </w:pPr>
      <w:r w:rsidRPr="00444606">
        <w:rPr>
          <w:rFonts w:ascii="Arial" w:hAnsi="Arial" w:cs="Arial"/>
          <w:sz w:val="18"/>
          <w:szCs w:val="18"/>
          <w:lang w:val="es-CO"/>
        </w:rPr>
        <w:t>Otros gastos de operación: Corresponde a los gastos y pérdidas de operaciones bancarias ordinarias no incluidas en otras parti</w:t>
      </w:r>
      <w:r w:rsidR="00A53730" w:rsidRPr="00444606">
        <w:rPr>
          <w:rFonts w:ascii="Arial" w:hAnsi="Arial" w:cs="Arial"/>
          <w:sz w:val="18"/>
          <w:szCs w:val="18"/>
          <w:lang w:val="es-CO"/>
        </w:rPr>
        <w:t>das del Indicador de Negocio (IN</w:t>
      </w:r>
      <w:r w:rsidRPr="00444606">
        <w:rPr>
          <w:rFonts w:ascii="Arial" w:hAnsi="Arial" w:cs="Arial"/>
          <w:sz w:val="18"/>
          <w:szCs w:val="18"/>
          <w:lang w:val="es-CO"/>
        </w:rPr>
        <w:t>) pero de naturaleza similar y de eventos de pérdidas por riesgo operacional. Deberán excluirse los gastos de arrendamientos operativos.</w:t>
      </w:r>
    </w:p>
    <w:tbl>
      <w:tblPr>
        <w:tblW w:w="749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61"/>
        <w:gridCol w:w="751"/>
        <w:gridCol w:w="4749"/>
      </w:tblGrid>
      <w:tr w:rsidR="00C50596" w:rsidRPr="00444606" w14:paraId="03AF4941" w14:textId="77777777" w:rsidTr="00FB01B7">
        <w:trPr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1E997F3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9770304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Fuente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5BBA411" w14:textId="77777777" w:rsidR="00C50596" w:rsidRPr="00444606" w:rsidRDefault="00C505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A921B6E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C50596" w:rsidRPr="00444606" w14:paraId="1F72E877" w14:textId="77777777" w:rsidTr="00C5059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699F81D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 gastos de operación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D05588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Catálogo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076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F528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Pérdidas por siniestros</w:t>
            </w:r>
          </w:p>
        </w:tc>
      </w:tr>
      <w:tr w:rsidR="00C50596" w:rsidRPr="00444606" w14:paraId="4AEC7B4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64CD68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FB75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4F7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A26F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Construcciones en curso</w:t>
            </w:r>
          </w:p>
        </w:tc>
      </w:tr>
      <w:tr w:rsidR="00C50596" w:rsidRPr="00444606" w14:paraId="2CFC03A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4205F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BD74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C2A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C1E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Edificios</w:t>
            </w:r>
          </w:p>
        </w:tc>
      </w:tr>
      <w:tr w:rsidR="00C50596" w:rsidRPr="00444606" w14:paraId="3E53DE0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B25631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7CE3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D6E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845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Maquinaria muebles y enseres</w:t>
            </w:r>
          </w:p>
        </w:tc>
      </w:tr>
      <w:tr w:rsidR="00C50596" w:rsidRPr="00444606" w14:paraId="7AC4C88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278B1E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D566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F6A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DFA4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Equipo de computación</w:t>
            </w:r>
          </w:p>
        </w:tc>
      </w:tr>
      <w:tr w:rsidR="00C50596" w:rsidRPr="00444606" w14:paraId="1AAAD9B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4E9B6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D3BC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137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9602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Vehículos</w:t>
            </w:r>
          </w:p>
        </w:tc>
      </w:tr>
      <w:tr w:rsidR="00C50596" w:rsidRPr="00444606" w14:paraId="3284D39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6FA7F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B57B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EF0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E0C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Efectivo y canje</w:t>
            </w:r>
          </w:p>
        </w:tc>
      </w:tr>
      <w:tr w:rsidR="00C50596" w:rsidRPr="00444606" w14:paraId="436A38E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B65E5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CF2B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0D2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684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Títulos valores</w:t>
            </w:r>
          </w:p>
        </w:tc>
      </w:tr>
      <w:tr w:rsidR="00C50596" w:rsidRPr="00444606" w14:paraId="0B1D018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D14EC5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A8FA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DF2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513345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BA5F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Cartera de créditos</w:t>
            </w:r>
          </w:p>
        </w:tc>
      </w:tr>
      <w:tr w:rsidR="00C50596" w:rsidRPr="00444606" w14:paraId="7B83EDA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2CF3BC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4340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C7F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513395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2DA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 activos</w:t>
            </w:r>
          </w:p>
        </w:tc>
      </w:tr>
      <w:tr w:rsidR="00C50596" w:rsidRPr="00444606" w14:paraId="58D1EA7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41DF6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3B53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565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434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Multas y sanciones superintendencia financiera de Colombia - desencaje</w:t>
            </w:r>
          </w:p>
        </w:tc>
      </w:tr>
      <w:tr w:rsidR="00C50596" w:rsidRPr="00444606" w14:paraId="06761720" w14:textId="77777777" w:rsidTr="00C50596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81CC32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6920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8DA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041D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Multas y sanciones superintendencia financiera de Colombia – apalancamiento</w:t>
            </w:r>
          </w:p>
        </w:tc>
      </w:tr>
      <w:tr w:rsidR="00C50596" w:rsidRPr="00444606" w14:paraId="2A602882" w14:textId="77777777" w:rsidTr="00C50596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61D83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10C5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A61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D8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Multas y sanciones superintendencia financiera de Colombia - posición propia</w:t>
            </w:r>
          </w:p>
        </w:tc>
      </w:tr>
      <w:tr w:rsidR="00C50596" w:rsidRPr="00444606" w14:paraId="26DA085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5FED87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44EB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70E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B89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Multas y sanciones superintendencia financiera de Colombia - otras</w:t>
            </w:r>
          </w:p>
        </w:tc>
      </w:tr>
      <w:tr w:rsidR="00C50596" w:rsidRPr="00444606" w14:paraId="50CA8C3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7E0F8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66A7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0D9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884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Multas y sanciones otras autoridades administrativas</w:t>
            </w:r>
          </w:p>
        </w:tc>
      </w:tr>
      <w:tr w:rsidR="00C50596" w:rsidRPr="00444606" w14:paraId="2DC8E91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71030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CF09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9A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2230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Indemnizaciones a clientes</w:t>
            </w:r>
          </w:p>
        </w:tc>
      </w:tr>
      <w:tr w:rsidR="00C50596" w:rsidRPr="00444606" w14:paraId="6D1C1D0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A4075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9FCC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414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BF23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Otras indemnizaciones</w:t>
            </w:r>
          </w:p>
        </w:tc>
      </w:tr>
      <w:tr w:rsidR="00C50596" w:rsidRPr="00444606" w14:paraId="6FC7BC7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91739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D86E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6A1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B91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Demandas laborales</w:t>
            </w:r>
          </w:p>
        </w:tc>
      </w:tr>
      <w:tr w:rsidR="00C50596" w:rsidRPr="00444606" w14:paraId="5105A40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95C4B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9B11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D50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517245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4E3E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Demandas por incumplimiento de contratos</w:t>
            </w:r>
          </w:p>
        </w:tc>
      </w:tr>
      <w:tr w:rsidR="00C50596" w:rsidRPr="00444606" w14:paraId="29A7887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072235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1A98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58D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517250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823E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Litigios en proceso ejecutivo</w:t>
            </w:r>
          </w:p>
        </w:tc>
      </w:tr>
      <w:tr w:rsidR="00C50596" w:rsidRPr="00444606" w14:paraId="65E425D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2A685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18CC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5A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517255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261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 litigios en proceso administrativo judicial o arbitral</w:t>
            </w:r>
          </w:p>
        </w:tc>
      </w:tr>
      <w:tr w:rsidR="00C50596" w:rsidRPr="00444606" w14:paraId="4F555EB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8CF91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D63A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548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517295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C9F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Otras</w:t>
            </w:r>
          </w:p>
        </w:tc>
      </w:tr>
      <w:tr w:rsidR="00C50596" w:rsidRPr="00444606" w14:paraId="5256902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91EFCD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617E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A5F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510297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E3B7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3471C91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DE4566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4408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60D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510397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654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3C003B1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3CF8B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F1BA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1AA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510497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66F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792B66F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E7EF7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BA49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28D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510597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BA11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32AD866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1ADBF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472E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1D9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259D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138DAED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609DBE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656D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E7E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511497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3425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132D418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790E0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BE48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F66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8869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4D3FC56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37373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E707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F24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511697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691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46EEF2A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844A7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9BFD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E08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511797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D9C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783FB4E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DF904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F336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21E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511897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529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61C912E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F0CA0D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25F1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0E8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512097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4758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0F6B6E1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E7775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9563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26B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512197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426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6915CCB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6B3DD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0915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727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512297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6AD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5C530E2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5B962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CDBF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859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512497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5038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3C34D66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53AD2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6066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C26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512597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0E8D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3E6B9C4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125CD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FECF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58D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512697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6B77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2E75E63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568E1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58A0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220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512797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336D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77D9351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0D788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7091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F2F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513097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C0DF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68ED94E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D5FF2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97E1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F24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513197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7770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14C8366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76FA1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48AA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54A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514097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3792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0B3E273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DAB54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830D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903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514597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AD3C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073081E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72C6E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4D9D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E69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514997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6A5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748C288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F4830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4D83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F39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515097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10B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584E58D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FFBA26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3124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101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515197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374E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483C00C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B2886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75A3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D8E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515297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CEB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40DA577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F7D5D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2C43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2D2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515397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7DE0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3448947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5B876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5E28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BDF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515497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88A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28D98C5E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73B22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5783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138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515597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4D0F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6F3DC69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CEAB7A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57DA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672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515697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EF89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706D1FA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F81A1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DEE2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031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515797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0862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631FF60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565056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D9E2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440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516097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6E44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13A3A0B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2DB77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3488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8B7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516397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D41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623EDA2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597EC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03F4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459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516597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6D4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332A648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442C6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7B57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9ED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516997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EE39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13F26F8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5F11A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58E4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47B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517497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9EBB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Pagos siniestros sin recuperación-riesgo operativo</w:t>
            </w:r>
          </w:p>
        </w:tc>
      </w:tr>
      <w:tr w:rsidR="00C50596" w:rsidRPr="00444606" w14:paraId="18EA7DA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ADE14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7C94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0E3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519097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A5B8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  <w:tr w:rsidR="00C50596" w:rsidRPr="00444606" w14:paraId="000212FE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6E3C78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AB86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FA0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570597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8303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Riesgo operativo</w:t>
            </w:r>
          </w:p>
        </w:tc>
      </w:tr>
    </w:tbl>
    <w:p w14:paraId="6A9F59BC" w14:textId="77777777" w:rsidR="004E2AB0" w:rsidRPr="00444606" w:rsidRDefault="004E2AB0" w:rsidP="00525391">
      <w:pPr>
        <w:tabs>
          <w:tab w:val="left" w:pos="940"/>
        </w:tabs>
        <w:jc w:val="both"/>
        <w:rPr>
          <w:rFonts w:ascii="Arial" w:hAnsi="Arial" w:cs="Arial"/>
          <w:sz w:val="18"/>
          <w:szCs w:val="18"/>
          <w:lang w:val="es-CO"/>
        </w:rPr>
      </w:pPr>
    </w:p>
    <w:p w14:paraId="7E427BBA" w14:textId="450A41D7" w:rsidR="004E2AB0" w:rsidRPr="00444606" w:rsidRDefault="004E2AB0" w:rsidP="00117F7A">
      <w:pPr>
        <w:pStyle w:val="Prrafodelista"/>
        <w:numPr>
          <w:ilvl w:val="0"/>
          <w:numId w:val="5"/>
        </w:numPr>
        <w:tabs>
          <w:tab w:val="left" w:pos="2510"/>
        </w:tabs>
        <w:spacing w:after="200" w:line="276" w:lineRule="auto"/>
        <w:ind w:left="426"/>
        <w:jc w:val="both"/>
        <w:rPr>
          <w:rFonts w:ascii="Arial" w:hAnsi="Arial" w:cs="Arial"/>
          <w:sz w:val="18"/>
          <w:szCs w:val="18"/>
          <w:lang w:val="es-CO"/>
        </w:rPr>
      </w:pPr>
      <w:r w:rsidRPr="00444606">
        <w:rPr>
          <w:rFonts w:ascii="Arial" w:hAnsi="Arial" w:cs="Arial"/>
          <w:sz w:val="18"/>
          <w:szCs w:val="18"/>
          <w:lang w:val="es-CO"/>
        </w:rPr>
        <w:t xml:space="preserve">Ingresos por honorarios y comisiones: Corresponde a los ingresos percibidos por la prestación de asesoramiento y servicio. Incluye ingresos por intereses percibidos por </w:t>
      </w:r>
      <w:r w:rsidR="00B74A59" w:rsidRPr="00444606">
        <w:rPr>
          <w:rFonts w:ascii="Arial" w:hAnsi="Arial" w:cs="Arial"/>
          <w:sz w:val="18"/>
          <w:szCs w:val="18"/>
          <w:lang w:val="es-CO"/>
        </w:rPr>
        <w:t>la entidad</w:t>
      </w:r>
      <w:r w:rsidRPr="00444606">
        <w:rPr>
          <w:rFonts w:ascii="Arial" w:hAnsi="Arial" w:cs="Arial"/>
          <w:sz w:val="18"/>
          <w:szCs w:val="18"/>
          <w:lang w:val="es-CO"/>
        </w:rPr>
        <w:t xml:space="preserve"> al externalizar servicios financieros.</w:t>
      </w:r>
    </w:p>
    <w:tbl>
      <w:tblPr>
        <w:tblW w:w="749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61"/>
        <w:gridCol w:w="751"/>
        <w:gridCol w:w="4749"/>
      </w:tblGrid>
      <w:tr w:rsidR="00C50596" w:rsidRPr="00444606" w14:paraId="2AF3EA49" w14:textId="77777777" w:rsidTr="00FB01B7">
        <w:trPr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79194FE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70DA905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Fuente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219E901" w14:textId="77777777" w:rsidR="00C50596" w:rsidRPr="00444606" w:rsidRDefault="00C505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70C8A15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C50596" w:rsidRPr="00444606" w14:paraId="70199776" w14:textId="77777777" w:rsidTr="00C5059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FAC36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Ingresos por</w:t>
            </w: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br/>
              <w:t>honorarios y</w:t>
            </w: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br/>
              <w:t>comisiones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E8E93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Catálogo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7A0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B26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Inscripción de títulos</w:t>
            </w:r>
          </w:p>
        </w:tc>
      </w:tr>
      <w:tr w:rsidR="00C50596" w:rsidRPr="00444606" w14:paraId="551F1A9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7AB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60E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33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98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Custodia de valores</w:t>
            </w:r>
          </w:p>
        </w:tc>
      </w:tr>
      <w:tr w:rsidR="00C50596" w:rsidRPr="00444606" w14:paraId="594E51E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CA2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15F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1F0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D7D9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Operaciones martillo</w:t>
            </w:r>
          </w:p>
        </w:tc>
      </w:tr>
      <w:tr w:rsidR="00C50596" w:rsidRPr="00444606" w14:paraId="0C024FB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BE6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207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FF9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1606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Servicio de transferencia de valores o títulos</w:t>
            </w:r>
          </w:p>
        </w:tc>
      </w:tr>
      <w:tr w:rsidR="00C50596" w:rsidRPr="00444606" w14:paraId="62CBD8F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E9C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652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D47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411345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8CB6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de valores</w:t>
            </w:r>
          </w:p>
        </w:tc>
      </w:tr>
      <w:tr w:rsidR="00C50596" w:rsidRPr="00444606" w14:paraId="1695AC6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D18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FDC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ADA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411350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826D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Transacciones</w:t>
            </w:r>
          </w:p>
        </w:tc>
      </w:tr>
      <w:tr w:rsidR="00C50596" w:rsidRPr="00444606" w14:paraId="08FFCA3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82F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7F3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7AD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411375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AE74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Gravámenes, certificaciones y constancias</w:t>
            </w:r>
          </w:p>
        </w:tc>
      </w:tr>
      <w:tr w:rsidR="00C50596" w:rsidRPr="00444606" w14:paraId="01AB633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D72C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0B1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5B0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411382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D39A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información</w:t>
            </w:r>
          </w:p>
        </w:tc>
      </w:tr>
      <w:tr w:rsidR="00C50596" w:rsidRPr="00444606" w14:paraId="6ABA96F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FF3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17AD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478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411385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E3D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servicios de compensación y liquidación de divisas</w:t>
            </w:r>
          </w:p>
        </w:tc>
      </w:tr>
      <w:tr w:rsidR="00C50596" w:rsidRPr="00444606" w14:paraId="13BF3E9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AAC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3F1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D75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411387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6C0A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servicios de negociación y registro de operaciones sobre divisas</w:t>
            </w:r>
          </w:p>
        </w:tc>
      </w:tr>
      <w:tr w:rsidR="00C50596" w:rsidRPr="00444606" w14:paraId="52526AE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CC8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3D85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9EB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411395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941F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</w:t>
            </w:r>
          </w:p>
        </w:tc>
      </w:tr>
      <w:tr w:rsidR="00C50596" w:rsidRPr="00444606" w14:paraId="1012EE4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4E2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078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A11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411502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770B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Aceptaciones (bancarias)</w:t>
            </w:r>
          </w:p>
        </w:tc>
      </w:tr>
      <w:tr w:rsidR="00C50596" w:rsidRPr="00444606" w14:paraId="02EAC78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3A1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1FB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47C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411504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DD7C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Cartas de crédito</w:t>
            </w:r>
          </w:p>
        </w:tc>
      </w:tr>
      <w:tr w:rsidR="00C50596" w:rsidRPr="00444606" w14:paraId="185DFE6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44D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817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73C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411506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BAE2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Avales</w:t>
            </w:r>
          </w:p>
        </w:tc>
      </w:tr>
      <w:tr w:rsidR="00C50596" w:rsidRPr="00444606" w14:paraId="7018357E" w14:textId="77777777" w:rsidTr="00C50596">
        <w:trPr>
          <w:trHeight w:val="3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EB0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EA3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75C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411508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6604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Garantías bancarias</w:t>
            </w:r>
          </w:p>
        </w:tc>
      </w:tr>
      <w:tr w:rsidR="00C50596" w:rsidRPr="00444606" w14:paraId="6454C17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22E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C2C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EB1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9DE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Servicios bancarios</w:t>
            </w:r>
          </w:p>
        </w:tc>
      </w:tr>
      <w:tr w:rsidR="00C50596" w:rsidRPr="00444606" w14:paraId="0C112C3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A7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44A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161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411512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CB1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Negocios fiduciarios (comisiones y honorarios)</w:t>
            </w:r>
          </w:p>
        </w:tc>
      </w:tr>
      <w:tr w:rsidR="00C50596" w:rsidRPr="00444606" w14:paraId="616D127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5B1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D5F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84C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411514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9F8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Establecimientos afiliados a tarjetas de crédito y debito</w:t>
            </w:r>
          </w:p>
        </w:tc>
      </w:tr>
      <w:tr w:rsidR="00C50596" w:rsidRPr="00444606" w14:paraId="6958DB4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6AA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FD8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153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411516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4A5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Uso medios de pago diferentes de efectivo</w:t>
            </w:r>
          </w:p>
        </w:tc>
      </w:tr>
      <w:tr w:rsidR="00C50596" w:rsidRPr="00444606" w14:paraId="7EA118C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BB5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C6F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AB1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411518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A39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Servicio red de oficinas</w:t>
            </w:r>
          </w:p>
        </w:tc>
      </w:tr>
      <w:tr w:rsidR="00C50596" w:rsidRPr="00444606" w14:paraId="60C4240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4C4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6D7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96B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8BE5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administración-fondo de cesantía portafolio de corto plazo</w:t>
            </w:r>
          </w:p>
        </w:tc>
      </w:tr>
      <w:tr w:rsidR="00C50596" w:rsidRPr="00444606" w14:paraId="28D6D85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10F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462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046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411522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C7E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administración-fondo de cesantía portafolio de largo plazo</w:t>
            </w:r>
          </w:p>
        </w:tc>
      </w:tr>
      <w:tr w:rsidR="00C50596" w:rsidRPr="00444606" w14:paraId="377FC4E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6E8E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01E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74F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411524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393A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retiros parciales-fondo de cesantía portafolio de corto  plazo</w:t>
            </w:r>
          </w:p>
        </w:tc>
      </w:tr>
      <w:tr w:rsidR="00C50596" w:rsidRPr="00444606" w14:paraId="1BDA148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C57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F6C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82B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411526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A9BF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retiros parciales-fondo de cesantía portafolio de largo  plazo</w:t>
            </w:r>
          </w:p>
        </w:tc>
      </w:tr>
      <w:tr w:rsidR="00C50596" w:rsidRPr="00444606" w14:paraId="5AEDA03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E32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D2F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5E1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411528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F597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 fondo de pensiones obligatorias</w:t>
            </w:r>
          </w:p>
        </w:tc>
      </w:tr>
      <w:tr w:rsidR="00C50596" w:rsidRPr="00444606" w14:paraId="6FE06C7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23A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07C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26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1C2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 pensiones por retiro programado</w:t>
            </w:r>
          </w:p>
        </w:tc>
      </w:tr>
      <w:tr w:rsidR="00C50596" w:rsidRPr="00444606" w14:paraId="63D52CC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9C1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2B9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4F1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411532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172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 recursos afiliados cesantes</w:t>
            </w:r>
          </w:p>
        </w:tc>
      </w:tr>
      <w:tr w:rsidR="00C50596" w:rsidRPr="00444606" w14:paraId="31066FB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7CD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A2D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F92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411534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D83E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traslado de afiliados</w:t>
            </w:r>
          </w:p>
        </w:tc>
      </w:tr>
      <w:tr w:rsidR="00C50596" w:rsidRPr="00444606" w14:paraId="1F74BEE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73F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771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753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411536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079E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aportes voluntarios fondos de pensiones  obligatorias</w:t>
            </w:r>
          </w:p>
        </w:tc>
      </w:tr>
      <w:tr w:rsidR="00C50596" w:rsidRPr="00444606" w14:paraId="6FBF55F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E3F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1CC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B70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411538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94F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 fondo de pensiones voluntarias</w:t>
            </w:r>
          </w:p>
        </w:tc>
      </w:tr>
      <w:tr w:rsidR="00C50596" w:rsidRPr="00444606" w14:paraId="5E916283" w14:textId="77777777" w:rsidTr="00C50596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C2D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B78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CF8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CCEC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 pasivos pensionales entidades territoriales y sus descentralizadas</w:t>
            </w:r>
          </w:p>
        </w:tc>
      </w:tr>
      <w:tr w:rsidR="00C50596" w:rsidRPr="00444606" w14:paraId="2A89416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1FF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3C6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E8D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411542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C37D" w14:textId="5C3FC84B" w:rsidR="00C50596" w:rsidRPr="00444606" w:rsidRDefault="00C50596" w:rsidP="00FC48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 xml:space="preserve">De administración </w:t>
            </w:r>
            <w:r w:rsidR="00FC48AB" w:rsidRPr="00444606">
              <w:rPr>
                <w:rFonts w:ascii="Arial" w:hAnsi="Arial" w:cs="Arial"/>
                <w:color w:val="000000"/>
                <w:sz w:val="18"/>
                <w:szCs w:val="18"/>
              </w:rPr>
              <w:t>FONPET</w:t>
            </w:r>
          </w:p>
        </w:tc>
      </w:tr>
      <w:tr w:rsidR="00C50596" w:rsidRPr="00444606" w14:paraId="0F5A5BC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F62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CE5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25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411544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11A9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 pasivos pensionales por reactivación  económica</w:t>
            </w:r>
          </w:p>
        </w:tc>
      </w:tr>
      <w:tr w:rsidR="00C50596" w:rsidRPr="00444606" w14:paraId="4212F39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EC9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03A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946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411546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339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seguros previsionales</w:t>
            </w:r>
          </w:p>
        </w:tc>
      </w:tr>
      <w:tr w:rsidR="00C50596" w:rsidRPr="00444606" w14:paraId="7FD44D7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EE7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67E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01E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411548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8C85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giros</w:t>
            </w:r>
          </w:p>
        </w:tc>
      </w:tr>
      <w:tr w:rsidR="00C50596" w:rsidRPr="00444606" w14:paraId="24B7B46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4A5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B42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9C0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411550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950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 de riesgos laborales</w:t>
            </w:r>
          </w:p>
        </w:tc>
      </w:tr>
      <w:tr w:rsidR="00C50596" w:rsidRPr="00444606" w14:paraId="0ECA322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237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5C7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A2C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411552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E090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Privatizaciones</w:t>
            </w:r>
          </w:p>
        </w:tc>
      </w:tr>
      <w:tr w:rsidR="00C50596" w:rsidRPr="00444606" w14:paraId="2E3B778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337A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A8C3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A4C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411554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1F9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Capital garantía</w:t>
            </w:r>
          </w:p>
        </w:tc>
      </w:tr>
      <w:tr w:rsidR="00C50596" w:rsidRPr="00444606" w14:paraId="7CACD5D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48F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EEA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116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411556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885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Cuotas de manejo de tarjetas de crédito</w:t>
            </w:r>
          </w:p>
        </w:tc>
      </w:tr>
      <w:tr w:rsidR="00C50596" w:rsidRPr="00444606" w14:paraId="5E33A33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671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541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FC0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411558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742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Cuotas de manejo de tarjetas debito</w:t>
            </w:r>
          </w:p>
        </w:tc>
      </w:tr>
      <w:tr w:rsidR="00C50596" w:rsidRPr="00444606" w14:paraId="654C3F7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8C6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4F9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179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7B76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productos derivados</w:t>
            </w:r>
          </w:p>
        </w:tc>
      </w:tr>
      <w:tr w:rsidR="00C50596" w:rsidRPr="00444606" w14:paraId="4868DCD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414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1FD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9B6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A01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garantías - FNG</w:t>
            </w:r>
          </w:p>
        </w:tc>
      </w:tr>
      <w:tr w:rsidR="00C50596" w:rsidRPr="00444606" w14:paraId="2B79ED9E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255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D47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C80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E671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Corretaje de valores</w:t>
            </w:r>
          </w:p>
        </w:tc>
      </w:tr>
      <w:tr w:rsidR="00C50596" w:rsidRPr="00444606" w14:paraId="61F7D66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9DE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0083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7A6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C996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Corretaje de productos agropecuarios</w:t>
            </w:r>
          </w:p>
        </w:tc>
      </w:tr>
      <w:tr w:rsidR="00C50596" w:rsidRPr="00444606" w14:paraId="54B0487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FED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955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A09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CCD9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Contrato de comisión</w:t>
            </w:r>
          </w:p>
        </w:tc>
      </w:tr>
      <w:tr w:rsidR="00C50596" w:rsidRPr="00444606" w14:paraId="498A7F4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EAA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DD7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A97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43D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Contrato de comisión títulos sobre y productos agropecuarios</w:t>
            </w:r>
          </w:p>
        </w:tc>
      </w:tr>
      <w:tr w:rsidR="00C50596" w:rsidRPr="00444606" w14:paraId="5AC046C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915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3ACD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7FF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F808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Contratos de colocación de títulos</w:t>
            </w:r>
          </w:p>
        </w:tc>
      </w:tr>
      <w:tr w:rsidR="00C50596" w:rsidRPr="00444606" w14:paraId="05847EF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68C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6E2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185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CBE5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Contratos de futuros</w:t>
            </w:r>
          </w:p>
        </w:tc>
      </w:tr>
      <w:tr w:rsidR="00C50596" w:rsidRPr="00444606" w14:paraId="0AD6624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87F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F33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285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AD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Contratos de opciones</w:t>
            </w:r>
          </w:p>
        </w:tc>
      </w:tr>
      <w:tr w:rsidR="00C50596" w:rsidRPr="00444606" w14:paraId="3A1AA39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598E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F46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3A7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411569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BAF8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de fondos de inversión colectiva</w:t>
            </w:r>
          </w:p>
        </w:tc>
      </w:tr>
      <w:tr w:rsidR="00C50596" w:rsidRPr="00444606" w14:paraId="4E9E540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C18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500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C29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DED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de valores</w:t>
            </w:r>
          </w:p>
        </w:tc>
      </w:tr>
      <w:tr w:rsidR="00C50596" w:rsidRPr="00444606" w14:paraId="1FE331CE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B633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35C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1CB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0510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de portafolios de valores de terceros</w:t>
            </w:r>
          </w:p>
        </w:tc>
      </w:tr>
      <w:tr w:rsidR="00C50596" w:rsidRPr="00444606" w14:paraId="426B4BC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6D2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19C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F87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D8DA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fondos de capital extranjero</w:t>
            </w:r>
          </w:p>
        </w:tc>
      </w:tr>
      <w:tr w:rsidR="00C50596" w:rsidRPr="00444606" w14:paraId="01868D9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33A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A5B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465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D22B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Contratos de corresponsalía</w:t>
            </w:r>
          </w:p>
        </w:tc>
      </w:tr>
      <w:tr w:rsidR="00C50596" w:rsidRPr="00444606" w14:paraId="2BC7227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644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B48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096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B782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Contratos de liquidez</w:t>
            </w:r>
          </w:p>
        </w:tc>
      </w:tr>
      <w:tr w:rsidR="00C50596" w:rsidRPr="00444606" w14:paraId="1F412DCE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F3C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47D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18A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FA8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Precio por transferencia temporal de valores</w:t>
            </w:r>
          </w:p>
        </w:tc>
      </w:tr>
      <w:tr w:rsidR="00C50596" w:rsidRPr="00444606" w14:paraId="43BF2AA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F94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D5A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4E5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99E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calificación de valores</w:t>
            </w:r>
          </w:p>
        </w:tc>
      </w:tr>
      <w:tr w:rsidR="00C50596" w:rsidRPr="00444606" w14:paraId="2360DA1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B6D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26D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9E7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9C99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Asesorías</w:t>
            </w:r>
          </w:p>
        </w:tc>
      </w:tr>
      <w:tr w:rsidR="00C50596" w:rsidRPr="00444606" w14:paraId="0A6BCC3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38E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538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53A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07BD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Compra-venta de divisas</w:t>
            </w:r>
          </w:p>
        </w:tc>
      </w:tr>
      <w:tr w:rsidR="00C50596" w:rsidRPr="00444606" w14:paraId="5419F95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5BE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ABC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924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411579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9EB2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Honorarios por fundición y ensaye metales preciosos</w:t>
            </w:r>
          </w:p>
        </w:tc>
      </w:tr>
      <w:tr w:rsidR="00C50596" w:rsidRPr="00444606" w14:paraId="3D174B3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4A6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9D7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C95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411580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A4B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Comisiones líneas de crédito externas</w:t>
            </w:r>
          </w:p>
        </w:tc>
      </w:tr>
      <w:tr w:rsidR="00C50596" w:rsidRPr="00444606" w14:paraId="719E8AC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9E8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6C3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9B1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411595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1CFC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Otras</w:t>
            </w:r>
          </w:p>
        </w:tc>
      </w:tr>
      <w:tr w:rsidR="00C50596" w:rsidRPr="00444606" w14:paraId="098996A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E07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DA5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524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411700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C78F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Ingresos por retrogarantes</w:t>
            </w:r>
          </w:p>
        </w:tc>
      </w:tr>
      <w:tr w:rsidR="00C50596" w:rsidRPr="00444606" w14:paraId="77C01B1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228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B44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E1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419505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15CF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Venta de chequeras</w:t>
            </w:r>
          </w:p>
        </w:tc>
      </w:tr>
      <w:tr w:rsidR="00C50596" w:rsidRPr="00444606" w14:paraId="634EE310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6EF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CE5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22C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419510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B80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Información comercial</w:t>
            </w:r>
          </w:p>
        </w:tc>
      </w:tr>
      <w:tr w:rsidR="00C50596" w:rsidRPr="00444606" w14:paraId="0CD68D9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D6B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3EF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4A3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419595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B5BA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</w:t>
            </w:r>
          </w:p>
        </w:tc>
      </w:tr>
    </w:tbl>
    <w:p w14:paraId="731687B1" w14:textId="77777777" w:rsidR="004E2AB0" w:rsidRPr="00444606" w:rsidRDefault="004E2AB0" w:rsidP="004E2AB0">
      <w:pPr>
        <w:pStyle w:val="Prrafodelista"/>
        <w:ind w:left="426"/>
        <w:rPr>
          <w:rFonts w:ascii="Arial" w:hAnsi="Arial" w:cs="Arial"/>
          <w:bCs/>
          <w:sz w:val="18"/>
          <w:szCs w:val="18"/>
          <w:lang w:val="es-CO"/>
        </w:rPr>
      </w:pPr>
    </w:p>
    <w:p w14:paraId="426088F6" w14:textId="53AF4564" w:rsidR="004E2AB0" w:rsidRPr="00444606" w:rsidRDefault="004E2AB0" w:rsidP="004E2AB0">
      <w:pPr>
        <w:pStyle w:val="Prrafodelista"/>
        <w:numPr>
          <w:ilvl w:val="0"/>
          <w:numId w:val="5"/>
        </w:numPr>
        <w:tabs>
          <w:tab w:val="left" w:pos="2510"/>
        </w:tabs>
        <w:spacing w:after="200" w:line="276" w:lineRule="auto"/>
        <w:ind w:left="426"/>
        <w:jc w:val="both"/>
        <w:rPr>
          <w:rFonts w:ascii="Arial" w:hAnsi="Arial" w:cs="Arial"/>
          <w:bCs/>
          <w:sz w:val="18"/>
          <w:szCs w:val="18"/>
          <w:lang w:val="es-CO"/>
        </w:rPr>
      </w:pPr>
      <w:r w:rsidRPr="00444606">
        <w:rPr>
          <w:rFonts w:ascii="Arial" w:hAnsi="Arial" w:cs="Arial"/>
          <w:bCs/>
          <w:sz w:val="18"/>
          <w:szCs w:val="18"/>
          <w:lang w:val="es-CO"/>
        </w:rPr>
        <w:t xml:space="preserve">Gastos por honorarios y comisiones: Corresponde a los gastos pagados por la recepción de asesoramiento y servicios. Incluye las comisiones de externalización pagadas por </w:t>
      </w:r>
      <w:r w:rsidR="00B74A59" w:rsidRPr="00444606">
        <w:rPr>
          <w:rFonts w:ascii="Arial" w:hAnsi="Arial" w:cs="Arial"/>
          <w:bCs/>
          <w:sz w:val="18"/>
          <w:szCs w:val="18"/>
          <w:lang w:val="es-CO"/>
        </w:rPr>
        <w:t>la entidad</w:t>
      </w:r>
      <w:r w:rsidRPr="00444606">
        <w:rPr>
          <w:rFonts w:ascii="Arial" w:hAnsi="Arial" w:cs="Arial"/>
          <w:bCs/>
          <w:sz w:val="18"/>
          <w:szCs w:val="18"/>
          <w:lang w:val="es-CO"/>
        </w:rPr>
        <w:t xml:space="preserve"> por la prestación de servicios financieros, pero no las comisiones de externalización pagadas por la prestación de servicios no financieros (por ejemplo, logísticos, informáticos o de recursos humanos).</w:t>
      </w:r>
    </w:p>
    <w:p w14:paraId="0C73225B" w14:textId="77777777" w:rsidR="00EB075C" w:rsidRPr="00444606" w:rsidRDefault="00EB075C" w:rsidP="008D60EB">
      <w:p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  <w:lang w:val="es-CO"/>
        </w:rPr>
      </w:pPr>
    </w:p>
    <w:tbl>
      <w:tblPr>
        <w:tblW w:w="749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61"/>
        <w:gridCol w:w="751"/>
        <w:gridCol w:w="4749"/>
      </w:tblGrid>
      <w:tr w:rsidR="00C50596" w:rsidRPr="00444606" w14:paraId="105CAAE9" w14:textId="77777777" w:rsidTr="00FB01B7">
        <w:trPr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7F9C07F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35A8DE6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Fuente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4026827" w14:textId="77777777" w:rsidR="00C50596" w:rsidRPr="00444606" w:rsidRDefault="00C505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B627177" w14:textId="77777777" w:rsidR="00C50596" w:rsidRPr="00444606" w:rsidRDefault="00C50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C50596" w:rsidRPr="00444606" w14:paraId="65A51DA2" w14:textId="77777777" w:rsidTr="00C5059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E157699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Gastos por honorarios y</w:t>
            </w: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br/>
              <w:t>comisiones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873B023" w14:textId="77777777" w:rsidR="00C50596" w:rsidRPr="00444606" w:rsidRDefault="00C50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Catálogo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FF6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511305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510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bolsas de valores</w:t>
            </w:r>
          </w:p>
        </w:tc>
      </w:tr>
      <w:tr w:rsidR="00C50596" w:rsidRPr="00444606" w14:paraId="0BE6600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EC99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945E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AB4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94A7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bolsas de bienes y productos agropecuarios y agroindustriales</w:t>
            </w:r>
          </w:p>
        </w:tc>
      </w:tr>
      <w:tr w:rsidR="00C50596" w:rsidRPr="00444606" w14:paraId="4782A7F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E2C5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7792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3A9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8AB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de valores o títulos</w:t>
            </w:r>
          </w:p>
        </w:tc>
      </w:tr>
      <w:tr w:rsidR="00C50596" w:rsidRPr="00444606" w14:paraId="5FF6C73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31A7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ABEE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EAB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511320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D11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Transferencia de valores o títulos</w:t>
            </w:r>
          </w:p>
        </w:tc>
      </w:tr>
      <w:tr w:rsidR="00C50596" w:rsidRPr="00444606" w14:paraId="18225EA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5429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8DB9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50C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511325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3828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Custodia de valores o títulos</w:t>
            </w:r>
          </w:p>
        </w:tc>
      </w:tr>
      <w:tr w:rsidR="00C50596" w:rsidRPr="00444606" w14:paraId="4565CE02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604B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F7E0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B5B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270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información</w:t>
            </w:r>
          </w:p>
        </w:tc>
      </w:tr>
      <w:tr w:rsidR="00C50596" w:rsidRPr="00444606" w14:paraId="402BE3F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CF5F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523B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817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511335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CA05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Gravámenes, certificaciones y constancias</w:t>
            </w:r>
          </w:p>
        </w:tc>
      </w:tr>
      <w:tr w:rsidR="00C50596" w:rsidRPr="00444606" w14:paraId="5928269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5036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122C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C5F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511340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86C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incumplimiento</w:t>
            </w:r>
          </w:p>
        </w:tc>
      </w:tr>
      <w:tr w:rsidR="00C50596" w:rsidRPr="00444606" w14:paraId="6001025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D2AC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FB9F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005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511345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960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Servicios sistemas de negociación</w:t>
            </w:r>
          </w:p>
        </w:tc>
      </w:tr>
      <w:tr w:rsidR="00C50596" w:rsidRPr="00444606" w14:paraId="471AB9F6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31B5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DD09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433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511395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67ED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</w:t>
            </w:r>
          </w:p>
        </w:tc>
      </w:tr>
      <w:tr w:rsidR="00C50596" w:rsidRPr="00444606" w14:paraId="40A1E5F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CFC3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5A33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A81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511503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4C1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Aceptaciones bancarias</w:t>
            </w:r>
          </w:p>
        </w:tc>
      </w:tr>
      <w:tr w:rsidR="00C50596" w:rsidRPr="00444606" w14:paraId="1B1BF5B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F1AA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F4DA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656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511506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5D07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Cartas de crédito</w:t>
            </w:r>
          </w:p>
        </w:tc>
      </w:tr>
      <w:tr w:rsidR="00C50596" w:rsidRPr="00444606" w14:paraId="5DF9F4E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DDDC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0BCA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465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511509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428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Avales</w:t>
            </w:r>
          </w:p>
        </w:tc>
      </w:tr>
      <w:tr w:rsidR="00C50596" w:rsidRPr="00444606" w14:paraId="7F31C87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4C55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4684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A64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511512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71C9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Servicios bancarios</w:t>
            </w:r>
          </w:p>
        </w:tc>
      </w:tr>
      <w:tr w:rsidR="00C50596" w:rsidRPr="00444606" w14:paraId="30838F0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4EC1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2950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44B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511515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88B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Garantías bancarias</w:t>
            </w:r>
          </w:p>
        </w:tc>
      </w:tr>
      <w:tr w:rsidR="00C50596" w:rsidRPr="00444606" w14:paraId="0B65CF6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23BE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0261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1EA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511518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804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Negocios fiduciarios</w:t>
            </w:r>
          </w:p>
        </w:tc>
      </w:tr>
      <w:tr w:rsidR="00C50596" w:rsidRPr="00444606" w14:paraId="739D339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21E2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B641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500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511521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BA3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Servicio red de oficinas</w:t>
            </w:r>
          </w:p>
        </w:tc>
      </w:tr>
      <w:tr w:rsidR="00C50596" w:rsidRPr="00444606" w14:paraId="591BBFF9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208B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4557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07C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511524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8458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afiliaciones al fondo de cesantía</w:t>
            </w:r>
          </w:p>
        </w:tc>
      </w:tr>
      <w:tr w:rsidR="00C50596" w:rsidRPr="00444606" w14:paraId="6B6EBD2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08B0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3322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30D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511527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F80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afiliaciones a los fondos de pensiones</w:t>
            </w:r>
          </w:p>
        </w:tc>
      </w:tr>
      <w:tr w:rsidR="00C50596" w:rsidRPr="00444606" w14:paraId="7865C6F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C100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FF50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32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511530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0E69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Servicio de procesamiento de información a los operadores</w:t>
            </w:r>
          </w:p>
        </w:tc>
      </w:tr>
      <w:tr w:rsidR="00C50596" w:rsidRPr="00444606" w14:paraId="0F2A72C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EE3E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AB33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472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511533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AA6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Servicio de recaudo de aportes a las instituciones financieras</w:t>
            </w:r>
          </w:p>
        </w:tc>
      </w:tr>
      <w:tr w:rsidR="00C50596" w:rsidRPr="00444606" w14:paraId="350DC8F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292A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1511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7DD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511536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8EB4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De administración de riesgos laborales</w:t>
            </w:r>
          </w:p>
        </w:tc>
      </w:tr>
      <w:tr w:rsidR="00C50596" w:rsidRPr="00444606" w14:paraId="473C79F8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4524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5226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43F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511539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C9126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garantías FNG-</w:t>
            </w:r>
          </w:p>
        </w:tc>
      </w:tr>
      <w:tr w:rsidR="00C50596" w:rsidRPr="00444606" w14:paraId="4D529F54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0083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8201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55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511542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796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Administradoras de fondos de pensiones seguro previsional</w:t>
            </w:r>
          </w:p>
        </w:tc>
      </w:tr>
      <w:tr w:rsidR="00C50596" w:rsidRPr="00444606" w14:paraId="20995A6A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7299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44C8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488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511545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09A0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Precio por transferencia temporal de valores</w:t>
            </w:r>
          </w:p>
        </w:tc>
      </w:tr>
      <w:tr w:rsidR="00C50596" w:rsidRPr="00444606" w14:paraId="77518541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E680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AA8D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26F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511548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B9A4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de fondo de inversión colectiva</w:t>
            </w:r>
          </w:p>
        </w:tc>
      </w:tr>
      <w:tr w:rsidR="00C50596" w:rsidRPr="00444606" w14:paraId="1D4AF9EF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211F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7F43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BB4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511551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9601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Comisiones por ventas y servicios</w:t>
            </w:r>
          </w:p>
        </w:tc>
      </w:tr>
      <w:tr w:rsidR="00C50596" w:rsidRPr="00444606" w14:paraId="0668DDCD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3141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7E258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383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511554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6AB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Administración y manejo de fondos en el exterior</w:t>
            </w:r>
          </w:p>
        </w:tc>
      </w:tr>
      <w:tr w:rsidR="00C50596" w:rsidRPr="00444606" w14:paraId="6027423C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1A811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9363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E17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511557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C71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Corresponsales en el exterior</w:t>
            </w:r>
          </w:p>
        </w:tc>
      </w:tr>
      <w:tr w:rsidR="00C50596" w:rsidRPr="00444606" w14:paraId="1EEE240B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4EE2F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25A9C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153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511560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0930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compromiso líneas de crédito externas</w:t>
            </w:r>
          </w:p>
        </w:tc>
      </w:tr>
      <w:tr w:rsidR="00C50596" w:rsidRPr="00444606" w14:paraId="00131A6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98C6B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CB73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AAB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511563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4AB4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crédito líneas de crédito externas</w:t>
            </w:r>
          </w:p>
        </w:tc>
      </w:tr>
      <w:tr w:rsidR="00C50596" w:rsidRPr="00444606" w14:paraId="1A556917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808ED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B5873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E7B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511566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1B98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Por prepago líneas de crédito externas</w:t>
            </w:r>
          </w:p>
        </w:tc>
      </w:tr>
      <w:tr w:rsidR="00C50596" w:rsidRPr="00444606" w14:paraId="784BA243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D4DF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5599E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EE85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511569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A4247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Operaciones de metales preciosos</w:t>
            </w:r>
          </w:p>
        </w:tc>
      </w:tr>
      <w:tr w:rsidR="00C50596" w:rsidRPr="00444606" w14:paraId="267BD1D5" w14:textId="77777777" w:rsidTr="00C50596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CED8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16ABA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1FC2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511595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74C89" w14:textId="77777777" w:rsidR="00C50596" w:rsidRPr="00444606" w:rsidRDefault="00C50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Otros</w:t>
            </w:r>
          </w:p>
        </w:tc>
      </w:tr>
    </w:tbl>
    <w:p w14:paraId="1F0D1344" w14:textId="50A7833A" w:rsidR="00EB075C" w:rsidRPr="00444606" w:rsidRDefault="00EB075C" w:rsidP="008D60EB">
      <w:p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</w:p>
    <w:p w14:paraId="0A4DE002" w14:textId="031B3D9F" w:rsidR="00EE7BB4" w:rsidRPr="00444606" w:rsidRDefault="001B355A" w:rsidP="0096158E">
      <w:pPr>
        <w:pStyle w:val="Prrafodelista"/>
        <w:numPr>
          <w:ilvl w:val="3"/>
          <w:numId w:val="1"/>
        </w:num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</w:rPr>
        <w:t>Componente F</w:t>
      </w:r>
      <w:r w:rsidR="00EE7BB4" w:rsidRPr="00444606">
        <w:rPr>
          <w:rFonts w:ascii="Arial" w:hAnsi="Arial" w:cs="Arial"/>
          <w:bCs/>
          <w:sz w:val="18"/>
          <w:szCs w:val="18"/>
        </w:rPr>
        <w:t>inanciero</w:t>
      </w:r>
      <w:r w:rsidRPr="00444606">
        <w:rPr>
          <w:rFonts w:ascii="Arial" w:hAnsi="Arial" w:cs="Arial"/>
          <w:bCs/>
          <w:sz w:val="18"/>
          <w:szCs w:val="18"/>
        </w:rPr>
        <w:t xml:space="preserve"> (CF)</w:t>
      </w:r>
    </w:p>
    <w:p w14:paraId="6897715C" w14:textId="77777777" w:rsidR="0014464F" w:rsidRPr="00444606" w:rsidRDefault="0014464F" w:rsidP="00240E45">
      <w:p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</w:p>
    <w:p w14:paraId="14E4BEF3" w14:textId="13438F30" w:rsidR="009164BB" w:rsidRPr="00444606" w:rsidRDefault="002F0B66" w:rsidP="00117F7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</w:rPr>
        <w:t>De acuerdo con los numerales 1.4 y 1.5 del</w:t>
      </w:r>
      <w:r w:rsidRPr="00444606">
        <w:rPr>
          <w:rFonts w:ascii="Arial" w:hAnsi="Arial" w:cs="Arial"/>
          <w:sz w:val="18"/>
          <w:szCs w:val="18"/>
        </w:rPr>
        <w:t xml:space="preserve"> artículo 2.1.1.3.9 del Decreto 2555 de 2010, el </w:t>
      </w:r>
      <w:r w:rsidR="001B355A" w:rsidRPr="00444606">
        <w:rPr>
          <w:rFonts w:ascii="Arial" w:hAnsi="Arial" w:cs="Arial"/>
          <w:sz w:val="18"/>
          <w:szCs w:val="18"/>
        </w:rPr>
        <w:t>C</w:t>
      </w:r>
      <w:r w:rsidRPr="00444606">
        <w:rPr>
          <w:rFonts w:ascii="Arial" w:hAnsi="Arial" w:cs="Arial"/>
          <w:sz w:val="18"/>
          <w:szCs w:val="18"/>
        </w:rPr>
        <w:t xml:space="preserve">omponente </w:t>
      </w:r>
      <w:r w:rsidR="001B355A" w:rsidRPr="00444606">
        <w:rPr>
          <w:rFonts w:ascii="Arial" w:hAnsi="Arial" w:cs="Arial"/>
          <w:sz w:val="18"/>
          <w:szCs w:val="18"/>
        </w:rPr>
        <w:t>F</w:t>
      </w:r>
      <w:r w:rsidR="009164BB" w:rsidRPr="00444606">
        <w:rPr>
          <w:rFonts w:ascii="Arial" w:hAnsi="Arial" w:cs="Arial"/>
          <w:sz w:val="18"/>
          <w:szCs w:val="18"/>
        </w:rPr>
        <w:t>inanciero</w:t>
      </w:r>
      <w:r w:rsidR="001B355A" w:rsidRPr="00444606">
        <w:rPr>
          <w:rFonts w:ascii="Arial" w:hAnsi="Arial" w:cs="Arial"/>
          <w:sz w:val="18"/>
          <w:szCs w:val="18"/>
        </w:rPr>
        <w:t xml:space="preserve"> (CF)</w:t>
      </w:r>
      <w:r w:rsidR="009164BB" w:rsidRPr="00444606">
        <w:rPr>
          <w:rFonts w:ascii="Arial" w:hAnsi="Arial" w:cs="Arial"/>
          <w:sz w:val="18"/>
          <w:szCs w:val="18"/>
        </w:rPr>
        <w:t xml:space="preserve"> corresponde a</w:t>
      </w:r>
      <w:r w:rsidR="00F9515E" w:rsidRPr="00444606">
        <w:rPr>
          <w:rFonts w:ascii="Arial" w:hAnsi="Arial" w:cs="Arial"/>
          <w:sz w:val="18"/>
          <w:szCs w:val="18"/>
        </w:rPr>
        <w:t xml:space="preserve">l </w:t>
      </w:r>
      <w:r w:rsidR="004E71D9" w:rsidRPr="00444606">
        <w:rPr>
          <w:rFonts w:ascii="Arial" w:hAnsi="Arial" w:cs="Arial"/>
          <w:sz w:val="18"/>
          <w:szCs w:val="18"/>
        </w:rPr>
        <w:t>valor abs</w:t>
      </w:r>
      <w:r w:rsidR="00F9515E" w:rsidRPr="00444606">
        <w:rPr>
          <w:rFonts w:ascii="Arial" w:hAnsi="Arial" w:cs="Arial"/>
          <w:sz w:val="18"/>
          <w:szCs w:val="18"/>
        </w:rPr>
        <w:t>oluto</w:t>
      </w:r>
      <w:r w:rsidR="00DE347F" w:rsidRPr="00444606">
        <w:rPr>
          <w:rFonts w:ascii="Arial" w:hAnsi="Arial" w:cs="Arial"/>
          <w:sz w:val="18"/>
          <w:szCs w:val="18"/>
        </w:rPr>
        <w:t xml:space="preserve"> conforme la siguiente ecuación:</w:t>
      </w:r>
    </w:p>
    <w:p w14:paraId="267E32AA" w14:textId="77777777" w:rsidR="00516461" w:rsidRPr="00444606" w:rsidRDefault="00516461" w:rsidP="00240E4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6A7B0C" w14:textId="77777777" w:rsidR="009164BB" w:rsidRPr="00444606" w:rsidRDefault="009164BB" w:rsidP="009164BB">
      <w:pPr>
        <w:rPr>
          <w:rFonts w:ascii="Arial" w:hAnsi="Arial" w:cs="Arial"/>
          <w:i/>
          <w:iCs/>
          <w:sz w:val="18"/>
          <w:szCs w:val="18"/>
        </w:rPr>
      </w:pPr>
    </w:p>
    <w:p w14:paraId="26618AA0" w14:textId="440F39D7" w:rsidR="00EF2586" w:rsidRPr="00444606" w:rsidRDefault="00EF2586" w:rsidP="00FA2FF2">
      <w:pPr>
        <w:jc w:val="center"/>
        <w:rPr>
          <w:rFonts w:ascii="Arial" w:eastAsia="SymbolMT" w:hAnsi="Arial" w:cs="Arial"/>
          <w:sz w:val="18"/>
          <w:szCs w:val="1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Arial"/>
              <w:sz w:val="18"/>
              <w:szCs w:val="18"/>
            </w:rPr>
            <m:t xml:space="preserve">             CF=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bar>
                <m:barPr>
                  <m:pos m:val="top"/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  <w:lang w:val="es-CO" w:eastAsia="en-US"/>
                    </w:rPr>
                  </m:ctrlPr>
                </m:bar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Beneficio (perdida) neto(a) en el portafolio de inversiones a valor razonable</m:t>
                  </m:r>
                </m:e>
              </m:bar>
            </m:e>
          </m:d>
          <m:r>
            <w:rPr>
              <w:rFonts w:ascii="Cambria Math" w:eastAsiaTheme="minorEastAsia" w:hAnsi="Cambria Math" w:cs="Arial"/>
              <w:sz w:val="18"/>
              <w:szCs w:val="18"/>
            </w:rPr>
            <m:t xml:space="preserve">+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bar>
                <m:barPr>
                  <m:pos m:val="top"/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  <w:lang w:val="es-CO" w:eastAsia="en-US"/>
                    </w:rPr>
                  </m:ctrlPr>
                </m:bar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 xml:space="preserve">Beneficio </m:t>
                  </m:r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 w:val="18"/>
                          <w:szCs w:val="18"/>
                        </w:rPr>
                        <m:t>perdida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neto</m:t>
                  </m:r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 w:val="18"/>
                          <w:szCs w:val="18"/>
                        </w:rPr>
                        <m:t>a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en el portafolio de inversiones a costo amortizado</m:t>
                  </m:r>
                </m:e>
              </m:bar>
            </m:e>
          </m:d>
        </m:oMath>
      </m:oMathPara>
    </w:p>
    <w:p w14:paraId="4A7F1CFA" w14:textId="0987798E" w:rsidR="00BA22EB" w:rsidRPr="00444606" w:rsidRDefault="00BA22EB" w:rsidP="0035539B">
      <w:pPr>
        <w:rPr>
          <w:rFonts w:ascii="Arial" w:eastAsia="SymbolMT" w:hAnsi="Arial" w:cs="Arial"/>
          <w:sz w:val="18"/>
          <w:szCs w:val="18"/>
        </w:rPr>
      </w:pPr>
    </w:p>
    <w:p w14:paraId="7797B4D4" w14:textId="3872C527" w:rsidR="00C0096A" w:rsidRPr="00444606" w:rsidRDefault="00BA22EB" w:rsidP="00322EA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CO"/>
        </w:rPr>
      </w:pPr>
      <w:r w:rsidRPr="00444606">
        <w:rPr>
          <w:rFonts w:ascii="Arial" w:hAnsi="Arial" w:cs="Arial"/>
          <w:sz w:val="18"/>
          <w:szCs w:val="18"/>
          <w:lang w:val="es-CO"/>
        </w:rPr>
        <w:t>L</w:t>
      </w:r>
      <w:r w:rsidRPr="00444606">
        <w:rPr>
          <w:rFonts w:ascii="Arial" w:hAnsi="Arial" w:cs="Arial"/>
          <w:sz w:val="18"/>
          <w:szCs w:val="18"/>
        </w:rPr>
        <w:t>as barras que aparecen encima de los términos indican que estos se calculan como el promedio de tres años: t, t-1 y t-2.</w:t>
      </w:r>
    </w:p>
    <w:p w14:paraId="120116F0" w14:textId="77777777" w:rsidR="00C0096A" w:rsidRPr="00444606" w:rsidRDefault="00C0096A" w:rsidP="000A78A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CO"/>
        </w:rPr>
      </w:pPr>
    </w:p>
    <w:p w14:paraId="4ED9BAA5" w14:textId="3C4A79D8" w:rsidR="008A44D9" w:rsidRPr="00444606" w:rsidRDefault="008A44D9" w:rsidP="000A78A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CO"/>
        </w:rPr>
      </w:pPr>
      <w:r w:rsidRPr="00444606">
        <w:rPr>
          <w:rFonts w:ascii="Arial" w:hAnsi="Arial" w:cs="Arial"/>
          <w:sz w:val="18"/>
          <w:szCs w:val="18"/>
          <w:lang w:val="es-CO"/>
        </w:rPr>
        <w:t>Para estos efectos, se deben considerar los siguientes conceptos y cuentas del CUIF:</w:t>
      </w:r>
    </w:p>
    <w:p w14:paraId="7B18C21B" w14:textId="77777777" w:rsidR="005C5652" w:rsidRPr="00444606" w:rsidRDefault="005C5652" w:rsidP="000A78A5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3E7A5CA" w14:textId="2FAB2381" w:rsidR="004F4572" w:rsidRPr="00444606" w:rsidRDefault="001528D7" w:rsidP="005C7416">
      <w:pPr>
        <w:pStyle w:val="Prrafodelista"/>
        <w:numPr>
          <w:ilvl w:val="0"/>
          <w:numId w:val="6"/>
        </w:numPr>
        <w:tabs>
          <w:tab w:val="left" w:pos="426"/>
        </w:tabs>
        <w:spacing w:after="200" w:line="276" w:lineRule="auto"/>
        <w:ind w:left="284" w:hanging="284"/>
        <w:jc w:val="both"/>
        <w:rPr>
          <w:rFonts w:ascii="Arial" w:hAnsi="Arial" w:cs="Arial"/>
          <w:sz w:val="18"/>
          <w:szCs w:val="18"/>
          <w:lang w:val="es-CO"/>
        </w:rPr>
      </w:pPr>
      <w:r w:rsidRPr="00444606">
        <w:rPr>
          <w:rFonts w:ascii="Arial" w:hAnsi="Arial" w:cs="Arial"/>
          <w:sz w:val="18"/>
          <w:szCs w:val="18"/>
          <w:lang w:val="es-CO"/>
        </w:rPr>
        <w:t>Beneficio (pé</w:t>
      </w:r>
      <w:r w:rsidR="005C5652" w:rsidRPr="00444606">
        <w:rPr>
          <w:rFonts w:ascii="Arial" w:hAnsi="Arial" w:cs="Arial"/>
          <w:sz w:val="18"/>
          <w:szCs w:val="18"/>
          <w:lang w:val="es-CO"/>
        </w:rPr>
        <w:t xml:space="preserve">rdida) neto(a) en </w:t>
      </w:r>
      <w:r w:rsidR="008B1274" w:rsidRPr="00444606">
        <w:rPr>
          <w:rFonts w:ascii="Arial" w:hAnsi="Arial" w:cs="Arial"/>
          <w:sz w:val="18"/>
          <w:szCs w:val="18"/>
          <w:lang w:val="es-CO"/>
        </w:rPr>
        <w:t>el portafolio de inversiones a valor razonable:</w:t>
      </w:r>
      <w:r w:rsidR="005C5652" w:rsidRPr="00444606">
        <w:rPr>
          <w:rFonts w:ascii="Arial" w:hAnsi="Arial" w:cs="Arial"/>
          <w:sz w:val="18"/>
          <w:szCs w:val="18"/>
          <w:lang w:val="es-CO"/>
        </w:rPr>
        <w:t xml:space="preserve"> Corresponde a la sumatoria de beneficio/</w:t>
      </w:r>
      <w:r w:rsidR="002A169D" w:rsidRPr="00444606">
        <w:rPr>
          <w:rFonts w:ascii="Arial" w:hAnsi="Arial" w:cs="Arial"/>
          <w:sz w:val="18"/>
          <w:szCs w:val="18"/>
          <w:lang w:val="es-CO"/>
        </w:rPr>
        <w:t>pérdida neta</w:t>
      </w:r>
      <w:r w:rsidR="005C5652" w:rsidRPr="00444606">
        <w:rPr>
          <w:rFonts w:ascii="Arial" w:hAnsi="Arial" w:cs="Arial"/>
          <w:sz w:val="18"/>
          <w:szCs w:val="18"/>
          <w:lang w:val="es-CO"/>
        </w:rPr>
        <w:t>(</w:t>
      </w:r>
      <w:r w:rsidR="002A169D" w:rsidRPr="00444606">
        <w:rPr>
          <w:rFonts w:ascii="Arial" w:hAnsi="Arial" w:cs="Arial"/>
          <w:sz w:val="18"/>
          <w:szCs w:val="18"/>
          <w:lang w:val="es-CO"/>
        </w:rPr>
        <w:t>o</w:t>
      </w:r>
      <w:r w:rsidR="005C5652" w:rsidRPr="00444606">
        <w:rPr>
          <w:rFonts w:ascii="Arial" w:hAnsi="Arial" w:cs="Arial"/>
          <w:sz w:val="18"/>
          <w:szCs w:val="18"/>
          <w:lang w:val="es-CO"/>
        </w:rPr>
        <w:t>) de activos y pasivos mantenidos para negociación (derivados, títulos de deuda, valores de renta variable, préstamos y anticipos, posiciones cortas, otros activos y pasivos), beneficio/pérdida neto(a) de contabilidad de coberturas y beneficio/pérdida neto(a) de diferencias de cambio</w:t>
      </w:r>
      <w:r w:rsidR="00D75671" w:rsidRPr="00444606">
        <w:rPr>
          <w:rFonts w:ascii="Arial" w:hAnsi="Arial" w:cs="Arial"/>
          <w:sz w:val="18"/>
          <w:szCs w:val="18"/>
          <w:lang w:val="es-CO"/>
        </w:rPr>
        <w:t xml:space="preserve"> de estos instrumentos.</w:t>
      </w:r>
    </w:p>
    <w:tbl>
      <w:tblPr>
        <w:tblW w:w="7371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85"/>
        <w:gridCol w:w="850"/>
        <w:gridCol w:w="4536"/>
      </w:tblGrid>
      <w:tr w:rsidR="00537300" w:rsidRPr="00444606" w14:paraId="036EF244" w14:textId="77777777" w:rsidTr="00FB01B7">
        <w:trPr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B89AC6" w14:textId="77777777" w:rsidR="00537300" w:rsidRPr="00444606" w:rsidRDefault="00537300" w:rsidP="001942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lastRenderedPageBreak/>
              <w:t>Con</w:t>
            </w:r>
            <w:r w:rsidRPr="00FB01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2F2F2" w:themeFill="background1" w:themeFillShade="F2"/>
                <w:lang w:val="es-CO" w:eastAsia="es-CO"/>
              </w:rPr>
              <w:t>cepto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A165D18" w14:textId="77777777" w:rsidR="00537300" w:rsidRPr="00444606" w:rsidRDefault="00537300" w:rsidP="001942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Fuente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6FE4048" w14:textId="77777777" w:rsidR="00537300" w:rsidRPr="00444606" w:rsidRDefault="00537300" w:rsidP="001942B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Cuenta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2F4C67A" w14:textId="77777777" w:rsidR="00537300" w:rsidRPr="00444606" w:rsidRDefault="00537300" w:rsidP="001942B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Descripción</w:t>
            </w:r>
          </w:p>
        </w:tc>
      </w:tr>
      <w:tr w:rsidR="00537300" w:rsidRPr="00444606" w14:paraId="6060F43F" w14:textId="77777777" w:rsidTr="001942BA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4B114" w14:textId="74956199" w:rsidR="00537300" w:rsidRPr="00444606" w:rsidRDefault="001528D7" w:rsidP="004F14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Beneficio (pé</w:t>
            </w:r>
            <w:r w:rsidR="00537300"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rdida) neto(a) en el portafolio de inversiones a valor razonable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A447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D71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410705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ECC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aumento en el valor razonable</w:t>
            </w:r>
          </w:p>
        </w:tc>
      </w:tr>
      <w:tr w:rsidR="00537300" w:rsidRPr="00444606" w14:paraId="2AA087D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7003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EE91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F7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410805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44B7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incremento en el valor de mercado</w:t>
            </w:r>
          </w:p>
        </w:tc>
      </w:tr>
      <w:tr w:rsidR="00537300" w:rsidRPr="00444606" w14:paraId="628C23B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A752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D307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E9C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411205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032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compromisos de compra</w:t>
            </w:r>
          </w:p>
        </w:tc>
      </w:tr>
      <w:tr w:rsidR="00537300" w:rsidRPr="00444606" w14:paraId="5D7D038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426C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0C30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1E3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411210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032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compromisos de venta</w:t>
            </w:r>
          </w:p>
        </w:tc>
      </w:tr>
      <w:tr w:rsidR="00537300" w:rsidRPr="00444606" w14:paraId="4A36839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AA6A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735F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4FD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B039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A valor razonable - instrumentos de deuda</w:t>
            </w:r>
          </w:p>
        </w:tc>
      </w:tr>
      <w:tr w:rsidR="00537300" w:rsidRPr="00444606" w14:paraId="0A6234CA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209E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192B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729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A8A2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A valor razonable - instrumentos de patrimonio</w:t>
            </w:r>
          </w:p>
        </w:tc>
      </w:tr>
      <w:tr w:rsidR="00537300" w:rsidRPr="00444606" w14:paraId="5866135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6543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9C9F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494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6BB8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Instrumentos de patrimonio con efectos en el ori</w:t>
            </w:r>
          </w:p>
        </w:tc>
      </w:tr>
      <w:tr w:rsidR="00537300" w:rsidRPr="00444606" w14:paraId="0CD4F2A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ED23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3E32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E7B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412805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0540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de compra de divisas</w:t>
            </w:r>
          </w:p>
        </w:tc>
      </w:tr>
      <w:tr w:rsidR="00537300" w:rsidRPr="00444606" w14:paraId="5B5BD08C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EB80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6D4F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C05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6E2E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de venta de divisas</w:t>
            </w:r>
          </w:p>
        </w:tc>
      </w:tr>
      <w:tr w:rsidR="00537300" w:rsidRPr="00444606" w14:paraId="710DCB1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C64C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2D89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2E6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412815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F3B2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de compra de títulos</w:t>
            </w:r>
          </w:p>
        </w:tc>
      </w:tr>
      <w:tr w:rsidR="00537300" w:rsidRPr="00444606" w14:paraId="16E2417B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535D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EE54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9CE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412820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9C6F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de venta de títulos</w:t>
            </w:r>
          </w:p>
        </w:tc>
      </w:tr>
      <w:tr w:rsidR="00537300" w:rsidRPr="00444606" w14:paraId="539332B5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6C01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2D80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DFC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412895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5CD5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- otros</w:t>
            </w:r>
          </w:p>
        </w:tc>
      </w:tr>
      <w:tr w:rsidR="00537300" w:rsidRPr="00444606" w14:paraId="35A8AFC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D3B1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1E74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98E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00D3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monedas (peso/dólar)</w:t>
            </w:r>
          </w:p>
        </w:tc>
      </w:tr>
      <w:tr w:rsidR="00537300" w:rsidRPr="00444606" w14:paraId="2C9848FD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D591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F865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BB2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1F24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monedas (diferente peso/dólar)</w:t>
            </w:r>
          </w:p>
        </w:tc>
      </w:tr>
      <w:tr w:rsidR="00537300" w:rsidRPr="00444606" w14:paraId="7949F93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4D86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F57C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AED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B020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tasas de interés</w:t>
            </w:r>
          </w:p>
        </w:tc>
      </w:tr>
      <w:tr w:rsidR="00537300" w:rsidRPr="00444606" w14:paraId="06AB5EC6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BC7E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0662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7DF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D705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títulos</w:t>
            </w:r>
          </w:p>
        </w:tc>
      </w:tr>
      <w:tr w:rsidR="00537300" w:rsidRPr="00444606" w14:paraId="3FB2461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F890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7B23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EE6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0E01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- otros</w:t>
            </w:r>
          </w:p>
        </w:tc>
      </w:tr>
      <w:tr w:rsidR="00537300" w:rsidRPr="00444606" w14:paraId="6FC5E91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8023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9458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291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017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monedas</w:t>
            </w:r>
          </w:p>
        </w:tc>
      </w:tr>
      <w:tr w:rsidR="00537300" w:rsidRPr="00444606" w14:paraId="27EED42A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D366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C2BA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E47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41B7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tasas de interés</w:t>
            </w:r>
          </w:p>
        </w:tc>
      </w:tr>
      <w:tr w:rsidR="00537300" w:rsidRPr="00444606" w14:paraId="2EF22F2C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E159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0176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BAE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91C5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títulos</w:t>
            </w:r>
          </w:p>
        </w:tc>
      </w:tr>
      <w:tr w:rsidR="00537300" w:rsidRPr="00444606" w14:paraId="4946924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8697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3338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A37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51B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índices</w:t>
            </w:r>
          </w:p>
        </w:tc>
      </w:tr>
      <w:tr w:rsidR="00537300" w:rsidRPr="00444606" w14:paraId="1B15CE2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67B7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C787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A2C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FB0F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- otros</w:t>
            </w:r>
          </w:p>
        </w:tc>
      </w:tr>
      <w:tr w:rsidR="00537300" w:rsidRPr="00444606" w14:paraId="59905CD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170E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5082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05B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6705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de monedas</w:t>
            </w:r>
          </w:p>
        </w:tc>
      </w:tr>
      <w:tr w:rsidR="00537300" w:rsidRPr="00444606" w14:paraId="6C46C466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5E37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3494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2F5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BF3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de tasas de interés</w:t>
            </w:r>
          </w:p>
        </w:tc>
      </w:tr>
      <w:tr w:rsidR="00537300" w:rsidRPr="00444606" w14:paraId="5014F16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95CF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0366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58E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165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- otros</w:t>
            </w:r>
          </w:p>
        </w:tc>
      </w:tr>
      <w:tr w:rsidR="00537300" w:rsidRPr="00444606" w14:paraId="60DDD9AA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F0EA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1387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F2D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2186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monedas</w:t>
            </w:r>
          </w:p>
        </w:tc>
      </w:tr>
      <w:tr w:rsidR="00537300" w:rsidRPr="00444606" w14:paraId="3DBB8D3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430D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2790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E1F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04E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 de monedas</w:t>
            </w:r>
          </w:p>
        </w:tc>
      </w:tr>
      <w:tr w:rsidR="00537300" w:rsidRPr="00444606" w14:paraId="1D35DBA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4A65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EE02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068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5226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tasas de interés</w:t>
            </w:r>
          </w:p>
        </w:tc>
      </w:tr>
      <w:tr w:rsidR="00537300" w:rsidRPr="00444606" w14:paraId="73127B4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9825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A458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4AE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20E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tasas de interés</w:t>
            </w:r>
          </w:p>
        </w:tc>
      </w:tr>
      <w:tr w:rsidR="00537300" w:rsidRPr="00444606" w14:paraId="57DE575D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14D2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AC2A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DAC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FB6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títulos</w:t>
            </w:r>
          </w:p>
        </w:tc>
      </w:tr>
      <w:tr w:rsidR="00537300" w:rsidRPr="00444606" w14:paraId="6E23E60C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A666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81CB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9BD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B7A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títulos</w:t>
            </w:r>
          </w:p>
        </w:tc>
      </w:tr>
      <w:tr w:rsidR="00537300" w:rsidRPr="00444606" w14:paraId="5BD31C9B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D4CC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72FD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BBF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24D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índices</w:t>
            </w:r>
          </w:p>
        </w:tc>
      </w:tr>
      <w:tr w:rsidR="00537300" w:rsidRPr="00444606" w14:paraId="78E8056A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D5CE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291D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CEB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77A3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índices</w:t>
            </w:r>
          </w:p>
        </w:tc>
      </w:tr>
      <w:tr w:rsidR="00537300" w:rsidRPr="00444606" w14:paraId="3690F816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49C4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B676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4CD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E925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 - otros</w:t>
            </w:r>
          </w:p>
        </w:tc>
      </w:tr>
      <w:tr w:rsidR="00537300" w:rsidRPr="00444606" w14:paraId="3C63062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A2DB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8E1D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6BB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412960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95D0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- otras</w:t>
            </w:r>
          </w:p>
        </w:tc>
      </w:tr>
      <w:tr w:rsidR="00537300" w:rsidRPr="00444606" w14:paraId="459536AC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FD58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F108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FFC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4F4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activos de la posición propia</w:t>
            </w:r>
          </w:p>
        </w:tc>
      </w:tr>
      <w:tr w:rsidR="00537300" w:rsidRPr="00444606" w14:paraId="50A2131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F37F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272D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9A5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A9F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realización de activos de la posición propia</w:t>
            </w:r>
          </w:p>
        </w:tc>
      </w:tr>
      <w:tr w:rsidR="00537300" w:rsidRPr="00444606" w14:paraId="507726F1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364C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EC13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7CB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B1C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otros activos</w:t>
            </w:r>
          </w:p>
        </w:tc>
      </w:tr>
      <w:tr w:rsidR="00537300" w:rsidRPr="00444606" w14:paraId="1DA94CA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DD61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B622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9A0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E13C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realización de otros activos</w:t>
            </w:r>
          </w:p>
        </w:tc>
      </w:tr>
      <w:tr w:rsidR="00537300" w:rsidRPr="00444606" w14:paraId="6F525BA1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D6AD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9B13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B03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2CA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pasivos de la posición propia</w:t>
            </w:r>
          </w:p>
        </w:tc>
      </w:tr>
      <w:tr w:rsidR="00537300" w:rsidRPr="00444606" w14:paraId="40E4AAC2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2175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6352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FD1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873F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liquidación de pasivos de la posición propia</w:t>
            </w:r>
          </w:p>
        </w:tc>
      </w:tr>
      <w:tr w:rsidR="00537300" w:rsidRPr="00444606" w14:paraId="20412E1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7B5E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97E0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FE6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18FA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otros pasivos</w:t>
            </w:r>
          </w:p>
        </w:tc>
      </w:tr>
      <w:tr w:rsidR="00537300" w:rsidRPr="00444606" w14:paraId="608E0A06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2378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9ADC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B27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26B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liquidación de otros pasivos</w:t>
            </w:r>
          </w:p>
        </w:tc>
      </w:tr>
      <w:tr w:rsidR="00537300" w:rsidRPr="00444606" w14:paraId="5ACD236D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36B1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FFBD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409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2F63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monedas (peso/dólar)</w:t>
            </w:r>
          </w:p>
        </w:tc>
      </w:tr>
      <w:tr w:rsidR="00537300" w:rsidRPr="00444606" w14:paraId="3F72CEA4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4FF5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37D6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7E8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53F1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monedas (diferentes peso/dólar)</w:t>
            </w:r>
          </w:p>
        </w:tc>
      </w:tr>
      <w:tr w:rsidR="00537300" w:rsidRPr="00444606" w14:paraId="0CC2874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E4FA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1BC7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E71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835B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tasas de interés</w:t>
            </w:r>
          </w:p>
        </w:tc>
      </w:tr>
      <w:tr w:rsidR="00537300" w:rsidRPr="00444606" w14:paraId="2C2F3C52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C6CB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250C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24D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9B2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títulos</w:t>
            </w:r>
          </w:p>
        </w:tc>
      </w:tr>
      <w:tr w:rsidR="00537300" w:rsidRPr="00444606" w14:paraId="5752657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9EEE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E067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6C6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C8FB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- otros</w:t>
            </w:r>
          </w:p>
        </w:tc>
      </w:tr>
      <w:tr w:rsidR="00537300" w:rsidRPr="00444606" w14:paraId="71972DC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AE44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4B9D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F1A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49CF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monedas</w:t>
            </w:r>
          </w:p>
        </w:tc>
      </w:tr>
      <w:tr w:rsidR="00537300" w:rsidRPr="00444606" w14:paraId="18320C7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55C3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00AF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77A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5498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tasas de interés</w:t>
            </w:r>
          </w:p>
        </w:tc>
      </w:tr>
      <w:tr w:rsidR="00537300" w:rsidRPr="00444606" w14:paraId="3D0B36C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618C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2B1A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9E6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5CE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títulos</w:t>
            </w:r>
          </w:p>
        </w:tc>
      </w:tr>
      <w:tr w:rsidR="00537300" w:rsidRPr="00444606" w14:paraId="386F45D5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14BD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7E90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5F2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52C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índices</w:t>
            </w:r>
          </w:p>
        </w:tc>
      </w:tr>
      <w:tr w:rsidR="00537300" w:rsidRPr="00444606" w14:paraId="1AC8C32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6E18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7007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8C5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6794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- otros</w:t>
            </w:r>
          </w:p>
        </w:tc>
      </w:tr>
      <w:tr w:rsidR="00537300" w:rsidRPr="00444606" w14:paraId="5385788B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2DDD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68AC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DB2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E98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de monedas</w:t>
            </w:r>
          </w:p>
        </w:tc>
      </w:tr>
      <w:tr w:rsidR="00537300" w:rsidRPr="00444606" w14:paraId="01F31CD2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558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4A8A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3C3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647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de tasas de interés</w:t>
            </w:r>
          </w:p>
        </w:tc>
      </w:tr>
      <w:tr w:rsidR="00537300" w:rsidRPr="00444606" w14:paraId="248D03C4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5FA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29E4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AF4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701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- otros</w:t>
            </w:r>
          </w:p>
        </w:tc>
      </w:tr>
      <w:tr w:rsidR="00537300" w:rsidRPr="00444606" w14:paraId="696A8CD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62EC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D411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DD0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B49C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monedas</w:t>
            </w:r>
          </w:p>
        </w:tc>
      </w:tr>
      <w:tr w:rsidR="00537300" w:rsidRPr="00444606" w14:paraId="20CC4EF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A18B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384B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397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0D51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 de monedas</w:t>
            </w:r>
          </w:p>
        </w:tc>
      </w:tr>
      <w:tr w:rsidR="00537300" w:rsidRPr="00444606" w14:paraId="25C74C34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E319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28AB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3BD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3704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tasas de interés</w:t>
            </w:r>
          </w:p>
        </w:tc>
      </w:tr>
      <w:tr w:rsidR="00537300" w:rsidRPr="00444606" w14:paraId="255AE4D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33CC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EBE7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827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3FC8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tasas de interés</w:t>
            </w:r>
          </w:p>
        </w:tc>
      </w:tr>
      <w:tr w:rsidR="00537300" w:rsidRPr="00444606" w14:paraId="1E4DDF12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8D46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87EC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931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DF50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títulos</w:t>
            </w:r>
          </w:p>
        </w:tc>
      </w:tr>
      <w:tr w:rsidR="00537300" w:rsidRPr="00444606" w14:paraId="568E6666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371A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B214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867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D700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títulos</w:t>
            </w:r>
          </w:p>
        </w:tc>
      </w:tr>
      <w:tr w:rsidR="00537300" w:rsidRPr="00444606" w14:paraId="2EBBD674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B2BF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1DB6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B4E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6AB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índices</w:t>
            </w:r>
          </w:p>
        </w:tc>
      </w:tr>
      <w:tr w:rsidR="00537300" w:rsidRPr="00444606" w14:paraId="43CF44B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EE4E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1283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E6C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0C7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índices</w:t>
            </w:r>
          </w:p>
        </w:tc>
      </w:tr>
      <w:tr w:rsidR="00537300" w:rsidRPr="00444606" w14:paraId="454D33E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AFFC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29DE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6EE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949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 - otros</w:t>
            </w:r>
          </w:p>
        </w:tc>
      </w:tr>
      <w:tr w:rsidR="00537300" w:rsidRPr="00444606" w14:paraId="75662092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E3D0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904C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ECB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413960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A2B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- otras</w:t>
            </w:r>
          </w:p>
        </w:tc>
      </w:tr>
      <w:tr w:rsidR="00537300" w:rsidRPr="00444606" w14:paraId="0AD8E57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2E0C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71B1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726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510605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E23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disminución en el valor razonable</w:t>
            </w:r>
          </w:p>
        </w:tc>
      </w:tr>
      <w:tr w:rsidR="00354C31" w:rsidRPr="00444606" w14:paraId="4B8EAB8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0AF583" w14:textId="77777777" w:rsidR="00354C31" w:rsidRPr="00444606" w:rsidRDefault="00354C31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9772E" w14:textId="77777777" w:rsidR="00354C31" w:rsidRPr="00444606" w:rsidRDefault="00354C31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22B0" w14:textId="6B655D0A" w:rsidR="00354C31" w:rsidRPr="00444606" w:rsidRDefault="00354C31" w:rsidP="001942BA">
            <w:pPr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510805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80E5" w14:textId="69A8176C" w:rsidR="00354C31" w:rsidRPr="00444606" w:rsidRDefault="00354C31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disminución en el valor razonable</w:t>
            </w:r>
          </w:p>
        </w:tc>
      </w:tr>
      <w:tr w:rsidR="00537300" w:rsidRPr="00444606" w14:paraId="16A4529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179F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0D06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A07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511205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3ACA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compromisos de compra</w:t>
            </w:r>
          </w:p>
        </w:tc>
      </w:tr>
      <w:tr w:rsidR="00537300" w:rsidRPr="00444606" w14:paraId="7357317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0904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B69C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DDE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511210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3AD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compromisos de venta</w:t>
            </w:r>
          </w:p>
        </w:tc>
      </w:tr>
      <w:tr w:rsidR="00537300" w:rsidRPr="00444606" w14:paraId="6F0AA08D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1E2E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9D32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DA2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512505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EE5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A valor razonable - instrumentos de deuda</w:t>
            </w:r>
          </w:p>
        </w:tc>
      </w:tr>
      <w:tr w:rsidR="00537300" w:rsidRPr="00444606" w14:paraId="677ED1F5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E215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27BB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B1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8FDD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A valor razonable - instrumentos de patrimonio</w:t>
            </w:r>
          </w:p>
        </w:tc>
      </w:tr>
      <w:tr w:rsidR="00537300" w:rsidRPr="00444606" w14:paraId="12E4BFBD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1956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CF45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C33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512520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A4C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Instrumentos de patrimonio con efectos en el ori</w:t>
            </w:r>
          </w:p>
        </w:tc>
      </w:tr>
      <w:tr w:rsidR="00537300" w:rsidRPr="00444606" w14:paraId="5327624C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C6DC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C6D5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959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512805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30DD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de compra de divisas</w:t>
            </w:r>
          </w:p>
        </w:tc>
      </w:tr>
      <w:tr w:rsidR="00537300" w:rsidRPr="00444606" w14:paraId="7EB37E0D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2F25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81A0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1BE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C1A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de venta de divisas</w:t>
            </w:r>
          </w:p>
        </w:tc>
      </w:tr>
      <w:tr w:rsidR="00537300" w:rsidRPr="00444606" w14:paraId="29988D71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7B20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5B9B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89E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512815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977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de compra de títulos</w:t>
            </w:r>
          </w:p>
        </w:tc>
      </w:tr>
      <w:tr w:rsidR="00537300" w:rsidRPr="00444606" w14:paraId="092EC276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7006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6DC1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171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512820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210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de venta de títulos</w:t>
            </w:r>
          </w:p>
        </w:tc>
      </w:tr>
      <w:tr w:rsidR="00537300" w:rsidRPr="00444606" w14:paraId="73F9A77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6EAF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0746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2EA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512895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60D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Contratos – otros</w:t>
            </w:r>
          </w:p>
        </w:tc>
      </w:tr>
      <w:tr w:rsidR="00537300" w:rsidRPr="00444606" w14:paraId="342D3C8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B893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C6B0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008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70C3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monedas (peso/dólar)</w:t>
            </w:r>
          </w:p>
        </w:tc>
      </w:tr>
      <w:tr w:rsidR="00537300" w:rsidRPr="00444606" w14:paraId="007390C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8D67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9A7D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DDE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28B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monedas (diferentes peso/dólar)</w:t>
            </w:r>
          </w:p>
        </w:tc>
      </w:tr>
      <w:tr w:rsidR="00537300" w:rsidRPr="00444606" w14:paraId="5679AE7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5D58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E18A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A37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3EBC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tasas de interés</w:t>
            </w:r>
          </w:p>
        </w:tc>
      </w:tr>
      <w:tr w:rsidR="00537300" w:rsidRPr="00444606" w14:paraId="0985FB9A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74F1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21E3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FD4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13D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títulos</w:t>
            </w:r>
          </w:p>
        </w:tc>
      </w:tr>
      <w:tr w:rsidR="00537300" w:rsidRPr="00444606" w14:paraId="2BFB9FD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1EF2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08B7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A45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7E7F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- otros</w:t>
            </w:r>
          </w:p>
        </w:tc>
      </w:tr>
      <w:tr w:rsidR="00537300" w:rsidRPr="00444606" w14:paraId="05408E2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FC72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8316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4D2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8EC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monedas</w:t>
            </w:r>
          </w:p>
        </w:tc>
      </w:tr>
      <w:tr w:rsidR="00537300" w:rsidRPr="00444606" w14:paraId="6CF920F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A5AA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5063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8F3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364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tasas de interés</w:t>
            </w:r>
          </w:p>
        </w:tc>
      </w:tr>
      <w:tr w:rsidR="00537300" w:rsidRPr="00444606" w14:paraId="2B46877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1FE5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745C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5B3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39C0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títulos</w:t>
            </w:r>
          </w:p>
        </w:tc>
      </w:tr>
      <w:tr w:rsidR="00537300" w:rsidRPr="00444606" w14:paraId="778154D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8044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7D62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6EC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616B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índices</w:t>
            </w:r>
          </w:p>
        </w:tc>
      </w:tr>
      <w:tr w:rsidR="00537300" w:rsidRPr="00444606" w14:paraId="16CAC46B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0ECC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8C0D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18E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281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- otros</w:t>
            </w:r>
          </w:p>
        </w:tc>
      </w:tr>
      <w:tr w:rsidR="00537300" w:rsidRPr="00444606" w14:paraId="38F66F3C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DF53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52F9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DAB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6B26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de monedas</w:t>
            </w:r>
          </w:p>
        </w:tc>
      </w:tr>
      <w:tr w:rsidR="00537300" w:rsidRPr="00444606" w14:paraId="33C3D76A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62BF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23E8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CFE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20C7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de tasas de interés</w:t>
            </w:r>
          </w:p>
        </w:tc>
      </w:tr>
      <w:tr w:rsidR="00537300" w:rsidRPr="00444606" w14:paraId="4D3DB8B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BD63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624F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227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B252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- otros</w:t>
            </w:r>
          </w:p>
        </w:tc>
      </w:tr>
      <w:tr w:rsidR="00537300" w:rsidRPr="00444606" w14:paraId="26C8BC2B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4131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CD4D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D9A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E4D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monedas</w:t>
            </w:r>
          </w:p>
        </w:tc>
      </w:tr>
      <w:tr w:rsidR="00537300" w:rsidRPr="00444606" w14:paraId="5BD2C3B5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774D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A574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D0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A33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 de monedas</w:t>
            </w:r>
          </w:p>
        </w:tc>
      </w:tr>
      <w:tr w:rsidR="00537300" w:rsidRPr="00444606" w14:paraId="64D4DB7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AD63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8BF3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20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8DC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tasas de interés</w:t>
            </w:r>
          </w:p>
        </w:tc>
      </w:tr>
      <w:tr w:rsidR="00537300" w:rsidRPr="00444606" w14:paraId="724D56B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44BB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932A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DB1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786D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tasas de interés</w:t>
            </w:r>
          </w:p>
        </w:tc>
      </w:tr>
      <w:tr w:rsidR="00537300" w:rsidRPr="00444606" w14:paraId="7E29D84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3F46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3280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230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0DF7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títulos</w:t>
            </w:r>
          </w:p>
        </w:tc>
      </w:tr>
      <w:tr w:rsidR="00537300" w:rsidRPr="00444606" w14:paraId="289D799A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B2C5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07B3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D71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3B5A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títulos</w:t>
            </w:r>
          </w:p>
        </w:tc>
      </w:tr>
      <w:tr w:rsidR="00537300" w:rsidRPr="00444606" w14:paraId="655EB08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ED4E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B429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7BE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BC0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índices</w:t>
            </w:r>
          </w:p>
        </w:tc>
      </w:tr>
      <w:tr w:rsidR="00537300" w:rsidRPr="00444606" w14:paraId="23D6A505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72B6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8A14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D81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FEC3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índices</w:t>
            </w:r>
          </w:p>
        </w:tc>
      </w:tr>
      <w:tr w:rsidR="00537300" w:rsidRPr="00444606" w14:paraId="5B12A48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587F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DA55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8ED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A95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 - otros</w:t>
            </w:r>
          </w:p>
        </w:tc>
      </w:tr>
      <w:tr w:rsidR="00537300" w:rsidRPr="00444606" w14:paraId="2B285125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DAA0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18F9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3A4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512960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A764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– otras</w:t>
            </w:r>
          </w:p>
        </w:tc>
      </w:tr>
      <w:tr w:rsidR="00537300" w:rsidRPr="00444606" w14:paraId="47332B14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DB9A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7306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B96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F844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pasivos de la posición propia</w:t>
            </w:r>
          </w:p>
        </w:tc>
      </w:tr>
      <w:tr w:rsidR="00537300" w:rsidRPr="00444606" w14:paraId="3288A82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8859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9DE3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3D6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10A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liquidación de pasivos de la posición propia</w:t>
            </w:r>
          </w:p>
        </w:tc>
      </w:tr>
      <w:tr w:rsidR="00537300" w:rsidRPr="00444606" w14:paraId="7D85C76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8052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ACEB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F2C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9A90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otros pasivos</w:t>
            </w:r>
          </w:p>
        </w:tc>
      </w:tr>
      <w:tr w:rsidR="00537300" w:rsidRPr="00444606" w14:paraId="59C3776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0C42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26D2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431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D13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liquidación de otros pasivos</w:t>
            </w:r>
          </w:p>
        </w:tc>
      </w:tr>
      <w:tr w:rsidR="00537300" w:rsidRPr="00444606" w14:paraId="5A5376F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9920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2D81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351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93AD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activos de la posición propia</w:t>
            </w:r>
          </w:p>
        </w:tc>
      </w:tr>
      <w:tr w:rsidR="00537300" w:rsidRPr="00444606" w14:paraId="45CF8861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7BD4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5BEB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1FF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2A1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realización de activos de la posición propia</w:t>
            </w:r>
          </w:p>
        </w:tc>
      </w:tr>
      <w:tr w:rsidR="00537300" w:rsidRPr="00444606" w14:paraId="53C8F9E6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FD60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23D0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279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5909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otros activos</w:t>
            </w:r>
          </w:p>
        </w:tc>
      </w:tr>
      <w:tr w:rsidR="00537300" w:rsidRPr="00444606" w14:paraId="05C4BA99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7CED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7B3B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A0D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16AA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realización de otros activos</w:t>
            </w:r>
          </w:p>
        </w:tc>
      </w:tr>
      <w:tr w:rsidR="00537300" w:rsidRPr="00444606" w14:paraId="65DD9CC2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728D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7A9B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758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575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monedas (peso/dólar)</w:t>
            </w:r>
          </w:p>
        </w:tc>
      </w:tr>
      <w:tr w:rsidR="00537300" w:rsidRPr="00444606" w14:paraId="197A30F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3B29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836B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996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87C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monedas (diferentes peso/dólar)</w:t>
            </w:r>
          </w:p>
        </w:tc>
      </w:tr>
      <w:tr w:rsidR="00537300" w:rsidRPr="00444606" w14:paraId="386ED73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552B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402C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C90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4D5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tasas de interés</w:t>
            </w:r>
          </w:p>
        </w:tc>
      </w:tr>
      <w:tr w:rsidR="00537300" w:rsidRPr="00444606" w14:paraId="29C7AEC5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455E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0DD8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76F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46D7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de títulos</w:t>
            </w:r>
          </w:p>
        </w:tc>
      </w:tr>
      <w:tr w:rsidR="00537300" w:rsidRPr="00444606" w14:paraId="7BEB94FB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874C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620B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B52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FE4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Forwards - otros</w:t>
            </w:r>
          </w:p>
        </w:tc>
      </w:tr>
      <w:tr w:rsidR="00537300" w:rsidRPr="00444606" w14:paraId="39BED91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F5D3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6EBF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D09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D591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monedas</w:t>
            </w:r>
          </w:p>
        </w:tc>
      </w:tr>
      <w:tr w:rsidR="00537300" w:rsidRPr="00444606" w14:paraId="6D2CD53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A064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F352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A3F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AF3E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tasas de interés</w:t>
            </w:r>
          </w:p>
        </w:tc>
      </w:tr>
      <w:tr w:rsidR="00537300" w:rsidRPr="00444606" w14:paraId="5A10413C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B899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99F0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76A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03E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títulos</w:t>
            </w:r>
          </w:p>
        </w:tc>
      </w:tr>
      <w:tr w:rsidR="00537300" w:rsidRPr="00444606" w14:paraId="1BF821C0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3861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C24C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D86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BDA0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de índices</w:t>
            </w:r>
          </w:p>
        </w:tc>
      </w:tr>
      <w:tr w:rsidR="00537300" w:rsidRPr="00444606" w14:paraId="427D2B0A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3891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FC02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6ED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8CDD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Futuros - otros</w:t>
            </w:r>
          </w:p>
        </w:tc>
      </w:tr>
      <w:tr w:rsidR="00537300" w:rsidRPr="00444606" w14:paraId="73AF0D14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8F42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A532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FB3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723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de monedas</w:t>
            </w:r>
          </w:p>
        </w:tc>
      </w:tr>
      <w:tr w:rsidR="00537300" w:rsidRPr="00444606" w14:paraId="4A8E2C42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5B07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F131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B8C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A104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de tasas de interés</w:t>
            </w:r>
          </w:p>
        </w:tc>
      </w:tr>
      <w:tr w:rsidR="00537300" w:rsidRPr="00444606" w14:paraId="5070734E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4C4F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5A55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60A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D2E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Swaps – otros</w:t>
            </w:r>
          </w:p>
        </w:tc>
      </w:tr>
      <w:tr w:rsidR="00537300" w:rsidRPr="00444606" w14:paraId="7DAA2A8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4688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BD4A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901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6B8B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monedas</w:t>
            </w:r>
          </w:p>
        </w:tc>
      </w:tr>
      <w:tr w:rsidR="00537300" w:rsidRPr="00444606" w14:paraId="4F958462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FB27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EB5FB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38D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9AE6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 de monedas</w:t>
            </w:r>
          </w:p>
        </w:tc>
      </w:tr>
      <w:tr w:rsidR="00537300" w:rsidRPr="00444606" w14:paraId="70430E0D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475F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DB6A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1A8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A288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tasas de interés</w:t>
            </w:r>
          </w:p>
        </w:tc>
      </w:tr>
      <w:tr w:rsidR="00537300" w:rsidRPr="00444606" w14:paraId="5F226DB7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EEFF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908F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8A1C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107D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tasas de interés</w:t>
            </w:r>
          </w:p>
        </w:tc>
      </w:tr>
      <w:tr w:rsidR="00537300" w:rsidRPr="00444606" w14:paraId="393239A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7EB4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B09C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9CC2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4C8A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títulos</w:t>
            </w:r>
          </w:p>
        </w:tc>
      </w:tr>
      <w:tr w:rsidR="00537300" w:rsidRPr="00444606" w14:paraId="3384DBDB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BBCF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C8FF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E0D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06A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títulos</w:t>
            </w:r>
          </w:p>
        </w:tc>
      </w:tr>
      <w:tr w:rsidR="00537300" w:rsidRPr="00444606" w14:paraId="7D2605F8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33A6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42CB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B4F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0F9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calls de índices</w:t>
            </w:r>
          </w:p>
        </w:tc>
      </w:tr>
      <w:tr w:rsidR="00537300" w:rsidRPr="00444606" w14:paraId="00634FCC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FED83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77C26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BB89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148D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de índices</w:t>
            </w:r>
          </w:p>
        </w:tc>
      </w:tr>
      <w:tr w:rsidR="00537300" w:rsidRPr="00444606" w14:paraId="15B2E25F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8FEBA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1198F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7211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ADE67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call - otros</w:t>
            </w:r>
          </w:p>
        </w:tc>
      </w:tr>
      <w:tr w:rsidR="00537300" w:rsidRPr="00444606" w14:paraId="17DEF933" w14:textId="77777777" w:rsidTr="001942BA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31EE5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4FC80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9504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513960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7E1E" w14:textId="77777777" w:rsidR="00537300" w:rsidRPr="00444606" w:rsidRDefault="00537300" w:rsidP="001942BA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Opciones puts – otras</w:t>
            </w:r>
          </w:p>
        </w:tc>
      </w:tr>
    </w:tbl>
    <w:p w14:paraId="4009F783" w14:textId="77777777" w:rsidR="00FA2FF2" w:rsidRPr="00444606" w:rsidRDefault="00FA2FF2" w:rsidP="00FA2FF2">
      <w:pPr>
        <w:pStyle w:val="Prrafodelista"/>
        <w:tabs>
          <w:tab w:val="left" w:pos="730"/>
        </w:tabs>
        <w:spacing w:after="200" w:line="276" w:lineRule="auto"/>
        <w:jc w:val="both"/>
        <w:rPr>
          <w:rFonts w:ascii="Arial" w:hAnsi="Arial" w:cs="Arial"/>
          <w:sz w:val="18"/>
          <w:szCs w:val="18"/>
          <w:lang w:val="es-CO"/>
        </w:rPr>
      </w:pPr>
    </w:p>
    <w:p w14:paraId="3EBB0705" w14:textId="76B475C5" w:rsidR="005C5652" w:rsidRPr="00444606" w:rsidRDefault="005C5652" w:rsidP="005C5652">
      <w:pPr>
        <w:pStyle w:val="Prrafodelista"/>
        <w:numPr>
          <w:ilvl w:val="0"/>
          <w:numId w:val="6"/>
        </w:numPr>
        <w:tabs>
          <w:tab w:val="left" w:pos="3040"/>
        </w:tabs>
        <w:spacing w:after="200" w:line="276" w:lineRule="auto"/>
        <w:jc w:val="both"/>
        <w:rPr>
          <w:rFonts w:ascii="Arial" w:hAnsi="Arial" w:cs="Arial"/>
          <w:bCs/>
          <w:sz w:val="18"/>
          <w:szCs w:val="18"/>
          <w:lang w:val="es-CO"/>
        </w:rPr>
      </w:pPr>
      <w:r w:rsidRPr="00444606">
        <w:rPr>
          <w:rFonts w:ascii="Arial" w:hAnsi="Arial" w:cs="Arial"/>
          <w:bCs/>
          <w:sz w:val="18"/>
          <w:szCs w:val="18"/>
          <w:lang w:val="es-CO"/>
        </w:rPr>
        <w:t>Be</w:t>
      </w:r>
      <w:r w:rsidR="001528D7" w:rsidRPr="00444606">
        <w:rPr>
          <w:rFonts w:ascii="Arial" w:hAnsi="Arial" w:cs="Arial"/>
          <w:bCs/>
          <w:sz w:val="18"/>
          <w:szCs w:val="18"/>
          <w:lang w:val="es-CO"/>
        </w:rPr>
        <w:t>neficio (pé</w:t>
      </w:r>
      <w:r w:rsidR="008B1274" w:rsidRPr="00444606">
        <w:rPr>
          <w:rFonts w:ascii="Arial" w:hAnsi="Arial" w:cs="Arial"/>
          <w:bCs/>
          <w:sz w:val="18"/>
          <w:szCs w:val="18"/>
          <w:lang w:val="es-CO"/>
        </w:rPr>
        <w:t>rdida) neto(a) en el portafolio a costo amortizado</w:t>
      </w:r>
      <w:r w:rsidR="00FA2FF2" w:rsidRPr="00444606">
        <w:rPr>
          <w:rFonts w:ascii="Arial" w:hAnsi="Arial" w:cs="Arial"/>
          <w:bCs/>
          <w:sz w:val="18"/>
          <w:szCs w:val="18"/>
          <w:lang w:val="es-CO"/>
        </w:rPr>
        <w:t xml:space="preserve">: </w:t>
      </w:r>
      <w:r w:rsidRPr="00444606">
        <w:rPr>
          <w:rFonts w:ascii="Arial" w:hAnsi="Arial" w:cs="Arial"/>
          <w:bCs/>
          <w:sz w:val="18"/>
          <w:szCs w:val="18"/>
          <w:lang w:val="es-CO"/>
        </w:rPr>
        <w:t>Corresponde a la sumatoria de beneficio/pérdida</w:t>
      </w:r>
      <w:r w:rsidR="0022118A" w:rsidRPr="00444606">
        <w:rPr>
          <w:rFonts w:ascii="Arial" w:hAnsi="Arial" w:cs="Arial"/>
          <w:bCs/>
          <w:sz w:val="18"/>
          <w:szCs w:val="18"/>
          <w:lang w:val="es-CO"/>
        </w:rPr>
        <w:t xml:space="preserve"> </w:t>
      </w:r>
      <w:r w:rsidRPr="00444606">
        <w:rPr>
          <w:rFonts w:ascii="Arial" w:hAnsi="Arial" w:cs="Arial"/>
          <w:bCs/>
          <w:sz w:val="18"/>
          <w:szCs w:val="18"/>
          <w:lang w:val="es-CO"/>
        </w:rPr>
        <w:t>neto(a) de activos y pasivos financieros</w:t>
      </w:r>
      <w:r w:rsidR="008B15E6" w:rsidRPr="00444606">
        <w:rPr>
          <w:rFonts w:ascii="Arial" w:hAnsi="Arial" w:cs="Arial"/>
          <w:bCs/>
          <w:sz w:val="18"/>
          <w:szCs w:val="18"/>
          <w:lang w:val="es-CO"/>
        </w:rPr>
        <w:t xml:space="preserve"> contabilizados a costo amortizado</w:t>
      </w:r>
      <w:r w:rsidRPr="00444606">
        <w:rPr>
          <w:rFonts w:ascii="Arial" w:hAnsi="Arial" w:cs="Arial"/>
          <w:bCs/>
          <w:sz w:val="18"/>
          <w:szCs w:val="18"/>
          <w:lang w:val="es-CO"/>
        </w:rPr>
        <w:t>, plusvalía/minusvalía materializada sobre activos y pasivos financieros no contabilizados al valor razonable</w:t>
      </w:r>
      <w:r w:rsidR="008B15E6" w:rsidRPr="00444606">
        <w:rPr>
          <w:rFonts w:ascii="Arial" w:hAnsi="Arial" w:cs="Arial"/>
          <w:bCs/>
          <w:sz w:val="18"/>
          <w:szCs w:val="18"/>
          <w:lang w:val="es-CO"/>
        </w:rPr>
        <w:t xml:space="preserve">, </w:t>
      </w:r>
      <w:r w:rsidRPr="00444606">
        <w:rPr>
          <w:rFonts w:ascii="Arial" w:hAnsi="Arial" w:cs="Arial"/>
          <w:bCs/>
          <w:sz w:val="18"/>
          <w:szCs w:val="18"/>
          <w:lang w:val="es-CO"/>
        </w:rPr>
        <w:t>beneficio/pérdida neto(a) de contabilidad de coberturas y beneficio/pérdida neto(a) de diferencias de cambio</w:t>
      </w:r>
      <w:r w:rsidR="008B15E6" w:rsidRPr="00444606">
        <w:rPr>
          <w:rFonts w:ascii="Arial" w:hAnsi="Arial" w:cs="Arial"/>
          <w:bCs/>
          <w:sz w:val="18"/>
          <w:szCs w:val="18"/>
          <w:lang w:val="es-CO"/>
        </w:rPr>
        <w:t xml:space="preserve"> de estos instrumentos.</w:t>
      </w:r>
    </w:p>
    <w:p w14:paraId="38750A98" w14:textId="7D243FFB" w:rsidR="0035539B" w:rsidRPr="00444606" w:rsidRDefault="0035539B" w:rsidP="0035539B">
      <w:pPr>
        <w:pStyle w:val="Prrafodelista"/>
        <w:tabs>
          <w:tab w:val="left" w:pos="3040"/>
        </w:tabs>
        <w:spacing w:after="200" w:line="276" w:lineRule="auto"/>
        <w:jc w:val="both"/>
        <w:rPr>
          <w:rFonts w:ascii="Arial" w:hAnsi="Arial" w:cs="Arial"/>
          <w:bCs/>
          <w:sz w:val="18"/>
          <w:szCs w:val="18"/>
          <w:lang w:val="es-CO"/>
        </w:rPr>
      </w:pPr>
    </w:p>
    <w:p w14:paraId="72B78D6C" w14:textId="77777777" w:rsidR="0035539B" w:rsidRPr="00444606" w:rsidRDefault="0035539B" w:rsidP="0035539B">
      <w:pPr>
        <w:pStyle w:val="Prrafodelista"/>
        <w:tabs>
          <w:tab w:val="left" w:pos="3040"/>
        </w:tabs>
        <w:spacing w:after="200" w:line="276" w:lineRule="auto"/>
        <w:jc w:val="both"/>
        <w:rPr>
          <w:rFonts w:ascii="Arial" w:hAnsi="Arial" w:cs="Arial"/>
          <w:bCs/>
          <w:sz w:val="18"/>
          <w:szCs w:val="18"/>
          <w:lang w:val="es-CO"/>
        </w:rPr>
      </w:pPr>
    </w:p>
    <w:tbl>
      <w:tblPr>
        <w:tblW w:w="7371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861"/>
        <w:gridCol w:w="850"/>
        <w:gridCol w:w="4460"/>
      </w:tblGrid>
      <w:tr w:rsidR="00C50596" w:rsidRPr="00444606" w14:paraId="6C6D919B" w14:textId="77777777" w:rsidTr="00FB01B7">
        <w:trPr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6A96DF3" w14:textId="77777777" w:rsidR="00C50596" w:rsidRPr="00444606" w:rsidRDefault="00C50596" w:rsidP="00FA2F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Concepto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CEBFFE2" w14:textId="77777777" w:rsidR="00C50596" w:rsidRPr="00444606" w:rsidRDefault="00C50596" w:rsidP="00FA2F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Fuente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4C45DA3" w14:textId="77777777" w:rsidR="00C50596" w:rsidRPr="00444606" w:rsidRDefault="00C50596" w:rsidP="00FA2FF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Cuenta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C491C91" w14:textId="77777777" w:rsidR="00C50596" w:rsidRPr="00444606" w:rsidRDefault="00C50596" w:rsidP="00FA2F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Descripción</w:t>
            </w:r>
          </w:p>
        </w:tc>
      </w:tr>
      <w:tr w:rsidR="00C50596" w:rsidRPr="00444606" w14:paraId="4FA26CD6" w14:textId="77777777" w:rsidTr="00C50596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D17107" w14:textId="035A9312" w:rsidR="00E518BE" w:rsidRPr="00444606" w:rsidRDefault="00E518BE" w:rsidP="009002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 xml:space="preserve">Beneficio </w:t>
            </w:r>
            <w:r w:rsidR="001528D7"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lastRenderedPageBreak/>
              <w:t>(pé</w:t>
            </w: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rdida) neto(a) en el portafolio de inversiones a costo amortizado.</w:t>
            </w:r>
          </w:p>
          <w:p w14:paraId="4277CDBC" w14:textId="65922309" w:rsidR="00C50596" w:rsidRPr="00444606" w:rsidRDefault="00C50596" w:rsidP="00FA2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91C8AD4" w14:textId="77777777" w:rsidR="00C50596" w:rsidRPr="00444606" w:rsidRDefault="00C50596" w:rsidP="00FA2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lastRenderedPageBreak/>
              <w:t>Catálogo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9F37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6BD4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Depósitos a la vista</w:t>
            </w:r>
          </w:p>
        </w:tc>
      </w:tr>
      <w:tr w:rsidR="00C50596" w:rsidRPr="00444606" w14:paraId="0B13E64E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621D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BFAC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C84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349E5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Fondos interbancarios vendidos ordinarios</w:t>
            </w:r>
          </w:p>
        </w:tc>
      </w:tr>
      <w:tr w:rsidR="00C50596" w:rsidRPr="00444606" w14:paraId="505BCB26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6E9A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E4F54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FF6E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D9B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Títulos de inversión en circulación</w:t>
            </w:r>
          </w:p>
        </w:tc>
      </w:tr>
      <w:tr w:rsidR="00C50596" w:rsidRPr="00444606" w14:paraId="3BD14CF3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D638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14995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8A8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E6B9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Mora en traslado de cesantías al FNA</w:t>
            </w:r>
          </w:p>
        </w:tc>
      </w:tr>
      <w:tr w:rsidR="00C50596" w:rsidRPr="00444606" w14:paraId="5B6410F0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1E7E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AA31E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AF0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8A159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Créditos con garantía hipotecaria</w:t>
            </w:r>
          </w:p>
        </w:tc>
      </w:tr>
      <w:tr w:rsidR="00C50596" w:rsidRPr="00444606" w14:paraId="5E82C363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AAB85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2C91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0F1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0B52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Sobre títulos de capitalización</w:t>
            </w:r>
          </w:p>
        </w:tc>
      </w:tr>
      <w:tr w:rsidR="00C50596" w:rsidRPr="00444606" w14:paraId="3350A6C8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E878D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31D37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9D8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EFA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Créditos con garantía prendaria</w:t>
            </w:r>
          </w:p>
        </w:tc>
      </w:tr>
      <w:tr w:rsidR="00C50596" w:rsidRPr="00444606" w14:paraId="0FFEDE99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B13E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78F8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55F5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7405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Sobre pólizas</w:t>
            </w:r>
          </w:p>
        </w:tc>
      </w:tr>
      <w:tr w:rsidR="00C50596" w:rsidRPr="00444606" w14:paraId="317B04CD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E4722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BBBF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D48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1A71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Moratorios por recaudo de cotizaciones</w:t>
            </w:r>
          </w:p>
        </w:tc>
      </w:tr>
      <w:tr w:rsidR="00C50596" w:rsidRPr="00444606" w14:paraId="7DCBD6D5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3E8DD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94F9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02A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8BB7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Rendimientos por compromisos de transferencia en operaciones repo</w:t>
            </w:r>
          </w:p>
        </w:tc>
      </w:tr>
      <w:tr w:rsidR="00C50596" w:rsidRPr="00444606" w14:paraId="01D5B1A8" w14:textId="77777777" w:rsidTr="00C50596">
        <w:trPr>
          <w:trHeight w:val="46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DA96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9CB2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BFF4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BCFE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Rendimientos por compromisos de transferencia en operaciones simultáneas</w:t>
            </w:r>
          </w:p>
        </w:tc>
      </w:tr>
      <w:tr w:rsidR="00C50596" w:rsidRPr="00444606" w14:paraId="67E0F9D0" w14:textId="77777777" w:rsidTr="00C50596">
        <w:trPr>
          <w:trHeight w:val="46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D2A22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64BB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BBD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B0E5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Rendimientos por compromisos en operaciones de transferencia temporal de valores</w:t>
            </w:r>
          </w:p>
        </w:tc>
      </w:tr>
      <w:tr w:rsidR="00C50596" w:rsidRPr="00444606" w14:paraId="6B3901B4" w14:textId="77777777" w:rsidTr="004445DE">
        <w:trPr>
          <w:trHeight w:val="2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C994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0DDCE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1DB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410365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2B3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Diferencial de tasas</w:t>
            </w:r>
          </w:p>
        </w:tc>
      </w:tr>
      <w:tr w:rsidR="00C50596" w:rsidRPr="00444606" w14:paraId="209A2C7D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33C2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724B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7E8E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EE8C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Rendimientos financieros por la ejecución de proyectos</w:t>
            </w:r>
          </w:p>
        </w:tc>
      </w:tr>
      <w:tr w:rsidR="00C50596" w:rsidRPr="00444606" w14:paraId="498B7056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98C6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B3E5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F53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6B4A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Intereses ganados FOGAFIN</w:t>
            </w:r>
          </w:p>
        </w:tc>
      </w:tr>
      <w:tr w:rsidR="00C50596" w:rsidRPr="00444606" w14:paraId="47F18BDA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16D7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0EFA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C4D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95607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Depósitos de contracción monetaria</w:t>
            </w:r>
          </w:p>
        </w:tc>
      </w:tr>
      <w:tr w:rsidR="00C50596" w:rsidRPr="00444606" w14:paraId="57DCD914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F010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7A41D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D15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410385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DCFA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Utilidad por participación en la formación del IBR</w:t>
            </w:r>
          </w:p>
        </w:tc>
      </w:tr>
      <w:tr w:rsidR="00C50596" w:rsidRPr="00444606" w14:paraId="1AD5CEF7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0B6F2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7443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FE2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410390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3B20E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Otros conceptos</w:t>
            </w:r>
          </w:p>
        </w:tc>
      </w:tr>
      <w:tr w:rsidR="00C50596" w:rsidRPr="00444606" w14:paraId="674BB394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18B1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27F8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F78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410395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A009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Otros intereses</w:t>
            </w:r>
          </w:p>
        </w:tc>
      </w:tr>
      <w:tr w:rsidR="00C50596" w:rsidRPr="00444606" w14:paraId="3CED1ED5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52E5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0EB2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D53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410605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57299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En títulos de deuda</w:t>
            </w:r>
          </w:p>
        </w:tc>
      </w:tr>
      <w:tr w:rsidR="00C50596" w:rsidRPr="00444606" w14:paraId="75106F46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4A6D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29C84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563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410610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27E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En títulos participativos</w:t>
            </w:r>
          </w:p>
        </w:tc>
      </w:tr>
      <w:tr w:rsidR="00C50596" w:rsidRPr="00444606" w14:paraId="51BE26DD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A9EF7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15C4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9F1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411105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AC44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incremento en el valor presente</w:t>
            </w:r>
          </w:p>
        </w:tc>
      </w:tr>
      <w:tr w:rsidR="00C50596" w:rsidRPr="00444606" w14:paraId="66976B4B" w14:textId="77777777" w:rsidTr="00C50596">
        <w:trPr>
          <w:trHeight w:val="46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450B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85ADD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8B7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411405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B431" w14:textId="5FCFDEA2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Rendimientos financieros, compromisos de reventa - repos - simultáneas y carruseles</w:t>
            </w:r>
          </w:p>
        </w:tc>
      </w:tr>
      <w:tr w:rsidR="00C50596" w:rsidRPr="00444606" w14:paraId="49A4B802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BFCE7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20FE5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A63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CBC7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Reajuste monetario - UVR</w:t>
            </w:r>
          </w:p>
        </w:tc>
      </w:tr>
      <w:tr w:rsidR="00C50596" w:rsidRPr="00444606" w14:paraId="4CFFCEB6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3FE3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B72F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684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411420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7EB6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diferencia en cambio</w:t>
            </w:r>
          </w:p>
        </w:tc>
      </w:tr>
      <w:tr w:rsidR="00C50596" w:rsidRPr="00444606" w14:paraId="61054E80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9F3A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46DA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B8A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411495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BB4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otros rendimientos financieros</w:t>
            </w:r>
          </w:p>
        </w:tc>
      </w:tr>
      <w:tr w:rsidR="00C50596" w:rsidRPr="00444606" w14:paraId="662C7185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178C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3B3A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DD97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412305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7A2D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repo abierto</w:t>
            </w:r>
          </w:p>
        </w:tc>
      </w:tr>
      <w:tr w:rsidR="00C50596" w:rsidRPr="00444606" w14:paraId="59EEBBCA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BE544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7356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5FC5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F00F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simultáneas</w:t>
            </w:r>
          </w:p>
        </w:tc>
      </w:tr>
      <w:tr w:rsidR="00C50596" w:rsidRPr="00444606" w14:paraId="6DAA9202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7244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68C5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687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412315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2654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transferencia temporal de valores</w:t>
            </w:r>
          </w:p>
        </w:tc>
      </w:tr>
      <w:tr w:rsidR="00C50596" w:rsidRPr="00444606" w14:paraId="576B6D4E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0BC8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C248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71C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19F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Inversiones a costo amortizado</w:t>
            </w:r>
          </w:p>
        </w:tc>
      </w:tr>
      <w:tr w:rsidR="00C50596" w:rsidRPr="00444606" w14:paraId="27ACD3F0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DE08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AB3B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612C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D23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Productos agropecuarios</w:t>
            </w:r>
          </w:p>
        </w:tc>
      </w:tr>
      <w:tr w:rsidR="00C50596" w:rsidRPr="00444606" w14:paraId="41526FB3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B5D6E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C042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1E30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D3C1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Productos agroindustriales</w:t>
            </w:r>
          </w:p>
        </w:tc>
      </w:tr>
      <w:tr w:rsidR="00C50596" w:rsidRPr="00444606" w14:paraId="4068BDBC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3FA1A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E6347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7E99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C8B53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Insumos agropecuarios y agroindustriales</w:t>
            </w:r>
          </w:p>
        </w:tc>
      </w:tr>
      <w:tr w:rsidR="00C50596" w:rsidRPr="00444606" w14:paraId="352566A9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39909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2A989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E09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B939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Documentos sobre productos agropecuarios y agroindustriales</w:t>
            </w:r>
          </w:p>
        </w:tc>
      </w:tr>
      <w:tr w:rsidR="00C50596" w:rsidRPr="00444606" w14:paraId="661D9068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02F64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712E8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0043" w14:textId="06B95136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C3BB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Otras especies agrícolas y agroindustriales</w:t>
            </w:r>
          </w:p>
        </w:tc>
      </w:tr>
      <w:tr w:rsidR="00C50596" w:rsidRPr="00444606" w14:paraId="590869F4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9D8A6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91D3E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8B32" w14:textId="4A867593" w:rsidR="00C50596" w:rsidRPr="00444606" w:rsidRDefault="00B961BB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noProof/>
                <w:color w:val="000000"/>
                <w:sz w:val="18"/>
                <w:szCs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5446820" wp14:editId="78A38603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180340</wp:posOffset>
                      </wp:positionV>
                      <wp:extent cx="0" cy="1552575"/>
                      <wp:effectExtent l="0" t="0" r="38100" b="28575"/>
                      <wp:wrapNone/>
                      <wp:docPr id="1" name="Conector rec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552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A9346B" id="Conector recto 1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14.2pt" to="-5.3pt,1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50596"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412595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FD56F" w14:textId="77777777" w:rsidR="00C50596" w:rsidRPr="00444606" w:rsidRDefault="00C50596" w:rsidP="00FA2FF2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Otros</w:t>
            </w:r>
          </w:p>
        </w:tc>
      </w:tr>
      <w:tr w:rsidR="00300598" w:rsidRPr="00444606" w14:paraId="2BD57558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E19A9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4EF417CD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ECDE" w14:textId="62039B09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A883" w14:textId="18A6CEF1" w:rsidR="00300598" w:rsidRPr="00444606" w:rsidRDefault="00300598" w:rsidP="00300598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  <w:t>Por reexpresión de activos de la posición propia</w:t>
            </w:r>
          </w:p>
        </w:tc>
      </w:tr>
      <w:tr w:rsidR="00300598" w:rsidRPr="00444606" w14:paraId="32AE8BC2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161EF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2BAED4A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EC39" w14:textId="525DA53A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33394" w14:textId="6D988C51" w:rsidR="00300598" w:rsidRPr="00444606" w:rsidRDefault="00300598" w:rsidP="00300598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  <w:t>Por realización de activos de la posición propia</w:t>
            </w:r>
          </w:p>
        </w:tc>
      </w:tr>
      <w:tr w:rsidR="00300598" w:rsidRPr="00444606" w14:paraId="3A14BF0A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9092F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2C632DA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44CA" w14:textId="104BEEFF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E848" w14:textId="4C1C71F2" w:rsidR="00300598" w:rsidRPr="00444606" w:rsidRDefault="00300598" w:rsidP="00300598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  <w:t>Por reexpresión de otros activos</w:t>
            </w:r>
          </w:p>
        </w:tc>
      </w:tr>
      <w:tr w:rsidR="00300598" w:rsidRPr="00444606" w14:paraId="45A4ED06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001CB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045B8BA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56D8" w14:textId="7A4C2B6D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284FE" w14:textId="572ADE9F" w:rsidR="00300598" w:rsidRPr="00444606" w:rsidRDefault="00300598" w:rsidP="00300598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  <w:t>Por realización de otros activos</w:t>
            </w:r>
          </w:p>
        </w:tc>
      </w:tr>
      <w:tr w:rsidR="00300598" w:rsidRPr="00444606" w14:paraId="28265162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F318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189BE67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C4E3" w14:textId="22AB5481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FCA6" w14:textId="21D58B11" w:rsidR="00300598" w:rsidRPr="00444606" w:rsidRDefault="00300598" w:rsidP="00300598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  <w:t>Por reexpresión de pasivos de la posición propia</w:t>
            </w:r>
          </w:p>
        </w:tc>
      </w:tr>
      <w:tr w:rsidR="00300598" w:rsidRPr="00444606" w14:paraId="53C8FFF7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01A98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13D1C7C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1E46" w14:textId="1844D97B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479B" w14:textId="2457F00B" w:rsidR="00300598" w:rsidRPr="00444606" w:rsidRDefault="00300598" w:rsidP="00300598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  <w:t>Por liquidación de pasivos de la posición propia</w:t>
            </w:r>
          </w:p>
        </w:tc>
      </w:tr>
      <w:tr w:rsidR="00300598" w:rsidRPr="00444606" w14:paraId="5A845F9B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9DEBE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337116D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79AC" w14:textId="5CA09DDA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721C" w14:textId="18D49574" w:rsidR="00300598" w:rsidRPr="00444606" w:rsidRDefault="00300598" w:rsidP="00300598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  <w:t>Por reexpresión de otros pasivos</w:t>
            </w:r>
          </w:p>
        </w:tc>
      </w:tr>
      <w:tr w:rsidR="00300598" w:rsidRPr="00444606" w14:paraId="618CC6D5" w14:textId="77777777" w:rsidTr="007D6885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1A4AF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5CBA6BCC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664B" w14:textId="2E765424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413540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F4EBF" w14:textId="0C86AA1F" w:rsidR="00300598" w:rsidRPr="00444606" w:rsidRDefault="00300598" w:rsidP="00300598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Cs/>
                <w:color w:val="000000"/>
                <w:sz w:val="18"/>
                <w:szCs w:val="18"/>
                <w:lang w:val="es-CO" w:eastAsia="es-CO"/>
              </w:rPr>
              <w:t>Por liquidación de otros pasivos</w:t>
            </w:r>
          </w:p>
        </w:tc>
      </w:tr>
      <w:tr w:rsidR="00300598" w:rsidRPr="00444606" w14:paraId="61782021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BA91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1DD2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CAD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B008D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Fondos interbancarios comprados ordinarios</w:t>
            </w:r>
          </w:p>
        </w:tc>
      </w:tr>
      <w:tr w:rsidR="00300598" w:rsidRPr="00444606" w14:paraId="6CCAB1B2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5811B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6D0F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334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AF05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Fondos interasociadas pasivos</w:t>
            </w:r>
          </w:p>
        </w:tc>
      </w:tr>
      <w:tr w:rsidR="00300598" w:rsidRPr="00444606" w14:paraId="268CF278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FFBD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C480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433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31C1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Prima amortizada de cartera</w:t>
            </w:r>
          </w:p>
        </w:tc>
      </w:tr>
      <w:tr w:rsidR="00300598" w:rsidRPr="00444606" w14:paraId="3D69E1F8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EACDB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9F71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392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FE7B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Intereses y amortización descuento títulos de inversión</w:t>
            </w:r>
          </w:p>
        </w:tc>
      </w:tr>
      <w:tr w:rsidR="00300598" w:rsidRPr="00444606" w14:paraId="4B59C474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EC3C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99D9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335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29FF9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Intereses y amortización descuento boceas</w:t>
            </w:r>
          </w:p>
        </w:tc>
      </w:tr>
      <w:tr w:rsidR="00300598" w:rsidRPr="00444606" w14:paraId="57162E89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2693C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C0D7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8DC9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514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Moratorios en pago de siniestros</w:t>
            </w:r>
          </w:p>
        </w:tc>
      </w:tr>
      <w:tr w:rsidR="00300598" w:rsidRPr="00444606" w14:paraId="071D1E18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42DA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7A75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DE3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AD4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Moratorios en pago de mesadas pensionales</w:t>
            </w:r>
          </w:p>
        </w:tc>
      </w:tr>
      <w:tr w:rsidR="00300598" w:rsidRPr="00444606" w14:paraId="1C78A1FF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82EE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BFF8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ACF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594A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Rendimientos por compromisos de transferencia en operaciones repo</w:t>
            </w:r>
          </w:p>
        </w:tc>
      </w:tr>
      <w:tr w:rsidR="00300598" w:rsidRPr="00444606" w14:paraId="44D3A4CE" w14:textId="77777777" w:rsidTr="004445DE">
        <w:trPr>
          <w:trHeight w:val="58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B765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71AF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E37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805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Rendimientos por compromisos de transferencia en operaciones simultáneas</w:t>
            </w:r>
          </w:p>
        </w:tc>
      </w:tr>
      <w:tr w:rsidR="00300598" w:rsidRPr="00444606" w14:paraId="581CFCEE" w14:textId="77777777" w:rsidTr="004445DE">
        <w:trPr>
          <w:trHeight w:val="43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6534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54F2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E01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74D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compromisos en operaciones de transferencia temporal de valores</w:t>
            </w:r>
          </w:p>
        </w:tc>
      </w:tr>
      <w:tr w:rsidR="00300598" w:rsidRPr="00444606" w14:paraId="6103097E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022E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70B9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C75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272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Diferencial de tasas</w:t>
            </w:r>
          </w:p>
        </w:tc>
      </w:tr>
      <w:tr w:rsidR="00300598" w:rsidRPr="00444606" w14:paraId="1D347531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004C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5517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1B0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510465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720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Aporte contractual por la ejecución de proyectos</w:t>
            </w:r>
          </w:p>
        </w:tc>
      </w:tr>
      <w:tr w:rsidR="00300598" w:rsidRPr="00444606" w14:paraId="6F18943C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0901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4EAD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340C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76C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Intereses devengados a favor de Fogafin</w:t>
            </w:r>
          </w:p>
        </w:tc>
      </w:tr>
      <w:tr w:rsidR="00300598" w:rsidRPr="00444606" w14:paraId="7D5C1060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BA21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5C2D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895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F91C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Pérdida por participación en la formación del IBR</w:t>
            </w:r>
          </w:p>
        </w:tc>
      </w:tr>
      <w:tr w:rsidR="00300598" w:rsidRPr="00444606" w14:paraId="290E9440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D3B1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0EA40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6D9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510495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347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Otros intereses</w:t>
            </w:r>
          </w:p>
        </w:tc>
      </w:tr>
      <w:tr w:rsidR="00300598" w:rsidRPr="00444606" w14:paraId="46FF337C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3F2D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74A8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76D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510705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58AC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disminución en el valor presente</w:t>
            </w:r>
          </w:p>
        </w:tc>
      </w:tr>
      <w:tr w:rsidR="00300598" w:rsidRPr="00444606" w14:paraId="6D2B8902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762D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8B85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A55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511905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DC3D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En títulos de deuda</w:t>
            </w:r>
          </w:p>
        </w:tc>
      </w:tr>
      <w:tr w:rsidR="00300598" w:rsidRPr="00444606" w14:paraId="6453BEE0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406E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A1C2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88D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511910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779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En títulos participativos</w:t>
            </w:r>
          </w:p>
        </w:tc>
      </w:tr>
      <w:tr w:rsidR="00300598" w:rsidRPr="00444606" w14:paraId="317EDEE9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E722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F7AF9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6CB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512305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5C2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repo</w:t>
            </w:r>
          </w:p>
        </w:tc>
      </w:tr>
      <w:tr w:rsidR="00300598" w:rsidRPr="00444606" w14:paraId="5397A34E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A5FF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17AD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CBB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1360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simultáneas</w:t>
            </w:r>
          </w:p>
        </w:tc>
      </w:tr>
      <w:tr w:rsidR="00300598" w:rsidRPr="00444606" w14:paraId="25886C37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0C77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12228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312C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512315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3A4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Operaciones de transferencia temporal de valores</w:t>
            </w:r>
          </w:p>
        </w:tc>
      </w:tr>
      <w:tr w:rsidR="00300598" w:rsidRPr="00444606" w14:paraId="1C8D5E5B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E8B1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C1329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B8C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512515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87C90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A costo amortizado</w:t>
            </w:r>
          </w:p>
        </w:tc>
      </w:tr>
      <w:tr w:rsidR="00300598" w:rsidRPr="00444606" w14:paraId="475F9DFA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F962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F6E3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1CD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00F30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pasivos de la posición propia</w:t>
            </w:r>
          </w:p>
        </w:tc>
      </w:tr>
      <w:tr w:rsidR="00300598" w:rsidRPr="00444606" w14:paraId="5933FA82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C6CD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858F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9B9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237C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liquidación de pasivos de la posición propia</w:t>
            </w:r>
          </w:p>
        </w:tc>
      </w:tr>
      <w:tr w:rsidR="00300598" w:rsidRPr="00444606" w14:paraId="3B209AD0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E417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15B5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5FBC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A8E4F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otros pasivos</w:t>
            </w:r>
          </w:p>
        </w:tc>
      </w:tr>
      <w:tr w:rsidR="00300598" w:rsidRPr="00444606" w14:paraId="60C57B7C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FDF4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565BB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A6F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A75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liquidación de otros pasivos</w:t>
            </w:r>
          </w:p>
        </w:tc>
      </w:tr>
      <w:tr w:rsidR="00300598" w:rsidRPr="00444606" w14:paraId="1CAD0214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F2F9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0C09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394D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518E3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activos de la posición propia</w:t>
            </w:r>
          </w:p>
        </w:tc>
      </w:tr>
      <w:tr w:rsidR="00300598" w:rsidRPr="00444606" w14:paraId="766BC508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587DE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A17E2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F07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034B6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realización de activos de la posición propia</w:t>
            </w:r>
          </w:p>
        </w:tc>
      </w:tr>
      <w:tr w:rsidR="00300598" w:rsidRPr="00444606" w14:paraId="53861908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2BEB7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B413C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4A9B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4CB71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reexpresión de otros activos</w:t>
            </w:r>
          </w:p>
        </w:tc>
      </w:tr>
      <w:tr w:rsidR="00300598" w:rsidRPr="00444606" w14:paraId="6FB7F9B5" w14:textId="77777777" w:rsidTr="00C50596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B26C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B0565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C584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513540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19EA" w14:textId="77777777" w:rsidR="00300598" w:rsidRPr="00444606" w:rsidRDefault="00300598" w:rsidP="00300598">
            <w:pPr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Por realización de otros activos</w:t>
            </w:r>
          </w:p>
        </w:tc>
      </w:tr>
    </w:tbl>
    <w:p w14:paraId="7EEB2E37" w14:textId="77777777" w:rsidR="00C204E4" w:rsidRPr="00444606" w:rsidRDefault="00C204E4" w:rsidP="00C204E4">
      <w:pPr>
        <w:rPr>
          <w:rFonts w:ascii="Arial" w:hAnsi="Arial" w:cs="Arial"/>
          <w:sz w:val="18"/>
          <w:szCs w:val="18"/>
          <w:lang w:val="es-CO"/>
        </w:rPr>
      </w:pPr>
    </w:p>
    <w:p w14:paraId="343D6513" w14:textId="3689FA47" w:rsidR="0096158E" w:rsidRPr="00444606" w:rsidRDefault="00DC06B6" w:rsidP="0096158E">
      <w:pPr>
        <w:pStyle w:val="Prrafodelista"/>
        <w:numPr>
          <w:ilvl w:val="2"/>
          <w:numId w:val="1"/>
        </w:num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</w:rPr>
        <w:t>Exclusiones e inclusiones</w:t>
      </w:r>
      <w:r w:rsidR="008A2942" w:rsidRPr="00444606">
        <w:rPr>
          <w:rFonts w:ascii="Arial" w:hAnsi="Arial" w:cs="Arial"/>
          <w:bCs/>
          <w:sz w:val="18"/>
          <w:szCs w:val="18"/>
        </w:rPr>
        <w:t xml:space="preserve"> del Indicador de N</w:t>
      </w:r>
      <w:r w:rsidRPr="00444606">
        <w:rPr>
          <w:rFonts w:ascii="Arial" w:hAnsi="Arial" w:cs="Arial"/>
          <w:bCs/>
          <w:sz w:val="18"/>
          <w:szCs w:val="18"/>
        </w:rPr>
        <w:t xml:space="preserve">egocio </w:t>
      </w:r>
      <w:r w:rsidR="008A2942" w:rsidRPr="00444606">
        <w:rPr>
          <w:rFonts w:ascii="Arial" w:hAnsi="Arial" w:cs="Arial"/>
          <w:bCs/>
          <w:sz w:val="18"/>
          <w:szCs w:val="18"/>
        </w:rPr>
        <w:t>(IN)</w:t>
      </w:r>
    </w:p>
    <w:p w14:paraId="325B4B17" w14:textId="77777777" w:rsidR="005C5652" w:rsidRPr="00444606" w:rsidRDefault="005C5652" w:rsidP="00C66DC1">
      <w:pPr>
        <w:jc w:val="both"/>
        <w:rPr>
          <w:rFonts w:ascii="Arial" w:hAnsi="Arial" w:cs="Arial"/>
          <w:bCs/>
          <w:sz w:val="18"/>
          <w:szCs w:val="18"/>
        </w:rPr>
      </w:pPr>
    </w:p>
    <w:p w14:paraId="735C8C3E" w14:textId="7D37C6BB" w:rsidR="0096158E" w:rsidRPr="00444606" w:rsidRDefault="00347E91" w:rsidP="00C66DC1">
      <w:pPr>
        <w:jc w:val="both"/>
        <w:rPr>
          <w:rFonts w:ascii="Arial" w:hAnsi="Arial" w:cs="Arial"/>
          <w:bCs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</w:rPr>
        <w:t>1</w:t>
      </w:r>
      <w:r w:rsidR="008A2942" w:rsidRPr="00444606">
        <w:rPr>
          <w:rFonts w:ascii="Arial" w:hAnsi="Arial" w:cs="Arial"/>
          <w:bCs/>
          <w:sz w:val="18"/>
          <w:szCs w:val="18"/>
        </w:rPr>
        <w:t xml:space="preserve">.1.2.1 Exclusiones: </w:t>
      </w:r>
      <w:r w:rsidR="001E1F5E" w:rsidRPr="00444606">
        <w:rPr>
          <w:rFonts w:ascii="Arial" w:hAnsi="Arial" w:cs="Arial"/>
          <w:bCs/>
          <w:sz w:val="18"/>
          <w:szCs w:val="18"/>
        </w:rPr>
        <w:t>Las entidades</w:t>
      </w:r>
      <w:r w:rsidR="0096158E" w:rsidRPr="00444606">
        <w:rPr>
          <w:rFonts w:ascii="Arial" w:hAnsi="Arial" w:cs="Arial"/>
          <w:bCs/>
          <w:sz w:val="18"/>
          <w:szCs w:val="18"/>
        </w:rPr>
        <w:t xml:space="preserve"> podrán solicitar a </w:t>
      </w:r>
      <w:r w:rsidR="001E1F5E" w:rsidRPr="00444606">
        <w:rPr>
          <w:rFonts w:ascii="Arial" w:hAnsi="Arial" w:cs="Arial"/>
          <w:bCs/>
          <w:sz w:val="18"/>
          <w:szCs w:val="18"/>
        </w:rPr>
        <w:t>la SFC</w:t>
      </w:r>
      <w:r w:rsidR="0096158E" w:rsidRPr="00444606">
        <w:rPr>
          <w:rFonts w:ascii="Arial" w:hAnsi="Arial" w:cs="Arial"/>
          <w:bCs/>
          <w:sz w:val="18"/>
          <w:szCs w:val="18"/>
        </w:rPr>
        <w:t>, la autorización</w:t>
      </w:r>
      <w:r w:rsidR="001E1F5E" w:rsidRPr="00444606">
        <w:rPr>
          <w:rFonts w:ascii="Arial" w:hAnsi="Arial" w:cs="Arial"/>
          <w:bCs/>
          <w:sz w:val="18"/>
          <w:szCs w:val="18"/>
        </w:rPr>
        <w:t xml:space="preserve"> previa</w:t>
      </w:r>
      <w:r w:rsidR="0096158E" w:rsidRPr="00444606">
        <w:rPr>
          <w:rFonts w:ascii="Arial" w:hAnsi="Arial" w:cs="Arial"/>
          <w:bCs/>
          <w:sz w:val="18"/>
          <w:szCs w:val="18"/>
        </w:rPr>
        <w:t xml:space="preserve"> para excluir del cálculo del </w:t>
      </w:r>
      <w:r w:rsidR="008A2942" w:rsidRPr="00444606">
        <w:rPr>
          <w:rFonts w:ascii="Arial" w:hAnsi="Arial" w:cs="Arial"/>
          <w:bCs/>
          <w:sz w:val="18"/>
          <w:szCs w:val="18"/>
        </w:rPr>
        <w:t>IN</w:t>
      </w:r>
      <w:r w:rsidR="00E04030" w:rsidRPr="00444606">
        <w:rPr>
          <w:rFonts w:ascii="Arial" w:hAnsi="Arial" w:cs="Arial"/>
          <w:bCs/>
          <w:sz w:val="18"/>
          <w:szCs w:val="18"/>
        </w:rPr>
        <w:t>,</w:t>
      </w:r>
      <w:r w:rsidR="0096158E" w:rsidRPr="00444606">
        <w:rPr>
          <w:rFonts w:ascii="Arial" w:hAnsi="Arial" w:cs="Arial"/>
          <w:bCs/>
          <w:sz w:val="18"/>
          <w:szCs w:val="18"/>
        </w:rPr>
        <w:t xml:space="preserve"> las actividades desinvertidas. </w:t>
      </w:r>
      <w:r w:rsidR="008A2942" w:rsidRPr="00444606">
        <w:rPr>
          <w:rFonts w:ascii="Arial" w:hAnsi="Arial" w:cs="Arial"/>
          <w:bCs/>
          <w:sz w:val="18"/>
          <w:szCs w:val="18"/>
        </w:rPr>
        <w:t>Dichas actividades solo se podrán excluir del cálculo del IN una vez se cuente con la respectiva autorización y serán efectivas a partir de la fecha que indique la SFC.</w:t>
      </w:r>
    </w:p>
    <w:p w14:paraId="407D0D07" w14:textId="77777777" w:rsidR="0096158E" w:rsidRPr="00444606" w:rsidRDefault="0096158E" w:rsidP="0096158E">
      <w:pPr>
        <w:rPr>
          <w:rFonts w:ascii="Arial" w:hAnsi="Arial" w:cs="Arial"/>
          <w:sz w:val="18"/>
          <w:szCs w:val="18"/>
        </w:rPr>
      </w:pPr>
    </w:p>
    <w:p w14:paraId="18698B9B" w14:textId="2A471BB0" w:rsidR="0096158E" w:rsidRPr="00444606" w:rsidRDefault="00347E91" w:rsidP="001E1F5E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1</w:t>
      </w:r>
      <w:r w:rsidR="008A2942" w:rsidRPr="00444606">
        <w:rPr>
          <w:rFonts w:ascii="Arial" w:hAnsi="Arial" w:cs="Arial"/>
          <w:sz w:val="18"/>
          <w:szCs w:val="18"/>
        </w:rPr>
        <w:t>.1.2.2 Inclusiones: P</w:t>
      </w:r>
      <w:r w:rsidR="00C66DC1" w:rsidRPr="00444606">
        <w:rPr>
          <w:rFonts w:ascii="Arial" w:hAnsi="Arial" w:cs="Arial"/>
          <w:sz w:val="18"/>
          <w:szCs w:val="18"/>
        </w:rPr>
        <w:t xml:space="preserve">ara el </w:t>
      </w:r>
      <w:r w:rsidR="001E1F5E" w:rsidRPr="00444606">
        <w:rPr>
          <w:rFonts w:ascii="Arial" w:hAnsi="Arial" w:cs="Arial"/>
          <w:sz w:val="18"/>
          <w:szCs w:val="18"/>
        </w:rPr>
        <w:t>cómputo</w:t>
      </w:r>
      <w:r w:rsidR="00C66DC1" w:rsidRPr="00444606">
        <w:rPr>
          <w:rFonts w:ascii="Arial" w:hAnsi="Arial" w:cs="Arial"/>
          <w:sz w:val="18"/>
          <w:szCs w:val="18"/>
        </w:rPr>
        <w:t xml:space="preserve"> </w:t>
      </w:r>
      <w:r w:rsidR="008A2942" w:rsidRPr="00444606">
        <w:rPr>
          <w:rFonts w:ascii="Arial" w:hAnsi="Arial" w:cs="Arial"/>
          <w:sz w:val="18"/>
          <w:szCs w:val="18"/>
        </w:rPr>
        <w:t>del IN</w:t>
      </w:r>
      <w:r w:rsidR="00C66DC1" w:rsidRPr="00444606">
        <w:rPr>
          <w:rFonts w:ascii="Arial" w:hAnsi="Arial" w:cs="Arial"/>
          <w:sz w:val="18"/>
          <w:szCs w:val="18"/>
        </w:rPr>
        <w:t xml:space="preserve">, las entidades deben incluir las </w:t>
      </w:r>
      <w:r w:rsidR="001E1F5E" w:rsidRPr="00444606">
        <w:rPr>
          <w:rFonts w:ascii="Arial" w:hAnsi="Arial" w:cs="Arial"/>
          <w:sz w:val="18"/>
          <w:szCs w:val="18"/>
        </w:rPr>
        <w:t>cuentas del CUIF</w:t>
      </w:r>
      <w:r w:rsidR="00C66DC1" w:rsidRPr="00444606">
        <w:rPr>
          <w:rFonts w:ascii="Arial" w:hAnsi="Arial" w:cs="Arial"/>
          <w:sz w:val="18"/>
          <w:szCs w:val="18"/>
        </w:rPr>
        <w:t xml:space="preserve"> que se deriven de </w:t>
      </w:r>
      <w:r w:rsidR="008A2942" w:rsidRPr="00444606">
        <w:rPr>
          <w:rFonts w:ascii="Arial" w:hAnsi="Arial" w:cs="Arial"/>
          <w:sz w:val="18"/>
          <w:szCs w:val="18"/>
        </w:rPr>
        <w:t xml:space="preserve">los procesos de </w:t>
      </w:r>
      <w:r w:rsidR="00C66DC1" w:rsidRPr="00444606">
        <w:rPr>
          <w:rFonts w:ascii="Arial" w:hAnsi="Arial" w:cs="Arial"/>
          <w:sz w:val="18"/>
          <w:szCs w:val="18"/>
        </w:rPr>
        <w:t xml:space="preserve">adquisiciones </w:t>
      </w:r>
      <w:r w:rsidR="008A2942" w:rsidRPr="00444606">
        <w:rPr>
          <w:rFonts w:ascii="Arial" w:hAnsi="Arial" w:cs="Arial"/>
          <w:sz w:val="18"/>
          <w:szCs w:val="18"/>
        </w:rPr>
        <w:t>y</w:t>
      </w:r>
      <w:r w:rsidR="00C66DC1" w:rsidRPr="00444606">
        <w:rPr>
          <w:rFonts w:ascii="Arial" w:hAnsi="Arial" w:cs="Arial"/>
          <w:sz w:val="18"/>
          <w:szCs w:val="18"/>
        </w:rPr>
        <w:t xml:space="preserve"> fusiones</w:t>
      </w:r>
      <w:r w:rsidR="00BF3897" w:rsidRPr="00444606">
        <w:rPr>
          <w:rFonts w:ascii="Arial" w:hAnsi="Arial" w:cs="Arial"/>
          <w:sz w:val="18"/>
          <w:szCs w:val="18"/>
        </w:rPr>
        <w:t>.</w:t>
      </w:r>
    </w:p>
    <w:p w14:paraId="241D666B" w14:textId="77777777" w:rsidR="00D1746D" w:rsidRPr="00444606" w:rsidRDefault="00D1746D" w:rsidP="001E1F5E">
      <w:pPr>
        <w:jc w:val="both"/>
        <w:rPr>
          <w:rFonts w:ascii="Arial" w:hAnsi="Arial" w:cs="Arial"/>
          <w:sz w:val="18"/>
          <w:szCs w:val="18"/>
        </w:rPr>
      </w:pPr>
    </w:p>
    <w:p w14:paraId="0E37B66F" w14:textId="637A5FA5" w:rsidR="00DC06B6" w:rsidRPr="00444606" w:rsidRDefault="008A2942" w:rsidP="00DC06B6">
      <w:pPr>
        <w:pStyle w:val="Prrafodelista"/>
        <w:numPr>
          <w:ilvl w:val="1"/>
          <w:numId w:val="1"/>
        </w:num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  <w:r w:rsidRPr="00444606">
        <w:rPr>
          <w:rFonts w:ascii="Arial" w:hAnsi="Arial" w:cs="Arial"/>
          <w:b/>
          <w:sz w:val="18"/>
          <w:szCs w:val="18"/>
        </w:rPr>
        <w:t>Tratamiento del C</w:t>
      </w:r>
      <w:r w:rsidR="00DC06B6" w:rsidRPr="00444606">
        <w:rPr>
          <w:rFonts w:ascii="Arial" w:hAnsi="Arial" w:cs="Arial"/>
          <w:b/>
          <w:sz w:val="18"/>
          <w:szCs w:val="18"/>
        </w:rPr>
        <w:t>oe</w:t>
      </w:r>
      <w:r w:rsidRPr="00444606">
        <w:rPr>
          <w:rFonts w:ascii="Arial" w:hAnsi="Arial" w:cs="Arial"/>
          <w:b/>
          <w:sz w:val="18"/>
          <w:szCs w:val="18"/>
        </w:rPr>
        <w:t>ficiente de Riesgo O</w:t>
      </w:r>
      <w:r w:rsidR="004716EF" w:rsidRPr="00444606">
        <w:rPr>
          <w:rFonts w:ascii="Arial" w:hAnsi="Arial" w:cs="Arial"/>
          <w:b/>
          <w:sz w:val="18"/>
          <w:szCs w:val="18"/>
        </w:rPr>
        <w:t xml:space="preserve">peracional </w:t>
      </w:r>
      <w:r w:rsidRPr="00444606">
        <w:rPr>
          <w:rFonts w:ascii="Arial" w:hAnsi="Arial" w:cs="Arial"/>
          <w:b/>
          <w:sz w:val="18"/>
          <w:szCs w:val="18"/>
        </w:rPr>
        <w:t>(</w:t>
      </w:r>
      <w:r w:rsidR="004716EF" w:rsidRPr="00444606">
        <w:rPr>
          <w:rFonts w:ascii="Arial" w:hAnsi="Arial" w:cs="Arial"/>
          <w:b/>
          <w:sz w:val="18"/>
          <w:szCs w:val="18"/>
        </w:rPr>
        <w:t>CRO</w:t>
      </w:r>
      <w:r w:rsidRPr="00444606">
        <w:rPr>
          <w:rFonts w:ascii="Arial" w:hAnsi="Arial" w:cs="Arial"/>
          <w:b/>
          <w:sz w:val="18"/>
          <w:szCs w:val="18"/>
        </w:rPr>
        <w:t>) y cálculo del Componente de Indicador de Negocio (</w:t>
      </w:r>
      <w:r w:rsidR="00257BEB" w:rsidRPr="00444606">
        <w:rPr>
          <w:rFonts w:ascii="Arial" w:hAnsi="Arial" w:cs="Arial"/>
          <w:b/>
          <w:sz w:val="18"/>
          <w:szCs w:val="18"/>
        </w:rPr>
        <w:t>CIN</w:t>
      </w:r>
      <w:r w:rsidRPr="00444606">
        <w:rPr>
          <w:rFonts w:ascii="Arial" w:hAnsi="Arial" w:cs="Arial"/>
          <w:b/>
          <w:sz w:val="18"/>
          <w:szCs w:val="18"/>
        </w:rPr>
        <w:t>)</w:t>
      </w:r>
    </w:p>
    <w:p w14:paraId="0A5E7A19" w14:textId="77777777" w:rsidR="00DC06B6" w:rsidRPr="00444606" w:rsidRDefault="00DC06B6" w:rsidP="0096158E">
      <w:pPr>
        <w:rPr>
          <w:rFonts w:ascii="Arial" w:hAnsi="Arial" w:cs="Arial"/>
          <w:sz w:val="18"/>
          <w:szCs w:val="18"/>
        </w:rPr>
      </w:pPr>
    </w:p>
    <w:p w14:paraId="657EC647" w14:textId="04FE01ED" w:rsidR="00C64EFC" w:rsidRPr="00444606" w:rsidRDefault="00C64EFC" w:rsidP="00C64EFC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De conformidad con el numeral 2 del artículo 2.1.1.3.9</w:t>
      </w:r>
      <w:r w:rsidR="004716EF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 xml:space="preserve">del Decreto 2555 de 2010, a </w:t>
      </w:r>
      <w:r w:rsidR="004716EF" w:rsidRPr="00444606">
        <w:rPr>
          <w:rFonts w:ascii="Arial" w:hAnsi="Arial" w:cs="Arial"/>
          <w:sz w:val="18"/>
          <w:szCs w:val="18"/>
        </w:rPr>
        <w:t xml:space="preserve">partir del </w:t>
      </w:r>
      <w:r w:rsidR="008A2942" w:rsidRPr="00444606">
        <w:rPr>
          <w:rFonts w:ascii="Arial" w:hAnsi="Arial" w:cs="Arial"/>
          <w:sz w:val="18"/>
          <w:szCs w:val="18"/>
        </w:rPr>
        <w:t>Indicador de N</w:t>
      </w:r>
      <w:r w:rsidR="004716EF" w:rsidRPr="00444606">
        <w:rPr>
          <w:rFonts w:ascii="Arial" w:hAnsi="Arial" w:cs="Arial"/>
          <w:sz w:val="18"/>
          <w:szCs w:val="18"/>
        </w:rPr>
        <w:t>egocio</w:t>
      </w:r>
      <w:r w:rsidR="008A2942" w:rsidRPr="00444606">
        <w:rPr>
          <w:rFonts w:ascii="Arial" w:hAnsi="Arial" w:cs="Arial"/>
          <w:sz w:val="18"/>
          <w:szCs w:val="18"/>
        </w:rPr>
        <w:t xml:space="preserve"> (IN)</w:t>
      </w:r>
      <w:r w:rsidR="004716EF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 xml:space="preserve">de </w:t>
      </w:r>
      <w:r w:rsidR="001528D7" w:rsidRPr="00444606">
        <w:rPr>
          <w:rFonts w:ascii="Arial" w:hAnsi="Arial" w:cs="Arial"/>
          <w:sz w:val="18"/>
          <w:szCs w:val="18"/>
        </w:rPr>
        <w:t>que</w:t>
      </w:r>
      <w:r w:rsidRPr="00444606">
        <w:rPr>
          <w:rFonts w:ascii="Arial" w:hAnsi="Arial" w:cs="Arial"/>
          <w:sz w:val="18"/>
          <w:szCs w:val="18"/>
        </w:rPr>
        <w:t xml:space="preserve"> trata el subnumeral </w:t>
      </w:r>
      <w:r w:rsidR="002C31C2" w:rsidRPr="00444606">
        <w:rPr>
          <w:rFonts w:ascii="Arial" w:hAnsi="Arial" w:cs="Arial"/>
          <w:sz w:val="18"/>
          <w:szCs w:val="18"/>
        </w:rPr>
        <w:t>1</w:t>
      </w:r>
      <w:r w:rsidRPr="00444606">
        <w:rPr>
          <w:rFonts w:ascii="Arial" w:hAnsi="Arial" w:cs="Arial"/>
          <w:sz w:val="18"/>
          <w:szCs w:val="18"/>
        </w:rPr>
        <w:t>.1. del presente Ane</w:t>
      </w:r>
      <w:r w:rsidR="00476269" w:rsidRPr="00444606">
        <w:rPr>
          <w:rFonts w:ascii="Arial" w:hAnsi="Arial" w:cs="Arial"/>
          <w:sz w:val="18"/>
          <w:szCs w:val="18"/>
        </w:rPr>
        <w:t>xo, cada entidad debe identificar</w:t>
      </w:r>
      <w:r w:rsidRPr="00444606">
        <w:rPr>
          <w:rFonts w:ascii="Arial" w:hAnsi="Arial" w:cs="Arial"/>
          <w:sz w:val="18"/>
          <w:szCs w:val="18"/>
        </w:rPr>
        <w:t xml:space="preserve"> el tramo en el que se ubica el </w:t>
      </w:r>
      <w:r w:rsidR="008A2942" w:rsidRPr="00444606">
        <w:rPr>
          <w:rFonts w:ascii="Arial" w:hAnsi="Arial" w:cs="Arial"/>
          <w:sz w:val="18"/>
          <w:szCs w:val="18"/>
        </w:rPr>
        <w:t>IN para determinar el Coeficiente de Riesgo O</w:t>
      </w:r>
      <w:r w:rsidRPr="00444606">
        <w:rPr>
          <w:rFonts w:ascii="Arial" w:hAnsi="Arial" w:cs="Arial"/>
          <w:sz w:val="18"/>
          <w:szCs w:val="18"/>
        </w:rPr>
        <w:t>peracional</w:t>
      </w:r>
      <w:r w:rsidR="008A2942" w:rsidRPr="00444606">
        <w:rPr>
          <w:rFonts w:ascii="Arial" w:hAnsi="Arial" w:cs="Arial"/>
          <w:sz w:val="18"/>
          <w:szCs w:val="18"/>
        </w:rPr>
        <w:t xml:space="preserve"> (CRO)</w:t>
      </w:r>
      <w:r w:rsidRPr="00444606">
        <w:rPr>
          <w:rFonts w:ascii="Arial" w:hAnsi="Arial" w:cs="Arial"/>
          <w:sz w:val="18"/>
          <w:szCs w:val="18"/>
        </w:rPr>
        <w:t xml:space="preserve"> correspondiente</w:t>
      </w:r>
      <w:r w:rsidR="008A2942" w:rsidRPr="00444606">
        <w:rPr>
          <w:rFonts w:ascii="Arial" w:hAnsi="Arial" w:cs="Arial"/>
          <w:sz w:val="18"/>
          <w:szCs w:val="18"/>
        </w:rPr>
        <w:t>,</w:t>
      </w:r>
      <w:r w:rsidRPr="00444606">
        <w:rPr>
          <w:rFonts w:ascii="Arial" w:hAnsi="Arial" w:cs="Arial"/>
          <w:sz w:val="18"/>
          <w:szCs w:val="18"/>
        </w:rPr>
        <w:t xml:space="preserve"> de acuerdo con la siguiente tabla: </w:t>
      </w:r>
    </w:p>
    <w:p w14:paraId="4B8990A5" w14:textId="77777777" w:rsidR="00C64EFC" w:rsidRPr="00444606" w:rsidRDefault="00C64EFC" w:rsidP="004716EF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59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696"/>
        <w:gridCol w:w="2320"/>
      </w:tblGrid>
      <w:tr w:rsidR="001020F3" w:rsidRPr="00444606" w14:paraId="5575D41C" w14:textId="77777777" w:rsidTr="008A2942">
        <w:trPr>
          <w:trHeight w:val="570"/>
          <w:jc w:val="center"/>
        </w:trPr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EF7A2" w14:textId="77777777" w:rsidR="001020F3" w:rsidRPr="00444606" w:rsidRDefault="001020F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Tramo del </w:t>
            </w:r>
            <w:r w:rsidRPr="0044460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IN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EFF0E" w14:textId="77777777" w:rsidR="001020F3" w:rsidRPr="00444606" w:rsidRDefault="001020F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Intervalo del </w:t>
            </w:r>
            <w:r w:rsidRPr="0044460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IN</w:t>
            </w:r>
            <w:r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en</w:t>
            </w:r>
            <w:r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billones de pesos</w:t>
            </w:r>
            <w:r w:rsidR="00C64EFC"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BAA01" w14:textId="49BA6B1A" w:rsidR="001020F3" w:rsidRPr="00444606" w:rsidRDefault="008A294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>Coeficiente de R</w:t>
            </w:r>
            <w:r w:rsidR="001020F3"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iesgo operacional </w:t>
            </w:r>
            <w:r w:rsidR="001020F3" w:rsidRPr="0044460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CRO</w:t>
            </w:r>
          </w:p>
        </w:tc>
      </w:tr>
      <w:tr w:rsidR="001020F3" w:rsidRPr="00444606" w14:paraId="3743D857" w14:textId="77777777" w:rsidTr="00612C60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17A8" w14:textId="77777777" w:rsidR="001020F3" w:rsidRPr="00444606" w:rsidRDefault="001020F3" w:rsidP="00612C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4792" w14:textId="3256EC35" w:rsidR="001020F3" w:rsidRPr="00444606" w:rsidRDefault="001020F3" w:rsidP="00612C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 xml:space="preserve">IN </w:t>
            </w:r>
            <w:r w:rsidR="00BE312C" w:rsidRPr="00444606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8714" w14:textId="77777777" w:rsidR="001020F3" w:rsidRPr="00444606" w:rsidRDefault="001020F3" w:rsidP="00612C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12%</w:t>
            </w:r>
          </w:p>
        </w:tc>
      </w:tr>
      <w:tr w:rsidR="001020F3" w:rsidRPr="00444606" w14:paraId="17C450E3" w14:textId="77777777" w:rsidTr="00612C60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F65C9" w14:textId="77777777" w:rsidR="001020F3" w:rsidRPr="00444606" w:rsidRDefault="001020F3" w:rsidP="00612C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0A43D" w14:textId="77777777" w:rsidR="001020F3" w:rsidRPr="00444606" w:rsidRDefault="001020F3" w:rsidP="00612C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IN &gt; 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9984B" w14:textId="77777777" w:rsidR="001020F3" w:rsidRPr="00444606" w:rsidRDefault="001020F3" w:rsidP="00612C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15%</w:t>
            </w:r>
          </w:p>
        </w:tc>
      </w:tr>
    </w:tbl>
    <w:p w14:paraId="615FCD8F" w14:textId="77777777" w:rsidR="00C64EFC" w:rsidRPr="00444606" w:rsidRDefault="00C64EFC" w:rsidP="00C64EFC">
      <w:pPr>
        <w:jc w:val="both"/>
        <w:rPr>
          <w:rFonts w:ascii="Arial" w:hAnsi="Arial" w:cs="Arial"/>
          <w:sz w:val="18"/>
          <w:szCs w:val="18"/>
        </w:rPr>
      </w:pPr>
    </w:p>
    <w:p w14:paraId="335DD086" w14:textId="4BB08239" w:rsidR="00C64EFC" w:rsidRPr="00444606" w:rsidRDefault="00C64EFC" w:rsidP="6445C3CB">
      <w:pPr>
        <w:ind w:left="1560" w:right="1418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* El valor en pesos indicado en esta tabla se </w:t>
      </w:r>
      <w:r w:rsidR="008A2942" w:rsidRPr="00444606">
        <w:rPr>
          <w:rFonts w:ascii="Arial" w:hAnsi="Arial" w:cs="Arial"/>
          <w:sz w:val="18"/>
          <w:szCs w:val="18"/>
        </w:rPr>
        <w:t xml:space="preserve">debe </w:t>
      </w:r>
      <w:r w:rsidRPr="00444606">
        <w:rPr>
          <w:rFonts w:ascii="Arial" w:hAnsi="Arial" w:cs="Arial"/>
          <w:sz w:val="18"/>
          <w:szCs w:val="18"/>
        </w:rPr>
        <w:t>ajusta</w:t>
      </w:r>
      <w:r w:rsidR="008A2942" w:rsidRPr="00444606">
        <w:rPr>
          <w:rFonts w:ascii="Arial" w:hAnsi="Arial" w:cs="Arial"/>
          <w:sz w:val="18"/>
          <w:szCs w:val="18"/>
        </w:rPr>
        <w:t>r</w:t>
      </w:r>
      <w:r w:rsidRPr="00444606">
        <w:rPr>
          <w:rFonts w:ascii="Arial" w:hAnsi="Arial" w:cs="Arial"/>
          <w:sz w:val="18"/>
          <w:szCs w:val="18"/>
        </w:rPr>
        <w:t xml:space="preserve"> anualmente de forma automática en el mismo sentido y porcen</w:t>
      </w:r>
      <w:r w:rsidR="008A2942" w:rsidRPr="00444606">
        <w:rPr>
          <w:rFonts w:ascii="Arial" w:hAnsi="Arial" w:cs="Arial"/>
          <w:sz w:val="18"/>
          <w:szCs w:val="18"/>
        </w:rPr>
        <w:t xml:space="preserve">taje en que varíe el </w:t>
      </w:r>
      <w:r w:rsidR="008A2942" w:rsidRPr="00444606">
        <w:rPr>
          <w:rFonts w:ascii="Arial" w:hAnsi="Arial" w:cs="Arial"/>
          <w:sz w:val="18"/>
          <w:szCs w:val="18"/>
        </w:rPr>
        <w:lastRenderedPageBreak/>
        <w:t>Índice de P</w:t>
      </w:r>
      <w:r w:rsidRPr="00444606">
        <w:rPr>
          <w:rFonts w:ascii="Arial" w:hAnsi="Arial" w:cs="Arial"/>
          <w:sz w:val="18"/>
          <w:szCs w:val="18"/>
        </w:rPr>
        <w:t xml:space="preserve">recios al Consumidor </w:t>
      </w:r>
      <w:r w:rsidR="008A2942" w:rsidRPr="00444606">
        <w:rPr>
          <w:rFonts w:ascii="Arial" w:hAnsi="Arial" w:cs="Arial"/>
          <w:sz w:val="18"/>
          <w:szCs w:val="18"/>
        </w:rPr>
        <w:t>(</w:t>
      </w:r>
      <w:r w:rsidRPr="00444606">
        <w:rPr>
          <w:rFonts w:ascii="Arial" w:hAnsi="Arial" w:cs="Arial"/>
          <w:sz w:val="18"/>
          <w:szCs w:val="18"/>
        </w:rPr>
        <w:t>IPC</w:t>
      </w:r>
      <w:r w:rsidR="008A2942" w:rsidRPr="00444606">
        <w:rPr>
          <w:rFonts w:ascii="Arial" w:hAnsi="Arial" w:cs="Arial"/>
          <w:sz w:val="18"/>
          <w:szCs w:val="18"/>
        </w:rPr>
        <w:t>)</w:t>
      </w:r>
      <w:r w:rsidRPr="00444606">
        <w:rPr>
          <w:rFonts w:ascii="Arial" w:hAnsi="Arial" w:cs="Arial"/>
          <w:sz w:val="18"/>
          <w:szCs w:val="18"/>
        </w:rPr>
        <w:t xml:space="preserve"> que suministre el DANE. </w:t>
      </w:r>
      <w:r w:rsidR="001026B7" w:rsidRPr="00444606">
        <w:rPr>
          <w:rFonts w:ascii="Arial" w:hAnsi="Arial" w:cs="Arial"/>
          <w:sz w:val="18"/>
          <w:szCs w:val="18"/>
        </w:rPr>
        <w:t xml:space="preserve">El valor resultante se aproximará al múltiplo en miles de millones de pesos inmediatamente superior. </w:t>
      </w:r>
      <w:r w:rsidR="4C6BFCD7" w:rsidRPr="00444606">
        <w:rPr>
          <w:rFonts w:ascii="Arial" w:hAnsi="Arial" w:cs="Arial"/>
          <w:sz w:val="18"/>
          <w:szCs w:val="18"/>
        </w:rPr>
        <w:t xml:space="preserve">El primer ajuste se </w:t>
      </w:r>
      <w:r w:rsidR="00D954FA" w:rsidRPr="00444606">
        <w:rPr>
          <w:rFonts w:ascii="Arial" w:hAnsi="Arial" w:cs="Arial"/>
          <w:sz w:val="18"/>
          <w:szCs w:val="18"/>
        </w:rPr>
        <w:t>realizará</w:t>
      </w:r>
      <w:r w:rsidR="4C6BFCD7" w:rsidRPr="00444606">
        <w:rPr>
          <w:rFonts w:ascii="Arial" w:hAnsi="Arial" w:cs="Arial"/>
          <w:sz w:val="18"/>
          <w:szCs w:val="18"/>
        </w:rPr>
        <w:t xml:space="preserve"> en enero de 2022.</w:t>
      </w:r>
    </w:p>
    <w:p w14:paraId="31157BE6" w14:textId="77777777" w:rsidR="001026B7" w:rsidRPr="00444606" w:rsidRDefault="001026B7" w:rsidP="008A2942">
      <w:pPr>
        <w:ind w:left="1560" w:right="902"/>
        <w:jc w:val="both"/>
        <w:rPr>
          <w:rFonts w:ascii="Arial" w:hAnsi="Arial" w:cs="Arial"/>
          <w:sz w:val="18"/>
          <w:szCs w:val="18"/>
        </w:rPr>
      </w:pPr>
    </w:p>
    <w:p w14:paraId="203EEA84" w14:textId="653B2ECB" w:rsidR="00C64EFC" w:rsidRPr="00444606" w:rsidRDefault="00C64EFC" w:rsidP="00C64EFC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Par</w:t>
      </w:r>
      <w:r w:rsidR="008A2942" w:rsidRPr="00444606">
        <w:rPr>
          <w:rFonts w:ascii="Arial" w:hAnsi="Arial" w:cs="Arial"/>
          <w:sz w:val="18"/>
          <w:szCs w:val="18"/>
        </w:rPr>
        <w:t>a aquellas entidades cuyo Indicador de N</w:t>
      </w:r>
      <w:r w:rsidRPr="00444606">
        <w:rPr>
          <w:rFonts w:ascii="Arial" w:hAnsi="Arial" w:cs="Arial"/>
          <w:sz w:val="18"/>
          <w:szCs w:val="18"/>
        </w:rPr>
        <w:t>egocio</w:t>
      </w:r>
      <w:r w:rsidR="008A2942" w:rsidRPr="00444606">
        <w:rPr>
          <w:rFonts w:ascii="Arial" w:hAnsi="Arial" w:cs="Arial"/>
          <w:sz w:val="18"/>
          <w:szCs w:val="18"/>
        </w:rPr>
        <w:t xml:space="preserve"> (IN)</w:t>
      </w:r>
      <w:r w:rsidRPr="00444606">
        <w:rPr>
          <w:rFonts w:ascii="Arial" w:hAnsi="Arial" w:cs="Arial"/>
          <w:sz w:val="18"/>
          <w:szCs w:val="18"/>
        </w:rPr>
        <w:t xml:space="preserve"> </w:t>
      </w:r>
      <w:r w:rsidR="002B0ED3" w:rsidRPr="00444606">
        <w:rPr>
          <w:rFonts w:ascii="Arial" w:hAnsi="Arial" w:cs="Arial"/>
          <w:sz w:val="18"/>
          <w:szCs w:val="18"/>
        </w:rPr>
        <w:t>se ubique en el tramo 2 de la tabla</w:t>
      </w:r>
      <w:r w:rsidR="001026B7" w:rsidRPr="00444606">
        <w:rPr>
          <w:rFonts w:ascii="Arial" w:hAnsi="Arial" w:cs="Arial"/>
          <w:sz w:val="18"/>
          <w:szCs w:val="18"/>
        </w:rPr>
        <w:t>,</w:t>
      </w:r>
      <w:r w:rsidR="002B0ED3" w:rsidRPr="00444606">
        <w:rPr>
          <w:rFonts w:ascii="Arial" w:hAnsi="Arial" w:cs="Arial"/>
          <w:sz w:val="18"/>
          <w:szCs w:val="18"/>
        </w:rPr>
        <w:t xml:space="preserve"> el</w:t>
      </w:r>
      <w:r w:rsidR="001026B7" w:rsidRPr="00444606">
        <w:rPr>
          <w:rFonts w:ascii="Arial" w:hAnsi="Arial" w:cs="Arial"/>
          <w:sz w:val="18"/>
          <w:szCs w:val="18"/>
        </w:rPr>
        <w:t xml:space="preserve"> coeficiente de riesgo operacional del 15%</w:t>
      </w:r>
      <w:r w:rsidR="001528D7" w:rsidRPr="00444606">
        <w:rPr>
          <w:rFonts w:ascii="Arial" w:hAnsi="Arial" w:cs="Arial"/>
          <w:sz w:val="18"/>
          <w:szCs w:val="18"/>
        </w:rPr>
        <w:t xml:space="preserve"> só</w:t>
      </w:r>
      <w:r w:rsidR="008A2942" w:rsidRPr="00444606">
        <w:rPr>
          <w:rFonts w:ascii="Arial" w:hAnsi="Arial" w:cs="Arial"/>
          <w:sz w:val="18"/>
          <w:szCs w:val="18"/>
        </w:rPr>
        <w:t>lo aplica para el monto del IN</w:t>
      </w:r>
      <w:r w:rsidR="001026B7" w:rsidRPr="00444606">
        <w:rPr>
          <w:rFonts w:ascii="Arial" w:hAnsi="Arial" w:cs="Arial"/>
          <w:sz w:val="18"/>
          <w:szCs w:val="18"/>
        </w:rPr>
        <w:t xml:space="preserve"> en exceso del valor correspondiente al tramo. </w:t>
      </w:r>
    </w:p>
    <w:p w14:paraId="28B79A21" w14:textId="77777777" w:rsidR="001026B7" w:rsidRPr="00444606" w:rsidRDefault="001026B7" w:rsidP="00C64EFC">
      <w:pPr>
        <w:jc w:val="both"/>
        <w:rPr>
          <w:rFonts w:ascii="Arial" w:hAnsi="Arial" w:cs="Arial"/>
          <w:sz w:val="18"/>
          <w:szCs w:val="18"/>
        </w:rPr>
      </w:pPr>
    </w:p>
    <w:p w14:paraId="26A0A51A" w14:textId="77777777" w:rsidR="00C64EFC" w:rsidRPr="00444606" w:rsidRDefault="001026B7" w:rsidP="00C64EFC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El resu</w:t>
      </w:r>
      <w:r w:rsidR="00476269" w:rsidRPr="00444606">
        <w:rPr>
          <w:rFonts w:ascii="Arial" w:hAnsi="Arial" w:cs="Arial"/>
          <w:sz w:val="18"/>
          <w:szCs w:val="18"/>
        </w:rPr>
        <w:t>ltado de aplicar el CRO al IN,</w:t>
      </w:r>
      <w:r w:rsidRPr="00444606">
        <w:rPr>
          <w:rFonts w:ascii="Arial" w:hAnsi="Arial" w:cs="Arial"/>
          <w:sz w:val="18"/>
          <w:szCs w:val="18"/>
        </w:rPr>
        <w:t xml:space="preserve"> obtiene el Componente de Indicador de Negocio (CIN), conforme a la siguiente ecuación: </w:t>
      </w:r>
    </w:p>
    <w:p w14:paraId="7BEAAA5D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</w:p>
    <w:p w14:paraId="74969C68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CIN</m:t>
          </m:r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=</m:t>
          </m:r>
          <m:r>
            <w:rPr>
              <w:rFonts w:ascii="Cambria Math" w:hAnsi="Cambria Math" w:cs="Arial"/>
              <w:sz w:val="18"/>
              <w:szCs w:val="18"/>
            </w:rPr>
            <m:t>IN*CRO</m:t>
          </m:r>
        </m:oMath>
      </m:oMathPara>
    </w:p>
    <w:p w14:paraId="50FB2DE7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</w:p>
    <w:p w14:paraId="4F1CD4F4" w14:textId="77777777" w:rsidR="006D4007" w:rsidRPr="00444606" w:rsidRDefault="00C64EFC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Donde:</w:t>
      </w:r>
    </w:p>
    <w:p w14:paraId="20226CE9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</w:p>
    <w:p w14:paraId="63B8D912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CIN</w:t>
      </w:r>
      <w:r w:rsidRPr="00444606">
        <w:rPr>
          <w:rFonts w:ascii="Arial" w:hAnsi="Arial" w:cs="Arial"/>
          <w:sz w:val="18"/>
          <w:szCs w:val="18"/>
        </w:rPr>
        <w:t>: Componente de indicador de negocio</w:t>
      </w:r>
    </w:p>
    <w:p w14:paraId="456C6ABE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IN</w:t>
      </w:r>
      <w:r w:rsidR="00C64EFC" w:rsidRPr="00444606">
        <w:rPr>
          <w:rFonts w:ascii="Arial" w:hAnsi="Arial" w:cs="Arial"/>
          <w:sz w:val="18"/>
          <w:szCs w:val="18"/>
        </w:rPr>
        <w:t>: Indicador de n</w:t>
      </w:r>
      <w:r w:rsidRPr="00444606">
        <w:rPr>
          <w:rFonts w:ascii="Arial" w:hAnsi="Arial" w:cs="Arial"/>
          <w:sz w:val="18"/>
          <w:szCs w:val="18"/>
        </w:rPr>
        <w:t>egocio</w:t>
      </w:r>
    </w:p>
    <w:p w14:paraId="6B47E7BE" w14:textId="0E6D4A8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CRO</w:t>
      </w:r>
      <w:r w:rsidRPr="00444606">
        <w:rPr>
          <w:rFonts w:ascii="Arial" w:hAnsi="Arial" w:cs="Arial"/>
          <w:sz w:val="18"/>
          <w:szCs w:val="18"/>
        </w:rPr>
        <w:t>: Coeficiente de riesgo operacional según el tramo.</w:t>
      </w:r>
    </w:p>
    <w:p w14:paraId="11D0E294" w14:textId="77777777" w:rsidR="0035539B" w:rsidRPr="00444606" w:rsidRDefault="0035539B" w:rsidP="004716EF">
      <w:pPr>
        <w:jc w:val="both"/>
        <w:rPr>
          <w:rFonts w:ascii="Arial" w:hAnsi="Arial" w:cs="Arial"/>
          <w:sz w:val="18"/>
          <w:szCs w:val="18"/>
        </w:rPr>
      </w:pPr>
    </w:p>
    <w:p w14:paraId="1A2CBEC2" w14:textId="1045E5D8" w:rsidR="001020F3" w:rsidRPr="00444606" w:rsidRDefault="001B355A" w:rsidP="001020F3">
      <w:pPr>
        <w:pStyle w:val="Prrafodelista"/>
        <w:numPr>
          <w:ilvl w:val="1"/>
          <w:numId w:val="1"/>
        </w:numPr>
        <w:tabs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  <w:r w:rsidRPr="00444606">
        <w:rPr>
          <w:rFonts w:ascii="Arial" w:hAnsi="Arial" w:cs="Arial"/>
          <w:b/>
          <w:sz w:val="18"/>
          <w:szCs w:val="18"/>
        </w:rPr>
        <w:t>Tratamiento del Indicador de Pérdida I</w:t>
      </w:r>
      <w:r w:rsidR="001020F3" w:rsidRPr="00444606">
        <w:rPr>
          <w:rFonts w:ascii="Arial" w:hAnsi="Arial" w:cs="Arial"/>
          <w:b/>
          <w:sz w:val="18"/>
          <w:szCs w:val="18"/>
        </w:rPr>
        <w:t xml:space="preserve">nterna </w:t>
      </w:r>
      <w:r w:rsidR="008A2942" w:rsidRPr="00444606">
        <w:rPr>
          <w:rFonts w:ascii="Arial" w:hAnsi="Arial" w:cs="Arial"/>
          <w:b/>
          <w:sz w:val="18"/>
          <w:szCs w:val="18"/>
        </w:rPr>
        <w:t>(</w:t>
      </w:r>
      <w:r w:rsidR="001020F3" w:rsidRPr="00444606">
        <w:rPr>
          <w:rFonts w:ascii="Arial" w:hAnsi="Arial" w:cs="Arial"/>
          <w:b/>
          <w:sz w:val="18"/>
          <w:szCs w:val="18"/>
        </w:rPr>
        <w:t>IPI</w:t>
      </w:r>
      <w:r w:rsidR="008A2942" w:rsidRPr="00444606">
        <w:rPr>
          <w:rFonts w:ascii="Arial" w:hAnsi="Arial" w:cs="Arial"/>
          <w:b/>
          <w:sz w:val="18"/>
          <w:szCs w:val="18"/>
        </w:rPr>
        <w:t>)</w:t>
      </w:r>
    </w:p>
    <w:p w14:paraId="419ED6E4" w14:textId="77777777" w:rsidR="001020F3" w:rsidRPr="00444606" w:rsidRDefault="001020F3" w:rsidP="004716EF">
      <w:pPr>
        <w:jc w:val="both"/>
        <w:rPr>
          <w:rFonts w:ascii="Arial" w:hAnsi="Arial" w:cs="Arial"/>
          <w:sz w:val="18"/>
          <w:szCs w:val="18"/>
        </w:rPr>
      </w:pPr>
    </w:p>
    <w:p w14:paraId="05A6CE6F" w14:textId="069FB711" w:rsidR="00F40904" w:rsidRPr="00444606" w:rsidRDefault="00D400E7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De conformidad con el numeral 3 del artículo 2.1.1.3.9 del Decreto 25</w:t>
      </w:r>
      <w:r w:rsidR="008A2942" w:rsidRPr="00444606">
        <w:rPr>
          <w:rFonts w:ascii="Arial" w:hAnsi="Arial" w:cs="Arial"/>
          <w:sz w:val="18"/>
          <w:szCs w:val="18"/>
        </w:rPr>
        <w:t>55 de 2010, para determinar el Indicador de Pérdida I</w:t>
      </w:r>
      <w:r w:rsidRPr="00444606">
        <w:rPr>
          <w:rFonts w:ascii="Arial" w:hAnsi="Arial" w:cs="Arial"/>
          <w:sz w:val="18"/>
          <w:szCs w:val="18"/>
        </w:rPr>
        <w:t>nterna</w:t>
      </w:r>
      <w:r w:rsidR="008A2942" w:rsidRPr="00444606">
        <w:rPr>
          <w:rFonts w:ascii="Arial" w:hAnsi="Arial" w:cs="Arial"/>
          <w:sz w:val="18"/>
          <w:szCs w:val="18"/>
        </w:rPr>
        <w:t xml:space="preserve"> (IPI)</w:t>
      </w:r>
      <w:r w:rsidR="006D4007" w:rsidRPr="00444606">
        <w:rPr>
          <w:rFonts w:ascii="Arial" w:hAnsi="Arial" w:cs="Arial"/>
          <w:sz w:val="18"/>
          <w:szCs w:val="18"/>
        </w:rPr>
        <w:t>, primero debe calcularse la relación que ex</w:t>
      </w:r>
      <w:r w:rsidR="00555FF1" w:rsidRPr="00444606">
        <w:rPr>
          <w:rFonts w:ascii="Arial" w:hAnsi="Arial" w:cs="Arial"/>
          <w:sz w:val="18"/>
          <w:szCs w:val="18"/>
        </w:rPr>
        <w:t>iste entre el promedio de las pé</w:t>
      </w:r>
      <w:r w:rsidR="006D4007" w:rsidRPr="00444606">
        <w:rPr>
          <w:rFonts w:ascii="Arial" w:hAnsi="Arial" w:cs="Arial"/>
          <w:sz w:val="18"/>
          <w:szCs w:val="18"/>
        </w:rPr>
        <w:t>rdidas</w:t>
      </w:r>
      <w:r w:rsidR="00DD1D55" w:rsidRPr="00444606">
        <w:rPr>
          <w:rFonts w:ascii="Arial" w:hAnsi="Arial" w:cs="Arial"/>
          <w:sz w:val="18"/>
          <w:szCs w:val="18"/>
        </w:rPr>
        <w:t xml:space="preserve"> internas</w:t>
      </w:r>
      <w:r w:rsidR="008A2942" w:rsidRPr="00444606">
        <w:rPr>
          <w:rFonts w:ascii="Arial" w:hAnsi="Arial" w:cs="Arial"/>
          <w:sz w:val="18"/>
          <w:szCs w:val="18"/>
        </w:rPr>
        <w:t xml:space="preserve"> y el Componente del Indicador de N</w:t>
      </w:r>
      <w:r w:rsidR="006D4007" w:rsidRPr="00444606">
        <w:rPr>
          <w:rFonts w:ascii="Arial" w:hAnsi="Arial" w:cs="Arial"/>
          <w:sz w:val="18"/>
          <w:szCs w:val="18"/>
        </w:rPr>
        <w:t>egocio</w:t>
      </w:r>
      <w:r w:rsidR="008A2942" w:rsidRPr="00444606">
        <w:rPr>
          <w:rFonts w:ascii="Arial" w:hAnsi="Arial" w:cs="Arial"/>
          <w:sz w:val="18"/>
          <w:szCs w:val="18"/>
        </w:rPr>
        <w:t xml:space="preserve"> (CIN)</w:t>
      </w:r>
      <w:r w:rsidR="001528D7" w:rsidRPr="00444606">
        <w:rPr>
          <w:rFonts w:ascii="Arial" w:hAnsi="Arial" w:cs="Arial"/>
          <w:sz w:val="18"/>
          <w:szCs w:val="18"/>
        </w:rPr>
        <w:t xml:space="preserve"> de que</w:t>
      </w:r>
      <w:r w:rsidRPr="00444606">
        <w:rPr>
          <w:rFonts w:ascii="Arial" w:hAnsi="Arial" w:cs="Arial"/>
          <w:sz w:val="18"/>
          <w:szCs w:val="18"/>
        </w:rPr>
        <w:t xml:space="preserve"> tra</w:t>
      </w:r>
      <w:r w:rsidR="008A2942" w:rsidRPr="00444606">
        <w:rPr>
          <w:rFonts w:ascii="Arial" w:hAnsi="Arial" w:cs="Arial"/>
          <w:sz w:val="18"/>
          <w:szCs w:val="18"/>
        </w:rPr>
        <w:t xml:space="preserve">ta el </w:t>
      </w:r>
      <w:r w:rsidR="006170D4" w:rsidRPr="00444606">
        <w:rPr>
          <w:rFonts w:ascii="Arial" w:hAnsi="Arial" w:cs="Arial"/>
          <w:sz w:val="18"/>
          <w:szCs w:val="18"/>
        </w:rPr>
        <w:t>subnumeral anterior</w:t>
      </w:r>
      <w:r w:rsidRPr="00444606">
        <w:rPr>
          <w:rFonts w:ascii="Arial" w:hAnsi="Arial" w:cs="Arial"/>
          <w:sz w:val="18"/>
          <w:szCs w:val="18"/>
        </w:rPr>
        <w:t>, de acuerdo con la siguiente ecuación:</w:t>
      </w:r>
    </w:p>
    <w:p w14:paraId="6B4A377D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</w:p>
    <w:p w14:paraId="193F94F9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</w:p>
    <w:p w14:paraId="3742D0ED" w14:textId="77777777" w:rsidR="006D4007" w:rsidRPr="00444606" w:rsidRDefault="006D4007" w:rsidP="004716EF">
      <w:pPr>
        <w:jc w:val="both"/>
        <w:rPr>
          <w:rFonts w:ascii="Arial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C</m:t>
          </m:r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CP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CIN</m:t>
              </m:r>
            </m:den>
          </m:f>
        </m:oMath>
      </m:oMathPara>
    </w:p>
    <w:p w14:paraId="1955DDFB" w14:textId="77777777" w:rsidR="00DD1D55" w:rsidRPr="00444606" w:rsidRDefault="00DD1D55" w:rsidP="004716EF">
      <w:pPr>
        <w:jc w:val="both"/>
        <w:rPr>
          <w:rFonts w:ascii="Arial" w:hAnsi="Arial" w:cs="Arial"/>
          <w:sz w:val="18"/>
          <w:szCs w:val="18"/>
        </w:rPr>
      </w:pPr>
    </w:p>
    <w:p w14:paraId="0E319D69" w14:textId="77777777" w:rsidR="00DD1D55" w:rsidRPr="00444606" w:rsidRDefault="00DD1D55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Donde, </w:t>
      </w:r>
    </w:p>
    <w:p w14:paraId="2070739A" w14:textId="77777777" w:rsidR="00DD1D55" w:rsidRPr="00444606" w:rsidRDefault="00DD1D55" w:rsidP="004716EF">
      <w:pPr>
        <w:jc w:val="both"/>
        <w:rPr>
          <w:rFonts w:ascii="Arial" w:hAnsi="Arial" w:cs="Arial"/>
          <w:sz w:val="18"/>
          <w:szCs w:val="18"/>
        </w:rPr>
      </w:pPr>
    </w:p>
    <w:p w14:paraId="150FA61A" w14:textId="77777777" w:rsidR="00DD1D55" w:rsidRPr="00444606" w:rsidRDefault="00DD1D55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C:</w:t>
      </w:r>
      <w:r w:rsidRPr="00444606">
        <w:rPr>
          <w:rFonts w:ascii="Arial" w:hAnsi="Arial" w:cs="Arial"/>
          <w:sz w:val="18"/>
          <w:szCs w:val="18"/>
        </w:rPr>
        <w:t xml:space="preserve"> Coeficiente</w:t>
      </w:r>
    </w:p>
    <w:p w14:paraId="1463EE0B" w14:textId="77777777" w:rsidR="00DD1D55" w:rsidRPr="00444606" w:rsidRDefault="00DD1D55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CP:</w:t>
      </w:r>
      <w:r w:rsidRPr="00444606">
        <w:rPr>
          <w:rFonts w:ascii="Arial" w:hAnsi="Arial" w:cs="Arial"/>
          <w:sz w:val="18"/>
          <w:szCs w:val="18"/>
        </w:rPr>
        <w:t xml:space="preserve"> Componente de perdida </w:t>
      </w:r>
    </w:p>
    <w:p w14:paraId="58AFD11E" w14:textId="77777777" w:rsidR="00DD1D55" w:rsidRPr="00444606" w:rsidRDefault="00DD1D55" w:rsidP="004716EF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i/>
          <w:sz w:val="18"/>
          <w:szCs w:val="18"/>
        </w:rPr>
        <w:t>CIN:</w:t>
      </w:r>
      <w:r w:rsidRPr="00444606">
        <w:rPr>
          <w:rFonts w:ascii="Arial" w:hAnsi="Arial" w:cs="Arial"/>
          <w:sz w:val="18"/>
          <w:szCs w:val="18"/>
        </w:rPr>
        <w:t xml:space="preserve"> Componente de indicador de negocio</w:t>
      </w:r>
    </w:p>
    <w:p w14:paraId="6BF663C8" w14:textId="77777777" w:rsidR="00DD1D55" w:rsidRPr="00444606" w:rsidRDefault="00DD1D55" w:rsidP="00DD1D55">
      <w:pPr>
        <w:rPr>
          <w:rFonts w:ascii="Arial" w:hAnsi="Arial" w:cs="Arial"/>
          <w:sz w:val="18"/>
          <w:szCs w:val="18"/>
        </w:rPr>
      </w:pPr>
    </w:p>
    <w:p w14:paraId="665EE178" w14:textId="28F5242F" w:rsidR="00CF1031" w:rsidRPr="00444606" w:rsidRDefault="00CF1031" w:rsidP="00DD1D55">
      <w:pPr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El</w:t>
      </w:r>
      <w:r w:rsidR="008A2942" w:rsidRPr="00444606">
        <w:rPr>
          <w:rFonts w:ascii="Arial" w:hAnsi="Arial" w:cs="Arial"/>
          <w:sz w:val="18"/>
          <w:szCs w:val="18"/>
        </w:rPr>
        <w:t xml:space="preserve"> Indicador de Pérdida I</w:t>
      </w:r>
      <w:r w:rsidRPr="00444606">
        <w:rPr>
          <w:rFonts w:ascii="Arial" w:hAnsi="Arial" w:cs="Arial"/>
          <w:sz w:val="18"/>
          <w:szCs w:val="18"/>
        </w:rPr>
        <w:t>nterna</w:t>
      </w:r>
      <w:r w:rsidR="001026B7" w:rsidRPr="00444606">
        <w:rPr>
          <w:rFonts w:ascii="Arial" w:hAnsi="Arial" w:cs="Arial"/>
          <w:sz w:val="18"/>
          <w:szCs w:val="18"/>
        </w:rPr>
        <w:t xml:space="preserve"> (IPI)</w:t>
      </w:r>
      <w:r w:rsidRPr="00444606">
        <w:rPr>
          <w:rFonts w:ascii="Arial" w:hAnsi="Arial" w:cs="Arial"/>
          <w:sz w:val="18"/>
          <w:szCs w:val="18"/>
        </w:rPr>
        <w:t xml:space="preserve"> se asigna según la siguiente tabla:</w:t>
      </w:r>
    </w:p>
    <w:p w14:paraId="59CBC178" w14:textId="77777777" w:rsidR="00CF1031" w:rsidRPr="00444606" w:rsidRDefault="00CF1031" w:rsidP="00DD1D55">
      <w:pPr>
        <w:rPr>
          <w:rFonts w:ascii="Arial" w:hAnsi="Arial" w:cs="Arial"/>
          <w:sz w:val="18"/>
          <w:szCs w:val="18"/>
        </w:rPr>
      </w:pPr>
    </w:p>
    <w:tbl>
      <w:tblPr>
        <w:tblW w:w="40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320"/>
      </w:tblGrid>
      <w:tr w:rsidR="00CF1031" w:rsidRPr="00444606" w14:paraId="78DC3D01" w14:textId="77777777" w:rsidTr="6445C3CB">
        <w:trPr>
          <w:trHeight w:val="570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A0DDA" w14:textId="77777777" w:rsidR="00CF1031" w:rsidRPr="00444606" w:rsidRDefault="00CF103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CO" w:eastAsia="es-CO"/>
              </w:rPr>
            </w:pPr>
            <w:r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Cociente </w:t>
            </w:r>
            <w:r w:rsidRPr="0044460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(C)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26EA9" w14:textId="422AB8E8" w:rsidR="00CF1031" w:rsidRPr="00444606" w:rsidRDefault="001528D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>Indicador de pé</w:t>
            </w:r>
            <w:r w:rsidR="00CF1031" w:rsidRPr="0044460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rdida interna </w:t>
            </w:r>
            <w:r w:rsidR="00CF1031" w:rsidRPr="0044460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IPI</w:t>
            </w:r>
          </w:p>
        </w:tc>
      </w:tr>
      <w:tr w:rsidR="00CF1031" w:rsidRPr="00444606" w14:paraId="6549DB48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5A0E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0 ≤  C  ≤  0.2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AD51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0.7</w:t>
            </w:r>
          </w:p>
        </w:tc>
      </w:tr>
      <w:tr w:rsidR="00CF1031" w:rsidRPr="00444606" w14:paraId="27088884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57B5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0.2   &lt;  C  ≤  0.4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B2F0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0.8</w:t>
            </w:r>
          </w:p>
        </w:tc>
      </w:tr>
      <w:tr w:rsidR="00CF1031" w:rsidRPr="00444606" w14:paraId="3428E920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F604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0.4   &lt;  C  ≤  0.7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A490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0.9</w:t>
            </w:r>
          </w:p>
        </w:tc>
      </w:tr>
      <w:tr w:rsidR="00CF1031" w:rsidRPr="00444606" w14:paraId="313D1AA4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4F09" w14:textId="4D809DCC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 w:themeColor="text1"/>
                <w:sz w:val="18"/>
                <w:szCs w:val="18"/>
              </w:rPr>
              <w:t>0.7   &lt;  C  ≤  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E104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F1031" w:rsidRPr="00444606" w14:paraId="32C43A77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C44C" w14:textId="5A3273D3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 w:themeColor="text1"/>
                <w:sz w:val="18"/>
                <w:szCs w:val="18"/>
              </w:rPr>
              <w:t>1  &lt;  C  ≤  1.4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4C5C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</w:tr>
      <w:tr w:rsidR="00CF1031" w:rsidRPr="00444606" w14:paraId="1A93C2EF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C74A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1.4   &lt;  C  ≤  1.8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367B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1.2</w:t>
            </w:r>
          </w:p>
        </w:tc>
      </w:tr>
      <w:tr w:rsidR="00CF1031" w:rsidRPr="00444606" w14:paraId="11029BE8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11C8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1.8   &lt;  C  ≤  2.3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0005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1.3</w:t>
            </w:r>
          </w:p>
        </w:tc>
      </w:tr>
      <w:tr w:rsidR="00CF1031" w:rsidRPr="00444606" w14:paraId="1BAEE1F8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CFD3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2.3   &lt;  C  ≤  2.9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A27F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F1031" w:rsidRPr="00444606" w14:paraId="6F2FE210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9613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2.9   &lt;  C  ≤  3.6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2C79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  <w:tr w:rsidR="00CF1031" w:rsidRPr="00444606" w14:paraId="0C6597C9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844A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3.6   &lt;  C  ≤  4.4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C3C0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</w:tr>
      <w:tr w:rsidR="00CF1031" w:rsidRPr="00444606" w14:paraId="3CDF2228" w14:textId="77777777" w:rsidTr="6445C3CB">
        <w:trPr>
          <w:trHeight w:val="300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CB763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4.4 &lt; 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421BD" w14:textId="77777777" w:rsidR="00CF1031" w:rsidRPr="00444606" w:rsidRDefault="00CF10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4606">
              <w:rPr>
                <w:rFonts w:ascii="Arial" w:hAnsi="Arial" w:cs="Arial"/>
                <w:color w:val="000000"/>
                <w:sz w:val="18"/>
                <w:szCs w:val="18"/>
              </w:rPr>
              <w:t>1.7</w:t>
            </w:r>
          </w:p>
        </w:tc>
      </w:tr>
    </w:tbl>
    <w:p w14:paraId="572E31D8" w14:textId="77777777" w:rsidR="00CF1031" w:rsidRPr="00444606" w:rsidRDefault="00CF1031" w:rsidP="00DD1D55">
      <w:pPr>
        <w:rPr>
          <w:rFonts w:ascii="Arial" w:hAnsi="Arial" w:cs="Arial"/>
          <w:sz w:val="18"/>
          <w:szCs w:val="18"/>
        </w:rPr>
      </w:pPr>
    </w:p>
    <w:p w14:paraId="223B1917" w14:textId="77777777" w:rsidR="00AC33AF" w:rsidRPr="00444606" w:rsidRDefault="00AC33AF" w:rsidP="0035539B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03E573A" w14:textId="5AB1F0C2" w:rsidR="00DD1D55" w:rsidRPr="00444606" w:rsidRDefault="001B355A" w:rsidP="00DD1D55">
      <w:pPr>
        <w:pStyle w:val="Prrafodelista"/>
        <w:numPr>
          <w:ilvl w:val="2"/>
          <w:numId w:val="1"/>
        </w:numPr>
        <w:tabs>
          <w:tab w:val="left" w:pos="540"/>
        </w:tabs>
        <w:jc w:val="both"/>
        <w:rPr>
          <w:rFonts w:ascii="Arial" w:hAnsi="Arial" w:cs="Arial"/>
          <w:bCs/>
          <w:sz w:val="18"/>
          <w:szCs w:val="18"/>
        </w:rPr>
      </w:pPr>
      <w:r w:rsidRPr="00444606">
        <w:rPr>
          <w:rFonts w:ascii="Arial" w:hAnsi="Arial" w:cs="Arial"/>
          <w:bCs/>
          <w:sz w:val="18"/>
          <w:szCs w:val="18"/>
        </w:rPr>
        <w:t>Componente de Pé</w:t>
      </w:r>
      <w:r w:rsidR="00DD1D55" w:rsidRPr="00444606">
        <w:rPr>
          <w:rFonts w:ascii="Arial" w:hAnsi="Arial" w:cs="Arial"/>
          <w:bCs/>
          <w:sz w:val="18"/>
          <w:szCs w:val="18"/>
        </w:rPr>
        <w:t>rdida</w:t>
      </w:r>
      <w:r w:rsidR="008A2942" w:rsidRPr="00444606">
        <w:rPr>
          <w:rFonts w:ascii="Arial" w:hAnsi="Arial" w:cs="Arial"/>
          <w:bCs/>
          <w:sz w:val="18"/>
          <w:szCs w:val="18"/>
        </w:rPr>
        <w:t xml:space="preserve"> (CP)</w:t>
      </w:r>
    </w:p>
    <w:p w14:paraId="02A53E0A" w14:textId="77777777" w:rsidR="00DD1D55" w:rsidRPr="00444606" w:rsidRDefault="00DD1D55" w:rsidP="00DD1D55">
      <w:pPr>
        <w:rPr>
          <w:rFonts w:ascii="Arial" w:hAnsi="Arial" w:cs="Arial"/>
          <w:sz w:val="18"/>
          <w:szCs w:val="18"/>
        </w:rPr>
      </w:pPr>
    </w:p>
    <w:p w14:paraId="29DE9AD0" w14:textId="258069DA" w:rsidR="000B537E" w:rsidRPr="00444606" w:rsidRDefault="008A2942" w:rsidP="003D2249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El Componente de Pé</w:t>
      </w:r>
      <w:r w:rsidR="00AC33AF" w:rsidRPr="00444606">
        <w:rPr>
          <w:rFonts w:ascii="Arial" w:hAnsi="Arial" w:cs="Arial"/>
          <w:sz w:val="18"/>
          <w:szCs w:val="18"/>
        </w:rPr>
        <w:t xml:space="preserve">rdida </w:t>
      </w:r>
      <w:r w:rsidRPr="00444606">
        <w:rPr>
          <w:rFonts w:ascii="Arial" w:hAnsi="Arial" w:cs="Arial"/>
          <w:sz w:val="18"/>
          <w:szCs w:val="18"/>
        </w:rPr>
        <w:t xml:space="preserve">(CP) </w:t>
      </w:r>
      <w:r w:rsidR="00AC33AF" w:rsidRPr="00444606">
        <w:rPr>
          <w:rFonts w:ascii="Arial" w:hAnsi="Arial" w:cs="Arial"/>
          <w:sz w:val="18"/>
          <w:szCs w:val="18"/>
        </w:rPr>
        <w:t xml:space="preserve">es igual a 15 veces el promedio de las pérdidas </w:t>
      </w:r>
      <w:r w:rsidR="41099FE2" w:rsidRPr="00444606">
        <w:rPr>
          <w:rFonts w:ascii="Arial" w:hAnsi="Arial" w:cs="Arial"/>
          <w:sz w:val="18"/>
          <w:szCs w:val="18"/>
        </w:rPr>
        <w:t xml:space="preserve">netas </w:t>
      </w:r>
      <w:r w:rsidR="00AC33AF" w:rsidRPr="00444606">
        <w:rPr>
          <w:rFonts w:ascii="Arial" w:hAnsi="Arial" w:cs="Arial"/>
          <w:sz w:val="18"/>
          <w:szCs w:val="18"/>
        </w:rPr>
        <w:t>anuales históricas por riesgo operacional</w:t>
      </w:r>
      <w:r w:rsidR="00E71A87" w:rsidRPr="00444606">
        <w:rPr>
          <w:rFonts w:ascii="Arial" w:hAnsi="Arial" w:cs="Arial"/>
          <w:sz w:val="18"/>
          <w:szCs w:val="18"/>
        </w:rPr>
        <w:t xml:space="preserve"> consignadas en el registro de eventos</w:t>
      </w:r>
      <w:r w:rsidR="00AC33AF" w:rsidRPr="00444606">
        <w:rPr>
          <w:rFonts w:ascii="Arial" w:hAnsi="Arial" w:cs="Arial"/>
          <w:sz w:val="18"/>
          <w:szCs w:val="18"/>
        </w:rPr>
        <w:t>.</w:t>
      </w:r>
      <w:r w:rsidR="00F70DB2" w:rsidRPr="00444606">
        <w:rPr>
          <w:rFonts w:ascii="Arial" w:hAnsi="Arial" w:cs="Arial"/>
          <w:sz w:val="18"/>
          <w:szCs w:val="18"/>
        </w:rPr>
        <w:t xml:space="preserve"> </w:t>
      </w:r>
      <w:r w:rsidR="003D2249" w:rsidRPr="00444606">
        <w:rPr>
          <w:rFonts w:ascii="Arial" w:hAnsi="Arial" w:cs="Arial"/>
          <w:sz w:val="18"/>
          <w:szCs w:val="18"/>
        </w:rPr>
        <w:t>Para estos efectos se deben tener en cuen</w:t>
      </w:r>
      <w:r w:rsidR="000B537E" w:rsidRPr="00444606">
        <w:rPr>
          <w:rFonts w:ascii="Arial" w:hAnsi="Arial" w:cs="Arial"/>
          <w:sz w:val="18"/>
          <w:szCs w:val="18"/>
        </w:rPr>
        <w:t>ta los siguientes registros:</w:t>
      </w:r>
    </w:p>
    <w:p w14:paraId="1F094AD6" w14:textId="77777777" w:rsidR="000B537E" w:rsidRPr="00444606" w:rsidRDefault="000B537E" w:rsidP="003D2249">
      <w:pPr>
        <w:jc w:val="both"/>
        <w:rPr>
          <w:rFonts w:ascii="Arial" w:hAnsi="Arial" w:cs="Arial"/>
          <w:sz w:val="18"/>
          <w:szCs w:val="18"/>
        </w:rPr>
      </w:pPr>
    </w:p>
    <w:p w14:paraId="3BB9B015" w14:textId="7C4AE96D" w:rsidR="003D2249" w:rsidRPr="00444606" w:rsidRDefault="000B537E" w:rsidP="005C7416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a. </w:t>
      </w:r>
      <w:r w:rsidR="005C7416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 xml:space="preserve">Los registros de eventos de </w:t>
      </w:r>
      <w:r w:rsidR="003D2249" w:rsidRPr="00444606">
        <w:rPr>
          <w:rFonts w:ascii="Arial" w:hAnsi="Arial" w:cs="Arial"/>
          <w:sz w:val="18"/>
          <w:szCs w:val="18"/>
        </w:rPr>
        <w:t xml:space="preserve">riesgo operacional cuya pérdida </w:t>
      </w:r>
      <w:r w:rsidR="007C6518" w:rsidRPr="00444606">
        <w:rPr>
          <w:rFonts w:ascii="Arial" w:hAnsi="Arial" w:cs="Arial"/>
          <w:sz w:val="18"/>
          <w:szCs w:val="18"/>
        </w:rPr>
        <w:t>neta</w:t>
      </w:r>
      <w:r w:rsidR="008D4759" w:rsidRPr="00444606">
        <w:rPr>
          <w:rFonts w:ascii="Arial" w:hAnsi="Arial" w:cs="Arial"/>
          <w:sz w:val="18"/>
          <w:szCs w:val="18"/>
        </w:rPr>
        <w:t xml:space="preserve"> </w:t>
      </w:r>
      <w:r w:rsidR="003D2249" w:rsidRPr="00444606">
        <w:rPr>
          <w:rFonts w:ascii="Arial" w:hAnsi="Arial" w:cs="Arial"/>
          <w:sz w:val="18"/>
          <w:szCs w:val="18"/>
        </w:rPr>
        <w:t>supere el umbral de</w:t>
      </w:r>
      <w:r w:rsidR="00B37DED" w:rsidRPr="00444606">
        <w:rPr>
          <w:rFonts w:ascii="Arial" w:hAnsi="Arial" w:cs="Arial"/>
          <w:sz w:val="18"/>
          <w:szCs w:val="18"/>
        </w:rPr>
        <w:t xml:space="preserve"> veinte millones de pesos</w:t>
      </w:r>
      <w:r w:rsidR="003D2249" w:rsidRPr="00444606">
        <w:rPr>
          <w:rFonts w:ascii="Arial" w:hAnsi="Arial" w:cs="Arial"/>
          <w:sz w:val="18"/>
          <w:szCs w:val="18"/>
        </w:rPr>
        <w:t xml:space="preserve"> ($20.000.000). Esta cifra se ajustará anualmente a partir del año 202</w:t>
      </w:r>
      <w:r w:rsidR="00CF384F" w:rsidRPr="00444606">
        <w:rPr>
          <w:rFonts w:ascii="Arial" w:hAnsi="Arial" w:cs="Arial"/>
          <w:sz w:val="18"/>
          <w:szCs w:val="18"/>
        </w:rPr>
        <w:t>2</w:t>
      </w:r>
      <w:r w:rsidR="003D2249" w:rsidRPr="00444606">
        <w:rPr>
          <w:rFonts w:ascii="Arial" w:hAnsi="Arial" w:cs="Arial"/>
          <w:sz w:val="18"/>
          <w:szCs w:val="18"/>
        </w:rPr>
        <w:t xml:space="preserve"> conforme al Índice de Precios al Consumidor (IPC) que suministre el DANE para el año inmediatamente anterior.</w:t>
      </w:r>
    </w:p>
    <w:p w14:paraId="55C07FA8" w14:textId="77777777" w:rsidR="000B537E" w:rsidRPr="00444606" w:rsidRDefault="000B537E" w:rsidP="005C7416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5D13A57C" w14:textId="60E9F16F" w:rsidR="000B537E" w:rsidRPr="00444606" w:rsidRDefault="000B537E" w:rsidP="005C7416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 xml:space="preserve">b. </w:t>
      </w:r>
      <w:r w:rsidR="005C7416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 xml:space="preserve">Los registros de eventos de riesgo operacional que correspondan a una misma categoría dentro del Nivel 2, conforme a la clasificación de que trata el </w:t>
      </w:r>
      <w:r w:rsidR="00555FF1" w:rsidRPr="00444606">
        <w:rPr>
          <w:rFonts w:ascii="Arial" w:hAnsi="Arial" w:cs="Arial"/>
          <w:sz w:val="18"/>
          <w:szCs w:val="18"/>
        </w:rPr>
        <w:t>sub</w:t>
      </w:r>
      <w:r w:rsidRPr="00444606">
        <w:rPr>
          <w:rFonts w:ascii="Arial" w:hAnsi="Arial" w:cs="Arial"/>
          <w:sz w:val="18"/>
          <w:szCs w:val="18"/>
        </w:rPr>
        <w:t xml:space="preserve">numeral </w:t>
      </w:r>
      <w:r w:rsidR="00AA27C3" w:rsidRPr="00444606">
        <w:rPr>
          <w:rFonts w:ascii="Arial" w:hAnsi="Arial" w:cs="Arial"/>
          <w:sz w:val="18"/>
          <w:szCs w:val="18"/>
        </w:rPr>
        <w:t>4</w:t>
      </w:r>
      <w:r w:rsidRPr="00444606">
        <w:rPr>
          <w:rFonts w:ascii="Arial" w:hAnsi="Arial" w:cs="Arial"/>
          <w:sz w:val="18"/>
          <w:szCs w:val="18"/>
        </w:rPr>
        <w:t>.2.</w:t>
      </w:r>
      <w:r w:rsidR="00AA27C3" w:rsidRPr="00444606">
        <w:rPr>
          <w:rFonts w:ascii="Arial" w:hAnsi="Arial" w:cs="Arial"/>
          <w:sz w:val="18"/>
          <w:szCs w:val="18"/>
        </w:rPr>
        <w:t>2</w:t>
      </w:r>
      <w:r w:rsidRPr="00444606">
        <w:rPr>
          <w:rFonts w:ascii="Arial" w:hAnsi="Arial" w:cs="Arial"/>
          <w:sz w:val="18"/>
          <w:szCs w:val="18"/>
        </w:rPr>
        <w:t>.</w:t>
      </w:r>
      <w:r w:rsidR="00E30F9A" w:rsidRPr="00444606">
        <w:rPr>
          <w:rFonts w:ascii="Arial" w:hAnsi="Arial" w:cs="Arial"/>
          <w:sz w:val="18"/>
          <w:szCs w:val="18"/>
        </w:rPr>
        <w:t>2.</w:t>
      </w:r>
      <w:r w:rsidRPr="00444606">
        <w:rPr>
          <w:rFonts w:ascii="Arial" w:hAnsi="Arial" w:cs="Arial"/>
          <w:sz w:val="18"/>
          <w:szCs w:val="18"/>
        </w:rPr>
        <w:t>4. de</w:t>
      </w:r>
      <w:r w:rsidR="00117677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>l</w:t>
      </w:r>
      <w:r w:rsidR="00117677" w:rsidRPr="00444606">
        <w:rPr>
          <w:rFonts w:ascii="Arial" w:hAnsi="Arial" w:cs="Arial"/>
          <w:sz w:val="18"/>
          <w:szCs w:val="18"/>
        </w:rPr>
        <w:t>a</w:t>
      </w:r>
      <w:r w:rsidRPr="00444606">
        <w:rPr>
          <w:rFonts w:ascii="Arial" w:hAnsi="Arial" w:cs="Arial"/>
          <w:sz w:val="18"/>
          <w:szCs w:val="18"/>
        </w:rPr>
        <w:t xml:space="preserve"> </w:t>
      </w:r>
      <w:r w:rsidR="00117677" w:rsidRPr="00444606">
        <w:rPr>
          <w:rFonts w:ascii="Arial" w:hAnsi="Arial" w:cs="Arial"/>
          <w:sz w:val="18"/>
          <w:szCs w:val="18"/>
        </w:rPr>
        <w:t xml:space="preserve">Parte III del </w:t>
      </w:r>
      <w:r w:rsidR="00E30F9A" w:rsidRPr="00444606">
        <w:rPr>
          <w:rFonts w:ascii="Arial" w:hAnsi="Arial" w:cs="Arial"/>
          <w:sz w:val="18"/>
          <w:szCs w:val="18"/>
        </w:rPr>
        <w:t>Capítulo</w:t>
      </w:r>
      <w:r w:rsidRPr="00444606">
        <w:rPr>
          <w:rFonts w:ascii="Arial" w:hAnsi="Arial" w:cs="Arial"/>
          <w:sz w:val="18"/>
          <w:szCs w:val="18"/>
        </w:rPr>
        <w:t xml:space="preserve"> XX</w:t>
      </w:r>
      <w:r w:rsidR="00FD23C1" w:rsidRPr="00444606">
        <w:rPr>
          <w:rFonts w:ascii="Arial" w:hAnsi="Arial" w:cs="Arial"/>
          <w:sz w:val="18"/>
          <w:szCs w:val="18"/>
        </w:rPr>
        <w:t>X</w:t>
      </w:r>
      <w:r w:rsidR="006170D4" w:rsidRPr="00444606">
        <w:rPr>
          <w:rFonts w:ascii="Arial" w:hAnsi="Arial" w:cs="Arial"/>
          <w:sz w:val="18"/>
          <w:szCs w:val="18"/>
        </w:rPr>
        <w:t>I</w:t>
      </w:r>
      <w:r w:rsidRPr="00444606">
        <w:rPr>
          <w:rFonts w:ascii="Arial" w:hAnsi="Arial" w:cs="Arial"/>
          <w:sz w:val="18"/>
          <w:szCs w:val="18"/>
        </w:rPr>
        <w:t xml:space="preserve"> de la CBCF, y que </w:t>
      </w:r>
      <w:r w:rsidR="00B37DED" w:rsidRPr="00444606">
        <w:rPr>
          <w:rFonts w:ascii="Arial" w:hAnsi="Arial" w:cs="Arial"/>
          <w:sz w:val="18"/>
          <w:szCs w:val="18"/>
        </w:rPr>
        <w:t xml:space="preserve">en el </w:t>
      </w:r>
      <w:r w:rsidRPr="00444606">
        <w:rPr>
          <w:rFonts w:ascii="Arial" w:hAnsi="Arial" w:cs="Arial"/>
          <w:sz w:val="18"/>
          <w:szCs w:val="18"/>
        </w:rPr>
        <w:t>año la sumatoria de las pérdidas brutas de la categoría supere el umbral de</w:t>
      </w:r>
      <w:r w:rsidR="00B37DED" w:rsidRPr="00444606">
        <w:rPr>
          <w:rFonts w:ascii="Arial" w:hAnsi="Arial" w:cs="Arial"/>
          <w:sz w:val="18"/>
          <w:szCs w:val="18"/>
        </w:rPr>
        <w:t xml:space="preserve"> veinte </w:t>
      </w:r>
      <w:r w:rsidR="00B37DED" w:rsidRPr="00444606">
        <w:rPr>
          <w:rFonts w:ascii="Arial" w:hAnsi="Arial" w:cs="Arial"/>
          <w:sz w:val="18"/>
          <w:szCs w:val="18"/>
        </w:rPr>
        <w:lastRenderedPageBreak/>
        <w:t>millones de pesos</w:t>
      </w:r>
      <w:r w:rsidRPr="00444606">
        <w:rPr>
          <w:rFonts w:ascii="Arial" w:hAnsi="Arial" w:cs="Arial"/>
          <w:sz w:val="18"/>
          <w:szCs w:val="18"/>
        </w:rPr>
        <w:t xml:space="preserve"> ($20.000.000)</w:t>
      </w:r>
      <w:r w:rsidR="00DA5B6D" w:rsidRPr="00444606">
        <w:rPr>
          <w:rFonts w:ascii="Arial" w:hAnsi="Arial" w:cs="Arial"/>
          <w:sz w:val="18"/>
          <w:szCs w:val="18"/>
        </w:rPr>
        <w:t xml:space="preserve">, debe incluirse como un único evento para el cálculo del promedio de las pérdidas anuales netas históricas por riesgo operacional. </w:t>
      </w:r>
      <w:r w:rsidRPr="00444606">
        <w:rPr>
          <w:rFonts w:ascii="Arial" w:hAnsi="Arial" w:cs="Arial"/>
          <w:sz w:val="18"/>
          <w:szCs w:val="18"/>
        </w:rPr>
        <w:t>Esta cifra se ajustará anualmente a partir del año 202</w:t>
      </w:r>
      <w:r w:rsidR="0D04EBA7" w:rsidRPr="00444606">
        <w:rPr>
          <w:rFonts w:ascii="Arial" w:hAnsi="Arial" w:cs="Arial"/>
          <w:sz w:val="18"/>
          <w:szCs w:val="18"/>
        </w:rPr>
        <w:t>2</w:t>
      </w:r>
      <w:r w:rsidRPr="00444606">
        <w:rPr>
          <w:rFonts w:ascii="Arial" w:hAnsi="Arial" w:cs="Arial"/>
          <w:sz w:val="18"/>
          <w:szCs w:val="18"/>
        </w:rPr>
        <w:t xml:space="preserve"> conforme al Índice de Precios al Consumidor (IPC) que suministre el DANE para el año inmediatamente anterior.  </w:t>
      </w:r>
    </w:p>
    <w:p w14:paraId="5A96961F" w14:textId="77777777" w:rsidR="003D2249" w:rsidRPr="00444606" w:rsidRDefault="003D2249" w:rsidP="003D2249">
      <w:pPr>
        <w:jc w:val="both"/>
        <w:rPr>
          <w:rFonts w:ascii="Arial" w:hAnsi="Arial" w:cs="Arial"/>
          <w:sz w:val="18"/>
          <w:szCs w:val="18"/>
        </w:rPr>
      </w:pPr>
    </w:p>
    <w:p w14:paraId="1849C3AD" w14:textId="77F6D9A9" w:rsidR="00F70DB2" w:rsidRPr="00444606" w:rsidRDefault="00A811D3" w:rsidP="00E95230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1</w:t>
      </w:r>
      <w:r w:rsidR="00BA627D" w:rsidRPr="00444606">
        <w:rPr>
          <w:rFonts w:ascii="Arial" w:hAnsi="Arial" w:cs="Arial"/>
          <w:sz w:val="18"/>
          <w:szCs w:val="18"/>
        </w:rPr>
        <w:t>.3.1.1</w:t>
      </w:r>
      <w:r w:rsidR="00252783">
        <w:rPr>
          <w:rFonts w:ascii="Arial" w:hAnsi="Arial" w:cs="Arial"/>
          <w:sz w:val="18"/>
          <w:szCs w:val="18"/>
        </w:rPr>
        <w:t>.</w:t>
      </w:r>
      <w:r w:rsidR="00BA627D" w:rsidRPr="00444606">
        <w:rPr>
          <w:rFonts w:ascii="Arial" w:hAnsi="Arial" w:cs="Arial"/>
          <w:sz w:val="18"/>
          <w:szCs w:val="18"/>
        </w:rPr>
        <w:t xml:space="preserve"> </w:t>
      </w:r>
      <w:r w:rsidR="00F70DB2" w:rsidRPr="00444606">
        <w:rPr>
          <w:rFonts w:ascii="Arial" w:hAnsi="Arial" w:cs="Arial"/>
          <w:sz w:val="18"/>
          <w:szCs w:val="18"/>
        </w:rPr>
        <w:t>Las entidades solo podrán considerar las pérdidas operacionales históricas consignadas en su registro de eventos</w:t>
      </w:r>
      <w:r w:rsidR="008A2942" w:rsidRPr="00444606">
        <w:rPr>
          <w:rFonts w:ascii="Arial" w:hAnsi="Arial" w:cs="Arial"/>
          <w:sz w:val="18"/>
          <w:szCs w:val="18"/>
        </w:rPr>
        <w:t xml:space="preserve"> de pérdida</w:t>
      </w:r>
      <w:r w:rsidR="00304E78" w:rsidRPr="00444606">
        <w:rPr>
          <w:rFonts w:ascii="Arial" w:hAnsi="Arial" w:cs="Arial"/>
          <w:sz w:val="18"/>
          <w:szCs w:val="18"/>
        </w:rPr>
        <w:t xml:space="preserve"> de 10 años</w:t>
      </w:r>
      <w:r w:rsidR="00F70DB2" w:rsidRPr="00444606">
        <w:rPr>
          <w:rFonts w:ascii="Arial" w:hAnsi="Arial" w:cs="Arial"/>
          <w:sz w:val="18"/>
          <w:szCs w:val="18"/>
        </w:rPr>
        <w:t xml:space="preserve">, </w:t>
      </w:r>
      <w:r w:rsidR="008A2942" w:rsidRPr="00444606">
        <w:rPr>
          <w:rFonts w:ascii="Arial" w:hAnsi="Arial" w:cs="Arial"/>
          <w:sz w:val="18"/>
          <w:szCs w:val="18"/>
        </w:rPr>
        <w:t xml:space="preserve">siempre que los mismos cumplan la totalidad de los </w:t>
      </w:r>
      <w:r w:rsidR="008A2942" w:rsidRPr="00444606">
        <w:rPr>
          <w:rFonts w:ascii="Arial" w:hAnsi="Arial" w:cs="Arial"/>
          <w:bCs/>
          <w:sz w:val="18"/>
          <w:szCs w:val="18"/>
        </w:rPr>
        <w:t xml:space="preserve">criterios generales y específicos </w:t>
      </w:r>
      <w:r w:rsidR="008A2942" w:rsidRPr="00444606">
        <w:rPr>
          <w:rFonts w:ascii="Arial" w:hAnsi="Arial" w:cs="Arial"/>
          <w:sz w:val="18"/>
          <w:szCs w:val="18"/>
        </w:rPr>
        <w:t xml:space="preserve">para el </w:t>
      </w:r>
      <w:r w:rsidR="003D1E45" w:rsidRPr="00444606">
        <w:rPr>
          <w:rFonts w:ascii="Arial" w:hAnsi="Arial" w:cs="Arial"/>
          <w:i/>
          <w:iCs/>
          <w:sz w:val="18"/>
          <w:szCs w:val="18"/>
        </w:rPr>
        <w:t>“R</w:t>
      </w:r>
      <w:r w:rsidR="008A2942" w:rsidRPr="00444606">
        <w:rPr>
          <w:rFonts w:ascii="Arial" w:hAnsi="Arial" w:cs="Arial"/>
          <w:bCs/>
          <w:i/>
          <w:iCs/>
          <w:sz w:val="18"/>
          <w:szCs w:val="18"/>
        </w:rPr>
        <w:t>egistro de eventos de riesgo operacional de alta calidad</w:t>
      </w:r>
      <w:r w:rsidR="003D1E45" w:rsidRPr="00444606">
        <w:rPr>
          <w:rFonts w:ascii="Arial" w:hAnsi="Arial" w:cs="Arial"/>
          <w:bCs/>
          <w:i/>
          <w:iCs/>
          <w:sz w:val="18"/>
          <w:szCs w:val="18"/>
        </w:rPr>
        <w:t>”</w:t>
      </w:r>
      <w:r w:rsidR="008A2942" w:rsidRPr="00444606">
        <w:rPr>
          <w:rFonts w:ascii="Arial" w:hAnsi="Arial" w:cs="Arial"/>
          <w:sz w:val="18"/>
          <w:szCs w:val="18"/>
        </w:rPr>
        <w:t xml:space="preserve"> </w:t>
      </w:r>
      <w:r w:rsidR="008A2942" w:rsidRPr="00444606">
        <w:rPr>
          <w:rFonts w:ascii="Arial" w:hAnsi="Arial" w:cs="Arial"/>
          <w:bCs/>
          <w:sz w:val="18"/>
          <w:szCs w:val="18"/>
        </w:rPr>
        <w:t xml:space="preserve">a que se refieren </w:t>
      </w:r>
      <w:r w:rsidR="0051163B" w:rsidRPr="00444606">
        <w:rPr>
          <w:rFonts w:ascii="Arial" w:hAnsi="Arial" w:cs="Arial"/>
          <w:bCs/>
          <w:sz w:val="18"/>
          <w:szCs w:val="18"/>
        </w:rPr>
        <w:t>el</w:t>
      </w:r>
      <w:r w:rsidR="008A2942" w:rsidRPr="00444606">
        <w:rPr>
          <w:rFonts w:ascii="Arial" w:hAnsi="Arial" w:cs="Arial"/>
          <w:bCs/>
          <w:sz w:val="18"/>
          <w:szCs w:val="18"/>
        </w:rPr>
        <w:t xml:space="preserve"> subnumeral </w:t>
      </w:r>
      <w:r w:rsidR="00CF3B4C" w:rsidRPr="00444606">
        <w:rPr>
          <w:rFonts w:ascii="Arial" w:hAnsi="Arial" w:cs="Arial"/>
          <w:bCs/>
          <w:sz w:val="18"/>
          <w:szCs w:val="18"/>
        </w:rPr>
        <w:t>4.2.2</w:t>
      </w:r>
      <w:r w:rsidR="008A2942" w:rsidRPr="00444606">
        <w:rPr>
          <w:rFonts w:ascii="Arial" w:hAnsi="Arial" w:cs="Arial"/>
          <w:bCs/>
          <w:sz w:val="18"/>
          <w:szCs w:val="18"/>
        </w:rPr>
        <w:t xml:space="preserve">. </w:t>
      </w:r>
      <w:r w:rsidR="003D1E45" w:rsidRPr="00444606">
        <w:rPr>
          <w:rFonts w:ascii="Arial" w:hAnsi="Arial" w:cs="Arial"/>
          <w:sz w:val="18"/>
          <w:szCs w:val="18"/>
        </w:rPr>
        <w:t>de</w:t>
      </w:r>
      <w:r w:rsidR="00CF3B4C" w:rsidRPr="00444606">
        <w:rPr>
          <w:rFonts w:ascii="Arial" w:hAnsi="Arial" w:cs="Arial"/>
          <w:sz w:val="18"/>
          <w:szCs w:val="18"/>
        </w:rPr>
        <w:t xml:space="preserve"> la Parte III</w:t>
      </w:r>
      <w:r w:rsidR="003078BE" w:rsidRPr="00444606">
        <w:rPr>
          <w:rFonts w:ascii="Arial" w:hAnsi="Arial" w:cs="Arial"/>
          <w:sz w:val="18"/>
          <w:szCs w:val="18"/>
        </w:rPr>
        <w:t xml:space="preserve"> del </w:t>
      </w:r>
      <w:r w:rsidR="008D1A42" w:rsidRPr="00444606">
        <w:rPr>
          <w:rFonts w:ascii="Arial" w:hAnsi="Arial" w:cs="Arial"/>
          <w:sz w:val="18"/>
          <w:szCs w:val="18"/>
        </w:rPr>
        <w:t>presente Capítulo</w:t>
      </w:r>
      <w:r w:rsidR="001433BB" w:rsidRPr="00444606">
        <w:rPr>
          <w:rFonts w:ascii="Arial" w:hAnsi="Arial" w:cs="Arial"/>
          <w:sz w:val="18"/>
          <w:szCs w:val="18"/>
        </w:rPr>
        <w:t xml:space="preserve"> </w:t>
      </w:r>
      <w:r w:rsidR="00BA627D" w:rsidRPr="00444606">
        <w:rPr>
          <w:rFonts w:ascii="Arial" w:hAnsi="Arial" w:cs="Arial"/>
          <w:sz w:val="18"/>
          <w:szCs w:val="18"/>
        </w:rPr>
        <w:t>y cuenten con la autorización previa de la SFC</w:t>
      </w:r>
      <w:r w:rsidR="00DA5B6D" w:rsidRPr="00444606">
        <w:rPr>
          <w:rFonts w:ascii="Arial" w:hAnsi="Arial" w:cs="Arial"/>
          <w:sz w:val="18"/>
          <w:szCs w:val="18"/>
        </w:rPr>
        <w:t>.</w:t>
      </w:r>
    </w:p>
    <w:p w14:paraId="60E4869C" w14:textId="77777777" w:rsidR="00F70DB2" w:rsidRPr="00444606" w:rsidRDefault="00F70DB2" w:rsidP="00E95230">
      <w:pPr>
        <w:jc w:val="both"/>
        <w:rPr>
          <w:rFonts w:ascii="Arial" w:hAnsi="Arial" w:cs="Arial"/>
          <w:sz w:val="18"/>
          <w:szCs w:val="18"/>
        </w:rPr>
      </w:pPr>
    </w:p>
    <w:p w14:paraId="21860345" w14:textId="049FD107" w:rsidR="00F34DF3" w:rsidRPr="00444606" w:rsidRDefault="00A811D3" w:rsidP="00DA5B6D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1</w:t>
      </w:r>
      <w:r w:rsidR="00BA627D" w:rsidRPr="00444606">
        <w:rPr>
          <w:rFonts w:ascii="Arial" w:hAnsi="Arial" w:cs="Arial"/>
          <w:sz w:val="18"/>
          <w:szCs w:val="18"/>
        </w:rPr>
        <w:t xml:space="preserve">.3.1.2. </w:t>
      </w:r>
      <w:r w:rsidR="00DA5B6D" w:rsidRPr="00444606">
        <w:rPr>
          <w:rFonts w:ascii="Arial" w:hAnsi="Arial" w:cs="Arial"/>
          <w:sz w:val="18"/>
          <w:szCs w:val="18"/>
        </w:rPr>
        <w:t xml:space="preserve">La entidad que demuestre ante la SFC que cuenta con un </w:t>
      </w:r>
      <w:r w:rsidR="00DA5B6D" w:rsidRPr="00444606">
        <w:rPr>
          <w:rFonts w:ascii="Arial" w:hAnsi="Arial" w:cs="Arial"/>
          <w:i/>
          <w:iCs/>
          <w:sz w:val="18"/>
          <w:szCs w:val="18"/>
        </w:rPr>
        <w:t>“Registro de eventos de riesgo operacional de alta calidad”</w:t>
      </w:r>
      <w:r w:rsidR="00DA5B6D" w:rsidRPr="00444606">
        <w:rPr>
          <w:rFonts w:ascii="Arial" w:hAnsi="Arial" w:cs="Arial"/>
          <w:sz w:val="18"/>
          <w:szCs w:val="18"/>
        </w:rPr>
        <w:t xml:space="preserve"> que cumple con la totalidad de los criterios generales y específicos a que se refieren </w:t>
      </w:r>
      <w:r w:rsidR="0051163B" w:rsidRPr="00444606">
        <w:rPr>
          <w:rFonts w:ascii="Arial" w:hAnsi="Arial" w:cs="Arial"/>
          <w:sz w:val="18"/>
          <w:szCs w:val="18"/>
        </w:rPr>
        <w:t>el</w:t>
      </w:r>
      <w:r w:rsidR="00DA5B6D" w:rsidRPr="00444606">
        <w:rPr>
          <w:rFonts w:ascii="Arial" w:hAnsi="Arial" w:cs="Arial"/>
          <w:sz w:val="18"/>
          <w:szCs w:val="18"/>
        </w:rPr>
        <w:t xml:space="preserve"> subnumeral </w:t>
      </w:r>
      <w:r w:rsidR="0051163B" w:rsidRPr="00444606">
        <w:rPr>
          <w:rFonts w:ascii="Arial" w:hAnsi="Arial" w:cs="Arial"/>
          <w:sz w:val="18"/>
          <w:szCs w:val="18"/>
        </w:rPr>
        <w:t>4.2.2</w:t>
      </w:r>
      <w:r w:rsidR="00DA5B6D" w:rsidRPr="00444606">
        <w:rPr>
          <w:rFonts w:ascii="Arial" w:hAnsi="Arial" w:cs="Arial"/>
          <w:sz w:val="18"/>
          <w:szCs w:val="18"/>
        </w:rPr>
        <w:t>. de</w:t>
      </w:r>
      <w:r w:rsidR="0051163B" w:rsidRPr="00444606">
        <w:rPr>
          <w:rFonts w:ascii="Arial" w:hAnsi="Arial" w:cs="Arial"/>
          <w:sz w:val="18"/>
          <w:szCs w:val="18"/>
        </w:rPr>
        <w:t xml:space="preserve"> la Parte III</w:t>
      </w:r>
      <w:r w:rsidR="003078BE" w:rsidRPr="00444606">
        <w:rPr>
          <w:rFonts w:ascii="Arial" w:hAnsi="Arial" w:cs="Arial"/>
          <w:sz w:val="18"/>
          <w:szCs w:val="18"/>
        </w:rPr>
        <w:t xml:space="preserve"> del </w:t>
      </w:r>
      <w:r w:rsidR="008D1A42" w:rsidRPr="00444606">
        <w:rPr>
          <w:rFonts w:ascii="Arial" w:hAnsi="Arial" w:cs="Arial"/>
          <w:sz w:val="18"/>
          <w:szCs w:val="18"/>
        </w:rPr>
        <w:t>presente Capítulo</w:t>
      </w:r>
      <w:r w:rsidR="00DA5B6D" w:rsidRPr="00444606">
        <w:rPr>
          <w:rFonts w:ascii="Arial" w:hAnsi="Arial" w:cs="Arial"/>
          <w:sz w:val="18"/>
          <w:szCs w:val="18"/>
        </w:rPr>
        <w:t>, pero no cuenta con los registros de eventos de riesgo operacional de los últimos 10 años, podrá hacer uso de una base de 5 años para calcular el Componente de Pérdida (CP) para el cálculo del Indicador de Pérdida Interna (IPI), siempre que cuente con la autorización previa de la SFC.</w:t>
      </w:r>
    </w:p>
    <w:p w14:paraId="63F256F6" w14:textId="77777777" w:rsidR="00F34DF3" w:rsidRPr="00444606" w:rsidRDefault="00F34DF3" w:rsidP="00DA5B6D">
      <w:pPr>
        <w:jc w:val="both"/>
        <w:rPr>
          <w:rFonts w:ascii="Arial" w:hAnsi="Arial" w:cs="Arial"/>
          <w:sz w:val="18"/>
          <w:szCs w:val="18"/>
        </w:rPr>
      </w:pPr>
    </w:p>
    <w:p w14:paraId="0FEC20E6" w14:textId="617F64CD" w:rsidR="00DA5B6D" w:rsidRPr="00444606" w:rsidRDefault="00F34DF3" w:rsidP="00DA5B6D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Para dar cumplimiento a lo dispuesto en el presente subnumeral, las entidades</w:t>
      </w:r>
      <w:r w:rsidR="00DA5B6D" w:rsidRPr="00444606">
        <w:rPr>
          <w:rFonts w:ascii="Arial" w:hAnsi="Arial" w:cs="Arial"/>
          <w:sz w:val="18"/>
          <w:szCs w:val="18"/>
        </w:rPr>
        <w:t xml:space="preserve"> deben calcular el requerimiento de capital por riesgo operacional utilizando </w:t>
      </w:r>
      <w:r w:rsidR="00D55829" w:rsidRPr="00444606">
        <w:rPr>
          <w:rFonts w:ascii="Arial" w:hAnsi="Arial" w:cs="Arial"/>
          <w:sz w:val="18"/>
          <w:szCs w:val="18"/>
        </w:rPr>
        <w:t xml:space="preserve">los </w:t>
      </w:r>
      <w:r w:rsidR="00DA5B6D" w:rsidRPr="00444606">
        <w:rPr>
          <w:rFonts w:ascii="Arial" w:hAnsi="Arial" w:cs="Arial"/>
          <w:sz w:val="18"/>
          <w:szCs w:val="18"/>
        </w:rPr>
        <w:t>Indicador</w:t>
      </w:r>
      <w:r w:rsidR="00D55829" w:rsidRPr="00444606">
        <w:rPr>
          <w:rFonts w:ascii="Arial" w:hAnsi="Arial" w:cs="Arial"/>
          <w:sz w:val="18"/>
          <w:szCs w:val="18"/>
        </w:rPr>
        <w:t>es</w:t>
      </w:r>
      <w:r w:rsidR="00DA5B6D" w:rsidRPr="00444606">
        <w:rPr>
          <w:rFonts w:ascii="Arial" w:hAnsi="Arial" w:cs="Arial"/>
          <w:sz w:val="18"/>
          <w:szCs w:val="18"/>
        </w:rPr>
        <w:t xml:space="preserve"> de Pérdida Interna (IPI) </w:t>
      </w:r>
      <w:r w:rsidRPr="00444606">
        <w:rPr>
          <w:rFonts w:ascii="Arial" w:hAnsi="Arial" w:cs="Arial"/>
          <w:sz w:val="18"/>
          <w:szCs w:val="18"/>
        </w:rPr>
        <w:t>con base en la siguiente transición</w:t>
      </w:r>
      <w:r w:rsidR="00D55829" w:rsidRPr="00444606">
        <w:rPr>
          <w:rFonts w:ascii="Arial" w:hAnsi="Arial" w:cs="Arial"/>
          <w:sz w:val="18"/>
          <w:szCs w:val="18"/>
        </w:rPr>
        <w:t>:</w:t>
      </w:r>
    </w:p>
    <w:p w14:paraId="586FEA43" w14:textId="01FE32B6" w:rsidR="00DA5B6D" w:rsidRPr="00444606" w:rsidRDefault="00DA5B6D" w:rsidP="00DA5B6D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19"/>
        <w:gridCol w:w="1906"/>
      </w:tblGrid>
      <w:tr w:rsidR="008C254C" w:rsidRPr="00444606" w14:paraId="5010DA50" w14:textId="77777777" w:rsidTr="00FB01B7">
        <w:trPr>
          <w:trHeight w:val="347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DC3C568" w14:textId="3724BFCF" w:rsidR="008C254C" w:rsidRPr="00FB01B7" w:rsidRDefault="008C254C" w:rsidP="000368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01B7">
              <w:rPr>
                <w:rFonts w:ascii="Arial" w:hAnsi="Arial" w:cs="Arial"/>
                <w:b/>
                <w:bCs/>
                <w:sz w:val="18"/>
                <w:szCs w:val="18"/>
              </w:rPr>
              <w:t>Término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3A790711" w14:textId="29A23DBB" w:rsidR="008C254C" w:rsidRPr="00FB01B7" w:rsidRDefault="008C254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01B7">
              <w:rPr>
                <w:rFonts w:ascii="Arial" w:hAnsi="Arial" w:cs="Arial"/>
                <w:b/>
                <w:bCs/>
                <w:sz w:val="18"/>
                <w:szCs w:val="18"/>
              </w:rPr>
              <w:t>IPI mínimo</w:t>
            </w:r>
          </w:p>
        </w:tc>
      </w:tr>
      <w:tr w:rsidR="008C254C" w:rsidRPr="00444606" w14:paraId="11C6233E" w14:textId="77777777" w:rsidTr="004445DE">
        <w:trPr>
          <w:jc w:val="center"/>
        </w:trPr>
        <w:tc>
          <w:tcPr>
            <w:tcW w:w="0" w:type="auto"/>
          </w:tcPr>
          <w:p w14:paraId="3193FF50" w14:textId="21B8CE5F" w:rsidR="008C254C" w:rsidRPr="00444606" w:rsidRDefault="008C254C" w:rsidP="008C2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606">
              <w:rPr>
                <w:rFonts w:ascii="Arial" w:hAnsi="Arial" w:cs="Arial"/>
                <w:sz w:val="18"/>
                <w:szCs w:val="18"/>
              </w:rPr>
              <w:t>A partir de enero de 2021</w:t>
            </w:r>
          </w:p>
        </w:tc>
        <w:tc>
          <w:tcPr>
            <w:tcW w:w="1906" w:type="dxa"/>
          </w:tcPr>
          <w:p w14:paraId="15B66825" w14:textId="7B58A244" w:rsidR="008C254C" w:rsidRPr="00444606" w:rsidRDefault="008C254C" w:rsidP="008C2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606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8C254C" w:rsidRPr="00444606" w14:paraId="7AD262E8" w14:textId="77777777" w:rsidTr="004445DE">
        <w:trPr>
          <w:jc w:val="center"/>
        </w:trPr>
        <w:tc>
          <w:tcPr>
            <w:tcW w:w="0" w:type="auto"/>
          </w:tcPr>
          <w:p w14:paraId="7942C628" w14:textId="17DF3A40" w:rsidR="008C254C" w:rsidRPr="00444606" w:rsidRDefault="008C254C" w:rsidP="008C2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606">
              <w:rPr>
                <w:rFonts w:ascii="Arial" w:hAnsi="Arial" w:cs="Arial"/>
                <w:sz w:val="18"/>
                <w:szCs w:val="18"/>
              </w:rPr>
              <w:t>A partir de enero de 2022</w:t>
            </w:r>
          </w:p>
        </w:tc>
        <w:tc>
          <w:tcPr>
            <w:tcW w:w="1906" w:type="dxa"/>
          </w:tcPr>
          <w:p w14:paraId="11B8D50F" w14:textId="72E8E55E" w:rsidR="008C254C" w:rsidRPr="00444606" w:rsidRDefault="006B7BB2" w:rsidP="008C2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606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8C254C" w:rsidRPr="00444606" w14:paraId="69D56F99" w14:textId="77777777" w:rsidTr="004445DE">
        <w:trPr>
          <w:jc w:val="center"/>
        </w:trPr>
        <w:tc>
          <w:tcPr>
            <w:tcW w:w="0" w:type="auto"/>
          </w:tcPr>
          <w:p w14:paraId="742962E7" w14:textId="69CA58C1" w:rsidR="008C254C" w:rsidRPr="00444606" w:rsidRDefault="008C254C" w:rsidP="008C2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606">
              <w:rPr>
                <w:rFonts w:ascii="Arial" w:hAnsi="Arial" w:cs="Arial"/>
                <w:sz w:val="18"/>
                <w:szCs w:val="18"/>
              </w:rPr>
              <w:t>A partir de enero de 2023</w:t>
            </w:r>
          </w:p>
        </w:tc>
        <w:tc>
          <w:tcPr>
            <w:tcW w:w="1906" w:type="dxa"/>
          </w:tcPr>
          <w:p w14:paraId="72C4253C" w14:textId="44C5B464" w:rsidR="008C254C" w:rsidRPr="00444606" w:rsidRDefault="008C254C" w:rsidP="008C2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606">
              <w:rPr>
                <w:rFonts w:ascii="Arial" w:hAnsi="Arial" w:cs="Arial"/>
                <w:sz w:val="18"/>
                <w:szCs w:val="18"/>
              </w:rPr>
              <w:t>1.</w:t>
            </w:r>
            <w:r w:rsidR="006B7BB2" w:rsidRPr="004446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8C254C" w:rsidRPr="00444606" w14:paraId="2BB9521D" w14:textId="77777777" w:rsidTr="004445DE">
        <w:trPr>
          <w:jc w:val="center"/>
        </w:trPr>
        <w:tc>
          <w:tcPr>
            <w:tcW w:w="0" w:type="auto"/>
          </w:tcPr>
          <w:p w14:paraId="3C2723B6" w14:textId="4BE2B984" w:rsidR="008C254C" w:rsidRPr="00444606" w:rsidRDefault="008C254C" w:rsidP="008C2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606">
              <w:rPr>
                <w:rFonts w:ascii="Arial" w:hAnsi="Arial" w:cs="Arial"/>
                <w:sz w:val="18"/>
                <w:szCs w:val="18"/>
              </w:rPr>
              <w:t>A partir de enero de 2024</w:t>
            </w:r>
            <w:r w:rsidR="00B37DED" w:rsidRPr="00444606">
              <w:rPr>
                <w:rFonts w:ascii="Arial" w:hAnsi="Arial" w:cs="Arial"/>
                <w:sz w:val="18"/>
                <w:szCs w:val="18"/>
              </w:rPr>
              <w:t xml:space="preserve"> y hasta diciembre de 2025</w:t>
            </w:r>
          </w:p>
        </w:tc>
        <w:tc>
          <w:tcPr>
            <w:tcW w:w="1906" w:type="dxa"/>
          </w:tcPr>
          <w:p w14:paraId="4491E2DF" w14:textId="592EBCFA" w:rsidR="008C254C" w:rsidRPr="00444606" w:rsidRDefault="008C254C" w:rsidP="008C2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4606">
              <w:rPr>
                <w:rFonts w:ascii="Arial" w:hAnsi="Arial" w:cs="Arial"/>
                <w:sz w:val="18"/>
                <w:szCs w:val="18"/>
              </w:rPr>
              <w:t>1.</w:t>
            </w:r>
            <w:r w:rsidR="006B7BB2" w:rsidRPr="004446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14:paraId="1FF90A85" w14:textId="77777777" w:rsidR="001942BA" w:rsidRPr="00444606" w:rsidRDefault="001942BA" w:rsidP="0035539B">
      <w:pPr>
        <w:rPr>
          <w:rFonts w:ascii="Arial" w:hAnsi="Arial" w:cs="Arial"/>
          <w:sz w:val="18"/>
          <w:szCs w:val="18"/>
        </w:rPr>
      </w:pPr>
    </w:p>
    <w:p w14:paraId="3E34ED9F" w14:textId="3BF3DFDC" w:rsidR="001942BA" w:rsidRPr="00444606" w:rsidRDefault="00B37DED" w:rsidP="00DA5B6D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A partir del mes de enero de 2026,</w:t>
      </w:r>
      <w:r w:rsidR="00B16A25" w:rsidRPr="00444606">
        <w:rPr>
          <w:rFonts w:ascii="Arial" w:hAnsi="Arial" w:cs="Arial"/>
          <w:sz w:val="18"/>
          <w:szCs w:val="18"/>
        </w:rPr>
        <w:t xml:space="preserve"> para el cálculo de la solvencia individual las entidades</w:t>
      </w:r>
      <w:r w:rsidR="00036880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>deben</w:t>
      </w:r>
      <w:r w:rsidR="00036880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>estimar</w:t>
      </w:r>
      <w:r w:rsidR="00B16A25" w:rsidRPr="00444606">
        <w:rPr>
          <w:rFonts w:ascii="Arial" w:hAnsi="Arial" w:cs="Arial"/>
          <w:sz w:val="18"/>
          <w:szCs w:val="18"/>
        </w:rPr>
        <w:t xml:space="preserve"> el CP según lo descrito en el </w:t>
      </w:r>
      <w:r w:rsidR="00F34DF3" w:rsidRPr="00444606">
        <w:rPr>
          <w:rFonts w:ascii="Arial" w:hAnsi="Arial" w:cs="Arial"/>
          <w:sz w:val="18"/>
          <w:szCs w:val="18"/>
        </w:rPr>
        <w:t>sub</w:t>
      </w:r>
      <w:r w:rsidR="00B16A25" w:rsidRPr="00444606">
        <w:rPr>
          <w:rFonts w:ascii="Arial" w:hAnsi="Arial" w:cs="Arial"/>
          <w:sz w:val="18"/>
          <w:szCs w:val="18"/>
        </w:rPr>
        <w:t xml:space="preserve">numeral </w:t>
      </w:r>
      <w:r w:rsidR="00FC08C5" w:rsidRPr="00444606">
        <w:rPr>
          <w:rFonts w:ascii="Arial" w:hAnsi="Arial" w:cs="Arial"/>
          <w:sz w:val="18"/>
          <w:szCs w:val="18"/>
        </w:rPr>
        <w:t>1</w:t>
      </w:r>
      <w:r w:rsidR="00B16A25" w:rsidRPr="00444606">
        <w:rPr>
          <w:rFonts w:ascii="Arial" w:hAnsi="Arial" w:cs="Arial"/>
          <w:sz w:val="18"/>
          <w:szCs w:val="18"/>
        </w:rPr>
        <w:t>.3.1.</w:t>
      </w:r>
      <w:r w:rsidR="00771693" w:rsidRPr="00444606">
        <w:rPr>
          <w:rFonts w:ascii="Arial" w:hAnsi="Arial" w:cs="Arial"/>
          <w:sz w:val="18"/>
          <w:szCs w:val="18"/>
        </w:rPr>
        <w:t xml:space="preserve"> del presente </w:t>
      </w:r>
      <w:r w:rsidR="005A2CA9" w:rsidRPr="00444606">
        <w:rPr>
          <w:rFonts w:ascii="Arial" w:hAnsi="Arial" w:cs="Arial"/>
          <w:sz w:val="18"/>
          <w:szCs w:val="18"/>
        </w:rPr>
        <w:t>A</w:t>
      </w:r>
      <w:r w:rsidR="00771693" w:rsidRPr="00444606">
        <w:rPr>
          <w:rFonts w:ascii="Arial" w:hAnsi="Arial" w:cs="Arial"/>
          <w:sz w:val="18"/>
          <w:szCs w:val="18"/>
        </w:rPr>
        <w:t>nexo</w:t>
      </w:r>
      <w:r w:rsidR="00B16A25" w:rsidRPr="00444606">
        <w:rPr>
          <w:rFonts w:ascii="Arial" w:hAnsi="Arial" w:cs="Arial"/>
          <w:sz w:val="18"/>
          <w:szCs w:val="18"/>
        </w:rPr>
        <w:t xml:space="preserve">, previa </w:t>
      </w:r>
      <w:r w:rsidR="00036880" w:rsidRPr="00444606">
        <w:rPr>
          <w:rFonts w:ascii="Arial" w:hAnsi="Arial" w:cs="Arial"/>
          <w:sz w:val="18"/>
          <w:szCs w:val="18"/>
        </w:rPr>
        <w:t xml:space="preserve">autorización </w:t>
      </w:r>
      <w:r w:rsidR="00B16A25" w:rsidRPr="00444606">
        <w:rPr>
          <w:rFonts w:ascii="Arial" w:hAnsi="Arial" w:cs="Arial"/>
          <w:sz w:val="18"/>
          <w:szCs w:val="18"/>
        </w:rPr>
        <w:t>de la SFC, solicitada en los términos allí mencionados.</w:t>
      </w:r>
    </w:p>
    <w:p w14:paraId="44190CCD" w14:textId="77777777" w:rsidR="00215E7C" w:rsidRPr="00444606" w:rsidRDefault="00215E7C" w:rsidP="005A0461">
      <w:pPr>
        <w:jc w:val="both"/>
        <w:rPr>
          <w:rFonts w:ascii="Arial" w:hAnsi="Arial" w:cs="Arial"/>
          <w:sz w:val="18"/>
          <w:szCs w:val="18"/>
        </w:rPr>
      </w:pPr>
    </w:p>
    <w:p w14:paraId="0D88610D" w14:textId="0E04A927" w:rsidR="000E36B5" w:rsidRPr="00444606" w:rsidRDefault="00FC08C5" w:rsidP="005A0461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1</w:t>
      </w:r>
      <w:r w:rsidR="00215E7C" w:rsidRPr="00444606">
        <w:rPr>
          <w:rFonts w:ascii="Arial" w:hAnsi="Arial" w:cs="Arial"/>
          <w:sz w:val="18"/>
          <w:szCs w:val="18"/>
        </w:rPr>
        <w:t>.3.1.</w:t>
      </w:r>
      <w:r w:rsidR="000E36B5" w:rsidRPr="00444606">
        <w:rPr>
          <w:rFonts w:ascii="Arial" w:hAnsi="Arial" w:cs="Arial"/>
          <w:sz w:val="18"/>
          <w:szCs w:val="18"/>
        </w:rPr>
        <w:t>3</w:t>
      </w:r>
      <w:r w:rsidR="00E96F37" w:rsidRPr="00444606">
        <w:rPr>
          <w:rFonts w:ascii="Arial" w:hAnsi="Arial" w:cs="Arial"/>
          <w:sz w:val="18"/>
          <w:szCs w:val="18"/>
        </w:rPr>
        <w:t>.</w:t>
      </w:r>
      <w:r w:rsidR="00215E7C" w:rsidRPr="00444606">
        <w:rPr>
          <w:rFonts w:ascii="Arial" w:hAnsi="Arial" w:cs="Arial"/>
          <w:sz w:val="18"/>
          <w:szCs w:val="18"/>
        </w:rPr>
        <w:t xml:space="preserve"> </w:t>
      </w:r>
      <w:r w:rsidR="00E96F37" w:rsidRPr="00444606">
        <w:rPr>
          <w:rFonts w:ascii="Arial" w:hAnsi="Arial" w:cs="Arial"/>
          <w:sz w:val="18"/>
          <w:szCs w:val="18"/>
        </w:rPr>
        <w:t xml:space="preserve">Para efectos del cálculo del nivel de capital por riesgo operacional a nivel consolidado, la entidad matriz </w:t>
      </w:r>
      <w:r w:rsidR="00D55829" w:rsidRPr="00444606">
        <w:rPr>
          <w:rFonts w:ascii="Arial" w:hAnsi="Arial" w:cs="Arial"/>
          <w:sz w:val="18"/>
          <w:szCs w:val="18"/>
        </w:rPr>
        <w:t xml:space="preserve">debe cumplir </w:t>
      </w:r>
      <w:r w:rsidR="00E96F37" w:rsidRPr="00444606">
        <w:rPr>
          <w:rFonts w:ascii="Arial" w:hAnsi="Arial" w:cs="Arial"/>
          <w:sz w:val="18"/>
          <w:szCs w:val="18"/>
        </w:rPr>
        <w:t>con los requisitos</w:t>
      </w:r>
      <w:r w:rsidR="00D55829" w:rsidRPr="00444606">
        <w:rPr>
          <w:rFonts w:ascii="Arial" w:hAnsi="Arial" w:cs="Arial"/>
          <w:sz w:val="18"/>
          <w:szCs w:val="18"/>
        </w:rPr>
        <w:t xml:space="preserve"> del subnumeral </w:t>
      </w:r>
      <w:r w:rsidR="00D4080F" w:rsidRPr="00444606">
        <w:rPr>
          <w:rFonts w:ascii="Arial" w:hAnsi="Arial" w:cs="Arial"/>
          <w:sz w:val="18"/>
          <w:szCs w:val="18"/>
        </w:rPr>
        <w:t>1</w:t>
      </w:r>
      <w:r w:rsidR="00D55829" w:rsidRPr="00444606">
        <w:rPr>
          <w:rFonts w:ascii="Arial" w:hAnsi="Arial" w:cs="Arial"/>
          <w:sz w:val="18"/>
          <w:szCs w:val="18"/>
        </w:rPr>
        <w:t>.3.1.2</w:t>
      </w:r>
      <w:r w:rsidR="00DE3A5F" w:rsidRPr="00444606">
        <w:rPr>
          <w:rFonts w:ascii="Arial" w:hAnsi="Arial" w:cs="Arial"/>
          <w:sz w:val="18"/>
          <w:szCs w:val="18"/>
        </w:rPr>
        <w:t xml:space="preserve"> del presente Anexo</w:t>
      </w:r>
      <w:r w:rsidR="00D55829" w:rsidRPr="00444606">
        <w:rPr>
          <w:rFonts w:ascii="Arial" w:hAnsi="Arial" w:cs="Arial"/>
          <w:sz w:val="18"/>
          <w:szCs w:val="18"/>
        </w:rPr>
        <w:t>. Asimismo</w:t>
      </w:r>
      <w:r w:rsidR="00CE0837" w:rsidRPr="00444606">
        <w:rPr>
          <w:rFonts w:ascii="Arial" w:hAnsi="Arial" w:cs="Arial"/>
          <w:sz w:val="18"/>
          <w:szCs w:val="18"/>
        </w:rPr>
        <w:t>,</w:t>
      </w:r>
      <w:r w:rsidR="00D55829" w:rsidRPr="00444606">
        <w:rPr>
          <w:rFonts w:ascii="Arial" w:hAnsi="Arial" w:cs="Arial"/>
          <w:sz w:val="18"/>
          <w:szCs w:val="18"/>
        </w:rPr>
        <w:t xml:space="preserve"> s</w:t>
      </w:r>
      <w:r w:rsidR="00215E7C" w:rsidRPr="00444606">
        <w:rPr>
          <w:rFonts w:ascii="Arial" w:hAnsi="Arial" w:cs="Arial"/>
          <w:sz w:val="18"/>
          <w:szCs w:val="18"/>
        </w:rPr>
        <w:t xml:space="preserve">i </w:t>
      </w:r>
      <w:r w:rsidR="00F34DF3" w:rsidRPr="00444606">
        <w:rPr>
          <w:rFonts w:ascii="Arial" w:hAnsi="Arial" w:cs="Arial"/>
          <w:sz w:val="18"/>
          <w:szCs w:val="18"/>
        </w:rPr>
        <w:t xml:space="preserve">su registro de eventos de riesgo operacional no cumple con la totalidad de los criterios generales y específicos </w:t>
      </w:r>
      <w:r w:rsidR="00215E7C" w:rsidRPr="00444606">
        <w:rPr>
          <w:rFonts w:ascii="Arial" w:hAnsi="Arial" w:cs="Arial"/>
          <w:sz w:val="18"/>
          <w:szCs w:val="18"/>
        </w:rPr>
        <w:t xml:space="preserve">y por tanto, no cuenta con la autorización de la SFC </w:t>
      </w:r>
      <w:r w:rsidR="001528D7" w:rsidRPr="00444606">
        <w:rPr>
          <w:rFonts w:ascii="Arial" w:hAnsi="Arial" w:cs="Arial"/>
          <w:sz w:val="18"/>
          <w:szCs w:val="18"/>
        </w:rPr>
        <w:t>para el uso del Componente de Pé</w:t>
      </w:r>
      <w:r w:rsidR="00215E7C" w:rsidRPr="00444606">
        <w:rPr>
          <w:rFonts w:ascii="Arial" w:hAnsi="Arial" w:cs="Arial"/>
          <w:sz w:val="18"/>
          <w:szCs w:val="18"/>
        </w:rPr>
        <w:t xml:space="preserve">rdida (CP), </w:t>
      </w:r>
      <w:r w:rsidR="00E96F37" w:rsidRPr="00444606">
        <w:rPr>
          <w:rFonts w:ascii="Arial" w:hAnsi="Arial" w:cs="Arial"/>
          <w:sz w:val="18"/>
          <w:szCs w:val="18"/>
        </w:rPr>
        <w:t xml:space="preserve">la entidad </w:t>
      </w:r>
      <w:r w:rsidR="00890D5F" w:rsidRPr="00444606">
        <w:rPr>
          <w:rFonts w:ascii="Arial" w:hAnsi="Arial" w:cs="Arial"/>
          <w:sz w:val="18"/>
          <w:szCs w:val="18"/>
        </w:rPr>
        <w:t xml:space="preserve">que </w:t>
      </w:r>
      <w:r w:rsidR="00E96F37" w:rsidRPr="00444606">
        <w:rPr>
          <w:rFonts w:ascii="Arial" w:hAnsi="Arial" w:cs="Arial"/>
          <w:sz w:val="18"/>
          <w:szCs w:val="18"/>
        </w:rPr>
        <w:t xml:space="preserve">consolida </w:t>
      </w:r>
      <w:r w:rsidR="00215E7C" w:rsidRPr="00444606">
        <w:rPr>
          <w:rFonts w:ascii="Arial" w:hAnsi="Arial" w:cs="Arial"/>
          <w:sz w:val="18"/>
          <w:szCs w:val="18"/>
        </w:rPr>
        <w:t>debe</w:t>
      </w:r>
      <w:r w:rsidR="00D55829" w:rsidRPr="00444606">
        <w:rPr>
          <w:rFonts w:ascii="Arial" w:hAnsi="Arial" w:cs="Arial"/>
          <w:sz w:val="18"/>
          <w:szCs w:val="18"/>
        </w:rPr>
        <w:t xml:space="preserve"> continuar</w:t>
      </w:r>
      <w:r w:rsidR="00215E7C" w:rsidRPr="00444606">
        <w:rPr>
          <w:rFonts w:ascii="Arial" w:hAnsi="Arial" w:cs="Arial"/>
          <w:sz w:val="18"/>
          <w:szCs w:val="18"/>
        </w:rPr>
        <w:t xml:space="preserve"> calcula</w:t>
      </w:r>
      <w:r w:rsidR="00D55829" w:rsidRPr="00444606">
        <w:rPr>
          <w:rFonts w:ascii="Arial" w:hAnsi="Arial" w:cs="Arial"/>
          <w:sz w:val="18"/>
          <w:szCs w:val="18"/>
        </w:rPr>
        <w:t>ndo</w:t>
      </w:r>
      <w:r w:rsidR="00215E7C" w:rsidRPr="00444606">
        <w:rPr>
          <w:rFonts w:ascii="Arial" w:hAnsi="Arial" w:cs="Arial"/>
          <w:sz w:val="18"/>
          <w:szCs w:val="18"/>
        </w:rPr>
        <w:t xml:space="preserve"> el requerimiento de capital por riesgo operacional </w:t>
      </w:r>
      <w:r w:rsidR="00923768" w:rsidRPr="00444606">
        <w:rPr>
          <w:rFonts w:ascii="Arial" w:hAnsi="Arial" w:cs="Arial"/>
          <w:sz w:val="18"/>
          <w:szCs w:val="18"/>
        </w:rPr>
        <w:t xml:space="preserve">a nivel consolidado </w:t>
      </w:r>
      <w:r w:rsidR="00215E7C" w:rsidRPr="00444606">
        <w:rPr>
          <w:rFonts w:ascii="Arial" w:hAnsi="Arial" w:cs="Arial"/>
          <w:sz w:val="18"/>
          <w:szCs w:val="18"/>
        </w:rPr>
        <w:t xml:space="preserve">utilizando </w:t>
      </w:r>
      <w:r w:rsidR="00E96F37" w:rsidRPr="00444606">
        <w:rPr>
          <w:rFonts w:ascii="Arial" w:hAnsi="Arial" w:cs="Arial"/>
          <w:sz w:val="18"/>
          <w:szCs w:val="18"/>
        </w:rPr>
        <w:t xml:space="preserve">los indicadores de la tabla del subnumeral </w:t>
      </w:r>
      <w:r w:rsidR="00D4080F" w:rsidRPr="00444606">
        <w:rPr>
          <w:rFonts w:ascii="Arial" w:hAnsi="Arial" w:cs="Arial"/>
          <w:sz w:val="18"/>
          <w:szCs w:val="18"/>
        </w:rPr>
        <w:t>1</w:t>
      </w:r>
      <w:r w:rsidR="00E96F37" w:rsidRPr="00444606">
        <w:rPr>
          <w:rFonts w:ascii="Arial" w:hAnsi="Arial" w:cs="Arial"/>
          <w:sz w:val="18"/>
          <w:szCs w:val="18"/>
        </w:rPr>
        <w:t>.3.1.2</w:t>
      </w:r>
      <w:r w:rsidR="00D55829" w:rsidRPr="00444606">
        <w:rPr>
          <w:rFonts w:ascii="Arial" w:hAnsi="Arial" w:cs="Arial"/>
          <w:sz w:val="18"/>
          <w:szCs w:val="18"/>
        </w:rPr>
        <w:t>.</w:t>
      </w:r>
      <w:r w:rsidR="00036880" w:rsidRPr="00444606">
        <w:rPr>
          <w:rFonts w:ascii="Arial" w:hAnsi="Arial" w:cs="Arial"/>
          <w:sz w:val="18"/>
          <w:szCs w:val="18"/>
        </w:rPr>
        <w:t xml:space="preserve"> </w:t>
      </w:r>
      <w:r w:rsidR="003B56A7" w:rsidRPr="00444606">
        <w:rPr>
          <w:rFonts w:ascii="Arial" w:hAnsi="Arial" w:cs="Arial"/>
          <w:sz w:val="18"/>
          <w:szCs w:val="18"/>
        </w:rPr>
        <w:t xml:space="preserve">del presente Anexo. </w:t>
      </w:r>
      <w:r w:rsidR="00036880" w:rsidRPr="00444606">
        <w:rPr>
          <w:rFonts w:ascii="Arial" w:hAnsi="Arial" w:cs="Arial"/>
          <w:sz w:val="18"/>
          <w:szCs w:val="18"/>
        </w:rPr>
        <w:t xml:space="preserve">A </w:t>
      </w:r>
      <w:r w:rsidR="00D55829" w:rsidRPr="00444606">
        <w:rPr>
          <w:rFonts w:ascii="Arial" w:hAnsi="Arial" w:cs="Arial"/>
          <w:sz w:val="18"/>
          <w:szCs w:val="18"/>
        </w:rPr>
        <w:t>partir de</w:t>
      </w:r>
      <w:r w:rsidR="00F34DF3" w:rsidRPr="00444606">
        <w:rPr>
          <w:rFonts w:ascii="Arial" w:hAnsi="Arial" w:cs="Arial"/>
          <w:sz w:val="18"/>
          <w:szCs w:val="18"/>
        </w:rPr>
        <w:t>l año 2024</w:t>
      </w:r>
      <w:r w:rsidR="00D55829" w:rsidRPr="00444606">
        <w:rPr>
          <w:rFonts w:ascii="Arial" w:hAnsi="Arial" w:cs="Arial"/>
          <w:sz w:val="18"/>
          <w:szCs w:val="18"/>
        </w:rPr>
        <w:t xml:space="preserve">, </w:t>
      </w:r>
      <w:r w:rsidR="00036880" w:rsidRPr="00444606">
        <w:rPr>
          <w:rFonts w:ascii="Arial" w:hAnsi="Arial" w:cs="Arial"/>
          <w:sz w:val="18"/>
          <w:szCs w:val="18"/>
        </w:rPr>
        <w:t xml:space="preserve">las entidades </w:t>
      </w:r>
      <w:r w:rsidR="00770FA3" w:rsidRPr="00444606">
        <w:rPr>
          <w:rFonts w:ascii="Arial" w:hAnsi="Arial" w:cs="Arial"/>
          <w:sz w:val="18"/>
          <w:szCs w:val="18"/>
        </w:rPr>
        <w:t xml:space="preserve">que </w:t>
      </w:r>
      <w:r w:rsidR="00036880" w:rsidRPr="00444606">
        <w:rPr>
          <w:rFonts w:ascii="Arial" w:hAnsi="Arial" w:cs="Arial"/>
          <w:sz w:val="18"/>
          <w:szCs w:val="18"/>
        </w:rPr>
        <w:t xml:space="preserve">consolidan </w:t>
      </w:r>
      <w:r w:rsidR="000C144D" w:rsidRPr="00444606">
        <w:rPr>
          <w:rFonts w:ascii="Arial" w:hAnsi="Arial" w:cs="Arial"/>
          <w:sz w:val="18"/>
          <w:szCs w:val="18"/>
        </w:rPr>
        <w:t>deben utilizar</w:t>
      </w:r>
      <w:r w:rsidR="00D55829" w:rsidRPr="00444606">
        <w:rPr>
          <w:rFonts w:ascii="Arial" w:hAnsi="Arial" w:cs="Arial"/>
          <w:sz w:val="18"/>
          <w:szCs w:val="18"/>
        </w:rPr>
        <w:t xml:space="preserve"> exclusivamente un IPI de 1.5.</w:t>
      </w:r>
    </w:p>
    <w:p w14:paraId="4E0BE70C" w14:textId="77777777" w:rsidR="000E36B5" w:rsidRPr="00444606" w:rsidRDefault="000E36B5" w:rsidP="005A0461">
      <w:pPr>
        <w:jc w:val="both"/>
        <w:rPr>
          <w:rFonts w:ascii="Arial" w:hAnsi="Arial" w:cs="Arial"/>
          <w:sz w:val="18"/>
          <w:szCs w:val="18"/>
        </w:rPr>
      </w:pPr>
    </w:p>
    <w:p w14:paraId="5D2F8FAF" w14:textId="24707AE1" w:rsidR="00923768" w:rsidRPr="00444606" w:rsidRDefault="00FC08C5" w:rsidP="00322EA2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1</w:t>
      </w:r>
      <w:r w:rsidR="000E36B5" w:rsidRPr="00444606">
        <w:rPr>
          <w:rFonts w:ascii="Arial" w:hAnsi="Arial" w:cs="Arial"/>
          <w:sz w:val="18"/>
          <w:szCs w:val="18"/>
        </w:rPr>
        <w:t>.3.1.4. En todo caso, en cualquier momento, la SFC podrá exigir a una entidad que utilice un Indicador de Pérdida Interna (IPI) superior cuando, con base en criterios técnicos y objetivos, determine que su sistema de registro de pérdidas por riesgo operacional no sea de alta calidad, sin que este sea superior a 1.7.</w:t>
      </w:r>
    </w:p>
    <w:p w14:paraId="30333888" w14:textId="77777777" w:rsidR="005A0461" w:rsidRPr="00444606" w:rsidRDefault="005A0461" w:rsidP="005A0461">
      <w:pPr>
        <w:jc w:val="both"/>
        <w:rPr>
          <w:rFonts w:ascii="Arial" w:hAnsi="Arial" w:cs="Arial"/>
          <w:sz w:val="18"/>
          <w:szCs w:val="18"/>
        </w:rPr>
      </w:pPr>
    </w:p>
    <w:p w14:paraId="2C60CFF3" w14:textId="6AB3F1EF" w:rsidR="00AC33AF" w:rsidRPr="00444606" w:rsidRDefault="00AC33AF" w:rsidP="005A0461">
      <w:pPr>
        <w:pStyle w:val="Prrafodelista"/>
        <w:numPr>
          <w:ilvl w:val="2"/>
          <w:numId w:val="1"/>
        </w:num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Exclu</w:t>
      </w:r>
      <w:r w:rsidR="001B355A" w:rsidRPr="00444606">
        <w:rPr>
          <w:rFonts w:ascii="Arial" w:hAnsi="Arial" w:cs="Arial"/>
          <w:sz w:val="18"/>
          <w:szCs w:val="18"/>
        </w:rPr>
        <w:t>siones al Componente de Pé</w:t>
      </w:r>
      <w:r w:rsidR="003236AE" w:rsidRPr="00444606">
        <w:rPr>
          <w:rFonts w:ascii="Arial" w:hAnsi="Arial" w:cs="Arial"/>
          <w:sz w:val="18"/>
          <w:szCs w:val="18"/>
        </w:rPr>
        <w:t>rdid</w:t>
      </w:r>
      <w:r w:rsidR="001B355A" w:rsidRPr="00444606">
        <w:rPr>
          <w:rFonts w:ascii="Arial" w:hAnsi="Arial" w:cs="Arial"/>
          <w:sz w:val="18"/>
          <w:szCs w:val="18"/>
        </w:rPr>
        <w:t>a (CP)</w:t>
      </w:r>
    </w:p>
    <w:p w14:paraId="08E56520" w14:textId="77777777" w:rsidR="00CF1031" w:rsidRPr="00444606" w:rsidRDefault="00CF1031" w:rsidP="005A0461">
      <w:pPr>
        <w:jc w:val="both"/>
        <w:rPr>
          <w:rFonts w:ascii="Arial" w:hAnsi="Arial" w:cs="Arial"/>
          <w:sz w:val="18"/>
          <w:szCs w:val="18"/>
        </w:rPr>
      </w:pPr>
    </w:p>
    <w:p w14:paraId="63652815" w14:textId="2D4006E9" w:rsidR="00F73D8C" w:rsidRPr="00444606" w:rsidRDefault="003236AE" w:rsidP="00F73D8C">
      <w:pPr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Las entidades</w:t>
      </w:r>
      <w:r w:rsidR="001B355A" w:rsidRPr="00444606">
        <w:rPr>
          <w:rFonts w:ascii="Arial" w:hAnsi="Arial" w:cs="Arial"/>
          <w:sz w:val="18"/>
          <w:szCs w:val="18"/>
        </w:rPr>
        <w:t xml:space="preserve"> pueden solicitar </w:t>
      </w:r>
      <w:r w:rsidRPr="00444606">
        <w:rPr>
          <w:rFonts w:ascii="Arial" w:hAnsi="Arial" w:cs="Arial"/>
          <w:sz w:val="18"/>
          <w:szCs w:val="18"/>
        </w:rPr>
        <w:t xml:space="preserve">autorización </w:t>
      </w:r>
      <w:r w:rsidR="00F73D8C" w:rsidRPr="00444606">
        <w:rPr>
          <w:rFonts w:ascii="Arial" w:hAnsi="Arial" w:cs="Arial"/>
          <w:sz w:val="18"/>
          <w:szCs w:val="18"/>
        </w:rPr>
        <w:t>a la SFC</w:t>
      </w:r>
      <w:r w:rsidRPr="00444606">
        <w:rPr>
          <w:rFonts w:ascii="Arial" w:hAnsi="Arial" w:cs="Arial"/>
          <w:sz w:val="18"/>
          <w:szCs w:val="18"/>
        </w:rPr>
        <w:t xml:space="preserve"> para excluir</w:t>
      </w:r>
      <w:r w:rsidR="00F73D8C" w:rsidRPr="00444606">
        <w:rPr>
          <w:rFonts w:ascii="Arial" w:hAnsi="Arial" w:cs="Arial"/>
          <w:sz w:val="18"/>
          <w:szCs w:val="18"/>
        </w:rPr>
        <w:t xml:space="preserve"> </w:t>
      </w:r>
      <w:r w:rsidRPr="00444606">
        <w:rPr>
          <w:rFonts w:ascii="Arial" w:hAnsi="Arial" w:cs="Arial"/>
          <w:sz w:val="18"/>
          <w:szCs w:val="18"/>
        </w:rPr>
        <w:t xml:space="preserve">determinados eventos </w:t>
      </w:r>
      <w:r w:rsidR="001B355A" w:rsidRPr="00444606">
        <w:rPr>
          <w:rFonts w:ascii="Arial" w:hAnsi="Arial" w:cs="Arial"/>
          <w:sz w:val="18"/>
          <w:szCs w:val="18"/>
        </w:rPr>
        <w:t>de pérdidas operacionales que</w:t>
      </w:r>
      <w:r w:rsidRPr="00444606">
        <w:rPr>
          <w:rFonts w:ascii="Arial" w:hAnsi="Arial" w:cs="Arial"/>
          <w:sz w:val="18"/>
          <w:szCs w:val="18"/>
        </w:rPr>
        <w:t xml:space="preserve"> hayan dejado de s</w:t>
      </w:r>
      <w:r w:rsidR="00B74A59" w:rsidRPr="00444606">
        <w:rPr>
          <w:rFonts w:ascii="Arial" w:hAnsi="Arial" w:cs="Arial"/>
          <w:sz w:val="18"/>
          <w:szCs w:val="18"/>
        </w:rPr>
        <w:t>er relevantes para su</w:t>
      </w:r>
      <w:r w:rsidR="00555FF1" w:rsidRPr="00444606">
        <w:rPr>
          <w:rFonts w:ascii="Arial" w:hAnsi="Arial" w:cs="Arial"/>
          <w:sz w:val="18"/>
          <w:szCs w:val="18"/>
        </w:rPr>
        <w:t xml:space="preserve"> perfil de riesgo.</w:t>
      </w:r>
      <w:r w:rsidRPr="00444606">
        <w:rPr>
          <w:rFonts w:ascii="Arial" w:hAnsi="Arial" w:cs="Arial"/>
          <w:sz w:val="18"/>
          <w:szCs w:val="18"/>
        </w:rPr>
        <w:t xml:space="preserve"> La exclusión </w:t>
      </w:r>
      <w:r w:rsidR="00F73D8C" w:rsidRPr="00444606">
        <w:rPr>
          <w:rFonts w:ascii="Arial" w:hAnsi="Arial" w:cs="Arial"/>
          <w:sz w:val="18"/>
          <w:szCs w:val="18"/>
        </w:rPr>
        <w:t>de dichos eventos</w:t>
      </w:r>
      <w:r w:rsidRPr="00444606">
        <w:rPr>
          <w:rFonts w:ascii="Arial" w:hAnsi="Arial" w:cs="Arial"/>
          <w:sz w:val="18"/>
          <w:szCs w:val="18"/>
        </w:rPr>
        <w:t xml:space="preserve"> será extraordinaria y deberá estar debidamente justificada. </w:t>
      </w:r>
      <w:r w:rsidR="00F73D8C" w:rsidRPr="00444606">
        <w:rPr>
          <w:rFonts w:ascii="Arial" w:hAnsi="Arial" w:cs="Arial"/>
          <w:sz w:val="18"/>
          <w:szCs w:val="18"/>
        </w:rPr>
        <w:t>No obstante, l</w:t>
      </w:r>
      <w:r w:rsidR="00B74A59" w:rsidRPr="00444606">
        <w:rPr>
          <w:rFonts w:ascii="Arial" w:hAnsi="Arial" w:cs="Arial"/>
          <w:sz w:val="18"/>
          <w:szCs w:val="18"/>
        </w:rPr>
        <w:t>as solicitudes de exclusión</w:t>
      </w:r>
      <w:r w:rsidR="00F73D8C" w:rsidRPr="00444606">
        <w:rPr>
          <w:rFonts w:ascii="Arial" w:hAnsi="Arial" w:cs="Arial"/>
          <w:sz w:val="18"/>
          <w:szCs w:val="18"/>
        </w:rPr>
        <w:t xml:space="preserve"> de pérdidas </w:t>
      </w:r>
      <w:r w:rsidR="00EE335D" w:rsidRPr="00444606">
        <w:rPr>
          <w:rFonts w:ascii="Arial" w:hAnsi="Arial" w:cs="Arial"/>
          <w:sz w:val="18"/>
          <w:szCs w:val="18"/>
        </w:rPr>
        <w:t>deben cumplir</w:t>
      </w:r>
      <w:r w:rsidR="00B74A59" w:rsidRPr="00444606">
        <w:rPr>
          <w:rFonts w:ascii="Arial" w:hAnsi="Arial" w:cs="Arial"/>
          <w:sz w:val="18"/>
          <w:szCs w:val="18"/>
        </w:rPr>
        <w:t>,</w:t>
      </w:r>
      <w:r w:rsidR="00EE335D" w:rsidRPr="00444606">
        <w:rPr>
          <w:rFonts w:ascii="Arial" w:hAnsi="Arial" w:cs="Arial"/>
          <w:sz w:val="18"/>
          <w:szCs w:val="18"/>
        </w:rPr>
        <w:t xml:space="preserve"> como mínimo</w:t>
      </w:r>
      <w:r w:rsidR="00B74A59" w:rsidRPr="00444606">
        <w:rPr>
          <w:rFonts w:ascii="Arial" w:hAnsi="Arial" w:cs="Arial"/>
          <w:sz w:val="18"/>
          <w:szCs w:val="18"/>
        </w:rPr>
        <w:t>,</w:t>
      </w:r>
      <w:r w:rsidR="00EE335D" w:rsidRPr="00444606">
        <w:rPr>
          <w:rFonts w:ascii="Arial" w:hAnsi="Arial" w:cs="Arial"/>
          <w:sz w:val="18"/>
          <w:szCs w:val="18"/>
        </w:rPr>
        <w:t xml:space="preserve"> con los siguientes requisitos:</w:t>
      </w:r>
    </w:p>
    <w:p w14:paraId="3ABF94F5" w14:textId="77777777" w:rsidR="00F73D8C" w:rsidRPr="00444606" w:rsidRDefault="00F73D8C" w:rsidP="00F73D8C">
      <w:pPr>
        <w:jc w:val="both"/>
        <w:rPr>
          <w:rFonts w:ascii="Arial" w:hAnsi="Arial" w:cs="Arial"/>
          <w:sz w:val="18"/>
          <w:szCs w:val="18"/>
        </w:rPr>
      </w:pPr>
    </w:p>
    <w:p w14:paraId="62C240FC" w14:textId="5062FABF" w:rsidR="00F73D8C" w:rsidRPr="00444606" w:rsidRDefault="007828EB" w:rsidP="005C7416">
      <w:pPr>
        <w:pStyle w:val="Prrafodelista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El evento de pérdida</w:t>
      </w:r>
      <w:r w:rsidR="00EE335D" w:rsidRPr="00444606">
        <w:rPr>
          <w:rFonts w:ascii="Arial" w:hAnsi="Arial" w:cs="Arial"/>
          <w:sz w:val="18"/>
          <w:szCs w:val="18"/>
        </w:rPr>
        <w:t xml:space="preserve"> a excluir</w:t>
      </w:r>
      <w:r w:rsidRPr="00444606">
        <w:rPr>
          <w:rFonts w:ascii="Arial" w:hAnsi="Arial" w:cs="Arial"/>
          <w:sz w:val="18"/>
          <w:szCs w:val="18"/>
        </w:rPr>
        <w:t xml:space="preserve"> debe</w:t>
      </w:r>
      <w:r w:rsidR="00EE335D" w:rsidRPr="00444606">
        <w:rPr>
          <w:rFonts w:ascii="Arial" w:hAnsi="Arial" w:cs="Arial"/>
          <w:sz w:val="18"/>
          <w:szCs w:val="18"/>
        </w:rPr>
        <w:t xml:space="preserve"> ser mayor que el 5% del promedio de pérdidas</w:t>
      </w:r>
      <w:r w:rsidR="00730161" w:rsidRPr="00444606">
        <w:rPr>
          <w:rFonts w:ascii="Arial" w:hAnsi="Arial" w:cs="Arial"/>
          <w:sz w:val="18"/>
          <w:szCs w:val="18"/>
        </w:rPr>
        <w:t xml:space="preserve"> netas</w:t>
      </w:r>
      <w:r w:rsidR="00EE335D" w:rsidRPr="00444606">
        <w:rPr>
          <w:rFonts w:ascii="Arial" w:hAnsi="Arial" w:cs="Arial"/>
          <w:sz w:val="18"/>
          <w:szCs w:val="18"/>
        </w:rPr>
        <w:t xml:space="preserve"> de la entidad.</w:t>
      </w:r>
    </w:p>
    <w:p w14:paraId="003A5A37" w14:textId="77777777" w:rsidR="0035539B" w:rsidRPr="00444606" w:rsidRDefault="0035539B" w:rsidP="005C7416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5143F669" w14:textId="0C55F017" w:rsidR="00F73D8C" w:rsidRPr="00444606" w:rsidRDefault="007828EB" w:rsidP="005C7416">
      <w:pPr>
        <w:pStyle w:val="Prrafodelista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444606">
        <w:rPr>
          <w:rFonts w:ascii="Arial" w:hAnsi="Arial" w:cs="Arial"/>
          <w:sz w:val="18"/>
          <w:szCs w:val="18"/>
        </w:rPr>
        <w:t>S</w:t>
      </w:r>
      <w:r w:rsidR="00F73D8C" w:rsidRPr="00444606">
        <w:rPr>
          <w:rFonts w:ascii="Arial" w:hAnsi="Arial" w:cs="Arial"/>
          <w:sz w:val="18"/>
          <w:szCs w:val="18"/>
        </w:rPr>
        <w:t xml:space="preserve">olo podrán excluirse </w:t>
      </w:r>
      <w:r w:rsidR="00B74A59" w:rsidRPr="00444606">
        <w:rPr>
          <w:rFonts w:ascii="Arial" w:hAnsi="Arial" w:cs="Arial"/>
          <w:sz w:val="18"/>
          <w:szCs w:val="18"/>
        </w:rPr>
        <w:t xml:space="preserve">los eventos de pérdida que hayan </w:t>
      </w:r>
      <w:r w:rsidR="00F73D8C" w:rsidRPr="00444606">
        <w:rPr>
          <w:rFonts w:ascii="Arial" w:hAnsi="Arial" w:cs="Arial"/>
          <w:sz w:val="18"/>
          <w:szCs w:val="18"/>
        </w:rPr>
        <w:t>formado parte de la base de datos sobre pérdidas por riesgo operacional durante un periodo mínimo</w:t>
      </w:r>
      <w:r w:rsidR="00EE335D" w:rsidRPr="00444606">
        <w:rPr>
          <w:rFonts w:ascii="Arial" w:hAnsi="Arial" w:cs="Arial"/>
          <w:sz w:val="18"/>
          <w:szCs w:val="18"/>
        </w:rPr>
        <w:t xml:space="preserve"> de tres años, </w:t>
      </w:r>
      <w:r w:rsidR="00B74A59" w:rsidRPr="00444606">
        <w:rPr>
          <w:rFonts w:ascii="Arial" w:hAnsi="Arial" w:cs="Arial"/>
          <w:sz w:val="18"/>
          <w:szCs w:val="18"/>
        </w:rPr>
        <w:t>a excepción de los eventos de pé</w:t>
      </w:r>
      <w:r w:rsidR="00EE335D" w:rsidRPr="00444606">
        <w:rPr>
          <w:rFonts w:ascii="Arial" w:hAnsi="Arial" w:cs="Arial"/>
          <w:sz w:val="18"/>
          <w:szCs w:val="18"/>
        </w:rPr>
        <w:t>rdida r</w:t>
      </w:r>
      <w:r w:rsidR="00555FF1" w:rsidRPr="00444606">
        <w:rPr>
          <w:rFonts w:ascii="Arial" w:hAnsi="Arial" w:cs="Arial"/>
          <w:sz w:val="18"/>
          <w:szCs w:val="18"/>
        </w:rPr>
        <w:t>el</w:t>
      </w:r>
      <w:r w:rsidR="00EE335D" w:rsidRPr="00444606">
        <w:rPr>
          <w:rFonts w:ascii="Arial" w:hAnsi="Arial" w:cs="Arial"/>
          <w:sz w:val="18"/>
          <w:szCs w:val="18"/>
        </w:rPr>
        <w:t>acionados con actividades desinvertidas.</w:t>
      </w:r>
    </w:p>
    <w:p w14:paraId="639310EF" w14:textId="4E93BC25" w:rsidR="007828EB" w:rsidRPr="0035539B" w:rsidRDefault="007828EB" w:rsidP="001B355A">
      <w:pPr>
        <w:tabs>
          <w:tab w:val="left" w:pos="5725"/>
        </w:tabs>
        <w:rPr>
          <w:rFonts w:ascii="Arial" w:hAnsi="Arial" w:cs="Arial"/>
          <w:sz w:val="18"/>
          <w:szCs w:val="18"/>
        </w:rPr>
      </w:pPr>
    </w:p>
    <w:sectPr w:rsidR="007828EB" w:rsidRPr="0035539B" w:rsidSect="005453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8722" w:code="14"/>
      <w:pgMar w:top="1134" w:right="1752" w:bottom="1701" w:left="1701" w:header="709" w:footer="709" w:gutter="0"/>
      <w:pgBorders>
        <w:lef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64BFF" w14:textId="77777777" w:rsidR="00302B1D" w:rsidRDefault="00302B1D">
      <w:r>
        <w:separator/>
      </w:r>
    </w:p>
  </w:endnote>
  <w:endnote w:type="continuationSeparator" w:id="0">
    <w:p w14:paraId="48AF75DC" w14:textId="77777777" w:rsidR="00302B1D" w:rsidRDefault="00302B1D">
      <w:r>
        <w:continuationSeparator/>
      </w:r>
    </w:p>
  </w:endnote>
  <w:endnote w:type="continuationNotice" w:id="1">
    <w:p w14:paraId="2D9718E9" w14:textId="77777777" w:rsidR="00302B1D" w:rsidRDefault="00302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ymbo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(W1)">
    <w:altName w:val="Arial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BE62D" w14:textId="77777777" w:rsidR="00666F0D" w:rsidRDefault="00666F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B84D8" w14:textId="3C4AC69D" w:rsidR="000F41E3" w:rsidRDefault="001D4B1F" w:rsidP="005F7F29">
    <w:pPr>
      <w:pStyle w:val="Piedepgina"/>
      <w:tabs>
        <w:tab w:val="clear" w:pos="8504"/>
        <w:tab w:val="right" w:pos="8789"/>
      </w:tabs>
      <w:rPr>
        <w:rFonts w:ascii="Arial" w:hAnsi="Arial"/>
        <w:b/>
        <w:sz w:val="18"/>
      </w:rPr>
    </w:pPr>
    <w:r>
      <w:rPr>
        <w:rFonts w:ascii="Arial" w:hAnsi="Arial"/>
        <w:b/>
        <w:sz w:val="18"/>
      </w:rPr>
      <w:t xml:space="preserve">Circular Externa   </w:t>
    </w:r>
    <w:r w:rsidR="00666F0D">
      <w:rPr>
        <w:rFonts w:ascii="Arial" w:hAnsi="Arial"/>
        <w:b/>
        <w:sz w:val="18"/>
      </w:rPr>
      <w:t>018</w:t>
    </w:r>
    <w:r>
      <w:rPr>
        <w:rFonts w:ascii="Arial" w:hAnsi="Arial"/>
        <w:b/>
        <w:sz w:val="18"/>
      </w:rPr>
      <w:t xml:space="preserve">   de 2021</w:t>
    </w:r>
    <w:r>
      <w:rPr>
        <w:rFonts w:ascii="Arial" w:hAnsi="Arial"/>
        <w:b/>
        <w:sz w:val="18"/>
      </w:rPr>
      <w:tab/>
    </w:r>
    <w:r w:rsidR="001D7E93">
      <w:rPr>
        <w:rFonts w:ascii="Arial" w:hAnsi="Arial"/>
        <w:b/>
        <w:sz w:val="18"/>
      </w:rPr>
      <w:t xml:space="preserve">                    </w:t>
    </w:r>
    <w:r w:rsidR="001D7E93">
      <w:rPr>
        <w:rFonts w:ascii="Arial" w:hAnsi="Arial"/>
        <w:b/>
        <w:sz w:val="18"/>
      </w:rPr>
      <w:tab/>
    </w:r>
    <w:r w:rsidR="005F7F29">
      <w:rPr>
        <w:rFonts w:ascii="Arial" w:hAnsi="Arial"/>
        <w:b/>
        <w:sz w:val="18"/>
      </w:rPr>
      <w:t xml:space="preserve">Septiembre </w:t>
    </w:r>
    <w:r w:rsidR="001D7E93">
      <w:rPr>
        <w:rFonts w:ascii="Arial" w:hAnsi="Arial"/>
        <w:b/>
        <w:sz w:val="18"/>
      </w:rPr>
      <w:t>de 2021</w:t>
    </w:r>
  </w:p>
  <w:p w14:paraId="2DE92336" w14:textId="593283EB" w:rsidR="000F41E3" w:rsidRPr="00AD73C8" w:rsidRDefault="000F41E3" w:rsidP="003C2248">
    <w:pPr>
      <w:rPr>
        <w:b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E3C5D" w14:textId="77777777" w:rsidR="00666F0D" w:rsidRDefault="00666F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9AF38" w14:textId="77777777" w:rsidR="00302B1D" w:rsidRDefault="00302B1D">
      <w:r>
        <w:separator/>
      </w:r>
    </w:p>
  </w:footnote>
  <w:footnote w:type="continuationSeparator" w:id="0">
    <w:p w14:paraId="57382E45" w14:textId="77777777" w:rsidR="00302B1D" w:rsidRDefault="00302B1D">
      <w:r>
        <w:continuationSeparator/>
      </w:r>
    </w:p>
  </w:footnote>
  <w:footnote w:type="continuationNotice" w:id="1">
    <w:p w14:paraId="2F1DF24B" w14:textId="77777777" w:rsidR="00302B1D" w:rsidRDefault="00302B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3A24" w14:textId="77777777" w:rsidR="00666F0D" w:rsidRDefault="00666F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622C" w14:textId="00585E7C" w:rsidR="003573BA" w:rsidRDefault="003573BA" w:rsidP="003573BA">
    <w:pPr>
      <w:pStyle w:val="Encabezado"/>
      <w:jc w:val="center"/>
      <w:rPr>
        <w:rFonts w:ascii="Arial" w:hAnsi="Arial" w:cs="Arial"/>
        <w:b/>
        <w:bCs/>
      </w:rPr>
    </w:pPr>
    <w:r w:rsidRPr="003573BA">
      <w:rPr>
        <w:rFonts w:ascii="Arial" w:hAnsi="Arial" w:cs="Arial"/>
        <w:b/>
        <w:bCs/>
      </w:rPr>
      <w:t>SUPERINTENCIA FINANCIERA DE COLOMBIA</w:t>
    </w:r>
  </w:p>
  <w:p w14:paraId="592D7B2F" w14:textId="40DBA67F" w:rsidR="00BE5F6A" w:rsidRDefault="00BE5F6A" w:rsidP="003573BA">
    <w:pPr>
      <w:pStyle w:val="Encabezado"/>
      <w:jc w:val="center"/>
      <w:rPr>
        <w:rFonts w:ascii="Arial" w:hAnsi="Arial" w:cs="Arial"/>
        <w:b/>
        <w:bCs/>
      </w:rPr>
    </w:pPr>
  </w:p>
  <w:p w14:paraId="1ECAC2DB" w14:textId="3AC4368C" w:rsidR="00947486" w:rsidRDefault="00947486" w:rsidP="00947486">
    <w:pPr>
      <w:pStyle w:val="Encabezado"/>
      <w:ind w:right="-21"/>
      <w:rPr>
        <w:rFonts w:ascii="Arial" w:hAnsi="Arial"/>
        <w:b/>
        <w:sz w:val="18"/>
      </w:rPr>
    </w:pPr>
    <w:r>
      <w:rPr>
        <w:rFonts w:ascii="Arial" w:hAnsi="Arial"/>
        <w:b/>
        <w:sz w:val="18"/>
      </w:rPr>
      <w:t>CAPÍTULO XXXI SISTEMA INTEGRAL DE ADMINISTRACIÓN DE RIESGOS</w:t>
    </w:r>
    <w:r w:rsidR="00760EA8">
      <w:rPr>
        <w:rFonts w:ascii="Arial" w:hAnsi="Arial"/>
        <w:b/>
        <w:sz w:val="18"/>
      </w:rPr>
      <w:t xml:space="preserve"> (SIAR)</w:t>
    </w:r>
  </w:p>
  <w:p w14:paraId="63A20B19" w14:textId="77777777" w:rsidR="00947486" w:rsidRDefault="00947486" w:rsidP="00947486">
    <w:pPr>
      <w:pStyle w:val="Encabezado"/>
      <w:rPr>
        <w:rFonts w:ascii="Arial (W1)" w:hAnsi="Arial (W1)"/>
        <w:b/>
        <w:sz w:val="18"/>
        <w:szCs w:val="18"/>
      </w:rPr>
    </w:pPr>
    <w:r w:rsidRPr="001A3E3E">
      <w:rPr>
        <w:rFonts w:ascii="Arial (W1)" w:hAnsi="Arial (W1)"/>
        <w:b/>
        <w:sz w:val="18"/>
        <w:szCs w:val="18"/>
      </w:rPr>
      <w:t>Página</w:t>
    </w:r>
    <w:r>
      <w:rPr>
        <w:rFonts w:ascii="Arial (W1)" w:hAnsi="Arial (W1)"/>
        <w:b/>
        <w:sz w:val="18"/>
        <w:szCs w:val="18"/>
      </w:rPr>
      <w:t xml:space="preserve"> </w:t>
    </w:r>
    <w:r w:rsidRPr="001A3E3E">
      <w:rPr>
        <w:rFonts w:ascii="Arial (W1)" w:hAnsi="Arial (W1)"/>
        <w:b/>
        <w:sz w:val="18"/>
        <w:szCs w:val="18"/>
      </w:rPr>
      <w:fldChar w:fldCharType="begin"/>
    </w:r>
    <w:r w:rsidRPr="001A3E3E">
      <w:rPr>
        <w:rFonts w:ascii="Arial (W1)" w:hAnsi="Arial (W1)"/>
        <w:b/>
        <w:sz w:val="18"/>
        <w:szCs w:val="18"/>
      </w:rPr>
      <w:instrText>PAGE   \* MERGEFORMAT</w:instrText>
    </w:r>
    <w:r w:rsidRPr="001A3E3E">
      <w:rPr>
        <w:rFonts w:ascii="Arial (W1)" w:hAnsi="Arial (W1)"/>
        <w:b/>
        <w:sz w:val="18"/>
        <w:szCs w:val="18"/>
      </w:rPr>
      <w:fldChar w:fldCharType="separate"/>
    </w:r>
    <w:r>
      <w:rPr>
        <w:rFonts w:ascii="Arial (W1)" w:hAnsi="Arial (W1)"/>
        <w:b/>
        <w:sz w:val="18"/>
        <w:szCs w:val="18"/>
      </w:rPr>
      <w:t>1</w:t>
    </w:r>
    <w:r w:rsidRPr="001A3E3E">
      <w:rPr>
        <w:rFonts w:ascii="Arial (W1)" w:hAnsi="Arial (W1)"/>
        <w:b/>
        <w:sz w:val="18"/>
        <w:szCs w:val="18"/>
      </w:rPr>
      <w:fldChar w:fldCharType="end"/>
    </w:r>
  </w:p>
  <w:p w14:paraId="458F37FE" w14:textId="77777777" w:rsidR="00BE5F6A" w:rsidRPr="003573BA" w:rsidRDefault="00BE5F6A" w:rsidP="003573BA">
    <w:pPr>
      <w:pStyle w:val="Encabezado"/>
      <w:jc w:val="center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116C" w14:textId="77777777" w:rsidR="00666F0D" w:rsidRDefault="00666F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2BC9"/>
    <w:multiLevelType w:val="hybridMultilevel"/>
    <w:tmpl w:val="AFB41AE4"/>
    <w:lvl w:ilvl="0" w:tplc="6444DC9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11AA082C">
      <w:start w:val="1"/>
      <w:numFmt w:val="lowerLetter"/>
      <w:lvlText w:val="%2."/>
      <w:lvlJc w:val="left"/>
      <w:pPr>
        <w:ind w:left="870" w:hanging="9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7A03098"/>
    <w:multiLevelType w:val="hybridMultilevel"/>
    <w:tmpl w:val="0EE49E8A"/>
    <w:lvl w:ilvl="0" w:tplc="AFDC400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644A9"/>
    <w:multiLevelType w:val="hybridMultilevel"/>
    <w:tmpl w:val="E97CFAE6"/>
    <w:lvl w:ilvl="0" w:tplc="CF3478CA">
      <w:start w:val="1"/>
      <w:numFmt w:val="lowerLetter"/>
      <w:lvlText w:val="%1."/>
      <w:lvlJc w:val="left"/>
      <w:pPr>
        <w:ind w:left="360" w:hanging="360"/>
      </w:pPr>
      <w:rPr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83D85"/>
    <w:multiLevelType w:val="hybridMultilevel"/>
    <w:tmpl w:val="D458AFB0"/>
    <w:lvl w:ilvl="0" w:tplc="4510D6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1321A"/>
    <w:multiLevelType w:val="hybridMultilevel"/>
    <w:tmpl w:val="D4E2A0E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B0ED5"/>
    <w:multiLevelType w:val="multilevel"/>
    <w:tmpl w:val="DD50DD1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 w15:restartNumberingAfterBreak="0">
    <w:nsid w:val="44721630"/>
    <w:multiLevelType w:val="hybridMultilevel"/>
    <w:tmpl w:val="C8142626"/>
    <w:lvl w:ilvl="0" w:tplc="C82022F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274BB"/>
    <w:multiLevelType w:val="multilevel"/>
    <w:tmpl w:val="0540A8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6B3479E0"/>
    <w:multiLevelType w:val="hybridMultilevel"/>
    <w:tmpl w:val="B9241546"/>
    <w:lvl w:ilvl="0" w:tplc="65FAAC0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02016"/>
    <w:multiLevelType w:val="multilevel"/>
    <w:tmpl w:val="DD50DD1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73C1755B"/>
    <w:multiLevelType w:val="hybridMultilevel"/>
    <w:tmpl w:val="B302CEB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D79"/>
    <w:rsid w:val="00000537"/>
    <w:rsid w:val="00000DCA"/>
    <w:rsid w:val="000028E4"/>
    <w:rsid w:val="0000337D"/>
    <w:rsid w:val="00004711"/>
    <w:rsid w:val="00004D43"/>
    <w:rsid w:val="00005665"/>
    <w:rsid w:val="000063D5"/>
    <w:rsid w:val="000079C2"/>
    <w:rsid w:val="00007A72"/>
    <w:rsid w:val="00007C2B"/>
    <w:rsid w:val="00011731"/>
    <w:rsid w:val="00012BF5"/>
    <w:rsid w:val="00013415"/>
    <w:rsid w:val="00013750"/>
    <w:rsid w:val="000176A9"/>
    <w:rsid w:val="0002131D"/>
    <w:rsid w:val="00022E5F"/>
    <w:rsid w:val="0002321A"/>
    <w:rsid w:val="0002346D"/>
    <w:rsid w:val="00025ED3"/>
    <w:rsid w:val="0002611E"/>
    <w:rsid w:val="00030244"/>
    <w:rsid w:val="00030330"/>
    <w:rsid w:val="00030875"/>
    <w:rsid w:val="000317BC"/>
    <w:rsid w:val="0003269C"/>
    <w:rsid w:val="0003488B"/>
    <w:rsid w:val="0003518A"/>
    <w:rsid w:val="00035752"/>
    <w:rsid w:val="0003668E"/>
    <w:rsid w:val="00036880"/>
    <w:rsid w:val="00036FD1"/>
    <w:rsid w:val="00040B5C"/>
    <w:rsid w:val="00041860"/>
    <w:rsid w:val="000422AD"/>
    <w:rsid w:val="000446B0"/>
    <w:rsid w:val="00045A50"/>
    <w:rsid w:val="0004606D"/>
    <w:rsid w:val="00050000"/>
    <w:rsid w:val="000502AC"/>
    <w:rsid w:val="00050D65"/>
    <w:rsid w:val="000518D9"/>
    <w:rsid w:val="00051BB6"/>
    <w:rsid w:val="000530F5"/>
    <w:rsid w:val="000547DB"/>
    <w:rsid w:val="0005618E"/>
    <w:rsid w:val="00056877"/>
    <w:rsid w:val="000629C4"/>
    <w:rsid w:val="00063994"/>
    <w:rsid w:val="00066027"/>
    <w:rsid w:val="000666F0"/>
    <w:rsid w:val="000674C7"/>
    <w:rsid w:val="00067591"/>
    <w:rsid w:val="0007069D"/>
    <w:rsid w:val="000710F9"/>
    <w:rsid w:val="0007183F"/>
    <w:rsid w:val="00071C0A"/>
    <w:rsid w:val="000722D8"/>
    <w:rsid w:val="000746B7"/>
    <w:rsid w:val="000752E3"/>
    <w:rsid w:val="00076672"/>
    <w:rsid w:val="000767CA"/>
    <w:rsid w:val="0008100F"/>
    <w:rsid w:val="00081178"/>
    <w:rsid w:val="00081A18"/>
    <w:rsid w:val="000824FB"/>
    <w:rsid w:val="0008359D"/>
    <w:rsid w:val="00083617"/>
    <w:rsid w:val="00083B97"/>
    <w:rsid w:val="000845BA"/>
    <w:rsid w:val="00085841"/>
    <w:rsid w:val="00094151"/>
    <w:rsid w:val="000946BC"/>
    <w:rsid w:val="00096506"/>
    <w:rsid w:val="00096C70"/>
    <w:rsid w:val="000A15F6"/>
    <w:rsid w:val="000A1A46"/>
    <w:rsid w:val="000A5A93"/>
    <w:rsid w:val="000A61A2"/>
    <w:rsid w:val="000A695E"/>
    <w:rsid w:val="000A6D4E"/>
    <w:rsid w:val="000A716F"/>
    <w:rsid w:val="000A72E9"/>
    <w:rsid w:val="000A78A5"/>
    <w:rsid w:val="000A7AB2"/>
    <w:rsid w:val="000B1730"/>
    <w:rsid w:val="000B1B48"/>
    <w:rsid w:val="000B2392"/>
    <w:rsid w:val="000B2B2C"/>
    <w:rsid w:val="000B3C3B"/>
    <w:rsid w:val="000B4075"/>
    <w:rsid w:val="000B4847"/>
    <w:rsid w:val="000B537E"/>
    <w:rsid w:val="000C1034"/>
    <w:rsid w:val="000C144D"/>
    <w:rsid w:val="000C2ABB"/>
    <w:rsid w:val="000C2BA6"/>
    <w:rsid w:val="000C3B01"/>
    <w:rsid w:val="000C44B7"/>
    <w:rsid w:val="000C5548"/>
    <w:rsid w:val="000C730A"/>
    <w:rsid w:val="000C73E6"/>
    <w:rsid w:val="000C764A"/>
    <w:rsid w:val="000D059C"/>
    <w:rsid w:val="000D0795"/>
    <w:rsid w:val="000D0815"/>
    <w:rsid w:val="000D17C1"/>
    <w:rsid w:val="000D1E91"/>
    <w:rsid w:val="000D26BA"/>
    <w:rsid w:val="000D34B0"/>
    <w:rsid w:val="000D5B0C"/>
    <w:rsid w:val="000D63CC"/>
    <w:rsid w:val="000D6830"/>
    <w:rsid w:val="000D69B2"/>
    <w:rsid w:val="000D6BE2"/>
    <w:rsid w:val="000D71CE"/>
    <w:rsid w:val="000E2F0E"/>
    <w:rsid w:val="000E36B5"/>
    <w:rsid w:val="000E3D7F"/>
    <w:rsid w:val="000E3DD0"/>
    <w:rsid w:val="000E56D2"/>
    <w:rsid w:val="000E59DC"/>
    <w:rsid w:val="000E6E2B"/>
    <w:rsid w:val="000F091E"/>
    <w:rsid w:val="000F23E8"/>
    <w:rsid w:val="000F261B"/>
    <w:rsid w:val="000F2BB7"/>
    <w:rsid w:val="000F41E3"/>
    <w:rsid w:val="000F436E"/>
    <w:rsid w:val="000F4E32"/>
    <w:rsid w:val="000F5426"/>
    <w:rsid w:val="000F606A"/>
    <w:rsid w:val="000F748B"/>
    <w:rsid w:val="00100271"/>
    <w:rsid w:val="00101193"/>
    <w:rsid w:val="001020F3"/>
    <w:rsid w:val="001026B7"/>
    <w:rsid w:val="00103436"/>
    <w:rsid w:val="0010356B"/>
    <w:rsid w:val="00103E17"/>
    <w:rsid w:val="0010410E"/>
    <w:rsid w:val="00104D94"/>
    <w:rsid w:val="00105CD6"/>
    <w:rsid w:val="00106120"/>
    <w:rsid w:val="00106866"/>
    <w:rsid w:val="001069E0"/>
    <w:rsid w:val="00111AEF"/>
    <w:rsid w:val="001120E8"/>
    <w:rsid w:val="0011232E"/>
    <w:rsid w:val="00115128"/>
    <w:rsid w:val="001156FB"/>
    <w:rsid w:val="00115837"/>
    <w:rsid w:val="001171BE"/>
    <w:rsid w:val="00117677"/>
    <w:rsid w:val="00117F7A"/>
    <w:rsid w:val="001200E6"/>
    <w:rsid w:val="0012014D"/>
    <w:rsid w:val="0012059D"/>
    <w:rsid w:val="001215B0"/>
    <w:rsid w:val="0012171D"/>
    <w:rsid w:val="00121B5E"/>
    <w:rsid w:val="00121CEC"/>
    <w:rsid w:val="00121DDF"/>
    <w:rsid w:val="00122C3E"/>
    <w:rsid w:val="001235C6"/>
    <w:rsid w:val="00123A83"/>
    <w:rsid w:val="00123ABF"/>
    <w:rsid w:val="00123D17"/>
    <w:rsid w:val="00124701"/>
    <w:rsid w:val="0012599B"/>
    <w:rsid w:val="00125DDB"/>
    <w:rsid w:val="0013037E"/>
    <w:rsid w:val="001303F3"/>
    <w:rsid w:val="00130E8E"/>
    <w:rsid w:val="00131285"/>
    <w:rsid w:val="0013266C"/>
    <w:rsid w:val="00132998"/>
    <w:rsid w:val="00132D2C"/>
    <w:rsid w:val="0013578B"/>
    <w:rsid w:val="00135C27"/>
    <w:rsid w:val="00136676"/>
    <w:rsid w:val="001376B9"/>
    <w:rsid w:val="00137C0C"/>
    <w:rsid w:val="00137CEA"/>
    <w:rsid w:val="00140F00"/>
    <w:rsid w:val="00141ACA"/>
    <w:rsid w:val="00142B7E"/>
    <w:rsid w:val="001433BB"/>
    <w:rsid w:val="00143A49"/>
    <w:rsid w:val="00143CC7"/>
    <w:rsid w:val="0014421E"/>
    <w:rsid w:val="0014464F"/>
    <w:rsid w:val="001454D3"/>
    <w:rsid w:val="00145792"/>
    <w:rsid w:val="0014662B"/>
    <w:rsid w:val="001469BD"/>
    <w:rsid w:val="00146CED"/>
    <w:rsid w:val="00146F6A"/>
    <w:rsid w:val="001470AD"/>
    <w:rsid w:val="00150168"/>
    <w:rsid w:val="00151323"/>
    <w:rsid w:val="001528D7"/>
    <w:rsid w:val="00153131"/>
    <w:rsid w:val="00154A62"/>
    <w:rsid w:val="00156788"/>
    <w:rsid w:val="0015708A"/>
    <w:rsid w:val="00157901"/>
    <w:rsid w:val="00157AA2"/>
    <w:rsid w:val="00162021"/>
    <w:rsid w:val="001631A0"/>
    <w:rsid w:val="00165337"/>
    <w:rsid w:val="00166ADE"/>
    <w:rsid w:val="00166F44"/>
    <w:rsid w:val="00171B92"/>
    <w:rsid w:val="001737DF"/>
    <w:rsid w:val="00173BB0"/>
    <w:rsid w:val="00173DDE"/>
    <w:rsid w:val="00173FE9"/>
    <w:rsid w:val="00174248"/>
    <w:rsid w:val="00174494"/>
    <w:rsid w:val="00175217"/>
    <w:rsid w:val="00175D72"/>
    <w:rsid w:val="00176ADE"/>
    <w:rsid w:val="001773BD"/>
    <w:rsid w:val="001801A1"/>
    <w:rsid w:val="001807AB"/>
    <w:rsid w:val="0018088C"/>
    <w:rsid w:val="00182390"/>
    <w:rsid w:val="001849EC"/>
    <w:rsid w:val="00184D37"/>
    <w:rsid w:val="00184DEC"/>
    <w:rsid w:val="001909A8"/>
    <w:rsid w:val="00190C1E"/>
    <w:rsid w:val="00191050"/>
    <w:rsid w:val="00192D1F"/>
    <w:rsid w:val="00193A25"/>
    <w:rsid w:val="001942BA"/>
    <w:rsid w:val="00194C5C"/>
    <w:rsid w:val="00197B63"/>
    <w:rsid w:val="00197B9E"/>
    <w:rsid w:val="00197CCD"/>
    <w:rsid w:val="001A0DD2"/>
    <w:rsid w:val="001A2362"/>
    <w:rsid w:val="001A4A8C"/>
    <w:rsid w:val="001A74D8"/>
    <w:rsid w:val="001A7FCD"/>
    <w:rsid w:val="001B1B32"/>
    <w:rsid w:val="001B29A5"/>
    <w:rsid w:val="001B3410"/>
    <w:rsid w:val="001B355A"/>
    <w:rsid w:val="001B530A"/>
    <w:rsid w:val="001B540D"/>
    <w:rsid w:val="001B5D53"/>
    <w:rsid w:val="001B65F5"/>
    <w:rsid w:val="001B6E6D"/>
    <w:rsid w:val="001B7A3F"/>
    <w:rsid w:val="001C02C0"/>
    <w:rsid w:val="001C1149"/>
    <w:rsid w:val="001C32AB"/>
    <w:rsid w:val="001C34CF"/>
    <w:rsid w:val="001C4085"/>
    <w:rsid w:val="001C6BEC"/>
    <w:rsid w:val="001C6C9E"/>
    <w:rsid w:val="001D05B9"/>
    <w:rsid w:val="001D0CC5"/>
    <w:rsid w:val="001D1773"/>
    <w:rsid w:val="001D3323"/>
    <w:rsid w:val="001D355D"/>
    <w:rsid w:val="001D4B1F"/>
    <w:rsid w:val="001D587E"/>
    <w:rsid w:val="001D7E93"/>
    <w:rsid w:val="001E0467"/>
    <w:rsid w:val="001E0513"/>
    <w:rsid w:val="001E11E8"/>
    <w:rsid w:val="001E1F5E"/>
    <w:rsid w:val="001E398F"/>
    <w:rsid w:val="001E3D75"/>
    <w:rsid w:val="001E46D9"/>
    <w:rsid w:val="001E64E2"/>
    <w:rsid w:val="001E6520"/>
    <w:rsid w:val="001E6C00"/>
    <w:rsid w:val="001E6E35"/>
    <w:rsid w:val="001E72AC"/>
    <w:rsid w:val="001F1BA3"/>
    <w:rsid w:val="001F28A9"/>
    <w:rsid w:val="001F2D42"/>
    <w:rsid w:val="001F2DC8"/>
    <w:rsid w:val="001F4092"/>
    <w:rsid w:val="001F50BE"/>
    <w:rsid w:val="001F6B9A"/>
    <w:rsid w:val="001F769E"/>
    <w:rsid w:val="001F792F"/>
    <w:rsid w:val="002015EA"/>
    <w:rsid w:val="00201B80"/>
    <w:rsid w:val="00202351"/>
    <w:rsid w:val="00205201"/>
    <w:rsid w:val="00205CDC"/>
    <w:rsid w:val="0021374D"/>
    <w:rsid w:val="00213C05"/>
    <w:rsid w:val="00213CFA"/>
    <w:rsid w:val="00213E9B"/>
    <w:rsid w:val="002150B6"/>
    <w:rsid w:val="0021537C"/>
    <w:rsid w:val="002155DE"/>
    <w:rsid w:val="002157A6"/>
    <w:rsid w:val="00215E7C"/>
    <w:rsid w:val="00216372"/>
    <w:rsid w:val="00217794"/>
    <w:rsid w:val="0022109D"/>
    <w:rsid w:val="0022118A"/>
    <w:rsid w:val="0022139A"/>
    <w:rsid w:val="00222D12"/>
    <w:rsid w:val="00222FDE"/>
    <w:rsid w:val="0022445A"/>
    <w:rsid w:val="002251BF"/>
    <w:rsid w:val="002265A7"/>
    <w:rsid w:val="002268F6"/>
    <w:rsid w:val="002269A3"/>
    <w:rsid w:val="00227677"/>
    <w:rsid w:val="00230477"/>
    <w:rsid w:val="002308ED"/>
    <w:rsid w:val="00233027"/>
    <w:rsid w:val="00233E42"/>
    <w:rsid w:val="00233FD1"/>
    <w:rsid w:val="002342F2"/>
    <w:rsid w:val="00234C6A"/>
    <w:rsid w:val="00240E45"/>
    <w:rsid w:val="00240E9D"/>
    <w:rsid w:val="00241F52"/>
    <w:rsid w:val="002442D8"/>
    <w:rsid w:val="00244ACE"/>
    <w:rsid w:val="0024599F"/>
    <w:rsid w:val="00245DC2"/>
    <w:rsid w:val="00245E2F"/>
    <w:rsid w:val="002461DB"/>
    <w:rsid w:val="0024738C"/>
    <w:rsid w:val="002505B2"/>
    <w:rsid w:val="00251877"/>
    <w:rsid w:val="002526F8"/>
    <w:rsid w:val="00252783"/>
    <w:rsid w:val="00252F32"/>
    <w:rsid w:val="002539B0"/>
    <w:rsid w:val="002557CF"/>
    <w:rsid w:val="00256029"/>
    <w:rsid w:val="0025747B"/>
    <w:rsid w:val="00257BEB"/>
    <w:rsid w:val="00261576"/>
    <w:rsid w:val="0026159A"/>
    <w:rsid w:val="00262652"/>
    <w:rsid w:val="00263912"/>
    <w:rsid w:val="00263F32"/>
    <w:rsid w:val="00265CDB"/>
    <w:rsid w:val="00265E6B"/>
    <w:rsid w:val="00267EF5"/>
    <w:rsid w:val="00270956"/>
    <w:rsid w:val="002714CC"/>
    <w:rsid w:val="00272C40"/>
    <w:rsid w:val="00272ECB"/>
    <w:rsid w:val="002737E3"/>
    <w:rsid w:val="00273CDB"/>
    <w:rsid w:val="00275D8A"/>
    <w:rsid w:val="00277AA4"/>
    <w:rsid w:val="002807FE"/>
    <w:rsid w:val="0028082A"/>
    <w:rsid w:val="00282985"/>
    <w:rsid w:val="00282FBE"/>
    <w:rsid w:val="002833BE"/>
    <w:rsid w:val="00284A16"/>
    <w:rsid w:val="00284FEC"/>
    <w:rsid w:val="002876A4"/>
    <w:rsid w:val="00287943"/>
    <w:rsid w:val="00287E2F"/>
    <w:rsid w:val="00291163"/>
    <w:rsid w:val="00291187"/>
    <w:rsid w:val="00291CD4"/>
    <w:rsid w:val="002929CC"/>
    <w:rsid w:val="0029387C"/>
    <w:rsid w:val="0029550C"/>
    <w:rsid w:val="00296AA5"/>
    <w:rsid w:val="00297544"/>
    <w:rsid w:val="002A1682"/>
    <w:rsid w:val="002A169D"/>
    <w:rsid w:val="002A23A3"/>
    <w:rsid w:val="002A3ACF"/>
    <w:rsid w:val="002A3F5B"/>
    <w:rsid w:val="002A5DE0"/>
    <w:rsid w:val="002A7A38"/>
    <w:rsid w:val="002B0623"/>
    <w:rsid w:val="002B0ED3"/>
    <w:rsid w:val="002B2F01"/>
    <w:rsid w:val="002B3496"/>
    <w:rsid w:val="002B6623"/>
    <w:rsid w:val="002B6849"/>
    <w:rsid w:val="002B7E52"/>
    <w:rsid w:val="002C0053"/>
    <w:rsid w:val="002C022B"/>
    <w:rsid w:val="002C02ED"/>
    <w:rsid w:val="002C031C"/>
    <w:rsid w:val="002C1EAF"/>
    <w:rsid w:val="002C2254"/>
    <w:rsid w:val="002C2653"/>
    <w:rsid w:val="002C31C2"/>
    <w:rsid w:val="002C3A50"/>
    <w:rsid w:val="002C4101"/>
    <w:rsid w:val="002C46D3"/>
    <w:rsid w:val="002C56D7"/>
    <w:rsid w:val="002C6E1D"/>
    <w:rsid w:val="002C75C3"/>
    <w:rsid w:val="002C7E93"/>
    <w:rsid w:val="002D3EB0"/>
    <w:rsid w:val="002D4D27"/>
    <w:rsid w:val="002D6521"/>
    <w:rsid w:val="002D6B57"/>
    <w:rsid w:val="002D7AD3"/>
    <w:rsid w:val="002E05B2"/>
    <w:rsid w:val="002E1D7D"/>
    <w:rsid w:val="002E266C"/>
    <w:rsid w:val="002E468A"/>
    <w:rsid w:val="002E4D47"/>
    <w:rsid w:val="002E53A1"/>
    <w:rsid w:val="002E5647"/>
    <w:rsid w:val="002E5689"/>
    <w:rsid w:val="002E7C44"/>
    <w:rsid w:val="002F0A2B"/>
    <w:rsid w:val="002F0B66"/>
    <w:rsid w:val="002F0B6F"/>
    <w:rsid w:val="002F0F7C"/>
    <w:rsid w:val="002F17B2"/>
    <w:rsid w:val="002F1C3A"/>
    <w:rsid w:val="002F4B1F"/>
    <w:rsid w:val="002F6BE1"/>
    <w:rsid w:val="002F72A5"/>
    <w:rsid w:val="00300293"/>
    <w:rsid w:val="00300598"/>
    <w:rsid w:val="00300D95"/>
    <w:rsid w:val="0030176F"/>
    <w:rsid w:val="00302B1D"/>
    <w:rsid w:val="003032F7"/>
    <w:rsid w:val="0030370D"/>
    <w:rsid w:val="00303781"/>
    <w:rsid w:val="003043D7"/>
    <w:rsid w:val="00304E78"/>
    <w:rsid w:val="00305C73"/>
    <w:rsid w:val="00306B89"/>
    <w:rsid w:val="003072AD"/>
    <w:rsid w:val="003076E4"/>
    <w:rsid w:val="003078BE"/>
    <w:rsid w:val="00307D35"/>
    <w:rsid w:val="00311288"/>
    <w:rsid w:val="00311376"/>
    <w:rsid w:val="003136D6"/>
    <w:rsid w:val="003137DB"/>
    <w:rsid w:val="00314117"/>
    <w:rsid w:val="003145A1"/>
    <w:rsid w:val="00317853"/>
    <w:rsid w:val="003178D8"/>
    <w:rsid w:val="00317B20"/>
    <w:rsid w:val="0032074C"/>
    <w:rsid w:val="0032079B"/>
    <w:rsid w:val="003208FE"/>
    <w:rsid w:val="00321807"/>
    <w:rsid w:val="00321CED"/>
    <w:rsid w:val="00322EA2"/>
    <w:rsid w:val="00323063"/>
    <w:rsid w:val="0032331A"/>
    <w:rsid w:val="003236AE"/>
    <w:rsid w:val="00323A85"/>
    <w:rsid w:val="0032470C"/>
    <w:rsid w:val="00326B62"/>
    <w:rsid w:val="00327A04"/>
    <w:rsid w:val="00330472"/>
    <w:rsid w:val="00330658"/>
    <w:rsid w:val="00330AC6"/>
    <w:rsid w:val="00331DEE"/>
    <w:rsid w:val="00333F3D"/>
    <w:rsid w:val="00334185"/>
    <w:rsid w:val="00334623"/>
    <w:rsid w:val="00334D0A"/>
    <w:rsid w:val="0033729B"/>
    <w:rsid w:val="003404A4"/>
    <w:rsid w:val="00340FD6"/>
    <w:rsid w:val="003419DF"/>
    <w:rsid w:val="00341A4F"/>
    <w:rsid w:val="00341D6A"/>
    <w:rsid w:val="00343AA1"/>
    <w:rsid w:val="0034444F"/>
    <w:rsid w:val="00345A0F"/>
    <w:rsid w:val="003466E2"/>
    <w:rsid w:val="00347E91"/>
    <w:rsid w:val="0035036A"/>
    <w:rsid w:val="00350821"/>
    <w:rsid w:val="00350CEE"/>
    <w:rsid w:val="0035188C"/>
    <w:rsid w:val="00352ABB"/>
    <w:rsid w:val="00352CD4"/>
    <w:rsid w:val="00352DE9"/>
    <w:rsid w:val="00352E10"/>
    <w:rsid w:val="00353085"/>
    <w:rsid w:val="00353CDC"/>
    <w:rsid w:val="00354C31"/>
    <w:rsid w:val="003552DE"/>
    <w:rsid w:val="0035539B"/>
    <w:rsid w:val="00355E0F"/>
    <w:rsid w:val="00356D7D"/>
    <w:rsid w:val="00357291"/>
    <w:rsid w:val="0035735B"/>
    <w:rsid w:val="003573BA"/>
    <w:rsid w:val="00357558"/>
    <w:rsid w:val="00357FD0"/>
    <w:rsid w:val="0036021E"/>
    <w:rsid w:val="00360616"/>
    <w:rsid w:val="00360A5A"/>
    <w:rsid w:val="00361995"/>
    <w:rsid w:val="0036232E"/>
    <w:rsid w:val="00362533"/>
    <w:rsid w:val="00362993"/>
    <w:rsid w:val="003632D4"/>
    <w:rsid w:val="00363377"/>
    <w:rsid w:val="00363983"/>
    <w:rsid w:val="00365568"/>
    <w:rsid w:val="0036633D"/>
    <w:rsid w:val="00367067"/>
    <w:rsid w:val="00367D81"/>
    <w:rsid w:val="0037224A"/>
    <w:rsid w:val="00373847"/>
    <w:rsid w:val="00373B96"/>
    <w:rsid w:val="00374E30"/>
    <w:rsid w:val="00376D5B"/>
    <w:rsid w:val="003776EB"/>
    <w:rsid w:val="00377749"/>
    <w:rsid w:val="003801EE"/>
    <w:rsid w:val="0038109A"/>
    <w:rsid w:val="0038151B"/>
    <w:rsid w:val="003821C2"/>
    <w:rsid w:val="00382FBF"/>
    <w:rsid w:val="00383040"/>
    <w:rsid w:val="00383FC2"/>
    <w:rsid w:val="00384092"/>
    <w:rsid w:val="003846BC"/>
    <w:rsid w:val="003853FD"/>
    <w:rsid w:val="0038569C"/>
    <w:rsid w:val="00387147"/>
    <w:rsid w:val="003871F0"/>
    <w:rsid w:val="00387CAD"/>
    <w:rsid w:val="00390105"/>
    <w:rsid w:val="0039295B"/>
    <w:rsid w:val="00392BBA"/>
    <w:rsid w:val="003953C3"/>
    <w:rsid w:val="00395C28"/>
    <w:rsid w:val="00396DC8"/>
    <w:rsid w:val="0039711C"/>
    <w:rsid w:val="003973CE"/>
    <w:rsid w:val="00397E47"/>
    <w:rsid w:val="003A017A"/>
    <w:rsid w:val="003A1557"/>
    <w:rsid w:val="003A2E0E"/>
    <w:rsid w:val="003A3070"/>
    <w:rsid w:val="003A34DF"/>
    <w:rsid w:val="003A364C"/>
    <w:rsid w:val="003A4734"/>
    <w:rsid w:val="003A4BB5"/>
    <w:rsid w:val="003A7241"/>
    <w:rsid w:val="003A77EE"/>
    <w:rsid w:val="003B0253"/>
    <w:rsid w:val="003B1103"/>
    <w:rsid w:val="003B14D7"/>
    <w:rsid w:val="003B1B77"/>
    <w:rsid w:val="003B1CFE"/>
    <w:rsid w:val="003B3223"/>
    <w:rsid w:val="003B4749"/>
    <w:rsid w:val="003B497B"/>
    <w:rsid w:val="003B54A6"/>
    <w:rsid w:val="003B56A7"/>
    <w:rsid w:val="003B5A62"/>
    <w:rsid w:val="003B6442"/>
    <w:rsid w:val="003B67A0"/>
    <w:rsid w:val="003B74A9"/>
    <w:rsid w:val="003B7CA9"/>
    <w:rsid w:val="003C0156"/>
    <w:rsid w:val="003C1855"/>
    <w:rsid w:val="003C2248"/>
    <w:rsid w:val="003C2C54"/>
    <w:rsid w:val="003D0193"/>
    <w:rsid w:val="003D1E45"/>
    <w:rsid w:val="003D2249"/>
    <w:rsid w:val="003D2683"/>
    <w:rsid w:val="003D2716"/>
    <w:rsid w:val="003D4BA7"/>
    <w:rsid w:val="003D65E1"/>
    <w:rsid w:val="003E16A7"/>
    <w:rsid w:val="003E1898"/>
    <w:rsid w:val="003E246A"/>
    <w:rsid w:val="003E2B8D"/>
    <w:rsid w:val="003E397E"/>
    <w:rsid w:val="003E3B56"/>
    <w:rsid w:val="003E406A"/>
    <w:rsid w:val="003E44CA"/>
    <w:rsid w:val="003E5992"/>
    <w:rsid w:val="003E5DF6"/>
    <w:rsid w:val="003E5F29"/>
    <w:rsid w:val="003E61CB"/>
    <w:rsid w:val="003F48B6"/>
    <w:rsid w:val="003F56C9"/>
    <w:rsid w:val="003F5BBB"/>
    <w:rsid w:val="003F64B6"/>
    <w:rsid w:val="0040184B"/>
    <w:rsid w:val="00402477"/>
    <w:rsid w:val="00403427"/>
    <w:rsid w:val="00403DA3"/>
    <w:rsid w:val="00405F45"/>
    <w:rsid w:val="00406985"/>
    <w:rsid w:val="004071F5"/>
    <w:rsid w:val="00407A96"/>
    <w:rsid w:val="0041041C"/>
    <w:rsid w:val="004118F2"/>
    <w:rsid w:val="00413A2B"/>
    <w:rsid w:val="004144DA"/>
    <w:rsid w:val="004160DC"/>
    <w:rsid w:val="004161A2"/>
    <w:rsid w:val="00416758"/>
    <w:rsid w:val="0042032C"/>
    <w:rsid w:val="00420D21"/>
    <w:rsid w:val="00420E6F"/>
    <w:rsid w:val="00421B41"/>
    <w:rsid w:val="00421FDF"/>
    <w:rsid w:val="004229E1"/>
    <w:rsid w:val="004248F3"/>
    <w:rsid w:val="00424AF8"/>
    <w:rsid w:val="00424D81"/>
    <w:rsid w:val="00425241"/>
    <w:rsid w:val="00425477"/>
    <w:rsid w:val="0042578E"/>
    <w:rsid w:val="0042592F"/>
    <w:rsid w:val="00425C99"/>
    <w:rsid w:val="0043050E"/>
    <w:rsid w:val="004310F5"/>
    <w:rsid w:val="0043239C"/>
    <w:rsid w:val="00433B65"/>
    <w:rsid w:val="00433C77"/>
    <w:rsid w:val="00433FF5"/>
    <w:rsid w:val="00435007"/>
    <w:rsid w:val="00435804"/>
    <w:rsid w:val="00435B3C"/>
    <w:rsid w:val="00436561"/>
    <w:rsid w:val="00436ED1"/>
    <w:rsid w:val="00437503"/>
    <w:rsid w:val="00437C2B"/>
    <w:rsid w:val="00437DE2"/>
    <w:rsid w:val="004408C9"/>
    <w:rsid w:val="00440AAA"/>
    <w:rsid w:val="00440CB8"/>
    <w:rsid w:val="00440E42"/>
    <w:rsid w:val="004414D6"/>
    <w:rsid w:val="00441E30"/>
    <w:rsid w:val="00443CE8"/>
    <w:rsid w:val="00443F17"/>
    <w:rsid w:val="004445DE"/>
    <w:rsid w:val="00444606"/>
    <w:rsid w:val="00444B22"/>
    <w:rsid w:val="00445D75"/>
    <w:rsid w:val="00445F0A"/>
    <w:rsid w:val="004473C1"/>
    <w:rsid w:val="00447F66"/>
    <w:rsid w:val="0045076F"/>
    <w:rsid w:val="00451D13"/>
    <w:rsid w:val="0045206D"/>
    <w:rsid w:val="004534FB"/>
    <w:rsid w:val="004575A7"/>
    <w:rsid w:val="0046125D"/>
    <w:rsid w:val="00461368"/>
    <w:rsid w:val="004615B4"/>
    <w:rsid w:val="00461E8F"/>
    <w:rsid w:val="004621F8"/>
    <w:rsid w:val="00465256"/>
    <w:rsid w:val="00467D6A"/>
    <w:rsid w:val="004700F9"/>
    <w:rsid w:val="00470324"/>
    <w:rsid w:val="0047042C"/>
    <w:rsid w:val="004705DB"/>
    <w:rsid w:val="004713B1"/>
    <w:rsid w:val="004716EF"/>
    <w:rsid w:val="00471BF0"/>
    <w:rsid w:val="00473414"/>
    <w:rsid w:val="00473C37"/>
    <w:rsid w:val="00473E90"/>
    <w:rsid w:val="004740CA"/>
    <w:rsid w:val="00476269"/>
    <w:rsid w:val="00477CB0"/>
    <w:rsid w:val="004815D4"/>
    <w:rsid w:val="004832A1"/>
    <w:rsid w:val="0048424A"/>
    <w:rsid w:val="004856EB"/>
    <w:rsid w:val="00486E6A"/>
    <w:rsid w:val="00491554"/>
    <w:rsid w:val="00491591"/>
    <w:rsid w:val="00493326"/>
    <w:rsid w:val="0049344C"/>
    <w:rsid w:val="00493D79"/>
    <w:rsid w:val="00494FFE"/>
    <w:rsid w:val="00495ABD"/>
    <w:rsid w:val="00495B3B"/>
    <w:rsid w:val="0049618F"/>
    <w:rsid w:val="00496317"/>
    <w:rsid w:val="00496C30"/>
    <w:rsid w:val="00497A2E"/>
    <w:rsid w:val="004A117B"/>
    <w:rsid w:val="004A1E50"/>
    <w:rsid w:val="004A3CE9"/>
    <w:rsid w:val="004A4501"/>
    <w:rsid w:val="004A4B97"/>
    <w:rsid w:val="004A51FE"/>
    <w:rsid w:val="004A5EAE"/>
    <w:rsid w:val="004B0AAF"/>
    <w:rsid w:val="004B3097"/>
    <w:rsid w:val="004B322C"/>
    <w:rsid w:val="004B4240"/>
    <w:rsid w:val="004B502B"/>
    <w:rsid w:val="004B79E5"/>
    <w:rsid w:val="004C097F"/>
    <w:rsid w:val="004C13D3"/>
    <w:rsid w:val="004C21ED"/>
    <w:rsid w:val="004C3E3C"/>
    <w:rsid w:val="004C4A5C"/>
    <w:rsid w:val="004C4F78"/>
    <w:rsid w:val="004C726F"/>
    <w:rsid w:val="004D0BA6"/>
    <w:rsid w:val="004D10E5"/>
    <w:rsid w:val="004D1120"/>
    <w:rsid w:val="004D12B9"/>
    <w:rsid w:val="004D23B2"/>
    <w:rsid w:val="004D2BA3"/>
    <w:rsid w:val="004D31E4"/>
    <w:rsid w:val="004D6224"/>
    <w:rsid w:val="004E0876"/>
    <w:rsid w:val="004E2AB0"/>
    <w:rsid w:val="004E443C"/>
    <w:rsid w:val="004E46E2"/>
    <w:rsid w:val="004E4CEE"/>
    <w:rsid w:val="004E5678"/>
    <w:rsid w:val="004E59A3"/>
    <w:rsid w:val="004E59FE"/>
    <w:rsid w:val="004E6ADF"/>
    <w:rsid w:val="004E6CB4"/>
    <w:rsid w:val="004E71D9"/>
    <w:rsid w:val="004E7236"/>
    <w:rsid w:val="004E78CC"/>
    <w:rsid w:val="004E7CD0"/>
    <w:rsid w:val="004F04D8"/>
    <w:rsid w:val="004F1439"/>
    <w:rsid w:val="004F16E0"/>
    <w:rsid w:val="004F4572"/>
    <w:rsid w:val="004F49AA"/>
    <w:rsid w:val="004F60F0"/>
    <w:rsid w:val="004F62C4"/>
    <w:rsid w:val="004F67F9"/>
    <w:rsid w:val="004F7BC4"/>
    <w:rsid w:val="004F7DC0"/>
    <w:rsid w:val="00500146"/>
    <w:rsid w:val="0050025A"/>
    <w:rsid w:val="00500B72"/>
    <w:rsid w:val="00501C76"/>
    <w:rsid w:val="00504E23"/>
    <w:rsid w:val="00505066"/>
    <w:rsid w:val="00505794"/>
    <w:rsid w:val="00505AE0"/>
    <w:rsid w:val="00506126"/>
    <w:rsid w:val="005062BC"/>
    <w:rsid w:val="005065F2"/>
    <w:rsid w:val="00506D9E"/>
    <w:rsid w:val="00507905"/>
    <w:rsid w:val="005113BB"/>
    <w:rsid w:val="0051163B"/>
    <w:rsid w:val="00511780"/>
    <w:rsid w:val="005130BF"/>
    <w:rsid w:val="0051383B"/>
    <w:rsid w:val="00513884"/>
    <w:rsid w:val="00514A9C"/>
    <w:rsid w:val="00516461"/>
    <w:rsid w:val="0052122E"/>
    <w:rsid w:val="00521301"/>
    <w:rsid w:val="005220F9"/>
    <w:rsid w:val="00523087"/>
    <w:rsid w:val="00523AA4"/>
    <w:rsid w:val="005242D5"/>
    <w:rsid w:val="005251D1"/>
    <w:rsid w:val="00525376"/>
    <w:rsid w:val="00525391"/>
    <w:rsid w:val="00525499"/>
    <w:rsid w:val="00525865"/>
    <w:rsid w:val="0052641D"/>
    <w:rsid w:val="00526C1B"/>
    <w:rsid w:val="00527B17"/>
    <w:rsid w:val="00527E1C"/>
    <w:rsid w:val="0053055D"/>
    <w:rsid w:val="00531B56"/>
    <w:rsid w:val="005327F6"/>
    <w:rsid w:val="00532C2B"/>
    <w:rsid w:val="00533EDF"/>
    <w:rsid w:val="0053415D"/>
    <w:rsid w:val="00535F17"/>
    <w:rsid w:val="00536138"/>
    <w:rsid w:val="005362EC"/>
    <w:rsid w:val="00536BF1"/>
    <w:rsid w:val="00537300"/>
    <w:rsid w:val="005379B7"/>
    <w:rsid w:val="00537DDE"/>
    <w:rsid w:val="00541A26"/>
    <w:rsid w:val="00541DFD"/>
    <w:rsid w:val="00542426"/>
    <w:rsid w:val="00543988"/>
    <w:rsid w:val="005452FE"/>
    <w:rsid w:val="005453F3"/>
    <w:rsid w:val="00545A47"/>
    <w:rsid w:val="00546F5D"/>
    <w:rsid w:val="00547120"/>
    <w:rsid w:val="00547A30"/>
    <w:rsid w:val="00547C81"/>
    <w:rsid w:val="005520E7"/>
    <w:rsid w:val="00554AF1"/>
    <w:rsid w:val="0055508D"/>
    <w:rsid w:val="005554CD"/>
    <w:rsid w:val="00555FF1"/>
    <w:rsid w:val="0055612D"/>
    <w:rsid w:val="00560C6E"/>
    <w:rsid w:val="00561596"/>
    <w:rsid w:val="00561687"/>
    <w:rsid w:val="00561BA0"/>
    <w:rsid w:val="00562B86"/>
    <w:rsid w:val="005641F0"/>
    <w:rsid w:val="00564582"/>
    <w:rsid w:val="00564C54"/>
    <w:rsid w:val="005658EE"/>
    <w:rsid w:val="00565B91"/>
    <w:rsid w:val="00565C6C"/>
    <w:rsid w:val="00566BDA"/>
    <w:rsid w:val="0056744F"/>
    <w:rsid w:val="00570CB6"/>
    <w:rsid w:val="00571E3C"/>
    <w:rsid w:val="00572B50"/>
    <w:rsid w:val="00572E6E"/>
    <w:rsid w:val="00573BD9"/>
    <w:rsid w:val="00574C68"/>
    <w:rsid w:val="0058040D"/>
    <w:rsid w:val="00582220"/>
    <w:rsid w:val="00584327"/>
    <w:rsid w:val="0058639A"/>
    <w:rsid w:val="005878EA"/>
    <w:rsid w:val="00590403"/>
    <w:rsid w:val="00590475"/>
    <w:rsid w:val="0059130D"/>
    <w:rsid w:val="005922A9"/>
    <w:rsid w:val="00592FBB"/>
    <w:rsid w:val="0059315A"/>
    <w:rsid w:val="00593349"/>
    <w:rsid w:val="005939FA"/>
    <w:rsid w:val="00593E36"/>
    <w:rsid w:val="005943D1"/>
    <w:rsid w:val="005949ED"/>
    <w:rsid w:val="0059505A"/>
    <w:rsid w:val="005956A7"/>
    <w:rsid w:val="00597C50"/>
    <w:rsid w:val="005A0461"/>
    <w:rsid w:val="005A067E"/>
    <w:rsid w:val="005A0D26"/>
    <w:rsid w:val="005A0DCC"/>
    <w:rsid w:val="005A1DBD"/>
    <w:rsid w:val="005A24BA"/>
    <w:rsid w:val="005A2CA9"/>
    <w:rsid w:val="005A3A05"/>
    <w:rsid w:val="005A5944"/>
    <w:rsid w:val="005A7989"/>
    <w:rsid w:val="005B0058"/>
    <w:rsid w:val="005B1912"/>
    <w:rsid w:val="005B1DB2"/>
    <w:rsid w:val="005B2AF4"/>
    <w:rsid w:val="005B3CC2"/>
    <w:rsid w:val="005B3E64"/>
    <w:rsid w:val="005B4ED3"/>
    <w:rsid w:val="005B535C"/>
    <w:rsid w:val="005B60B6"/>
    <w:rsid w:val="005C0990"/>
    <w:rsid w:val="005C1B24"/>
    <w:rsid w:val="005C4653"/>
    <w:rsid w:val="005C4897"/>
    <w:rsid w:val="005C54E2"/>
    <w:rsid w:val="005C5652"/>
    <w:rsid w:val="005C6B3F"/>
    <w:rsid w:val="005C6F6B"/>
    <w:rsid w:val="005C7416"/>
    <w:rsid w:val="005D03E5"/>
    <w:rsid w:val="005D03ED"/>
    <w:rsid w:val="005D0D05"/>
    <w:rsid w:val="005D1D18"/>
    <w:rsid w:val="005D268C"/>
    <w:rsid w:val="005D31CB"/>
    <w:rsid w:val="005D3691"/>
    <w:rsid w:val="005D4E44"/>
    <w:rsid w:val="005D5A3D"/>
    <w:rsid w:val="005D6E29"/>
    <w:rsid w:val="005D7FA6"/>
    <w:rsid w:val="005E0578"/>
    <w:rsid w:val="005E2949"/>
    <w:rsid w:val="005E31C6"/>
    <w:rsid w:val="005E3665"/>
    <w:rsid w:val="005E367E"/>
    <w:rsid w:val="005E4051"/>
    <w:rsid w:val="005E40A6"/>
    <w:rsid w:val="005E41E5"/>
    <w:rsid w:val="005E51FC"/>
    <w:rsid w:val="005E572F"/>
    <w:rsid w:val="005E63E5"/>
    <w:rsid w:val="005E676E"/>
    <w:rsid w:val="005E6F20"/>
    <w:rsid w:val="005E71CC"/>
    <w:rsid w:val="005F016E"/>
    <w:rsid w:val="005F0F97"/>
    <w:rsid w:val="005F14EF"/>
    <w:rsid w:val="005F24B2"/>
    <w:rsid w:val="005F2B42"/>
    <w:rsid w:val="005F7CE3"/>
    <w:rsid w:val="005F7F29"/>
    <w:rsid w:val="006009F2"/>
    <w:rsid w:val="00600D21"/>
    <w:rsid w:val="0060183A"/>
    <w:rsid w:val="00601978"/>
    <w:rsid w:val="006039F3"/>
    <w:rsid w:val="0060410A"/>
    <w:rsid w:val="0060654A"/>
    <w:rsid w:val="00606B26"/>
    <w:rsid w:val="006105FF"/>
    <w:rsid w:val="00611C19"/>
    <w:rsid w:val="00611FE5"/>
    <w:rsid w:val="00612C60"/>
    <w:rsid w:val="006136E7"/>
    <w:rsid w:val="00613E8D"/>
    <w:rsid w:val="0061410B"/>
    <w:rsid w:val="00614B80"/>
    <w:rsid w:val="00615118"/>
    <w:rsid w:val="006154E4"/>
    <w:rsid w:val="0061595E"/>
    <w:rsid w:val="0061642D"/>
    <w:rsid w:val="006170D4"/>
    <w:rsid w:val="00617D2D"/>
    <w:rsid w:val="00620448"/>
    <w:rsid w:val="006215C4"/>
    <w:rsid w:val="00622FEC"/>
    <w:rsid w:val="00623BF0"/>
    <w:rsid w:val="00627680"/>
    <w:rsid w:val="00627F8C"/>
    <w:rsid w:val="0063198B"/>
    <w:rsid w:val="00634C34"/>
    <w:rsid w:val="00635A6C"/>
    <w:rsid w:val="00636816"/>
    <w:rsid w:val="0064203A"/>
    <w:rsid w:val="00642531"/>
    <w:rsid w:val="00642AF1"/>
    <w:rsid w:val="00643A95"/>
    <w:rsid w:val="00644967"/>
    <w:rsid w:val="00645D32"/>
    <w:rsid w:val="00645DCB"/>
    <w:rsid w:val="00647277"/>
    <w:rsid w:val="006474A2"/>
    <w:rsid w:val="0065036B"/>
    <w:rsid w:val="00652104"/>
    <w:rsid w:val="00652661"/>
    <w:rsid w:val="00653089"/>
    <w:rsid w:val="006536AB"/>
    <w:rsid w:val="0065440D"/>
    <w:rsid w:val="006552C1"/>
    <w:rsid w:val="00655D15"/>
    <w:rsid w:val="006572E5"/>
    <w:rsid w:val="006601C2"/>
    <w:rsid w:val="00660FC4"/>
    <w:rsid w:val="00661F35"/>
    <w:rsid w:val="00662480"/>
    <w:rsid w:val="0066323C"/>
    <w:rsid w:val="00664807"/>
    <w:rsid w:val="00665E0E"/>
    <w:rsid w:val="006669A5"/>
    <w:rsid w:val="00666F0D"/>
    <w:rsid w:val="00670D7E"/>
    <w:rsid w:val="006726CF"/>
    <w:rsid w:val="006751C3"/>
    <w:rsid w:val="00681C8A"/>
    <w:rsid w:val="00683C38"/>
    <w:rsid w:val="00685258"/>
    <w:rsid w:val="00686121"/>
    <w:rsid w:val="00687DF6"/>
    <w:rsid w:val="00690C9C"/>
    <w:rsid w:val="006921F2"/>
    <w:rsid w:val="0069335D"/>
    <w:rsid w:val="00693E6F"/>
    <w:rsid w:val="00696112"/>
    <w:rsid w:val="00696822"/>
    <w:rsid w:val="006A0116"/>
    <w:rsid w:val="006A0EE0"/>
    <w:rsid w:val="006A2AED"/>
    <w:rsid w:val="006A433E"/>
    <w:rsid w:val="006B06CF"/>
    <w:rsid w:val="006B15D0"/>
    <w:rsid w:val="006B1980"/>
    <w:rsid w:val="006B2069"/>
    <w:rsid w:val="006B33B9"/>
    <w:rsid w:val="006B4E92"/>
    <w:rsid w:val="006B56E4"/>
    <w:rsid w:val="006B6159"/>
    <w:rsid w:val="006B7521"/>
    <w:rsid w:val="006B7B08"/>
    <w:rsid w:val="006B7BB2"/>
    <w:rsid w:val="006C0507"/>
    <w:rsid w:val="006C0CF4"/>
    <w:rsid w:val="006C15B2"/>
    <w:rsid w:val="006C1E2C"/>
    <w:rsid w:val="006C2890"/>
    <w:rsid w:val="006C337F"/>
    <w:rsid w:val="006C4544"/>
    <w:rsid w:val="006C4684"/>
    <w:rsid w:val="006C6103"/>
    <w:rsid w:val="006C683B"/>
    <w:rsid w:val="006C6BFF"/>
    <w:rsid w:val="006D0A09"/>
    <w:rsid w:val="006D0E38"/>
    <w:rsid w:val="006D1A31"/>
    <w:rsid w:val="006D29E9"/>
    <w:rsid w:val="006D2A6A"/>
    <w:rsid w:val="006D2AB0"/>
    <w:rsid w:val="006D4007"/>
    <w:rsid w:val="006D5E47"/>
    <w:rsid w:val="006D5FEC"/>
    <w:rsid w:val="006D6826"/>
    <w:rsid w:val="006D684A"/>
    <w:rsid w:val="006D7630"/>
    <w:rsid w:val="006E039A"/>
    <w:rsid w:val="006E0C6C"/>
    <w:rsid w:val="006E19FE"/>
    <w:rsid w:val="006E2DBD"/>
    <w:rsid w:val="006E4B87"/>
    <w:rsid w:val="006E6E0C"/>
    <w:rsid w:val="006E7805"/>
    <w:rsid w:val="006F004A"/>
    <w:rsid w:val="006F1459"/>
    <w:rsid w:val="006F26F3"/>
    <w:rsid w:val="006F4294"/>
    <w:rsid w:val="006F4B77"/>
    <w:rsid w:val="006F60D9"/>
    <w:rsid w:val="006F62C1"/>
    <w:rsid w:val="006F63C5"/>
    <w:rsid w:val="006F6E34"/>
    <w:rsid w:val="007008A2"/>
    <w:rsid w:val="00703F1D"/>
    <w:rsid w:val="00704669"/>
    <w:rsid w:val="007047FF"/>
    <w:rsid w:val="0070590B"/>
    <w:rsid w:val="007059C4"/>
    <w:rsid w:val="00711C8C"/>
    <w:rsid w:val="0071273A"/>
    <w:rsid w:val="00712CE3"/>
    <w:rsid w:val="00712FC4"/>
    <w:rsid w:val="00713058"/>
    <w:rsid w:val="0071468F"/>
    <w:rsid w:val="00715748"/>
    <w:rsid w:val="0071796B"/>
    <w:rsid w:val="00720636"/>
    <w:rsid w:val="00721968"/>
    <w:rsid w:val="007243DF"/>
    <w:rsid w:val="00725AFD"/>
    <w:rsid w:val="00726B20"/>
    <w:rsid w:val="00727E34"/>
    <w:rsid w:val="00730161"/>
    <w:rsid w:val="0073042D"/>
    <w:rsid w:val="00730F3E"/>
    <w:rsid w:val="0073204B"/>
    <w:rsid w:val="0073265A"/>
    <w:rsid w:val="00733E87"/>
    <w:rsid w:val="0073426B"/>
    <w:rsid w:val="0073452E"/>
    <w:rsid w:val="00734F2C"/>
    <w:rsid w:val="0073617F"/>
    <w:rsid w:val="0073749F"/>
    <w:rsid w:val="0074065A"/>
    <w:rsid w:val="00740B0A"/>
    <w:rsid w:val="007415C3"/>
    <w:rsid w:val="0074579B"/>
    <w:rsid w:val="00745FB5"/>
    <w:rsid w:val="00746229"/>
    <w:rsid w:val="007477A8"/>
    <w:rsid w:val="00751D84"/>
    <w:rsid w:val="00753F47"/>
    <w:rsid w:val="0075510D"/>
    <w:rsid w:val="007553EE"/>
    <w:rsid w:val="0075554F"/>
    <w:rsid w:val="00755C2D"/>
    <w:rsid w:val="00755C9A"/>
    <w:rsid w:val="0075623E"/>
    <w:rsid w:val="00756B21"/>
    <w:rsid w:val="007603C9"/>
    <w:rsid w:val="00760A52"/>
    <w:rsid w:val="00760EA8"/>
    <w:rsid w:val="007611BF"/>
    <w:rsid w:val="00762B17"/>
    <w:rsid w:val="00762B21"/>
    <w:rsid w:val="007632D9"/>
    <w:rsid w:val="007636DD"/>
    <w:rsid w:val="00765D0D"/>
    <w:rsid w:val="00766058"/>
    <w:rsid w:val="00770FA3"/>
    <w:rsid w:val="00771693"/>
    <w:rsid w:val="00772A21"/>
    <w:rsid w:val="00774239"/>
    <w:rsid w:val="00774D8B"/>
    <w:rsid w:val="007761A0"/>
    <w:rsid w:val="0077641D"/>
    <w:rsid w:val="00776BF8"/>
    <w:rsid w:val="007828EB"/>
    <w:rsid w:val="007829D6"/>
    <w:rsid w:val="00782A0A"/>
    <w:rsid w:val="00782FB4"/>
    <w:rsid w:val="00783BAC"/>
    <w:rsid w:val="00783E8C"/>
    <w:rsid w:val="00785407"/>
    <w:rsid w:val="007862B2"/>
    <w:rsid w:val="0078667B"/>
    <w:rsid w:val="00791AEB"/>
    <w:rsid w:val="007934D6"/>
    <w:rsid w:val="00795BC6"/>
    <w:rsid w:val="007A049D"/>
    <w:rsid w:val="007A1242"/>
    <w:rsid w:val="007A2A98"/>
    <w:rsid w:val="007A3246"/>
    <w:rsid w:val="007A32BB"/>
    <w:rsid w:val="007A39D6"/>
    <w:rsid w:val="007A5B20"/>
    <w:rsid w:val="007A761A"/>
    <w:rsid w:val="007A780F"/>
    <w:rsid w:val="007B00B1"/>
    <w:rsid w:val="007B17F4"/>
    <w:rsid w:val="007B1F53"/>
    <w:rsid w:val="007B28A5"/>
    <w:rsid w:val="007B2D88"/>
    <w:rsid w:val="007B5853"/>
    <w:rsid w:val="007B5F82"/>
    <w:rsid w:val="007C00B6"/>
    <w:rsid w:val="007C04DD"/>
    <w:rsid w:val="007C0886"/>
    <w:rsid w:val="007C0B84"/>
    <w:rsid w:val="007C0C65"/>
    <w:rsid w:val="007C1BC2"/>
    <w:rsid w:val="007C2DA5"/>
    <w:rsid w:val="007C4047"/>
    <w:rsid w:val="007C5B5F"/>
    <w:rsid w:val="007C5C78"/>
    <w:rsid w:val="007C6518"/>
    <w:rsid w:val="007D0217"/>
    <w:rsid w:val="007D41DA"/>
    <w:rsid w:val="007D486C"/>
    <w:rsid w:val="007D6779"/>
    <w:rsid w:val="007D6885"/>
    <w:rsid w:val="007D76ED"/>
    <w:rsid w:val="007D778E"/>
    <w:rsid w:val="007E06DA"/>
    <w:rsid w:val="007E1609"/>
    <w:rsid w:val="007E4990"/>
    <w:rsid w:val="007E4993"/>
    <w:rsid w:val="007E53E1"/>
    <w:rsid w:val="007E5690"/>
    <w:rsid w:val="007E5D85"/>
    <w:rsid w:val="007E5FFE"/>
    <w:rsid w:val="007F2557"/>
    <w:rsid w:val="007F31F9"/>
    <w:rsid w:val="007F37C2"/>
    <w:rsid w:val="007F4FBD"/>
    <w:rsid w:val="007F5F3B"/>
    <w:rsid w:val="007F6A1C"/>
    <w:rsid w:val="007F771A"/>
    <w:rsid w:val="007F7DD4"/>
    <w:rsid w:val="00800843"/>
    <w:rsid w:val="008009EB"/>
    <w:rsid w:val="00800B5B"/>
    <w:rsid w:val="0080112F"/>
    <w:rsid w:val="00803A8B"/>
    <w:rsid w:val="008048B1"/>
    <w:rsid w:val="00804982"/>
    <w:rsid w:val="00805D39"/>
    <w:rsid w:val="0080775B"/>
    <w:rsid w:val="00807B45"/>
    <w:rsid w:val="00810844"/>
    <w:rsid w:val="00810A4C"/>
    <w:rsid w:val="00811A42"/>
    <w:rsid w:val="00812B66"/>
    <w:rsid w:val="00813CF2"/>
    <w:rsid w:val="008148D7"/>
    <w:rsid w:val="00814FCD"/>
    <w:rsid w:val="00816389"/>
    <w:rsid w:val="00816F7F"/>
    <w:rsid w:val="0082073C"/>
    <w:rsid w:val="008233A7"/>
    <w:rsid w:val="00823EAF"/>
    <w:rsid w:val="00824911"/>
    <w:rsid w:val="0082519A"/>
    <w:rsid w:val="00835949"/>
    <w:rsid w:val="00836D37"/>
    <w:rsid w:val="008376F0"/>
    <w:rsid w:val="008404CA"/>
    <w:rsid w:val="0084086D"/>
    <w:rsid w:val="00841687"/>
    <w:rsid w:val="00842843"/>
    <w:rsid w:val="008429A8"/>
    <w:rsid w:val="00842D33"/>
    <w:rsid w:val="008461FC"/>
    <w:rsid w:val="008463B6"/>
    <w:rsid w:val="008478A9"/>
    <w:rsid w:val="00850BF6"/>
    <w:rsid w:val="008520AD"/>
    <w:rsid w:val="00854841"/>
    <w:rsid w:val="00856469"/>
    <w:rsid w:val="008575ED"/>
    <w:rsid w:val="00861AFE"/>
    <w:rsid w:val="00862B5C"/>
    <w:rsid w:val="00862FBD"/>
    <w:rsid w:val="00863663"/>
    <w:rsid w:val="00863835"/>
    <w:rsid w:val="00863AA7"/>
    <w:rsid w:val="00863C50"/>
    <w:rsid w:val="0086423A"/>
    <w:rsid w:val="00870B85"/>
    <w:rsid w:val="00870FA2"/>
    <w:rsid w:val="00871F18"/>
    <w:rsid w:val="00872DBA"/>
    <w:rsid w:val="00873E32"/>
    <w:rsid w:val="00874276"/>
    <w:rsid w:val="00874AB1"/>
    <w:rsid w:val="00875C7C"/>
    <w:rsid w:val="008768D4"/>
    <w:rsid w:val="00876F2C"/>
    <w:rsid w:val="00880574"/>
    <w:rsid w:val="00880AD8"/>
    <w:rsid w:val="00883A9E"/>
    <w:rsid w:val="0088529C"/>
    <w:rsid w:val="008852E3"/>
    <w:rsid w:val="008866C6"/>
    <w:rsid w:val="008869AA"/>
    <w:rsid w:val="00886D4A"/>
    <w:rsid w:val="00890C88"/>
    <w:rsid w:val="00890D5F"/>
    <w:rsid w:val="00891B1F"/>
    <w:rsid w:val="008937B5"/>
    <w:rsid w:val="00897FB2"/>
    <w:rsid w:val="008A03A0"/>
    <w:rsid w:val="008A05C5"/>
    <w:rsid w:val="008A24F1"/>
    <w:rsid w:val="008A2942"/>
    <w:rsid w:val="008A2A1F"/>
    <w:rsid w:val="008A2A5B"/>
    <w:rsid w:val="008A2F33"/>
    <w:rsid w:val="008A30F4"/>
    <w:rsid w:val="008A44D9"/>
    <w:rsid w:val="008A457D"/>
    <w:rsid w:val="008A49D3"/>
    <w:rsid w:val="008A57BD"/>
    <w:rsid w:val="008B04BF"/>
    <w:rsid w:val="008B0DBF"/>
    <w:rsid w:val="008B1274"/>
    <w:rsid w:val="008B15E6"/>
    <w:rsid w:val="008B260B"/>
    <w:rsid w:val="008B4A32"/>
    <w:rsid w:val="008B4ABB"/>
    <w:rsid w:val="008C0419"/>
    <w:rsid w:val="008C1D13"/>
    <w:rsid w:val="008C1E1B"/>
    <w:rsid w:val="008C254C"/>
    <w:rsid w:val="008C2DBA"/>
    <w:rsid w:val="008C3D59"/>
    <w:rsid w:val="008C67D4"/>
    <w:rsid w:val="008D13F3"/>
    <w:rsid w:val="008D1A42"/>
    <w:rsid w:val="008D1D96"/>
    <w:rsid w:val="008D2C27"/>
    <w:rsid w:val="008D31FE"/>
    <w:rsid w:val="008D3F3D"/>
    <w:rsid w:val="008D4759"/>
    <w:rsid w:val="008D60EB"/>
    <w:rsid w:val="008D6570"/>
    <w:rsid w:val="008D66E1"/>
    <w:rsid w:val="008D6BE2"/>
    <w:rsid w:val="008D6EA7"/>
    <w:rsid w:val="008D797D"/>
    <w:rsid w:val="008E013B"/>
    <w:rsid w:val="008E016C"/>
    <w:rsid w:val="008E06DA"/>
    <w:rsid w:val="008E0CBE"/>
    <w:rsid w:val="008E12A8"/>
    <w:rsid w:val="008E1697"/>
    <w:rsid w:val="008E488A"/>
    <w:rsid w:val="008E4C26"/>
    <w:rsid w:val="008E64A2"/>
    <w:rsid w:val="008E6A1D"/>
    <w:rsid w:val="008E70F6"/>
    <w:rsid w:val="008F0718"/>
    <w:rsid w:val="008F22DC"/>
    <w:rsid w:val="008F27BB"/>
    <w:rsid w:val="008F2AAA"/>
    <w:rsid w:val="008F3E76"/>
    <w:rsid w:val="008F4035"/>
    <w:rsid w:val="008F45C4"/>
    <w:rsid w:val="008F4C32"/>
    <w:rsid w:val="008F51F5"/>
    <w:rsid w:val="008F5C35"/>
    <w:rsid w:val="008F62BE"/>
    <w:rsid w:val="008F6E12"/>
    <w:rsid w:val="009002F0"/>
    <w:rsid w:val="0090192E"/>
    <w:rsid w:val="0090361A"/>
    <w:rsid w:val="009036F8"/>
    <w:rsid w:val="00904862"/>
    <w:rsid w:val="009055F2"/>
    <w:rsid w:val="00905721"/>
    <w:rsid w:val="00906310"/>
    <w:rsid w:val="00907BA3"/>
    <w:rsid w:val="009101A8"/>
    <w:rsid w:val="0091339F"/>
    <w:rsid w:val="00915D24"/>
    <w:rsid w:val="00915E36"/>
    <w:rsid w:val="009164BB"/>
    <w:rsid w:val="009164E2"/>
    <w:rsid w:val="009168AB"/>
    <w:rsid w:val="009170CC"/>
    <w:rsid w:val="00917DF5"/>
    <w:rsid w:val="00920365"/>
    <w:rsid w:val="00921A6E"/>
    <w:rsid w:val="009224B0"/>
    <w:rsid w:val="00923768"/>
    <w:rsid w:val="00923F80"/>
    <w:rsid w:val="0092417E"/>
    <w:rsid w:val="00924A0A"/>
    <w:rsid w:val="00925502"/>
    <w:rsid w:val="00926A51"/>
    <w:rsid w:val="00927527"/>
    <w:rsid w:val="0093080C"/>
    <w:rsid w:val="00931A67"/>
    <w:rsid w:val="00934EA1"/>
    <w:rsid w:val="009350FB"/>
    <w:rsid w:val="0093579B"/>
    <w:rsid w:val="00937DD5"/>
    <w:rsid w:val="00937F30"/>
    <w:rsid w:val="00941BD5"/>
    <w:rsid w:val="00944086"/>
    <w:rsid w:val="00944BF3"/>
    <w:rsid w:val="009461DA"/>
    <w:rsid w:val="00947359"/>
    <w:rsid w:val="00947486"/>
    <w:rsid w:val="00950C66"/>
    <w:rsid w:val="00950ED5"/>
    <w:rsid w:val="00951E32"/>
    <w:rsid w:val="00952992"/>
    <w:rsid w:val="00953067"/>
    <w:rsid w:val="00954F9C"/>
    <w:rsid w:val="00956667"/>
    <w:rsid w:val="0095695B"/>
    <w:rsid w:val="00956B78"/>
    <w:rsid w:val="00956D4C"/>
    <w:rsid w:val="0096008B"/>
    <w:rsid w:val="009600BD"/>
    <w:rsid w:val="009603C9"/>
    <w:rsid w:val="009613D4"/>
    <w:rsid w:val="0096158E"/>
    <w:rsid w:val="00961ED1"/>
    <w:rsid w:val="00961F60"/>
    <w:rsid w:val="00963125"/>
    <w:rsid w:val="00963308"/>
    <w:rsid w:val="00963971"/>
    <w:rsid w:val="00967C96"/>
    <w:rsid w:val="00967DA0"/>
    <w:rsid w:val="0097378A"/>
    <w:rsid w:val="00973DC2"/>
    <w:rsid w:val="009740FE"/>
    <w:rsid w:val="00974B43"/>
    <w:rsid w:val="0097517C"/>
    <w:rsid w:val="00975B98"/>
    <w:rsid w:val="00976039"/>
    <w:rsid w:val="00977A8F"/>
    <w:rsid w:val="00981DF1"/>
    <w:rsid w:val="009849FD"/>
    <w:rsid w:val="0098639C"/>
    <w:rsid w:val="00987D34"/>
    <w:rsid w:val="00990591"/>
    <w:rsid w:val="00990764"/>
    <w:rsid w:val="009909F4"/>
    <w:rsid w:val="00992171"/>
    <w:rsid w:val="00992D27"/>
    <w:rsid w:val="00993DF9"/>
    <w:rsid w:val="0099538B"/>
    <w:rsid w:val="00995753"/>
    <w:rsid w:val="009A21B9"/>
    <w:rsid w:val="009A243D"/>
    <w:rsid w:val="009A3B56"/>
    <w:rsid w:val="009A4FC1"/>
    <w:rsid w:val="009B06A6"/>
    <w:rsid w:val="009B1BFC"/>
    <w:rsid w:val="009B2BEB"/>
    <w:rsid w:val="009B3A2F"/>
    <w:rsid w:val="009B57B3"/>
    <w:rsid w:val="009B6064"/>
    <w:rsid w:val="009B744C"/>
    <w:rsid w:val="009B7528"/>
    <w:rsid w:val="009C0220"/>
    <w:rsid w:val="009C0E64"/>
    <w:rsid w:val="009C1D06"/>
    <w:rsid w:val="009C3C44"/>
    <w:rsid w:val="009D1648"/>
    <w:rsid w:val="009D1A5F"/>
    <w:rsid w:val="009D1E2D"/>
    <w:rsid w:val="009D23EF"/>
    <w:rsid w:val="009D347A"/>
    <w:rsid w:val="009D4076"/>
    <w:rsid w:val="009D47DF"/>
    <w:rsid w:val="009D4857"/>
    <w:rsid w:val="009D61F2"/>
    <w:rsid w:val="009D685F"/>
    <w:rsid w:val="009D6F59"/>
    <w:rsid w:val="009E16B1"/>
    <w:rsid w:val="009E2C16"/>
    <w:rsid w:val="009E2F38"/>
    <w:rsid w:val="009E3DF4"/>
    <w:rsid w:val="009E627A"/>
    <w:rsid w:val="009F1B60"/>
    <w:rsid w:val="009F1FCC"/>
    <w:rsid w:val="009F22AB"/>
    <w:rsid w:val="009F35BF"/>
    <w:rsid w:val="009F3B40"/>
    <w:rsid w:val="009F54F6"/>
    <w:rsid w:val="009F5B8C"/>
    <w:rsid w:val="009F7BCA"/>
    <w:rsid w:val="009F7FA0"/>
    <w:rsid w:val="00A02804"/>
    <w:rsid w:val="00A0346D"/>
    <w:rsid w:val="00A0506E"/>
    <w:rsid w:val="00A052D6"/>
    <w:rsid w:val="00A06042"/>
    <w:rsid w:val="00A0606E"/>
    <w:rsid w:val="00A07B4A"/>
    <w:rsid w:val="00A1040D"/>
    <w:rsid w:val="00A129BD"/>
    <w:rsid w:val="00A149A8"/>
    <w:rsid w:val="00A153C1"/>
    <w:rsid w:val="00A161F1"/>
    <w:rsid w:val="00A164E5"/>
    <w:rsid w:val="00A203F1"/>
    <w:rsid w:val="00A20EAB"/>
    <w:rsid w:val="00A22766"/>
    <w:rsid w:val="00A23593"/>
    <w:rsid w:val="00A240CC"/>
    <w:rsid w:val="00A246FB"/>
    <w:rsid w:val="00A25971"/>
    <w:rsid w:val="00A271DD"/>
    <w:rsid w:val="00A27858"/>
    <w:rsid w:val="00A31D30"/>
    <w:rsid w:val="00A32188"/>
    <w:rsid w:val="00A3239C"/>
    <w:rsid w:val="00A323FB"/>
    <w:rsid w:val="00A36BF9"/>
    <w:rsid w:val="00A3716C"/>
    <w:rsid w:val="00A40163"/>
    <w:rsid w:val="00A40928"/>
    <w:rsid w:val="00A4233C"/>
    <w:rsid w:val="00A43924"/>
    <w:rsid w:val="00A439FC"/>
    <w:rsid w:val="00A44BAE"/>
    <w:rsid w:val="00A4542E"/>
    <w:rsid w:val="00A456BB"/>
    <w:rsid w:val="00A46966"/>
    <w:rsid w:val="00A46E8A"/>
    <w:rsid w:val="00A476B8"/>
    <w:rsid w:val="00A4796F"/>
    <w:rsid w:val="00A47BFA"/>
    <w:rsid w:val="00A514F2"/>
    <w:rsid w:val="00A5198A"/>
    <w:rsid w:val="00A52A8C"/>
    <w:rsid w:val="00A5343F"/>
    <w:rsid w:val="00A53730"/>
    <w:rsid w:val="00A54D75"/>
    <w:rsid w:val="00A55049"/>
    <w:rsid w:val="00A5613A"/>
    <w:rsid w:val="00A5679B"/>
    <w:rsid w:val="00A578FF"/>
    <w:rsid w:val="00A57B84"/>
    <w:rsid w:val="00A57D46"/>
    <w:rsid w:val="00A619DE"/>
    <w:rsid w:val="00A63836"/>
    <w:rsid w:val="00A6383E"/>
    <w:rsid w:val="00A646D0"/>
    <w:rsid w:val="00A64756"/>
    <w:rsid w:val="00A64A05"/>
    <w:rsid w:val="00A65E05"/>
    <w:rsid w:val="00A66648"/>
    <w:rsid w:val="00A668A3"/>
    <w:rsid w:val="00A66E82"/>
    <w:rsid w:val="00A67CF7"/>
    <w:rsid w:val="00A70BC7"/>
    <w:rsid w:val="00A723AB"/>
    <w:rsid w:val="00A728D6"/>
    <w:rsid w:val="00A739D8"/>
    <w:rsid w:val="00A74173"/>
    <w:rsid w:val="00A75187"/>
    <w:rsid w:val="00A77CB8"/>
    <w:rsid w:val="00A80ABE"/>
    <w:rsid w:val="00A811D3"/>
    <w:rsid w:val="00A8179A"/>
    <w:rsid w:val="00A821E2"/>
    <w:rsid w:val="00A827E0"/>
    <w:rsid w:val="00A83B9C"/>
    <w:rsid w:val="00A8421D"/>
    <w:rsid w:val="00A862E2"/>
    <w:rsid w:val="00A8651A"/>
    <w:rsid w:val="00A86749"/>
    <w:rsid w:val="00A873A6"/>
    <w:rsid w:val="00A8741A"/>
    <w:rsid w:val="00A87748"/>
    <w:rsid w:val="00A87AA4"/>
    <w:rsid w:val="00A90C90"/>
    <w:rsid w:val="00A91E2A"/>
    <w:rsid w:val="00A932E2"/>
    <w:rsid w:val="00A97124"/>
    <w:rsid w:val="00A97FB6"/>
    <w:rsid w:val="00AA01D0"/>
    <w:rsid w:val="00AA043A"/>
    <w:rsid w:val="00AA05BF"/>
    <w:rsid w:val="00AA2039"/>
    <w:rsid w:val="00AA237E"/>
    <w:rsid w:val="00AA27C3"/>
    <w:rsid w:val="00AA2847"/>
    <w:rsid w:val="00AA388D"/>
    <w:rsid w:val="00AA4484"/>
    <w:rsid w:val="00AA54F6"/>
    <w:rsid w:val="00AA55FA"/>
    <w:rsid w:val="00AA5D2B"/>
    <w:rsid w:val="00AA5F7F"/>
    <w:rsid w:val="00AA6B59"/>
    <w:rsid w:val="00AA77FD"/>
    <w:rsid w:val="00AB0496"/>
    <w:rsid w:val="00AB2516"/>
    <w:rsid w:val="00AB2B01"/>
    <w:rsid w:val="00AB4136"/>
    <w:rsid w:val="00AB72D2"/>
    <w:rsid w:val="00AC0120"/>
    <w:rsid w:val="00AC07DD"/>
    <w:rsid w:val="00AC07E5"/>
    <w:rsid w:val="00AC0DA6"/>
    <w:rsid w:val="00AC33AF"/>
    <w:rsid w:val="00AC6632"/>
    <w:rsid w:val="00AC7D9D"/>
    <w:rsid w:val="00AD0FAF"/>
    <w:rsid w:val="00AD1F39"/>
    <w:rsid w:val="00AD2758"/>
    <w:rsid w:val="00AD2C3F"/>
    <w:rsid w:val="00AD2FD7"/>
    <w:rsid w:val="00AD55E3"/>
    <w:rsid w:val="00AD58FA"/>
    <w:rsid w:val="00AD66F2"/>
    <w:rsid w:val="00AD73C8"/>
    <w:rsid w:val="00AE0FE2"/>
    <w:rsid w:val="00AE1374"/>
    <w:rsid w:val="00AE1F72"/>
    <w:rsid w:val="00AE2147"/>
    <w:rsid w:val="00AE29A3"/>
    <w:rsid w:val="00AE465C"/>
    <w:rsid w:val="00AE46BA"/>
    <w:rsid w:val="00AE7B57"/>
    <w:rsid w:val="00AE7F70"/>
    <w:rsid w:val="00AF0234"/>
    <w:rsid w:val="00AF17D8"/>
    <w:rsid w:val="00AF1F6B"/>
    <w:rsid w:val="00AF2036"/>
    <w:rsid w:val="00AF2541"/>
    <w:rsid w:val="00AF3564"/>
    <w:rsid w:val="00AF4718"/>
    <w:rsid w:val="00AF695E"/>
    <w:rsid w:val="00AF697A"/>
    <w:rsid w:val="00AF6D40"/>
    <w:rsid w:val="00B00D3A"/>
    <w:rsid w:val="00B00F7F"/>
    <w:rsid w:val="00B02271"/>
    <w:rsid w:val="00B0247C"/>
    <w:rsid w:val="00B02AC7"/>
    <w:rsid w:val="00B03607"/>
    <w:rsid w:val="00B03E2F"/>
    <w:rsid w:val="00B044A1"/>
    <w:rsid w:val="00B05A23"/>
    <w:rsid w:val="00B069C2"/>
    <w:rsid w:val="00B073D2"/>
    <w:rsid w:val="00B101B9"/>
    <w:rsid w:val="00B10AF9"/>
    <w:rsid w:val="00B1177A"/>
    <w:rsid w:val="00B13063"/>
    <w:rsid w:val="00B1504B"/>
    <w:rsid w:val="00B16A25"/>
    <w:rsid w:val="00B1749D"/>
    <w:rsid w:val="00B1766D"/>
    <w:rsid w:val="00B2096C"/>
    <w:rsid w:val="00B22A16"/>
    <w:rsid w:val="00B22BF6"/>
    <w:rsid w:val="00B25536"/>
    <w:rsid w:val="00B27951"/>
    <w:rsid w:val="00B305EF"/>
    <w:rsid w:val="00B30676"/>
    <w:rsid w:val="00B3075A"/>
    <w:rsid w:val="00B30D59"/>
    <w:rsid w:val="00B323E2"/>
    <w:rsid w:val="00B337AF"/>
    <w:rsid w:val="00B33FD9"/>
    <w:rsid w:val="00B359DA"/>
    <w:rsid w:val="00B36353"/>
    <w:rsid w:val="00B373DE"/>
    <w:rsid w:val="00B37DED"/>
    <w:rsid w:val="00B41E63"/>
    <w:rsid w:val="00B425B7"/>
    <w:rsid w:val="00B44187"/>
    <w:rsid w:val="00B443C2"/>
    <w:rsid w:val="00B44F9B"/>
    <w:rsid w:val="00B457F5"/>
    <w:rsid w:val="00B45F42"/>
    <w:rsid w:val="00B47289"/>
    <w:rsid w:val="00B47D55"/>
    <w:rsid w:val="00B5026E"/>
    <w:rsid w:val="00B50E66"/>
    <w:rsid w:val="00B517BB"/>
    <w:rsid w:val="00B5195E"/>
    <w:rsid w:val="00B52D49"/>
    <w:rsid w:val="00B5303A"/>
    <w:rsid w:val="00B53839"/>
    <w:rsid w:val="00B53DF1"/>
    <w:rsid w:val="00B54037"/>
    <w:rsid w:val="00B54501"/>
    <w:rsid w:val="00B61019"/>
    <w:rsid w:val="00B61555"/>
    <w:rsid w:val="00B619F4"/>
    <w:rsid w:val="00B61F12"/>
    <w:rsid w:val="00B629A8"/>
    <w:rsid w:val="00B676BC"/>
    <w:rsid w:val="00B67A90"/>
    <w:rsid w:val="00B7069F"/>
    <w:rsid w:val="00B721AA"/>
    <w:rsid w:val="00B73C80"/>
    <w:rsid w:val="00B740D5"/>
    <w:rsid w:val="00B74A59"/>
    <w:rsid w:val="00B768F9"/>
    <w:rsid w:val="00B76BE0"/>
    <w:rsid w:val="00B80C58"/>
    <w:rsid w:val="00B81678"/>
    <w:rsid w:val="00B819EB"/>
    <w:rsid w:val="00B81C6F"/>
    <w:rsid w:val="00B83146"/>
    <w:rsid w:val="00B83E12"/>
    <w:rsid w:val="00B84606"/>
    <w:rsid w:val="00B8462C"/>
    <w:rsid w:val="00B86E44"/>
    <w:rsid w:val="00B8746D"/>
    <w:rsid w:val="00B87A16"/>
    <w:rsid w:val="00B907CD"/>
    <w:rsid w:val="00B91EC1"/>
    <w:rsid w:val="00B93D6F"/>
    <w:rsid w:val="00B93DFB"/>
    <w:rsid w:val="00B961BB"/>
    <w:rsid w:val="00B9666F"/>
    <w:rsid w:val="00B96947"/>
    <w:rsid w:val="00B96C54"/>
    <w:rsid w:val="00B97609"/>
    <w:rsid w:val="00BA0742"/>
    <w:rsid w:val="00BA1F8F"/>
    <w:rsid w:val="00BA22EB"/>
    <w:rsid w:val="00BA28DB"/>
    <w:rsid w:val="00BA37AA"/>
    <w:rsid w:val="00BA4F4F"/>
    <w:rsid w:val="00BA5851"/>
    <w:rsid w:val="00BA59C3"/>
    <w:rsid w:val="00BA5F69"/>
    <w:rsid w:val="00BA627D"/>
    <w:rsid w:val="00BA6B06"/>
    <w:rsid w:val="00BB045B"/>
    <w:rsid w:val="00BB158B"/>
    <w:rsid w:val="00BB35D8"/>
    <w:rsid w:val="00BB3628"/>
    <w:rsid w:val="00BB48A9"/>
    <w:rsid w:val="00BB5EF0"/>
    <w:rsid w:val="00BB6FAF"/>
    <w:rsid w:val="00BB71C9"/>
    <w:rsid w:val="00BB777C"/>
    <w:rsid w:val="00BB7C0A"/>
    <w:rsid w:val="00BB7F5B"/>
    <w:rsid w:val="00BC0C6A"/>
    <w:rsid w:val="00BC0ECB"/>
    <w:rsid w:val="00BC2611"/>
    <w:rsid w:val="00BC61F8"/>
    <w:rsid w:val="00BD0008"/>
    <w:rsid w:val="00BD056F"/>
    <w:rsid w:val="00BD3362"/>
    <w:rsid w:val="00BD3A19"/>
    <w:rsid w:val="00BD4C1C"/>
    <w:rsid w:val="00BD4FB2"/>
    <w:rsid w:val="00BD6557"/>
    <w:rsid w:val="00BD6AC1"/>
    <w:rsid w:val="00BD71CB"/>
    <w:rsid w:val="00BE1E77"/>
    <w:rsid w:val="00BE1F96"/>
    <w:rsid w:val="00BE20CD"/>
    <w:rsid w:val="00BE21C7"/>
    <w:rsid w:val="00BE312C"/>
    <w:rsid w:val="00BE56B7"/>
    <w:rsid w:val="00BE5706"/>
    <w:rsid w:val="00BE5F6A"/>
    <w:rsid w:val="00BE7391"/>
    <w:rsid w:val="00BF02C8"/>
    <w:rsid w:val="00BF2EDF"/>
    <w:rsid w:val="00BF3897"/>
    <w:rsid w:val="00BF38EA"/>
    <w:rsid w:val="00BF51B6"/>
    <w:rsid w:val="00C007F1"/>
    <w:rsid w:val="00C0096A"/>
    <w:rsid w:val="00C02E6C"/>
    <w:rsid w:val="00C02F2B"/>
    <w:rsid w:val="00C04EA5"/>
    <w:rsid w:val="00C05250"/>
    <w:rsid w:val="00C07591"/>
    <w:rsid w:val="00C104D9"/>
    <w:rsid w:val="00C10FF1"/>
    <w:rsid w:val="00C12A3F"/>
    <w:rsid w:val="00C13DFA"/>
    <w:rsid w:val="00C14077"/>
    <w:rsid w:val="00C16076"/>
    <w:rsid w:val="00C204E4"/>
    <w:rsid w:val="00C20A6D"/>
    <w:rsid w:val="00C20C6C"/>
    <w:rsid w:val="00C20F62"/>
    <w:rsid w:val="00C218CF"/>
    <w:rsid w:val="00C2319F"/>
    <w:rsid w:val="00C23791"/>
    <w:rsid w:val="00C23E75"/>
    <w:rsid w:val="00C246D9"/>
    <w:rsid w:val="00C24EC8"/>
    <w:rsid w:val="00C25301"/>
    <w:rsid w:val="00C2580C"/>
    <w:rsid w:val="00C259FD"/>
    <w:rsid w:val="00C26780"/>
    <w:rsid w:val="00C3030F"/>
    <w:rsid w:val="00C314DD"/>
    <w:rsid w:val="00C319A5"/>
    <w:rsid w:val="00C332AD"/>
    <w:rsid w:val="00C34213"/>
    <w:rsid w:val="00C348C1"/>
    <w:rsid w:val="00C34FAF"/>
    <w:rsid w:val="00C357C6"/>
    <w:rsid w:val="00C37849"/>
    <w:rsid w:val="00C44F98"/>
    <w:rsid w:val="00C45D83"/>
    <w:rsid w:val="00C465CC"/>
    <w:rsid w:val="00C46B12"/>
    <w:rsid w:val="00C46D3D"/>
    <w:rsid w:val="00C46D52"/>
    <w:rsid w:val="00C50596"/>
    <w:rsid w:val="00C50943"/>
    <w:rsid w:val="00C5144F"/>
    <w:rsid w:val="00C53005"/>
    <w:rsid w:val="00C53332"/>
    <w:rsid w:val="00C53C55"/>
    <w:rsid w:val="00C54963"/>
    <w:rsid w:val="00C57396"/>
    <w:rsid w:val="00C62A82"/>
    <w:rsid w:val="00C62D67"/>
    <w:rsid w:val="00C637A4"/>
    <w:rsid w:val="00C649EC"/>
    <w:rsid w:val="00C64EFC"/>
    <w:rsid w:val="00C66DC1"/>
    <w:rsid w:val="00C6720D"/>
    <w:rsid w:val="00C673AD"/>
    <w:rsid w:val="00C70A80"/>
    <w:rsid w:val="00C713E4"/>
    <w:rsid w:val="00C718FC"/>
    <w:rsid w:val="00C71992"/>
    <w:rsid w:val="00C722E3"/>
    <w:rsid w:val="00C72DA4"/>
    <w:rsid w:val="00C7348F"/>
    <w:rsid w:val="00C7356C"/>
    <w:rsid w:val="00C74CA1"/>
    <w:rsid w:val="00C74F4C"/>
    <w:rsid w:val="00C74FF8"/>
    <w:rsid w:val="00C768AC"/>
    <w:rsid w:val="00C8093F"/>
    <w:rsid w:val="00C81238"/>
    <w:rsid w:val="00C8694B"/>
    <w:rsid w:val="00C87571"/>
    <w:rsid w:val="00C9072A"/>
    <w:rsid w:val="00C90C52"/>
    <w:rsid w:val="00C919C3"/>
    <w:rsid w:val="00C92F88"/>
    <w:rsid w:val="00C97417"/>
    <w:rsid w:val="00CA0D25"/>
    <w:rsid w:val="00CA1275"/>
    <w:rsid w:val="00CA12C5"/>
    <w:rsid w:val="00CA18A9"/>
    <w:rsid w:val="00CA3CB0"/>
    <w:rsid w:val="00CA4FE9"/>
    <w:rsid w:val="00CA5890"/>
    <w:rsid w:val="00CA5A59"/>
    <w:rsid w:val="00CA7299"/>
    <w:rsid w:val="00CB029C"/>
    <w:rsid w:val="00CB0474"/>
    <w:rsid w:val="00CB04BC"/>
    <w:rsid w:val="00CB0AC5"/>
    <w:rsid w:val="00CB0E10"/>
    <w:rsid w:val="00CB2E87"/>
    <w:rsid w:val="00CB377C"/>
    <w:rsid w:val="00CB3C32"/>
    <w:rsid w:val="00CB4ABB"/>
    <w:rsid w:val="00CB5FD8"/>
    <w:rsid w:val="00CB65BA"/>
    <w:rsid w:val="00CB7610"/>
    <w:rsid w:val="00CC0426"/>
    <w:rsid w:val="00CC0C02"/>
    <w:rsid w:val="00CC0C32"/>
    <w:rsid w:val="00CC15A7"/>
    <w:rsid w:val="00CC19C5"/>
    <w:rsid w:val="00CC25A2"/>
    <w:rsid w:val="00CC2BA4"/>
    <w:rsid w:val="00CC2E3D"/>
    <w:rsid w:val="00CC4B1C"/>
    <w:rsid w:val="00CC4C92"/>
    <w:rsid w:val="00CC6E53"/>
    <w:rsid w:val="00CC7CC0"/>
    <w:rsid w:val="00CC7DDA"/>
    <w:rsid w:val="00CD1DFC"/>
    <w:rsid w:val="00CD219B"/>
    <w:rsid w:val="00CD4F0A"/>
    <w:rsid w:val="00CD76CB"/>
    <w:rsid w:val="00CE018B"/>
    <w:rsid w:val="00CE04F5"/>
    <w:rsid w:val="00CE0837"/>
    <w:rsid w:val="00CE11F1"/>
    <w:rsid w:val="00CE12B8"/>
    <w:rsid w:val="00CE1F55"/>
    <w:rsid w:val="00CE2D71"/>
    <w:rsid w:val="00CE4629"/>
    <w:rsid w:val="00CE704E"/>
    <w:rsid w:val="00CE7124"/>
    <w:rsid w:val="00CF0870"/>
    <w:rsid w:val="00CF1031"/>
    <w:rsid w:val="00CF1A4E"/>
    <w:rsid w:val="00CF20D5"/>
    <w:rsid w:val="00CF2BBB"/>
    <w:rsid w:val="00CF31C9"/>
    <w:rsid w:val="00CF357D"/>
    <w:rsid w:val="00CF384F"/>
    <w:rsid w:val="00CF3B4C"/>
    <w:rsid w:val="00CF4620"/>
    <w:rsid w:val="00CF4B3C"/>
    <w:rsid w:val="00CF6AE6"/>
    <w:rsid w:val="00CF6AFF"/>
    <w:rsid w:val="00CF7935"/>
    <w:rsid w:val="00D003E3"/>
    <w:rsid w:val="00D012D0"/>
    <w:rsid w:val="00D017AA"/>
    <w:rsid w:val="00D018B4"/>
    <w:rsid w:val="00D01BE6"/>
    <w:rsid w:val="00D02437"/>
    <w:rsid w:val="00D052CF"/>
    <w:rsid w:val="00D06EBF"/>
    <w:rsid w:val="00D07A70"/>
    <w:rsid w:val="00D10587"/>
    <w:rsid w:val="00D11DFA"/>
    <w:rsid w:val="00D122C5"/>
    <w:rsid w:val="00D138D9"/>
    <w:rsid w:val="00D140EC"/>
    <w:rsid w:val="00D14220"/>
    <w:rsid w:val="00D16B35"/>
    <w:rsid w:val="00D1746D"/>
    <w:rsid w:val="00D17708"/>
    <w:rsid w:val="00D20891"/>
    <w:rsid w:val="00D20DB9"/>
    <w:rsid w:val="00D26FCD"/>
    <w:rsid w:val="00D27875"/>
    <w:rsid w:val="00D31642"/>
    <w:rsid w:val="00D31ACD"/>
    <w:rsid w:val="00D33D57"/>
    <w:rsid w:val="00D34403"/>
    <w:rsid w:val="00D34FBD"/>
    <w:rsid w:val="00D400E7"/>
    <w:rsid w:val="00D402D9"/>
    <w:rsid w:val="00D4080F"/>
    <w:rsid w:val="00D41E59"/>
    <w:rsid w:val="00D42431"/>
    <w:rsid w:val="00D42478"/>
    <w:rsid w:val="00D42ED1"/>
    <w:rsid w:val="00D43E12"/>
    <w:rsid w:val="00D4441A"/>
    <w:rsid w:val="00D44518"/>
    <w:rsid w:val="00D45B89"/>
    <w:rsid w:val="00D45E38"/>
    <w:rsid w:val="00D45EFE"/>
    <w:rsid w:val="00D45FAF"/>
    <w:rsid w:val="00D47858"/>
    <w:rsid w:val="00D50090"/>
    <w:rsid w:val="00D53652"/>
    <w:rsid w:val="00D55829"/>
    <w:rsid w:val="00D5661A"/>
    <w:rsid w:val="00D579B8"/>
    <w:rsid w:val="00D60512"/>
    <w:rsid w:val="00D62282"/>
    <w:rsid w:val="00D625F3"/>
    <w:rsid w:val="00D641EF"/>
    <w:rsid w:val="00D647B4"/>
    <w:rsid w:val="00D65026"/>
    <w:rsid w:val="00D70634"/>
    <w:rsid w:val="00D71B1C"/>
    <w:rsid w:val="00D72307"/>
    <w:rsid w:val="00D74342"/>
    <w:rsid w:val="00D74C51"/>
    <w:rsid w:val="00D75671"/>
    <w:rsid w:val="00D7664F"/>
    <w:rsid w:val="00D76DCC"/>
    <w:rsid w:val="00D77ECC"/>
    <w:rsid w:val="00D80678"/>
    <w:rsid w:val="00D8125F"/>
    <w:rsid w:val="00D81669"/>
    <w:rsid w:val="00D81F0D"/>
    <w:rsid w:val="00D86DE8"/>
    <w:rsid w:val="00D91DCE"/>
    <w:rsid w:val="00D92BEC"/>
    <w:rsid w:val="00D9427A"/>
    <w:rsid w:val="00D94E8C"/>
    <w:rsid w:val="00D954FA"/>
    <w:rsid w:val="00D95E19"/>
    <w:rsid w:val="00DA120F"/>
    <w:rsid w:val="00DA161D"/>
    <w:rsid w:val="00DA1E37"/>
    <w:rsid w:val="00DA2411"/>
    <w:rsid w:val="00DA2712"/>
    <w:rsid w:val="00DA363D"/>
    <w:rsid w:val="00DA3748"/>
    <w:rsid w:val="00DA45D1"/>
    <w:rsid w:val="00DA47BB"/>
    <w:rsid w:val="00DA50DD"/>
    <w:rsid w:val="00DA58E6"/>
    <w:rsid w:val="00DA5B6D"/>
    <w:rsid w:val="00DA66D5"/>
    <w:rsid w:val="00DA6D6E"/>
    <w:rsid w:val="00DA731A"/>
    <w:rsid w:val="00DA7D2E"/>
    <w:rsid w:val="00DB0C00"/>
    <w:rsid w:val="00DB4325"/>
    <w:rsid w:val="00DB5F19"/>
    <w:rsid w:val="00DB785D"/>
    <w:rsid w:val="00DC06B6"/>
    <w:rsid w:val="00DC228A"/>
    <w:rsid w:val="00DC3A1A"/>
    <w:rsid w:val="00DC409F"/>
    <w:rsid w:val="00DC4E24"/>
    <w:rsid w:val="00DC68DA"/>
    <w:rsid w:val="00DD0745"/>
    <w:rsid w:val="00DD0B70"/>
    <w:rsid w:val="00DD1D55"/>
    <w:rsid w:val="00DD2516"/>
    <w:rsid w:val="00DD2AEA"/>
    <w:rsid w:val="00DD2EB5"/>
    <w:rsid w:val="00DD30EB"/>
    <w:rsid w:val="00DD37A4"/>
    <w:rsid w:val="00DD4C35"/>
    <w:rsid w:val="00DD5916"/>
    <w:rsid w:val="00DD6198"/>
    <w:rsid w:val="00DD7195"/>
    <w:rsid w:val="00DD7CD1"/>
    <w:rsid w:val="00DE310B"/>
    <w:rsid w:val="00DE3192"/>
    <w:rsid w:val="00DE347F"/>
    <w:rsid w:val="00DE3A5F"/>
    <w:rsid w:val="00DE404F"/>
    <w:rsid w:val="00DE4B1A"/>
    <w:rsid w:val="00DE6BD4"/>
    <w:rsid w:val="00DE768E"/>
    <w:rsid w:val="00DF0197"/>
    <w:rsid w:val="00DF0A52"/>
    <w:rsid w:val="00DF1A5C"/>
    <w:rsid w:val="00DF1C38"/>
    <w:rsid w:val="00DF1CCD"/>
    <w:rsid w:val="00DF20CC"/>
    <w:rsid w:val="00DF25D8"/>
    <w:rsid w:val="00DF299C"/>
    <w:rsid w:val="00DF6154"/>
    <w:rsid w:val="00E00FCA"/>
    <w:rsid w:val="00E02DF3"/>
    <w:rsid w:val="00E04030"/>
    <w:rsid w:val="00E056EA"/>
    <w:rsid w:val="00E05D8A"/>
    <w:rsid w:val="00E05FA3"/>
    <w:rsid w:val="00E06091"/>
    <w:rsid w:val="00E06DEF"/>
    <w:rsid w:val="00E07CF5"/>
    <w:rsid w:val="00E07F75"/>
    <w:rsid w:val="00E11398"/>
    <w:rsid w:val="00E1159E"/>
    <w:rsid w:val="00E12675"/>
    <w:rsid w:val="00E12BB4"/>
    <w:rsid w:val="00E12E81"/>
    <w:rsid w:val="00E13C63"/>
    <w:rsid w:val="00E13E8C"/>
    <w:rsid w:val="00E14E6E"/>
    <w:rsid w:val="00E15054"/>
    <w:rsid w:val="00E151CE"/>
    <w:rsid w:val="00E15637"/>
    <w:rsid w:val="00E156F4"/>
    <w:rsid w:val="00E17B14"/>
    <w:rsid w:val="00E208D8"/>
    <w:rsid w:val="00E22373"/>
    <w:rsid w:val="00E2306D"/>
    <w:rsid w:val="00E25FD2"/>
    <w:rsid w:val="00E27A50"/>
    <w:rsid w:val="00E30F9A"/>
    <w:rsid w:val="00E316F6"/>
    <w:rsid w:val="00E32470"/>
    <w:rsid w:val="00E330C8"/>
    <w:rsid w:val="00E3361E"/>
    <w:rsid w:val="00E3365D"/>
    <w:rsid w:val="00E36070"/>
    <w:rsid w:val="00E37115"/>
    <w:rsid w:val="00E371B3"/>
    <w:rsid w:val="00E42991"/>
    <w:rsid w:val="00E42F45"/>
    <w:rsid w:val="00E43801"/>
    <w:rsid w:val="00E4417D"/>
    <w:rsid w:val="00E45120"/>
    <w:rsid w:val="00E4692C"/>
    <w:rsid w:val="00E471AF"/>
    <w:rsid w:val="00E518BE"/>
    <w:rsid w:val="00E51E79"/>
    <w:rsid w:val="00E52681"/>
    <w:rsid w:val="00E555EE"/>
    <w:rsid w:val="00E569DC"/>
    <w:rsid w:val="00E56A61"/>
    <w:rsid w:val="00E57021"/>
    <w:rsid w:val="00E57169"/>
    <w:rsid w:val="00E575AE"/>
    <w:rsid w:val="00E61669"/>
    <w:rsid w:val="00E631E9"/>
    <w:rsid w:val="00E63D4C"/>
    <w:rsid w:val="00E655A2"/>
    <w:rsid w:val="00E66544"/>
    <w:rsid w:val="00E66830"/>
    <w:rsid w:val="00E67C2D"/>
    <w:rsid w:val="00E70D1C"/>
    <w:rsid w:val="00E71A87"/>
    <w:rsid w:val="00E7232A"/>
    <w:rsid w:val="00E72AAC"/>
    <w:rsid w:val="00E72B0E"/>
    <w:rsid w:val="00E742A1"/>
    <w:rsid w:val="00E74747"/>
    <w:rsid w:val="00E758B8"/>
    <w:rsid w:val="00E77306"/>
    <w:rsid w:val="00E77768"/>
    <w:rsid w:val="00E77D07"/>
    <w:rsid w:val="00E77E63"/>
    <w:rsid w:val="00E81B35"/>
    <w:rsid w:val="00E81D38"/>
    <w:rsid w:val="00E83F7B"/>
    <w:rsid w:val="00E86FAF"/>
    <w:rsid w:val="00E900DA"/>
    <w:rsid w:val="00E90520"/>
    <w:rsid w:val="00E91D8F"/>
    <w:rsid w:val="00E92911"/>
    <w:rsid w:val="00E93C66"/>
    <w:rsid w:val="00E941E7"/>
    <w:rsid w:val="00E95230"/>
    <w:rsid w:val="00E96F37"/>
    <w:rsid w:val="00EA004B"/>
    <w:rsid w:val="00EA129B"/>
    <w:rsid w:val="00EA1BA1"/>
    <w:rsid w:val="00EA465F"/>
    <w:rsid w:val="00EA540B"/>
    <w:rsid w:val="00EA6197"/>
    <w:rsid w:val="00EA6510"/>
    <w:rsid w:val="00EA7BC4"/>
    <w:rsid w:val="00EA7D1B"/>
    <w:rsid w:val="00EB04B6"/>
    <w:rsid w:val="00EB075C"/>
    <w:rsid w:val="00EB095D"/>
    <w:rsid w:val="00EB1E1E"/>
    <w:rsid w:val="00EB6856"/>
    <w:rsid w:val="00EC1D9F"/>
    <w:rsid w:val="00EC2A24"/>
    <w:rsid w:val="00EC2F7F"/>
    <w:rsid w:val="00EC3E9A"/>
    <w:rsid w:val="00EC4873"/>
    <w:rsid w:val="00EC5A63"/>
    <w:rsid w:val="00EC5B9E"/>
    <w:rsid w:val="00EC75A0"/>
    <w:rsid w:val="00EC7D5B"/>
    <w:rsid w:val="00ED05E2"/>
    <w:rsid w:val="00ED13E1"/>
    <w:rsid w:val="00ED2F1E"/>
    <w:rsid w:val="00ED59F7"/>
    <w:rsid w:val="00EE0387"/>
    <w:rsid w:val="00EE08E7"/>
    <w:rsid w:val="00EE1AA7"/>
    <w:rsid w:val="00EE2A8F"/>
    <w:rsid w:val="00EE335D"/>
    <w:rsid w:val="00EE4D3E"/>
    <w:rsid w:val="00EE6E80"/>
    <w:rsid w:val="00EE78C3"/>
    <w:rsid w:val="00EE7BB4"/>
    <w:rsid w:val="00EF1BAA"/>
    <w:rsid w:val="00EF2265"/>
    <w:rsid w:val="00EF2586"/>
    <w:rsid w:val="00EF316B"/>
    <w:rsid w:val="00EF365E"/>
    <w:rsid w:val="00EF43F1"/>
    <w:rsid w:val="00EF4AF7"/>
    <w:rsid w:val="00EF5D2D"/>
    <w:rsid w:val="00EF6C99"/>
    <w:rsid w:val="00F00172"/>
    <w:rsid w:val="00F00CF0"/>
    <w:rsid w:val="00F0240E"/>
    <w:rsid w:val="00F02D64"/>
    <w:rsid w:val="00F03DE0"/>
    <w:rsid w:val="00F055FD"/>
    <w:rsid w:val="00F061A6"/>
    <w:rsid w:val="00F0673D"/>
    <w:rsid w:val="00F10F4A"/>
    <w:rsid w:val="00F115C5"/>
    <w:rsid w:val="00F12632"/>
    <w:rsid w:val="00F12C1E"/>
    <w:rsid w:val="00F13575"/>
    <w:rsid w:val="00F149B6"/>
    <w:rsid w:val="00F14E33"/>
    <w:rsid w:val="00F14EC8"/>
    <w:rsid w:val="00F16242"/>
    <w:rsid w:val="00F17781"/>
    <w:rsid w:val="00F17F3A"/>
    <w:rsid w:val="00F20EDF"/>
    <w:rsid w:val="00F22840"/>
    <w:rsid w:val="00F23142"/>
    <w:rsid w:val="00F23572"/>
    <w:rsid w:val="00F23677"/>
    <w:rsid w:val="00F23932"/>
    <w:rsid w:val="00F23C08"/>
    <w:rsid w:val="00F241CA"/>
    <w:rsid w:val="00F2476F"/>
    <w:rsid w:val="00F25A41"/>
    <w:rsid w:val="00F265F5"/>
    <w:rsid w:val="00F2763F"/>
    <w:rsid w:val="00F305D8"/>
    <w:rsid w:val="00F30959"/>
    <w:rsid w:val="00F31F14"/>
    <w:rsid w:val="00F333D7"/>
    <w:rsid w:val="00F33856"/>
    <w:rsid w:val="00F34DF3"/>
    <w:rsid w:val="00F35DF5"/>
    <w:rsid w:val="00F35F2B"/>
    <w:rsid w:val="00F364F3"/>
    <w:rsid w:val="00F36AF9"/>
    <w:rsid w:val="00F36E24"/>
    <w:rsid w:val="00F40077"/>
    <w:rsid w:val="00F408BB"/>
    <w:rsid w:val="00F40904"/>
    <w:rsid w:val="00F42143"/>
    <w:rsid w:val="00F4237F"/>
    <w:rsid w:val="00F42703"/>
    <w:rsid w:val="00F43973"/>
    <w:rsid w:val="00F43B00"/>
    <w:rsid w:val="00F449FD"/>
    <w:rsid w:val="00F4512B"/>
    <w:rsid w:val="00F45333"/>
    <w:rsid w:val="00F45DB2"/>
    <w:rsid w:val="00F46413"/>
    <w:rsid w:val="00F46C0B"/>
    <w:rsid w:val="00F470EE"/>
    <w:rsid w:val="00F47240"/>
    <w:rsid w:val="00F47358"/>
    <w:rsid w:val="00F502C1"/>
    <w:rsid w:val="00F51D16"/>
    <w:rsid w:val="00F55385"/>
    <w:rsid w:val="00F6253B"/>
    <w:rsid w:val="00F626F7"/>
    <w:rsid w:val="00F62D28"/>
    <w:rsid w:val="00F63630"/>
    <w:rsid w:val="00F65546"/>
    <w:rsid w:val="00F65655"/>
    <w:rsid w:val="00F663F0"/>
    <w:rsid w:val="00F67B0F"/>
    <w:rsid w:val="00F70862"/>
    <w:rsid w:val="00F70DB2"/>
    <w:rsid w:val="00F70FB9"/>
    <w:rsid w:val="00F72961"/>
    <w:rsid w:val="00F73D8C"/>
    <w:rsid w:val="00F74512"/>
    <w:rsid w:val="00F74C7E"/>
    <w:rsid w:val="00F75ACF"/>
    <w:rsid w:val="00F75F41"/>
    <w:rsid w:val="00F7696E"/>
    <w:rsid w:val="00F7727C"/>
    <w:rsid w:val="00F77977"/>
    <w:rsid w:val="00F779AC"/>
    <w:rsid w:val="00F77DEE"/>
    <w:rsid w:val="00F80366"/>
    <w:rsid w:val="00F81237"/>
    <w:rsid w:val="00F81460"/>
    <w:rsid w:val="00F816C5"/>
    <w:rsid w:val="00F828B4"/>
    <w:rsid w:val="00F83808"/>
    <w:rsid w:val="00F83955"/>
    <w:rsid w:val="00F8429E"/>
    <w:rsid w:val="00F850AA"/>
    <w:rsid w:val="00F85535"/>
    <w:rsid w:val="00F8553D"/>
    <w:rsid w:val="00F8668E"/>
    <w:rsid w:val="00F901F0"/>
    <w:rsid w:val="00F907DC"/>
    <w:rsid w:val="00F9511C"/>
    <w:rsid w:val="00F9515E"/>
    <w:rsid w:val="00FA2FF2"/>
    <w:rsid w:val="00FA38E1"/>
    <w:rsid w:val="00FA4BF7"/>
    <w:rsid w:val="00FA5595"/>
    <w:rsid w:val="00FA6CC9"/>
    <w:rsid w:val="00FB01B7"/>
    <w:rsid w:val="00FB11BA"/>
    <w:rsid w:val="00FB198C"/>
    <w:rsid w:val="00FB2E10"/>
    <w:rsid w:val="00FC06D2"/>
    <w:rsid w:val="00FC07CC"/>
    <w:rsid w:val="00FC08C5"/>
    <w:rsid w:val="00FC0D00"/>
    <w:rsid w:val="00FC1B42"/>
    <w:rsid w:val="00FC3411"/>
    <w:rsid w:val="00FC3D14"/>
    <w:rsid w:val="00FC43CE"/>
    <w:rsid w:val="00FC48AB"/>
    <w:rsid w:val="00FC496E"/>
    <w:rsid w:val="00FC6200"/>
    <w:rsid w:val="00FC7D8D"/>
    <w:rsid w:val="00FD03C7"/>
    <w:rsid w:val="00FD0CA5"/>
    <w:rsid w:val="00FD151B"/>
    <w:rsid w:val="00FD23C1"/>
    <w:rsid w:val="00FD28DE"/>
    <w:rsid w:val="00FD39DB"/>
    <w:rsid w:val="00FD5468"/>
    <w:rsid w:val="00FD60B3"/>
    <w:rsid w:val="00FE086C"/>
    <w:rsid w:val="00FE373B"/>
    <w:rsid w:val="00FE37DC"/>
    <w:rsid w:val="00FE384F"/>
    <w:rsid w:val="00FE3ED5"/>
    <w:rsid w:val="00FE4C36"/>
    <w:rsid w:val="00FE5C2E"/>
    <w:rsid w:val="00FE778D"/>
    <w:rsid w:val="00FF25C8"/>
    <w:rsid w:val="00FF3E7A"/>
    <w:rsid w:val="00FF6BBB"/>
    <w:rsid w:val="0567B7DC"/>
    <w:rsid w:val="0760CB8E"/>
    <w:rsid w:val="0D04EBA7"/>
    <w:rsid w:val="13087766"/>
    <w:rsid w:val="1A351407"/>
    <w:rsid w:val="21B1D677"/>
    <w:rsid w:val="22510EEF"/>
    <w:rsid w:val="317A2BC5"/>
    <w:rsid w:val="3AD7A7EA"/>
    <w:rsid w:val="3BA90995"/>
    <w:rsid w:val="3FD22242"/>
    <w:rsid w:val="41099FE2"/>
    <w:rsid w:val="43D2B742"/>
    <w:rsid w:val="456B5968"/>
    <w:rsid w:val="4C6BFCD7"/>
    <w:rsid w:val="581B7D82"/>
    <w:rsid w:val="62613E74"/>
    <w:rsid w:val="6445C3CB"/>
    <w:rsid w:val="79249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C4CA6"/>
  <w15:docId w15:val="{CC074BE2-2858-41E5-8CD1-F4B5BA7E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106120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106120"/>
    <w:rPr>
      <w:sz w:val="16"/>
      <w:szCs w:val="16"/>
    </w:rPr>
  </w:style>
  <w:style w:type="paragraph" w:styleId="Textocomentario">
    <w:name w:val="annotation text"/>
    <w:basedOn w:val="Normal"/>
    <w:semiHidden/>
    <w:rsid w:val="0010612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106120"/>
    <w:rPr>
      <w:b/>
      <w:bCs/>
    </w:rPr>
  </w:style>
  <w:style w:type="paragraph" w:styleId="Textonotapie">
    <w:name w:val="footnote text"/>
    <w:basedOn w:val="Normal"/>
    <w:semiHidden/>
    <w:rsid w:val="00AB4136"/>
    <w:rPr>
      <w:sz w:val="20"/>
      <w:szCs w:val="20"/>
      <w:lang w:val="es-CO" w:eastAsia="es-CO"/>
    </w:rPr>
  </w:style>
  <w:style w:type="character" w:styleId="Refdenotaalpie">
    <w:name w:val="footnote reference"/>
    <w:semiHidden/>
    <w:rsid w:val="00AB4136"/>
    <w:rPr>
      <w:vertAlign w:val="superscript"/>
    </w:rPr>
  </w:style>
  <w:style w:type="paragraph" w:styleId="Textoindependiente2">
    <w:name w:val="Body Text 2"/>
    <w:basedOn w:val="Normal"/>
    <w:rsid w:val="00DD6198"/>
    <w:pPr>
      <w:jc w:val="both"/>
    </w:pPr>
    <w:rPr>
      <w:rFonts w:ascii="Arial" w:hAnsi="Arial"/>
      <w:sz w:val="18"/>
      <w:szCs w:val="20"/>
      <w:lang w:eastAsia="es-CO"/>
    </w:rPr>
  </w:style>
  <w:style w:type="paragraph" w:styleId="Textoindependiente3">
    <w:name w:val="Body Text 3"/>
    <w:basedOn w:val="Normal"/>
    <w:rsid w:val="00DD6198"/>
    <w:pPr>
      <w:spacing w:after="120"/>
    </w:pPr>
    <w:rPr>
      <w:sz w:val="16"/>
      <w:szCs w:val="16"/>
    </w:rPr>
  </w:style>
  <w:style w:type="paragraph" w:styleId="Encabezado">
    <w:name w:val="header"/>
    <w:basedOn w:val="Normal"/>
    <w:link w:val="EncabezadoCar"/>
    <w:rsid w:val="009B06A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B06A6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9B06A6"/>
    <w:pPr>
      <w:jc w:val="center"/>
    </w:pPr>
    <w:rPr>
      <w:rFonts w:ascii="AvantGarde Bk BT" w:hAnsi="AvantGarde Bk BT"/>
      <w:snapToGrid w:val="0"/>
      <w:sz w:val="28"/>
      <w:szCs w:val="20"/>
      <w:lang w:val="es-MX"/>
    </w:rPr>
  </w:style>
  <w:style w:type="character" w:styleId="Nmerodepgina">
    <w:name w:val="page number"/>
    <w:basedOn w:val="Fuentedeprrafopredeter"/>
    <w:rsid w:val="009B06A6"/>
  </w:style>
  <w:style w:type="paragraph" w:customStyle="1" w:styleId="BodyText21">
    <w:name w:val="Body Text 21"/>
    <w:basedOn w:val="Normal"/>
    <w:rsid w:val="000D1E91"/>
    <w:pPr>
      <w:tabs>
        <w:tab w:val="left" w:pos="-720"/>
      </w:tabs>
      <w:jc w:val="both"/>
    </w:pPr>
    <w:rPr>
      <w:rFonts w:ascii="Arial" w:hAnsi="Arial"/>
      <w:spacing w:val="20"/>
      <w:sz w:val="16"/>
      <w:szCs w:val="20"/>
      <w:lang w:val="es-CO" w:eastAsia="es-CO"/>
    </w:rPr>
  </w:style>
  <w:style w:type="paragraph" w:styleId="NormalWeb">
    <w:name w:val="Normal (Web)"/>
    <w:basedOn w:val="Normal"/>
    <w:rsid w:val="005E41E5"/>
    <w:pPr>
      <w:spacing w:before="100" w:beforeAutospacing="1" w:after="100" w:afterAutospacing="1"/>
    </w:pPr>
  </w:style>
  <w:style w:type="character" w:styleId="Hipervnculo">
    <w:name w:val="Hyperlink"/>
    <w:uiPriority w:val="99"/>
    <w:rsid w:val="005E41E5"/>
    <w:rPr>
      <w:color w:val="0000FF"/>
      <w:u w:val="single"/>
    </w:rPr>
  </w:style>
  <w:style w:type="paragraph" w:styleId="Firmadecorreoelectrnico">
    <w:name w:val="E-mail Signature"/>
    <w:basedOn w:val="Normal"/>
    <w:rsid w:val="005E41E5"/>
    <w:pPr>
      <w:spacing w:before="100" w:beforeAutospacing="1" w:after="100" w:afterAutospacing="1"/>
    </w:pPr>
  </w:style>
  <w:style w:type="character" w:styleId="Hipervnculovisitado">
    <w:name w:val="FollowedHyperlink"/>
    <w:uiPriority w:val="99"/>
    <w:rsid w:val="00740B0A"/>
    <w:rPr>
      <w:color w:val="800080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4464F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BC61F8"/>
    <w:rPr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DA6D6E"/>
  </w:style>
  <w:style w:type="table" w:styleId="Tablaconcuadrcula">
    <w:name w:val="Table Grid"/>
    <w:basedOn w:val="Tablanormal"/>
    <w:uiPriority w:val="39"/>
    <w:rsid w:val="00937F30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D72307"/>
    <w:pPr>
      <w:spacing w:before="100" w:beforeAutospacing="1" w:after="100" w:afterAutospacing="1"/>
    </w:pPr>
    <w:rPr>
      <w:lang w:val="es-CO" w:eastAsia="es-CO"/>
    </w:rPr>
  </w:style>
  <w:style w:type="paragraph" w:customStyle="1" w:styleId="xl63">
    <w:name w:val="xl63"/>
    <w:basedOn w:val="Normal"/>
    <w:rsid w:val="00D72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s-CO" w:eastAsia="es-CO"/>
    </w:rPr>
  </w:style>
  <w:style w:type="paragraph" w:customStyle="1" w:styleId="xl64">
    <w:name w:val="xl64"/>
    <w:basedOn w:val="Normal"/>
    <w:rsid w:val="00D72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s-CO" w:eastAsia="es-CO"/>
    </w:rPr>
  </w:style>
  <w:style w:type="paragraph" w:customStyle="1" w:styleId="xl65">
    <w:name w:val="xl65"/>
    <w:basedOn w:val="Normal"/>
    <w:rsid w:val="00D72307"/>
    <w:pPr>
      <w:spacing w:before="100" w:beforeAutospacing="1" w:after="100" w:afterAutospacing="1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66">
    <w:name w:val="xl66"/>
    <w:basedOn w:val="Normal"/>
    <w:rsid w:val="00D72307"/>
    <w:pPr>
      <w:spacing w:before="100" w:beforeAutospacing="1" w:after="100" w:afterAutospacing="1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67">
    <w:name w:val="xl67"/>
    <w:basedOn w:val="Normal"/>
    <w:rsid w:val="00D72307"/>
    <w:pPr>
      <w:spacing w:before="100" w:beforeAutospacing="1" w:after="100" w:afterAutospacing="1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68">
    <w:name w:val="xl68"/>
    <w:basedOn w:val="Normal"/>
    <w:rsid w:val="00D72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69">
    <w:name w:val="xl69"/>
    <w:basedOn w:val="Normal"/>
    <w:rsid w:val="00D72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0">
    <w:name w:val="xl70"/>
    <w:basedOn w:val="Normal"/>
    <w:rsid w:val="00D723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1">
    <w:name w:val="xl71"/>
    <w:basedOn w:val="Normal"/>
    <w:rsid w:val="00D723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2">
    <w:name w:val="xl72"/>
    <w:basedOn w:val="Normal"/>
    <w:rsid w:val="00D723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3">
    <w:name w:val="xl73"/>
    <w:basedOn w:val="Normal"/>
    <w:rsid w:val="00D723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4">
    <w:name w:val="xl74"/>
    <w:basedOn w:val="Normal"/>
    <w:rsid w:val="00D723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5">
    <w:name w:val="xl75"/>
    <w:basedOn w:val="Normal"/>
    <w:rsid w:val="00D723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6">
    <w:name w:val="xl76"/>
    <w:basedOn w:val="Normal"/>
    <w:rsid w:val="00D72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7">
    <w:name w:val="xl77"/>
    <w:basedOn w:val="Normal"/>
    <w:rsid w:val="00D72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78">
    <w:name w:val="xl78"/>
    <w:basedOn w:val="Normal"/>
    <w:rsid w:val="00D72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es-CO" w:eastAsia="es-CO"/>
    </w:rPr>
  </w:style>
  <w:style w:type="paragraph" w:customStyle="1" w:styleId="xl79">
    <w:name w:val="xl79"/>
    <w:basedOn w:val="Normal"/>
    <w:rsid w:val="00D723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80">
    <w:name w:val="xl80"/>
    <w:basedOn w:val="Normal"/>
    <w:rsid w:val="00D723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customStyle="1" w:styleId="xl81">
    <w:name w:val="xl81"/>
    <w:basedOn w:val="Normal"/>
    <w:rsid w:val="00D723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CO" w:eastAsia="es-CO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E1F5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1E1F5E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111AEF"/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4748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8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9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2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3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BEDC471B0D4548B347D6D57CF8C79E" ma:contentTypeVersion="6" ma:contentTypeDescription="Create a new document." ma:contentTypeScope="" ma:versionID="6161b2b5b5ae6c4439103720ee0316ee">
  <xsd:schema xmlns:xsd="http://www.w3.org/2001/XMLSchema" xmlns:xs="http://www.w3.org/2001/XMLSchema" xmlns:p="http://schemas.microsoft.com/office/2006/metadata/properties" xmlns:ns2="1680885d-203f-4e88-bcd6-3a3ac6aab556" xmlns:ns3="eb6fea64-92b2-4d37-9b88-7189dfe81290" targetNamespace="http://schemas.microsoft.com/office/2006/metadata/properties" ma:root="true" ma:fieldsID="5acb167d89d8b18f281aa9d4879f0aab" ns2:_="" ns3:_="">
    <xsd:import namespace="1680885d-203f-4e88-bcd6-3a3ac6aab556"/>
    <xsd:import namespace="eb6fea64-92b2-4d37-9b88-7189dfe812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0885d-203f-4e88-bcd6-3a3ac6aab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fea64-92b2-4d37-9b88-7189dfe8129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660484-0F8B-49D3-930E-356C7CC41C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375776-CB7D-476C-A501-2108D11F66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DDE22-8727-4D01-AB13-DDC37E1F55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87EC1B-3905-48EC-A916-618EC3BEB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80885d-203f-4e88-bcd6-3a3ac6aab556"/>
    <ds:schemaRef ds:uri="eb6fea64-92b2-4d37-9b88-7189dfe812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16</Pages>
  <Words>5672</Words>
  <Characters>31202</Characters>
  <Application>Microsoft Office Word</Application>
  <DocSecurity>0</DocSecurity>
  <Lines>260</Lines>
  <Paragraphs>73</Paragraphs>
  <ScaleCrop>false</ScaleCrop>
  <Company>Superintedencia Bancaria de Colombia</Company>
  <LinksUpToDate>false</LinksUpToDate>
  <CharactersWithSpaces>36801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REGLAS RELATIVAS A LA GESTION DEL</dc:title>
  <dc:subject/>
  <dc:creator>Daniel Rojas</dc:creator>
  <cp:keywords/>
  <dc:description/>
  <cp:lastModifiedBy>Gabriel Armando Ospina Garcia</cp:lastModifiedBy>
  <cp:revision>90</cp:revision>
  <cp:lastPrinted>2019-10-03T15:57:00Z</cp:lastPrinted>
  <dcterms:created xsi:type="dcterms:W3CDTF">2020-07-01T13:18:00Z</dcterms:created>
  <dcterms:modified xsi:type="dcterms:W3CDTF">2021-09-22T14:57:00Z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0x0101002DBEDC471B0D4548B347D6D57CF8C79E</vt:lpwstr>
  </property>
</Properties>
</file>