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9B949" w14:textId="77777777" w:rsidR="00525B4A" w:rsidRDefault="00525B4A" w:rsidP="00722CA1">
      <w:pPr>
        <w:jc w:val="center"/>
        <w:rPr>
          <w:rFonts w:ascii="Arial" w:hAnsi="Arial" w:cs="Arial"/>
          <w:b/>
          <w:sz w:val="16"/>
          <w:szCs w:val="16"/>
        </w:rPr>
      </w:pPr>
    </w:p>
    <w:p w14:paraId="1F561C95" w14:textId="77777777" w:rsidR="00722CA1" w:rsidRPr="00782BD3" w:rsidRDefault="00722CA1" w:rsidP="00722CA1">
      <w:pPr>
        <w:jc w:val="center"/>
        <w:rPr>
          <w:rFonts w:ascii="Arial" w:hAnsi="Arial" w:cs="Arial"/>
          <w:b/>
          <w:sz w:val="16"/>
          <w:szCs w:val="16"/>
        </w:rPr>
      </w:pPr>
      <w:r w:rsidRPr="00782BD3">
        <w:rPr>
          <w:rFonts w:ascii="Arial" w:hAnsi="Arial" w:cs="Arial"/>
          <w:b/>
          <w:sz w:val="16"/>
          <w:szCs w:val="16"/>
        </w:rPr>
        <w:t>PARTE I</w:t>
      </w:r>
      <w:r>
        <w:rPr>
          <w:rFonts w:ascii="Arial" w:hAnsi="Arial" w:cs="Arial"/>
          <w:b/>
          <w:sz w:val="16"/>
          <w:szCs w:val="16"/>
        </w:rPr>
        <w:t>II</w:t>
      </w:r>
    </w:p>
    <w:p w14:paraId="45934BA8" w14:textId="77777777" w:rsidR="00722CA1" w:rsidRDefault="00722CA1" w:rsidP="00722CA1">
      <w:pPr>
        <w:jc w:val="center"/>
        <w:rPr>
          <w:rFonts w:ascii="Arial" w:hAnsi="Arial" w:cs="Arial"/>
          <w:b/>
          <w:sz w:val="16"/>
          <w:szCs w:val="16"/>
        </w:rPr>
      </w:pPr>
      <w:r>
        <w:rPr>
          <w:rFonts w:ascii="Arial" w:hAnsi="Arial" w:cs="Arial"/>
          <w:b/>
          <w:sz w:val="16"/>
          <w:szCs w:val="16"/>
        </w:rPr>
        <w:t>MERCADO DESINTERMEDIADO</w:t>
      </w:r>
    </w:p>
    <w:p w14:paraId="3ECA4978" w14:textId="77777777" w:rsidR="00722CA1" w:rsidRPr="00782BD3" w:rsidRDefault="00722CA1" w:rsidP="00722CA1">
      <w:pPr>
        <w:rPr>
          <w:rFonts w:ascii="Arial" w:hAnsi="Arial" w:cs="Arial"/>
          <w:b/>
          <w:sz w:val="16"/>
          <w:szCs w:val="16"/>
        </w:rPr>
      </w:pPr>
    </w:p>
    <w:p w14:paraId="71714779" w14:textId="77777777" w:rsidR="00722CA1" w:rsidRPr="00782BD3" w:rsidRDefault="00722CA1" w:rsidP="00722CA1">
      <w:pPr>
        <w:jc w:val="center"/>
        <w:rPr>
          <w:rFonts w:ascii="Arial" w:hAnsi="Arial" w:cs="Arial"/>
          <w:b/>
          <w:sz w:val="16"/>
          <w:szCs w:val="16"/>
        </w:rPr>
      </w:pPr>
      <w:r>
        <w:rPr>
          <w:rFonts w:ascii="Arial" w:hAnsi="Arial" w:cs="Arial"/>
          <w:b/>
          <w:sz w:val="16"/>
          <w:szCs w:val="16"/>
        </w:rPr>
        <w:t>TÍTULO I</w:t>
      </w:r>
    </w:p>
    <w:p w14:paraId="21CFE6B8" w14:textId="77777777" w:rsidR="00722CA1" w:rsidRDefault="00722CA1" w:rsidP="00722CA1">
      <w:pPr>
        <w:jc w:val="center"/>
        <w:rPr>
          <w:rFonts w:ascii="Arial" w:hAnsi="Arial" w:cs="Arial"/>
          <w:b/>
          <w:sz w:val="16"/>
          <w:szCs w:val="16"/>
        </w:rPr>
      </w:pPr>
      <w:r>
        <w:rPr>
          <w:rFonts w:ascii="Arial" w:hAnsi="Arial" w:cs="Arial"/>
          <w:b/>
          <w:sz w:val="16"/>
          <w:szCs w:val="16"/>
        </w:rPr>
        <w:t>EMISORES DE VALORES</w:t>
      </w:r>
    </w:p>
    <w:p w14:paraId="3FD2DAC3" w14:textId="77777777" w:rsidR="00722CA1" w:rsidRPr="00782BD3" w:rsidRDefault="00722CA1" w:rsidP="00722CA1">
      <w:pPr>
        <w:jc w:val="center"/>
        <w:rPr>
          <w:rFonts w:ascii="Arial" w:hAnsi="Arial" w:cs="Arial"/>
          <w:b/>
          <w:sz w:val="16"/>
          <w:szCs w:val="16"/>
        </w:rPr>
      </w:pPr>
    </w:p>
    <w:p w14:paraId="171F5457" w14:textId="77777777" w:rsidR="00722CA1" w:rsidRDefault="00722CA1" w:rsidP="00722CA1">
      <w:pPr>
        <w:jc w:val="center"/>
        <w:rPr>
          <w:rFonts w:ascii="Arial" w:hAnsi="Arial" w:cs="Arial"/>
          <w:b/>
          <w:sz w:val="16"/>
          <w:szCs w:val="16"/>
        </w:rPr>
      </w:pPr>
      <w:r w:rsidRPr="00782BD3">
        <w:rPr>
          <w:rFonts w:ascii="Arial" w:hAnsi="Arial" w:cs="Arial"/>
          <w:b/>
          <w:sz w:val="16"/>
          <w:szCs w:val="16"/>
        </w:rPr>
        <w:t xml:space="preserve">CAPÍTULO </w:t>
      </w:r>
      <w:r>
        <w:rPr>
          <w:rFonts w:ascii="Arial" w:hAnsi="Arial" w:cs="Arial"/>
          <w:b/>
          <w:sz w:val="16"/>
          <w:szCs w:val="16"/>
        </w:rPr>
        <w:t>V: CÓDIGO PAÍS</w:t>
      </w:r>
    </w:p>
    <w:p w14:paraId="27F35DDB" w14:textId="77777777" w:rsidR="001C7912" w:rsidRDefault="001C7912" w:rsidP="00722CA1">
      <w:pPr>
        <w:jc w:val="center"/>
        <w:rPr>
          <w:rFonts w:ascii="Arial" w:hAnsi="Arial" w:cs="Arial"/>
          <w:b/>
          <w:sz w:val="16"/>
          <w:szCs w:val="16"/>
        </w:rPr>
      </w:pPr>
    </w:p>
    <w:p w14:paraId="3E6462A4" w14:textId="77777777" w:rsidR="001C7912" w:rsidRDefault="001C7912" w:rsidP="001C7912">
      <w:pPr>
        <w:jc w:val="center"/>
        <w:rPr>
          <w:rFonts w:ascii="Arial" w:hAnsi="Arial" w:cs="Arial"/>
          <w:b/>
          <w:sz w:val="16"/>
          <w:szCs w:val="16"/>
        </w:rPr>
      </w:pPr>
      <w:r>
        <w:rPr>
          <w:rFonts w:ascii="Arial" w:hAnsi="Arial" w:cs="Arial"/>
          <w:b/>
          <w:sz w:val="16"/>
          <w:szCs w:val="16"/>
        </w:rPr>
        <w:t>(Rige a partir del 1 de enero de 2015)</w:t>
      </w:r>
    </w:p>
    <w:p w14:paraId="2C28FD61" w14:textId="77777777" w:rsidR="001C7912" w:rsidRDefault="001C7912" w:rsidP="00722CA1">
      <w:pPr>
        <w:jc w:val="center"/>
        <w:rPr>
          <w:rFonts w:ascii="Arial" w:hAnsi="Arial" w:cs="Arial"/>
          <w:b/>
          <w:sz w:val="16"/>
          <w:szCs w:val="16"/>
        </w:rPr>
      </w:pPr>
    </w:p>
    <w:p w14:paraId="3B8D36E0" w14:textId="77777777" w:rsidR="00722CA1" w:rsidRDefault="00722CA1" w:rsidP="00722CA1">
      <w:pPr>
        <w:jc w:val="both"/>
        <w:rPr>
          <w:rFonts w:ascii="Arial" w:hAnsi="Arial" w:cs="Arial"/>
          <w:bCs/>
          <w:sz w:val="16"/>
          <w:szCs w:val="16"/>
        </w:rPr>
      </w:pPr>
    </w:p>
    <w:p w14:paraId="337EF18A" w14:textId="77777777" w:rsidR="00722CA1" w:rsidRPr="000A13CB" w:rsidRDefault="00722CA1" w:rsidP="00722CA1">
      <w:pPr>
        <w:rPr>
          <w:rFonts w:ascii="Arial" w:hAnsi="Arial" w:cs="Arial"/>
          <w:b/>
          <w:bCs/>
          <w:sz w:val="16"/>
          <w:szCs w:val="16"/>
        </w:rPr>
      </w:pPr>
    </w:p>
    <w:p w14:paraId="2804FD85" w14:textId="77777777" w:rsidR="00496F56" w:rsidRDefault="00D37784" w:rsidP="001F44FF">
      <w:pPr>
        <w:pStyle w:val="Ttulo2"/>
        <w:rPr>
          <w:lang w:val="es-ES"/>
        </w:rPr>
      </w:pPr>
      <w:bookmarkStart w:id="0" w:name="_Toc394780658"/>
      <w:r w:rsidRPr="00680448">
        <w:rPr>
          <w:lang w:val="es-ES"/>
        </w:rPr>
        <w:t>1. ÁMBITO</w:t>
      </w:r>
      <w:r>
        <w:rPr>
          <w:lang w:val="es-ES"/>
        </w:rPr>
        <w:t xml:space="preserve"> DE APLICACIÓN</w:t>
      </w:r>
    </w:p>
    <w:p w14:paraId="627EAE9B" w14:textId="77777777" w:rsidR="00496F56" w:rsidRDefault="00496F56" w:rsidP="00722CA1">
      <w:pPr>
        <w:pStyle w:val="Ttulo2"/>
        <w:rPr>
          <w:lang w:val="es-ES"/>
        </w:rPr>
      </w:pPr>
    </w:p>
    <w:p w14:paraId="30FD619A" w14:textId="3EAC1AE3" w:rsidR="00496F56" w:rsidRPr="00055E4E" w:rsidRDefault="00496F56" w:rsidP="00F160F2">
      <w:pPr>
        <w:pStyle w:val="Ttulo2"/>
        <w:pBdr>
          <w:left w:val="single" w:sz="4" w:space="4" w:color="auto"/>
        </w:pBdr>
        <w:rPr>
          <w:b w:val="0"/>
          <w:lang w:val="es-ES"/>
        </w:rPr>
      </w:pPr>
      <w:r w:rsidRPr="00496F56">
        <w:rPr>
          <w:b w:val="0"/>
          <w:lang w:val="es-ES"/>
        </w:rPr>
        <w:t xml:space="preserve">El </w:t>
      </w:r>
      <w:r w:rsidR="00680448">
        <w:rPr>
          <w:b w:val="0"/>
          <w:lang w:val="es-ES"/>
        </w:rPr>
        <w:t>presente capítulo</w:t>
      </w:r>
      <w:r w:rsidRPr="00496F56">
        <w:rPr>
          <w:b w:val="0"/>
          <w:lang w:val="es-ES"/>
        </w:rPr>
        <w:t xml:space="preserve"> es aplicable a todas las entidades que tengan valores inscritos en el RNVE; excepto la Nación, los patrimonios autónomos administrados por las sociedades fiduciarias, los fondos de inversión colectiva, las universalidades de que trata la Ley 546 de 1999, las entidades territoria</w:t>
      </w:r>
      <w:r w:rsidR="001F44FF">
        <w:rPr>
          <w:b w:val="0"/>
          <w:lang w:val="es-ES"/>
        </w:rPr>
        <w:t>les a que se refiere el art.</w:t>
      </w:r>
      <w:r w:rsidRPr="00496F56">
        <w:rPr>
          <w:b w:val="0"/>
          <w:lang w:val="es-ES"/>
        </w:rPr>
        <w:t xml:space="preserve"> 286 de la </w:t>
      </w:r>
      <w:r w:rsidR="00651457">
        <w:rPr>
          <w:b w:val="0"/>
          <w:lang w:val="es-ES"/>
        </w:rPr>
        <w:t>CN</w:t>
      </w:r>
      <w:r w:rsidRPr="00496F56">
        <w:rPr>
          <w:b w:val="0"/>
          <w:lang w:val="es-ES"/>
        </w:rPr>
        <w:t xml:space="preserve">, los organismos multilaterales de crédito, los gobiernos extranjeros, las entidades públicas extranjeras, las sucursales de sociedades extranjeras </w:t>
      </w:r>
      <w:r w:rsidR="00F160F2">
        <w:rPr>
          <w:b w:val="0"/>
          <w:lang w:val="es-ES"/>
        </w:rPr>
        <w:t>,</w:t>
      </w:r>
      <w:r w:rsidRPr="00496F56">
        <w:rPr>
          <w:b w:val="0"/>
          <w:lang w:val="es-ES"/>
        </w:rPr>
        <w:t xml:space="preserve"> las entidades extranjeras</w:t>
      </w:r>
      <w:r w:rsidR="00F160F2">
        <w:rPr>
          <w:b w:val="0"/>
          <w:lang w:val="es-ES"/>
        </w:rPr>
        <w:t xml:space="preserve"> </w:t>
      </w:r>
      <w:r w:rsidR="00F160F2" w:rsidRPr="00F160F2">
        <w:rPr>
          <w:bCs w:val="0"/>
          <w:lang w:val="es-ES"/>
        </w:rPr>
        <w:t xml:space="preserve">y los emisores de valores que cuenten con inscripción temporal ante el </w:t>
      </w:r>
      <w:r w:rsidR="001F3BEC">
        <w:rPr>
          <w:bCs w:val="0"/>
          <w:lang w:val="es-ES"/>
        </w:rPr>
        <w:t>RNVE.</w:t>
      </w:r>
      <w:r w:rsidR="00055E4E" w:rsidRPr="00055E4E">
        <w:rPr>
          <w:b w:val="0"/>
          <w:lang w:val="es-ES"/>
        </w:rPr>
        <w:t xml:space="preserve"> </w:t>
      </w:r>
      <w:r w:rsidR="00055E4E" w:rsidRPr="00055E4E">
        <w:rPr>
          <w:rFonts w:cs="Arial"/>
          <w:b w:val="0"/>
          <w:szCs w:val="16"/>
          <w:lang w:val="es-ES"/>
        </w:rPr>
        <w:t>El Código País se encuentra incorporado al presente capítulo mediante el Anexo 1.</w:t>
      </w:r>
      <w:r w:rsidR="001F44FF">
        <w:rPr>
          <w:rFonts w:cs="Arial"/>
          <w:b w:val="0"/>
          <w:szCs w:val="16"/>
          <w:lang w:val="es-ES"/>
        </w:rPr>
        <w:t xml:space="preserve"> </w:t>
      </w:r>
    </w:p>
    <w:p w14:paraId="03961D00" w14:textId="77777777" w:rsidR="00496F56" w:rsidRDefault="00496F56" w:rsidP="00722CA1">
      <w:pPr>
        <w:pStyle w:val="Ttulo2"/>
        <w:rPr>
          <w:lang w:val="es-ES"/>
        </w:rPr>
      </w:pPr>
    </w:p>
    <w:p w14:paraId="30E34A7D" w14:textId="77777777" w:rsidR="00722CA1" w:rsidRDefault="00D37784" w:rsidP="001E6507">
      <w:pPr>
        <w:pStyle w:val="Ttulo2"/>
        <w:rPr>
          <w:rFonts w:cs="Arial"/>
          <w:szCs w:val="16"/>
          <w:lang w:val="es-ES"/>
        </w:rPr>
      </w:pPr>
      <w:r>
        <w:rPr>
          <w:lang w:val="es-ES"/>
        </w:rPr>
        <w:t xml:space="preserve">2. </w:t>
      </w:r>
      <w:bookmarkEnd w:id="0"/>
      <w:r w:rsidRPr="001E6507">
        <w:rPr>
          <w:lang w:val="es-ES"/>
        </w:rPr>
        <w:t>ALCANCE DEL CÓDIGO PAÍS Y ADOPCIÓN DEL REPORTE DE IMPLEMENTACIÓN</w:t>
      </w:r>
    </w:p>
    <w:p w14:paraId="1AAD6DD0" w14:textId="77777777" w:rsidR="001E6507" w:rsidRDefault="001E6507" w:rsidP="00722CA1">
      <w:pPr>
        <w:jc w:val="both"/>
        <w:rPr>
          <w:rFonts w:ascii="Arial" w:hAnsi="Arial" w:cs="Arial"/>
          <w:sz w:val="16"/>
          <w:szCs w:val="16"/>
          <w:lang w:val="es-ES"/>
        </w:rPr>
      </w:pPr>
    </w:p>
    <w:p w14:paraId="0A5A7438" w14:textId="77777777" w:rsidR="001E6507" w:rsidRPr="001E6507" w:rsidRDefault="001E6507" w:rsidP="001E6507">
      <w:pPr>
        <w:jc w:val="both"/>
        <w:rPr>
          <w:rFonts w:ascii="Arial" w:hAnsi="Arial" w:cs="Arial"/>
          <w:sz w:val="16"/>
          <w:szCs w:val="16"/>
          <w:lang w:val="es-ES"/>
        </w:rPr>
      </w:pPr>
      <w:r w:rsidRPr="001E6507">
        <w:rPr>
          <w:rFonts w:ascii="Arial" w:hAnsi="Arial" w:cs="Arial"/>
          <w:sz w:val="16"/>
          <w:szCs w:val="16"/>
          <w:lang w:val="es-ES"/>
        </w:rPr>
        <w:t xml:space="preserve">El Código País </w:t>
      </w:r>
      <w:r w:rsidR="00680448">
        <w:rPr>
          <w:rFonts w:ascii="Arial" w:hAnsi="Arial" w:cs="Arial"/>
          <w:sz w:val="16"/>
          <w:szCs w:val="16"/>
          <w:lang w:val="es-ES"/>
        </w:rPr>
        <w:t xml:space="preserve">se fundamenta en </w:t>
      </w:r>
      <w:r w:rsidRPr="001E6507">
        <w:rPr>
          <w:rFonts w:ascii="Arial" w:hAnsi="Arial" w:cs="Arial"/>
          <w:sz w:val="16"/>
          <w:szCs w:val="16"/>
          <w:lang w:val="es-ES"/>
        </w:rPr>
        <w:t xml:space="preserve">el principio de “cumpla o explique” </w:t>
      </w:r>
      <w:proofErr w:type="gramStart"/>
      <w:r w:rsidRPr="001E6507">
        <w:rPr>
          <w:rFonts w:ascii="Arial" w:hAnsi="Arial" w:cs="Arial"/>
          <w:sz w:val="16"/>
          <w:szCs w:val="16"/>
          <w:lang w:val="es-ES"/>
        </w:rPr>
        <w:t>y</w:t>
      </w:r>
      <w:proofErr w:type="gramEnd"/>
      <w:r w:rsidRPr="001E6507">
        <w:rPr>
          <w:rFonts w:ascii="Arial" w:hAnsi="Arial" w:cs="Arial"/>
          <w:sz w:val="16"/>
          <w:szCs w:val="16"/>
          <w:lang w:val="es-ES"/>
        </w:rPr>
        <w:t xml:space="preserve"> por lo tanto, sus recomendaciones son de adopción voluntaria para los emisores de valores.</w:t>
      </w:r>
      <w:r w:rsidR="00055E4E">
        <w:rPr>
          <w:rFonts w:ascii="Arial" w:hAnsi="Arial" w:cs="Arial"/>
          <w:sz w:val="16"/>
          <w:szCs w:val="16"/>
          <w:lang w:val="es-ES"/>
        </w:rPr>
        <w:t xml:space="preserve"> </w:t>
      </w:r>
      <w:r w:rsidRPr="001E6507">
        <w:rPr>
          <w:rFonts w:ascii="Arial" w:hAnsi="Arial" w:cs="Arial"/>
          <w:sz w:val="16"/>
          <w:szCs w:val="16"/>
          <w:lang w:val="es-ES"/>
        </w:rPr>
        <w:t>Los destinatarios de</w:t>
      </w:r>
      <w:r w:rsidR="00680448">
        <w:rPr>
          <w:rFonts w:ascii="Arial" w:hAnsi="Arial" w:cs="Arial"/>
          <w:sz w:val="16"/>
          <w:szCs w:val="16"/>
          <w:lang w:val="es-ES"/>
        </w:rPr>
        <w:t>l</w:t>
      </w:r>
      <w:r w:rsidRPr="001E6507">
        <w:rPr>
          <w:rFonts w:ascii="Arial" w:hAnsi="Arial" w:cs="Arial"/>
          <w:sz w:val="16"/>
          <w:szCs w:val="16"/>
          <w:lang w:val="es-ES"/>
        </w:rPr>
        <w:t xml:space="preserve"> presente </w:t>
      </w:r>
      <w:r w:rsidR="00680448">
        <w:rPr>
          <w:rFonts w:ascii="Arial" w:hAnsi="Arial" w:cs="Arial"/>
          <w:sz w:val="16"/>
          <w:szCs w:val="16"/>
          <w:lang w:val="es-ES"/>
        </w:rPr>
        <w:t>capítulo</w:t>
      </w:r>
      <w:r w:rsidRPr="001E6507">
        <w:rPr>
          <w:rFonts w:ascii="Arial" w:hAnsi="Arial" w:cs="Arial"/>
          <w:sz w:val="16"/>
          <w:szCs w:val="16"/>
          <w:lang w:val="es-ES"/>
        </w:rPr>
        <w:t xml:space="preserve"> deben dar a conocer al mercado el nivel de implementación de las recomendaciones contenidas en el Código País, mediante el diligenciamiento y remisión anual a la SFC del Reporte de Implementación de Mejores Prácticas Corporativas. Dicho reporte se incorpora como Anexo 2. </w:t>
      </w:r>
    </w:p>
    <w:p w14:paraId="4B294FE6" w14:textId="77777777" w:rsidR="001E6507" w:rsidRPr="001E6507" w:rsidRDefault="001E6507" w:rsidP="001E6507">
      <w:pPr>
        <w:jc w:val="both"/>
        <w:rPr>
          <w:rFonts w:ascii="Arial" w:hAnsi="Arial" w:cs="Arial"/>
          <w:sz w:val="16"/>
          <w:szCs w:val="16"/>
          <w:lang w:val="es-ES"/>
        </w:rPr>
      </w:pPr>
    </w:p>
    <w:p w14:paraId="0AEB164E" w14:textId="77777777" w:rsidR="001E6507" w:rsidRDefault="001E6507" w:rsidP="001E6507">
      <w:pPr>
        <w:jc w:val="both"/>
        <w:rPr>
          <w:rFonts w:ascii="Arial" w:hAnsi="Arial" w:cs="Arial"/>
          <w:sz w:val="16"/>
          <w:szCs w:val="16"/>
          <w:lang w:val="es-ES"/>
        </w:rPr>
      </w:pPr>
      <w:r w:rsidRPr="001E6507">
        <w:rPr>
          <w:rFonts w:ascii="Arial" w:hAnsi="Arial" w:cs="Arial"/>
          <w:sz w:val="16"/>
          <w:szCs w:val="16"/>
          <w:lang w:val="es-ES"/>
        </w:rPr>
        <w:t>El Reporte de Implementación debe reflejar la situación del emisor frente a las recomendaciones del Código País durante el período comprendido entre enero y diciembre del año inmediatamente anterior a su diligenciamiento, reporte y envío.</w:t>
      </w:r>
    </w:p>
    <w:p w14:paraId="77C36974" w14:textId="77777777" w:rsidR="00055E4E" w:rsidRDefault="00055E4E" w:rsidP="00722CA1">
      <w:pPr>
        <w:jc w:val="both"/>
        <w:rPr>
          <w:rFonts w:ascii="Arial" w:hAnsi="Arial" w:cs="Arial"/>
          <w:sz w:val="16"/>
          <w:szCs w:val="16"/>
          <w:lang w:val="es-ES"/>
        </w:rPr>
      </w:pPr>
    </w:p>
    <w:p w14:paraId="1EB16D0C" w14:textId="77777777" w:rsidR="00722CA1" w:rsidRPr="005637A8" w:rsidRDefault="00D37784" w:rsidP="00722CA1">
      <w:pPr>
        <w:pStyle w:val="Ttulo2"/>
        <w:rPr>
          <w:lang w:val="es-ES"/>
        </w:rPr>
      </w:pPr>
      <w:bookmarkStart w:id="1" w:name="_Toc394780659"/>
      <w:r w:rsidRPr="005637A8">
        <w:rPr>
          <w:lang w:val="es-ES"/>
        </w:rPr>
        <w:t xml:space="preserve">3. ESTRUCTURA DEL </w:t>
      </w:r>
      <w:bookmarkEnd w:id="1"/>
      <w:r w:rsidRPr="00055E4E">
        <w:rPr>
          <w:lang w:val="es-ES"/>
        </w:rPr>
        <w:t>CÓDIGO PAÍS</w:t>
      </w:r>
    </w:p>
    <w:p w14:paraId="17B11A09" w14:textId="77777777" w:rsidR="00722CA1" w:rsidRPr="005637A8" w:rsidRDefault="00722CA1" w:rsidP="00722CA1">
      <w:pPr>
        <w:jc w:val="both"/>
        <w:rPr>
          <w:rFonts w:ascii="Arial" w:hAnsi="Arial" w:cs="Arial"/>
          <w:b/>
          <w:bCs/>
          <w:sz w:val="16"/>
          <w:szCs w:val="16"/>
          <w:lang w:val="es-ES"/>
        </w:rPr>
      </w:pPr>
    </w:p>
    <w:p w14:paraId="00409959" w14:textId="77777777" w:rsidR="00722CA1" w:rsidRDefault="00055E4E" w:rsidP="00722CA1">
      <w:pPr>
        <w:jc w:val="both"/>
        <w:rPr>
          <w:rFonts w:ascii="Arial" w:hAnsi="Arial" w:cs="Arial"/>
          <w:sz w:val="16"/>
          <w:szCs w:val="16"/>
          <w:lang w:val="es-ES"/>
        </w:rPr>
      </w:pPr>
      <w:r w:rsidRPr="00055E4E">
        <w:rPr>
          <w:rFonts w:ascii="Arial" w:hAnsi="Arial" w:cs="Arial"/>
          <w:sz w:val="16"/>
          <w:szCs w:val="16"/>
          <w:lang w:val="es-ES"/>
        </w:rPr>
        <w:t xml:space="preserve">El Código está integrado por 33 Medidas, las cuales agrupan hasta 148 recomendaciones que pueden ser adoptadas por los emisores de valores en materia de: (i) Derechos y trato equitativo de los accionistas, (ii) Asamblea General de Accionistas, (iii) Junta </w:t>
      </w:r>
      <w:proofErr w:type="gramStart"/>
      <w:r w:rsidRPr="00055E4E">
        <w:rPr>
          <w:rFonts w:ascii="Arial" w:hAnsi="Arial" w:cs="Arial"/>
          <w:sz w:val="16"/>
          <w:szCs w:val="16"/>
          <w:lang w:val="es-ES"/>
        </w:rPr>
        <w:t>Directiva,(</w:t>
      </w:r>
      <w:proofErr w:type="gramEnd"/>
      <w:r w:rsidRPr="00055E4E">
        <w:rPr>
          <w:rFonts w:ascii="Arial" w:hAnsi="Arial" w:cs="Arial"/>
          <w:sz w:val="16"/>
          <w:szCs w:val="16"/>
          <w:lang w:val="es-ES"/>
        </w:rPr>
        <w:t>iv) Arquitectura de Control, y (v) Transparencia e Información Financiera y no Financiera.</w:t>
      </w:r>
    </w:p>
    <w:p w14:paraId="4947A926" w14:textId="77777777" w:rsidR="00055E4E" w:rsidRPr="00EC2298" w:rsidRDefault="00055E4E" w:rsidP="00722CA1">
      <w:pPr>
        <w:jc w:val="both"/>
        <w:rPr>
          <w:rFonts w:ascii="Arial" w:hAnsi="Arial" w:cs="Arial"/>
          <w:sz w:val="16"/>
          <w:szCs w:val="16"/>
          <w:lang w:val="es-ES"/>
        </w:rPr>
      </w:pPr>
    </w:p>
    <w:p w14:paraId="5D30EB06" w14:textId="77777777" w:rsidR="00722CA1" w:rsidRDefault="00D37784" w:rsidP="00722CA1">
      <w:pPr>
        <w:pStyle w:val="Ttulo2"/>
        <w:rPr>
          <w:lang w:val="es-ES"/>
        </w:rPr>
      </w:pPr>
      <w:bookmarkStart w:id="2" w:name="_Toc394780660"/>
      <w:r w:rsidRPr="00EC2298">
        <w:rPr>
          <w:lang w:val="es-ES"/>
        </w:rPr>
        <w:t xml:space="preserve">4. DILIGENCIAMIENTO </w:t>
      </w:r>
      <w:bookmarkEnd w:id="2"/>
      <w:r>
        <w:rPr>
          <w:lang w:val="es-ES"/>
        </w:rPr>
        <w:t>Y REPORTE</w:t>
      </w:r>
    </w:p>
    <w:p w14:paraId="38B533B3" w14:textId="77777777" w:rsidR="00722CA1" w:rsidRDefault="00722CA1" w:rsidP="00722CA1">
      <w:pPr>
        <w:jc w:val="both"/>
        <w:rPr>
          <w:rFonts w:ascii="Arial" w:hAnsi="Arial" w:cs="Arial"/>
          <w:b/>
          <w:bCs/>
          <w:sz w:val="16"/>
          <w:szCs w:val="16"/>
          <w:lang w:val="es-ES"/>
        </w:rPr>
      </w:pPr>
    </w:p>
    <w:p w14:paraId="1A8D30CC"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Para el diligenciamiento y remisión del Reporte de Implementación de Mejores Prácticas Corporativas, se debe ingresar a la página de Internet de la SFC: www.superfinanciera.gov.co</w:t>
      </w:r>
      <w:r>
        <w:rPr>
          <w:rFonts w:ascii="Arial" w:hAnsi="Arial" w:cs="Arial"/>
          <w:color w:val="000000"/>
          <w:sz w:val="16"/>
          <w:szCs w:val="16"/>
          <w:lang w:val="es-ES"/>
        </w:rPr>
        <w:t>.</w:t>
      </w:r>
    </w:p>
    <w:p w14:paraId="3595C2A0" w14:textId="77777777" w:rsidR="00055E4E" w:rsidRPr="00055E4E" w:rsidRDefault="00055E4E" w:rsidP="00055E4E">
      <w:pPr>
        <w:ind w:left="-180"/>
        <w:jc w:val="both"/>
        <w:rPr>
          <w:rFonts w:ascii="Arial" w:hAnsi="Arial" w:cs="Arial"/>
          <w:color w:val="000000"/>
          <w:sz w:val="16"/>
          <w:szCs w:val="16"/>
          <w:lang w:val="es-ES"/>
        </w:rPr>
      </w:pPr>
    </w:p>
    <w:p w14:paraId="4D5836A9"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A continuación de cada recomendación se debe responder con SI, NO o NO APLICA (N.A.), señalando la casilla que corresponda según se adopte o no la recomendación referida, o si</w:t>
      </w:r>
      <w:r>
        <w:rPr>
          <w:rFonts w:ascii="Arial" w:hAnsi="Arial" w:cs="Arial"/>
          <w:color w:val="000000"/>
          <w:sz w:val="16"/>
          <w:szCs w:val="16"/>
          <w:lang w:val="es-ES"/>
        </w:rPr>
        <w:t xml:space="preserve"> la misma no resulta</w:t>
      </w:r>
      <w:r w:rsidRPr="00055E4E">
        <w:rPr>
          <w:rFonts w:ascii="Arial" w:hAnsi="Arial" w:cs="Arial"/>
          <w:color w:val="000000"/>
          <w:sz w:val="16"/>
          <w:szCs w:val="16"/>
          <w:lang w:val="es-ES"/>
        </w:rPr>
        <w:t xml:space="preserve"> aplicable.</w:t>
      </w:r>
    </w:p>
    <w:p w14:paraId="4C35D69F" w14:textId="77777777" w:rsidR="00055E4E" w:rsidRPr="00055E4E" w:rsidRDefault="00055E4E" w:rsidP="00055E4E">
      <w:pPr>
        <w:jc w:val="both"/>
        <w:rPr>
          <w:rFonts w:ascii="Arial" w:hAnsi="Arial" w:cs="Arial"/>
          <w:color w:val="000000"/>
          <w:sz w:val="16"/>
          <w:szCs w:val="16"/>
          <w:lang w:val="es-ES"/>
        </w:rPr>
      </w:pPr>
    </w:p>
    <w:p w14:paraId="48777AD0" w14:textId="77777777" w:rsidR="00055E4E" w:rsidRPr="00055E4E" w:rsidRDefault="00055E4E" w:rsidP="00055E4E">
      <w:pPr>
        <w:jc w:val="both"/>
        <w:rPr>
          <w:rFonts w:ascii="Arial" w:hAnsi="Arial" w:cs="Arial"/>
          <w:sz w:val="16"/>
          <w:szCs w:val="16"/>
          <w:lang w:val="es-ES"/>
        </w:rPr>
      </w:pPr>
      <w:r w:rsidRPr="00055E4E">
        <w:rPr>
          <w:rFonts w:ascii="Arial" w:hAnsi="Arial" w:cs="Arial"/>
          <w:sz w:val="16"/>
          <w:szCs w:val="16"/>
          <w:lang w:val="es-ES"/>
        </w:rPr>
        <w:t xml:space="preserve">En virtud del modelo adoptado, cada recomendación cuenta con un espacio para que los emisores que han acogido las recomendaciones describan brevemente la manera cómo han realizado dicha implementación. En caso contrario, el emisor deberá explicar las razones por las cuales no ha acogido la misma. </w:t>
      </w:r>
    </w:p>
    <w:p w14:paraId="2AAF4A5E" w14:textId="77777777" w:rsidR="00055E4E" w:rsidRPr="00055E4E" w:rsidRDefault="00055E4E" w:rsidP="00055E4E">
      <w:pPr>
        <w:jc w:val="both"/>
        <w:rPr>
          <w:rFonts w:ascii="Arial" w:hAnsi="Arial" w:cs="Arial"/>
          <w:color w:val="000000"/>
          <w:sz w:val="16"/>
          <w:szCs w:val="16"/>
          <w:lang w:val="es-ES"/>
        </w:rPr>
      </w:pPr>
    </w:p>
    <w:p w14:paraId="21C4B298"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La respuesta N.A., sólo puede ser suministrada por el emisor en aquellos casos en que por razones legales no le sea posible adoptar la recomendación. En este evento deberá indicar en forma precisa la norma o disposiciones que se lo impiden.</w:t>
      </w:r>
    </w:p>
    <w:p w14:paraId="12043EC6" w14:textId="77777777" w:rsidR="00055E4E" w:rsidRPr="00055E4E" w:rsidRDefault="00055E4E" w:rsidP="00055E4E">
      <w:pPr>
        <w:jc w:val="both"/>
        <w:rPr>
          <w:rFonts w:ascii="Arial" w:hAnsi="Arial" w:cs="Arial"/>
          <w:sz w:val="16"/>
          <w:szCs w:val="16"/>
          <w:lang w:val="es-ES"/>
        </w:rPr>
      </w:pPr>
    </w:p>
    <w:p w14:paraId="47E8E555" w14:textId="77777777" w:rsidR="00055E4E" w:rsidRPr="00055E4E" w:rsidRDefault="00055E4E" w:rsidP="00055E4E">
      <w:pPr>
        <w:jc w:val="both"/>
        <w:rPr>
          <w:rFonts w:ascii="Arial" w:hAnsi="Arial" w:cs="Arial"/>
          <w:sz w:val="16"/>
          <w:szCs w:val="16"/>
          <w:lang w:val="es-ES"/>
        </w:rPr>
      </w:pPr>
      <w:r w:rsidRPr="00055E4E">
        <w:rPr>
          <w:rFonts w:ascii="Arial" w:hAnsi="Arial" w:cs="Arial"/>
          <w:sz w:val="16"/>
          <w:szCs w:val="16"/>
          <w:lang w:val="es-ES"/>
        </w:rPr>
        <w:t>Cada recomendación cuenta con una casilla para indicar la fecha en que el emisor la implementó por primera vez. Adicionalmente, se contará con una casilla donde se registrarán las fechas en las cuales se han realizado modificaciones.</w:t>
      </w:r>
    </w:p>
    <w:p w14:paraId="4CB2B895" w14:textId="77777777" w:rsidR="00055E4E" w:rsidRPr="00055E4E" w:rsidRDefault="00055E4E" w:rsidP="00055E4E">
      <w:pPr>
        <w:jc w:val="both"/>
        <w:rPr>
          <w:rFonts w:ascii="Arial" w:hAnsi="Arial" w:cs="Arial"/>
          <w:sz w:val="16"/>
          <w:szCs w:val="16"/>
          <w:lang w:val="es-ES"/>
        </w:rPr>
      </w:pPr>
    </w:p>
    <w:p w14:paraId="7F6009A3"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Toda la información debe ajustarse a los principios de transparencia, integralidad y veracidad, por tal razón no podrá incluir información sesgada, insuficiente, no verificable, o cualquier otra que pueda inducir a error o confusión, o no permita al mercado en general y a los inversionistas hacerse un juicio fundado y objetivo sobre la entidad.</w:t>
      </w:r>
    </w:p>
    <w:p w14:paraId="225EA66E" w14:textId="77777777" w:rsidR="00055E4E" w:rsidRPr="00055E4E" w:rsidRDefault="00055E4E" w:rsidP="00055E4E">
      <w:pPr>
        <w:ind w:left="-180"/>
        <w:jc w:val="both"/>
        <w:rPr>
          <w:rFonts w:ascii="Arial" w:hAnsi="Arial" w:cs="Arial"/>
          <w:color w:val="000000"/>
          <w:sz w:val="16"/>
          <w:szCs w:val="16"/>
          <w:u w:val="single"/>
          <w:lang w:val="es-ES"/>
        </w:rPr>
      </w:pPr>
    </w:p>
    <w:p w14:paraId="24239950"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 xml:space="preserve">Así mismo, las explicaciones deben estar redactadas en un lenguaje claro y preciso, de forma tal que no den lugar a la formación de un juicio erróneo entre sus destinatarios. </w:t>
      </w:r>
    </w:p>
    <w:p w14:paraId="04BD5341" w14:textId="77777777" w:rsidR="00055E4E" w:rsidRPr="00055E4E" w:rsidRDefault="00055E4E" w:rsidP="00055E4E">
      <w:pPr>
        <w:jc w:val="both"/>
        <w:rPr>
          <w:rFonts w:ascii="Arial" w:hAnsi="Arial" w:cs="Arial"/>
          <w:color w:val="000000"/>
          <w:sz w:val="16"/>
          <w:szCs w:val="16"/>
          <w:lang w:val="es-ES"/>
        </w:rPr>
      </w:pPr>
    </w:p>
    <w:p w14:paraId="6E2F9923"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El Reporte de Implementación constituye información relevante, en atención a lo definido en el parágrafo</w:t>
      </w:r>
      <w:r>
        <w:rPr>
          <w:rFonts w:ascii="Arial" w:hAnsi="Arial" w:cs="Arial"/>
          <w:color w:val="000000"/>
          <w:sz w:val="16"/>
          <w:szCs w:val="16"/>
          <w:lang w:val="es-ES"/>
        </w:rPr>
        <w:t xml:space="preserve"> 5º del art.</w:t>
      </w:r>
      <w:r w:rsidRPr="00055E4E">
        <w:rPr>
          <w:rFonts w:ascii="Arial" w:hAnsi="Arial" w:cs="Arial"/>
          <w:color w:val="000000"/>
          <w:sz w:val="16"/>
          <w:szCs w:val="16"/>
          <w:lang w:val="es-ES"/>
        </w:rPr>
        <w:t xml:space="preserve"> 5.2.4.1.5 del Decreto 2555 de 2010. En consecuencia, la responsabilidad por su envío corresponde al representante legal de la entidad emisora, en los términos del </w:t>
      </w:r>
      <w:r>
        <w:rPr>
          <w:rFonts w:ascii="Arial" w:hAnsi="Arial" w:cs="Arial"/>
          <w:color w:val="000000"/>
          <w:sz w:val="16"/>
          <w:szCs w:val="16"/>
          <w:lang w:val="es-ES"/>
        </w:rPr>
        <w:t>art.</w:t>
      </w:r>
      <w:r w:rsidRPr="00055E4E">
        <w:rPr>
          <w:rFonts w:ascii="Arial" w:hAnsi="Arial" w:cs="Arial"/>
          <w:color w:val="000000"/>
          <w:sz w:val="16"/>
          <w:szCs w:val="16"/>
          <w:lang w:val="es-ES"/>
        </w:rPr>
        <w:t xml:space="preserve"> 5.2.4.1.8 del Decreto 2555 de 2010. El acceso para el diligenciamiento y transmisión requerirá la firma digital del representante legal designado.</w:t>
      </w:r>
    </w:p>
    <w:p w14:paraId="3312BA38" w14:textId="77777777" w:rsidR="00055E4E" w:rsidRPr="00055E4E" w:rsidRDefault="00055E4E" w:rsidP="00055E4E">
      <w:pPr>
        <w:jc w:val="both"/>
        <w:rPr>
          <w:rFonts w:ascii="Arial" w:hAnsi="Arial" w:cs="Arial"/>
          <w:color w:val="000000"/>
          <w:sz w:val="16"/>
          <w:szCs w:val="16"/>
          <w:lang w:val="es-ES"/>
        </w:rPr>
      </w:pPr>
    </w:p>
    <w:p w14:paraId="707EBC66"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 xml:space="preserve">En todo caso, la responsabilidad respecto de la integralidad y veracidad de la información contenida en el Reporte de Implementación transmitido al RNVE es del representante legal de la entidad emisora, del representante legal responsable del suministro de información relevante y de los administradores de la sociedad que hayan intervenido en la preparación </w:t>
      </w:r>
      <w:proofErr w:type="gramStart"/>
      <w:r w:rsidRPr="00055E4E">
        <w:rPr>
          <w:rFonts w:ascii="Arial" w:hAnsi="Arial" w:cs="Arial"/>
          <w:color w:val="000000"/>
          <w:sz w:val="16"/>
          <w:szCs w:val="16"/>
          <w:lang w:val="es-ES"/>
        </w:rPr>
        <w:t>del mismo</w:t>
      </w:r>
      <w:proofErr w:type="gramEnd"/>
      <w:r w:rsidRPr="00055E4E">
        <w:rPr>
          <w:rFonts w:ascii="Arial" w:hAnsi="Arial" w:cs="Arial"/>
          <w:color w:val="000000"/>
          <w:sz w:val="16"/>
          <w:szCs w:val="16"/>
          <w:lang w:val="es-ES"/>
        </w:rPr>
        <w:t>.</w:t>
      </w:r>
    </w:p>
    <w:p w14:paraId="490E8EE3" w14:textId="77777777" w:rsidR="00055E4E" w:rsidRPr="00055E4E" w:rsidRDefault="00055E4E" w:rsidP="00055E4E">
      <w:pPr>
        <w:ind w:left="-180"/>
        <w:jc w:val="both"/>
        <w:rPr>
          <w:rFonts w:ascii="Arial" w:hAnsi="Arial" w:cs="Arial"/>
          <w:color w:val="000000"/>
          <w:sz w:val="16"/>
          <w:szCs w:val="16"/>
          <w:lang w:val="es-ES"/>
        </w:rPr>
      </w:pPr>
    </w:p>
    <w:p w14:paraId="4E8C81CA" w14:textId="77777777" w:rsidR="00055E4E" w:rsidRPr="00055E4E" w:rsidRDefault="00055E4E" w:rsidP="00055E4E">
      <w:pPr>
        <w:jc w:val="both"/>
        <w:rPr>
          <w:rFonts w:ascii="Arial" w:hAnsi="Arial" w:cs="Arial"/>
          <w:color w:val="000000"/>
          <w:sz w:val="16"/>
          <w:szCs w:val="16"/>
          <w:lang w:val="es-ES"/>
        </w:rPr>
      </w:pPr>
      <w:r w:rsidRPr="00055E4E">
        <w:rPr>
          <w:rFonts w:ascii="Arial" w:hAnsi="Arial" w:cs="Arial"/>
          <w:color w:val="000000"/>
          <w:sz w:val="16"/>
          <w:szCs w:val="16"/>
          <w:lang w:val="es-ES"/>
        </w:rPr>
        <w:t>El Reporte debe publicarse por el emisor en su página de Internet en forma simultánea a su remisión a la SFC.</w:t>
      </w:r>
    </w:p>
    <w:p w14:paraId="7F5C0EBA" w14:textId="77777777" w:rsidR="00055E4E" w:rsidRPr="00055E4E" w:rsidRDefault="00055E4E" w:rsidP="00055E4E">
      <w:pPr>
        <w:jc w:val="both"/>
        <w:rPr>
          <w:rFonts w:ascii="Arial" w:hAnsi="Arial" w:cs="Arial"/>
          <w:sz w:val="16"/>
          <w:szCs w:val="16"/>
          <w:lang w:val="es-ES"/>
        </w:rPr>
      </w:pPr>
    </w:p>
    <w:p w14:paraId="09ADE870" w14:textId="77777777" w:rsidR="00055E4E" w:rsidRDefault="00055E4E" w:rsidP="00722CA1">
      <w:pPr>
        <w:jc w:val="both"/>
        <w:rPr>
          <w:rFonts w:ascii="Arial" w:hAnsi="Arial" w:cs="Arial"/>
          <w:b/>
          <w:bCs/>
          <w:sz w:val="16"/>
          <w:szCs w:val="16"/>
          <w:lang w:val="es-ES"/>
        </w:rPr>
      </w:pPr>
      <w:r w:rsidRPr="00055E4E">
        <w:rPr>
          <w:rFonts w:ascii="Arial" w:hAnsi="Arial" w:cs="Arial"/>
          <w:sz w:val="16"/>
          <w:szCs w:val="16"/>
          <w:lang w:val="es-ES"/>
        </w:rPr>
        <w:t>El Reporte de Implementación deberá ponerse</w:t>
      </w:r>
      <w:r>
        <w:rPr>
          <w:rFonts w:ascii="Arial" w:hAnsi="Arial" w:cs="Arial"/>
          <w:sz w:val="16"/>
          <w:szCs w:val="16"/>
          <w:lang w:val="es-ES"/>
        </w:rPr>
        <w:t xml:space="preserve"> en conocimiento de la asamblea general de a</w:t>
      </w:r>
      <w:r w:rsidRPr="00055E4E">
        <w:rPr>
          <w:rFonts w:ascii="Arial" w:hAnsi="Arial" w:cs="Arial"/>
          <w:sz w:val="16"/>
          <w:szCs w:val="16"/>
          <w:lang w:val="es-ES"/>
        </w:rPr>
        <w:t>ccionistas, u órgano que h</w:t>
      </w:r>
      <w:r>
        <w:rPr>
          <w:rFonts w:ascii="Arial" w:hAnsi="Arial" w:cs="Arial"/>
          <w:sz w:val="16"/>
          <w:szCs w:val="16"/>
          <w:lang w:val="es-ES"/>
        </w:rPr>
        <w:t>aga sus veces, por parte de la administración del emisor, y hará parte del informe de gestión que dicha a</w:t>
      </w:r>
      <w:r w:rsidRPr="00055E4E">
        <w:rPr>
          <w:rFonts w:ascii="Arial" w:hAnsi="Arial" w:cs="Arial"/>
          <w:sz w:val="16"/>
          <w:szCs w:val="16"/>
          <w:lang w:val="es-ES"/>
        </w:rPr>
        <w:t>dministración aprueba y presenta cada año dur</w:t>
      </w:r>
      <w:r>
        <w:rPr>
          <w:rFonts w:ascii="Arial" w:hAnsi="Arial" w:cs="Arial"/>
          <w:sz w:val="16"/>
          <w:szCs w:val="16"/>
          <w:lang w:val="es-ES"/>
        </w:rPr>
        <w:t>ante la sesión ordinaria de la a</w:t>
      </w:r>
      <w:r w:rsidRPr="00055E4E">
        <w:rPr>
          <w:rFonts w:ascii="Arial" w:hAnsi="Arial" w:cs="Arial"/>
          <w:sz w:val="16"/>
          <w:szCs w:val="16"/>
          <w:lang w:val="es-ES"/>
        </w:rPr>
        <w:t>samblea. Aquellas entidades que opten p</w:t>
      </w:r>
      <w:r>
        <w:rPr>
          <w:rFonts w:ascii="Arial" w:hAnsi="Arial" w:cs="Arial"/>
          <w:sz w:val="16"/>
          <w:szCs w:val="16"/>
          <w:lang w:val="es-ES"/>
        </w:rPr>
        <w:t>or adoptar un informe anual de gobierno c</w:t>
      </w:r>
      <w:r w:rsidRPr="00055E4E">
        <w:rPr>
          <w:rFonts w:ascii="Arial" w:hAnsi="Arial" w:cs="Arial"/>
          <w:sz w:val="16"/>
          <w:szCs w:val="16"/>
          <w:lang w:val="es-ES"/>
        </w:rPr>
        <w:t xml:space="preserve">orporativo, de conformidad con la recomendación 33.1 del Código País, deberán informarles a los accionistas </w:t>
      </w:r>
      <w:r w:rsidRPr="00C7634C">
        <w:rPr>
          <w:rFonts w:ascii="Arial" w:hAnsi="Arial" w:cs="Arial"/>
          <w:sz w:val="16"/>
          <w:szCs w:val="16"/>
          <w:lang w:val="es-ES"/>
        </w:rPr>
        <w:t>que el Reporte de Implementación se encuentra publicado en la página web de la entidad.</w:t>
      </w:r>
      <w:r w:rsidRPr="00055E4E">
        <w:rPr>
          <w:rFonts w:ascii="Arial" w:hAnsi="Arial" w:cs="Arial"/>
          <w:sz w:val="16"/>
          <w:szCs w:val="16"/>
          <w:lang w:val="es-ES"/>
        </w:rPr>
        <w:t xml:space="preserve"> </w:t>
      </w:r>
    </w:p>
    <w:sectPr w:rsidR="00055E4E" w:rsidSect="00D37784">
      <w:headerReference w:type="default" r:id="rId8"/>
      <w:footerReference w:type="default" r:id="rId9"/>
      <w:pgSz w:w="12240" w:h="18720" w:code="14"/>
      <w:pgMar w:top="1418" w:right="1701" w:bottom="1418" w:left="1701" w:header="1134"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7C75A" w14:textId="77777777" w:rsidR="00923B57" w:rsidRDefault="00923B57" w:rsidP="00E50B39">
      <w:r>
        <w:separator/>
      </w:r>
    </w:p>
  </w:endnote>
  <w:endnote w:type="continuationSeparator" w:id="0">
    <w:p w14:paraId="72F01BFC" w14:textId="77777777" w:rsidR="00923B57" w:rsidRDefault="00923B57" w:rsidP="00E50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1)">
    <w:altName w:val="Arial"/>
    <w:charset w:val="00"/>
    <w:family w:val="swiss"/>
    <w:pitch w:val="variable"/>
    <w:sig w:usb0="20002A87" w:usb1="80000000" w:usb2="00000008"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ED1262" w14:textId="77777777" w:rsidR="008C27BE" w:rsidRDefault="008C27BE">
    <w:pPr>
      <w:pStyle w:val="Piedepgina"/>
      <w:rPr>
        <w:rFonts w:ascii="Arial" w:hAnsi="Arial" w:cs="Arial"/>
        <w:b/>
        <w:sz w:val="18"/>
        <w:szCs w:val="18"/>
      </w:rPr>
    </w:pPr>
    <w:r>
      <w:rPr>
        <w:rFonts w:ascii="Arial" w:hAnsi="Arial" w:cs="Arial"/>
        <w:b/>
        <w:sz w:val="18"/>
        <w:szCs w:val="18"/>
      </w:rPr>
      <w:t>PARTE III – TÍTULO I – CAPÍTULO V</w:t>
    </w:r>
    <w:r>
      <w:rPr>
        <w:rFonts w:ascii="Arial" w:hAnsi="Arial" w:cs="Arial"/>
        <w:b/>
        <w:sz w:val="18"/>
        <w:szCs w:val="18"/>
      </w:rPr>
      <w:tab/>
      <w:t xml:space="preserve">                                                                                            PÁGINA</w:t>
    </w:r>
    <w:r w:rsidR="00F160F2">
      <w:rPr>
        <w:rFonts w:ascii="Arial" w:hAnsi="Arial" w:cs="Arial"/>
        <w:b/>
        <w:sz w:val="18"/>
        <w:szCs w:val="18"/>
      </w:rPr>
      <w:t xml:space="preserve"> 2</w:t>
    </w:r>
  </w:p>
  <w:p w14:paraId="6DE7128A" w14:textId="554AE697" w:rsidR="00F160F2" w:rsidRPr="00093840" w:rsidRDefault="00F160F2" w:rsidP="00F160F2">
    <w:pPr>
      <w:pStyle w:val="Piedepgina"/>
      <w:tabs>
        <w:tab w:val="clear" w:pos="4419"/>
        <w:tab w:val="clear" w:pos="8838"/>
        <w:tab w:val="center" w:pos="4252"/>
        <w:tab w:val="right" w:pos="8504"/>
      </w:tabs>
      <w:rPr>
        <w:rFonts w:ascii="Arial" w:hAnsi="Arial" w:cs="Arial"/>
        <w:b/>
        <w:sz w:val="18"/>
        <w:szCs w:val="18"/>
        <w:lang w:val="pt-BR"/>
      </w:rPr>
    </w:pPr>
    <w:bookmarkStart w:id="3" w:name="_Hlk77342830"/>
    <w:r w:rsidRPr="00F160F2">
      <w:rPr>
        <w:rFonts w:ascii="Arial" w:hAnsi="Arial" w:cs="Arial"/>
        <w:b/>
        <w:sz w:val="18"/>
        <w:szCs w:val="18"/>
      </w:rPr>
      <w:t>Circular Externa</w:t>
    </w:r>
    <w:r w:rsidR="008878BC">
      <w:rPr>
        <w:rFonts w:ascii="Arial" w:hAnsi="Arial" w:cs="Arial"/>
        <w:b/>
        <w:sz w:val="18"/>
        <w:szCs w:val="18"/>
      </w:rPr>
      <w:t xml:space="preserve"> 015</w:t>
    </w:r>
    <w:r w:rsidR="009C541F">
      <w:rPr>
        <w:rFonts w:ascii="Arial" w:hAnsi="Arial" w:cs="Arial"/>
        <w:b/>
        <w:sz w:val="18"/>
        <w:szCs w:val="18"/>
        <w:lang w:val="pt-BR"/>
      </w:rPr>
      <w:t xml:space="preserve"> </w:t>
    </w:r>
    <w:r w:rsidRPr="00F160F2">
      <w:rPr>
        <w:rFonts w:ascii="Arial" w:hAnsi="Arial" w:cs="Arial"/>
        <w:b/>
        <w:sz w:val="18"/>
        <w:szCs w:val="18"/>
        <w:lang w:val="pt-BR"/>
      </w:rPr>
      <w:t>de 2021</w:t>
    </w:r>
    <w:r w:rsidRPr="00F160F2">
      <w:rPr>
        <w:rFonts w:ascii="Arial" w:hAnsi="Arial" w:cs="Arial"/>
        <w:b/>
        <w:sz w:val="18"/>
        <w:szCs w:val="18"/>
      </w:rPr>
      <w:tab/>
    </w:r>
    <w:proofErr w:type="gramStart"/>
    <w:r w:rsidRPr="00F160F2">
      <w:rPr>
        <w:rFonts w:ascii="Arial" w:hAnsi="Arial" w:cs="Arial"/>
        <w:b/>
        <w:sz w:val="18"/>
        <w:szCs w:val="18"/>
      </w:rPr>
      <w:tab/>
      <w:t xml:space="preserve">  </w:t>
    </w:r>
    <w:r w:rsidR="001F3BEC">
      <w:rPr>
        <w:rFonts w:ascii="Arial" w:hAnsi="Arial" w:cs="Arial"/>
        <w:b/>
        <w:sz w:val="18"/>
        <w:szCs w:val="18"/>
        <w:lang w:val="pt-BR"/>
      </w:rPr>
      <w:t>Agosto</w:t>
    </w:r>
    <w:proofErr w:type="gramEnd"/>
    <w:r w:rsidRPr="00F160F2">
      <w:rPr>
        <w:rFonts w:ascii="Arial" w:hAnsi="Arial" w:cs="Arial"/>
        <w:b/>
        <w:sz w:val="18"/>
        <w:szCs w:val="18"/>
        <w:lang w:val="pt-BR"/>
      </w:rPr>
      <w:t xml:space="preserve"> de 2021</w:t>
    </w:r>
  </w:p>
  <w:bookmarkEnd w:id="3"/>
  <w:p w14:paraId="54BF2946" w14:textId="77777777" w:rsidR="00F160F2" w:rsidRPr="00E50B39" w:rsidRDefault="00F160F2">
    <w:pPr>
      <w:pStyle w:val="Piedepgina"/>
      <w:rPr>
        <w:rFonts w:ascii="Arial" w:hAnsi="Arial" w:cs="Arial"/>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E8F7B" w14:textId="77777777" w:rsidR="00923B57" w:rsidRDefault="00923B57" w:rsidP="00E50B39">
      <w:r>
        <w:separator/>
      </w:r>
    </w:p>
  </w:footnote>
  <w:footnote w:type="continuationSeparator" w:id="0">
    <w:p w14:paraId="4CEF8703" w14:textId="77777777" w:rsidR="00923B57" w:rsidRDefault="00923B57" w:rsidP="00E50B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EB9CF" w14:textId="77777777" w:rsidR="00680448" w:rsidRDefault="00680448" w:rsidP="00680448">
    <w:pPr>
      <w:pStyle w:val="Encabezado"/>
      <w:jc w:val="center"/>
      <w:rPr>
        <w:rFonts w:ascii="Arial" w:hAnsi="Arial" w:cs="Arial"/>
        <w:b/>
      </w:rPr>
    </w:pPr>
    <w:r w:rsidRPr="00D37784">
      <w:rPr>
        <w:rFonts w:ascii="Arial" w:hAnsi="Arial" w:cs="Arial"/>
        <w:b/>
      </w:rPr>
      <w:t>SUPERINTENDENCIA FINANCIERA DE COLOMBIA</w:t>
    </w:r>
  </w:p>
  <w:p w14:paraId="127AF77E" w14:textId="77777777" w:rsidR="00D37784" w:rsidRPr="00D37784" w:rsidRDefault="00D37784" w:rsidP="00680448">
    <w:pPr>
      <w:pStyle w:val="Encabezado"/>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8F8C4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7022144A"/>
    <w:multiLevelType w:val="hybridMultilevel"/>
    <w:tmpl w:val="3E885E4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79F74F39"/>
    <w:multiLevelType w:val="multilevel"/>
    <w:tmpl w:val="04B86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22CA1"/>
    <w:rsid w:val="000116DE"/>
    <w:rsid w:val="00030DFD"/>
    <w:rsid w:val="0004072F"/>
    <w:rsid w:val="00043900"/>
    <w:rsid w:val="000551F7"/>
    <w:rsid w:val="00055E4E"/>
    <w:rsid w:val="00122BC5"/>
    <w:rsid w:val="001C1339"/>
    <w:rsid w:val="001C7912"/>
    <w:rsid w:val="001E6507"/>
    <w:rsid w:val="001F3BEC"/>
    <w:rsid w:val="001F44FF"/>
    <w:rsid w:val="001F46F2"/>
    <w:rsid w:val="00241E06"/>
    <w:rsid w:val="00474210"/>
    <w:rsid w:val="00475435"/>
    <w:rsid w:val="0049207F"/>
    <w:rsid w:val="00496F56"/>
    <w:rsid w:val="004C738C"/>
    <w:rsid w:val="004E24B8"/>
    <w:rsid w:val="004F2EB8"/>
    <w:rsid w:val="00525B4A"/>
    <w:rsid w:val="005637A8"/>
    <w:rsid w:val="006373BF"/>
    <w:rsid w:val="00651457"/>
    <w:rsid w:val="00664D76"/>
    <w:rsid w:val="00680448"/>
    <w:rsid w:val="00722CA1"/>
    <w:rsid w:val="007822EF"/>
    <w:rsid w:val="008878BC"/>
    <w:rsid w:val="008A57DD"/>
    <w:rsid w:val="008C27BE"/>
    <w:rsid w:val="008F35C0"/>
    <w:rsid w:val="00923B57"/>
    <w:rsid w:val="00930B7B"/>
    <w:rsid w:val="00937940"/>
    <w:rsid w:val="009544C9"/>
    <w:rsid w:val="009B3C8B"/>
    <w:rsid w:val="009B76C9"/>
    <w:rsid w:val="009C541F"/>
    <w:rsid w:val="009D713D"/>
    <w:rsid w:val="00AF0352"/>
    <w:rsid w:val="00B37FE8"/>
    <w:rsid w:val="00BB2046"/>
    <w:rsid w:val="00C10090"/>
    <w:rsid w:val="00C42888"/>
    <w:rsid w:val="00C7634C"/>
    <w:rsid w:val="00C83102"/>
    <w:rsid w:val="00C9664F"/>
    <w:rsid w:val="00D37784"/>
    <w:rsid w:val="00DA7F28"/>
    <w:rsid w:val="00DC5C9A"/>
    <w:rsid w:val="00DC6558"/>
    <w:rsid w:val="00E02ED1"/>
    <w:rsid w:val="00E4544F"/>
    <w:rsid w:val="00E50B39"/>
    <w:rsid w:val="00EF3BD8"/>
    <w:rsid w:val="00F160F2"/>
    <w:rsid w:val="00FE7B71"/>
    <w:rsid w:val="00FF352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2B6E25"/>
  <w15:chartTrackingRefBased/>
  <w15:docId w15:val="{D16ED0B6-915A-4991-93AC-5857C5851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CA1"/>
    <w:rPr>
      <w:rFonts w:ascii="Courier New" w:eastAsia="Times New Roman" w:hAnsi="Courier New" w:cs="Courier New"/>
      <w:sz w:val="24"/>
      <w:szCs w:val="24"/>
      <w:lang w:val="es-ES_tradnl"/>
    </w:rPr>
  </w:style>
  <w:style w:type="paragraph" w:styleId="Ttulo1">
    <w:name w:val="heading 1"/>
    <w:basedOn w:val="Normal"/>
    <w:next w:val="Normal"/>
    <w:link w:val="Ttulo1Car"/>
    <w:uiPriority w:val="9"/>
    <w:qFormat/>
    <w:rsid w:val="00722CA1"/>
    <w:pPr>
      <w:keepNext/>
      <w:jc w:val="both"/>
      <w:outlineLvl w:val="0"/>
    </w:pPr>
    <w:rPr>
      <w:rFonts w:ascii="Arial" w:hAnsi="Arial" w:cs="Times New Roman"/>
      <w:b/>
      <w:bCs/>
      <w:caps/>
      <w:kern w:val="32"/>
      <w:sz w:val="16"/>
      <w:szCs w:val="32"/>
      <w:lang w:val="x-none" w:eastAsia="x-none"/>
    </w:rPr>
  </w:style>
  <w:style w:type="paragraph" w:styleId="Ttulo2">
    <w:name w:val="heading 2"/>
    <w:basedOn w:val="Normal"/>
    <w:next w:val="Normal"/>
    <w:link w:val="Ttulo2Car"/>
    <w:uiPriority w:val="9"/>
    <w:qFormat/>
    <w:rsid w:val="00722CA1"/>
    <w:pPr>
      <w:keepNext/>
      <w:keepLines/>
      <w:jc w:val="both"/>
      <w:outlineLvl w:val="1"/>
    </w:pPr>
    <w:rPr>
      <w:rFonts w:ascii="Arial" w:eastAsia="MS Gothic" w:hAnsi="Arial" w:cs="Times New Roman"/>
      <w:b/>
      <w:bCs/>
      <w:sz w:val="16"/>
      <w:szCs w:val="26"/>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722CA1"/>
    <w:rPr>
      <w:rFonts w:ascii="Arial" w:eastAsia="Times New Roman" w:hAnsi="Arial" w:cs="Times New Roman"/>
      <w:b/>
      <w:bCs/>
      <w:caps/>
      <w:kern w:val="32"/>
      <w:sz w:val="16"/>
      <w:szCs w:val="32"/>
      <w:lang w:eastAsia="x-none"/>
    </w:rPr>
  </w:style>
  <w:style w:type="character" w:customStyle="1" w:styleId="Ttulo2Car">
    <w:name w:val="Título 2 Car"/>
    <w:link w:val="Ttulo2"/>
    <w:uiPriority w:val="9"/>
    <w:rsid w:val="00722CA1"/>
    <w:rPr>
      <w:rFonts w:ascii="Arial" w:eastAsia="MS Gothic" w:hAnsi="Arial" w:cs="Times New Roman"/>
      <w:b/>
      <w:bCs/>
      <w:sz w:val="16"/>
      <w:szCs w:val="26"/>
      <w:lang w:eastAsia="x-none"/>
    </w:rPr>
  </w:style>
  <w:style w:type="paragraph" w:customStyle="1" w:styleId="EstiloTtulo2Justificado">
    <w:name w:val="Estilo Título 2 + Justificado"/>
    <w:basedOn w:val="Ttulo2"/>
    <w:rsid w:val="00722CA1"/>
    <w:pPr>
      <w:keepLines w:val="0"/>
    </w:pPr>
    <w:rPr>
      <w:rFonts w:ascii="Arial (W1)" w:eastAsia="Times New Roman" w:hAnsi="Arial (W1)" w:cs="Arial (W1)"/>
      <w:caps/>
      <w:sz w:val="18"/>
      <w:szCs w:val="18"/>
      <w:lang w:val="es-ES" w:eastAsia="es-ES"/>
    </w:rPr>
  </w:style>
  <w:style w:type="paragraph" w:styleId="Textonotapie">
    <w:name w:val="footnote text"/>
    <w:basedOn w:val="Normal"/>
    <w:link w:val="TextonotapieCar"/>
    <w:semiHidden/>
    <w:rsid w:val="00722CA1"/>
    <w:rPr>
      <w:rFonts w:ascii="Arial" w:hAnsi="Arial" w:cs="Times New Roman"/>
      <w:sz w:val="20"/>
      <w:szCs w:val="20"/>
      <w:lang w:val="es-ES" w:eastAsia="x-none"/>
    </w:rPr>
  </w:style>
  <w:style w:type="character" w:customStyle="1" w:styleId="TextonotapieCar">
    <w:name w:val="Texto nota pie Car"/>
    <w:link w:val="Textonotapie"/>
    <w:semiHidden/>
    <w:rsid w:val="00722CA1"/>
    <w:rPr>
      <w:rFonts w:ascii="Arial" w:eastAsia="Times New Roman" w:hAnsi="Arial" w:cs="Times New Roman"/>
      <w:sz w:val="20"/>
      <w:szCs w:val="20"/>
      <w:lang w:val="es-ES" w:eastAsia="x-none"/>
    </w:rPr>
  </w:style>
  <w:style w:type="paragraph" w:styleId="Textodeglobo">
    <w:name w:val="Balloon Text"/>
    <w:basedOn w:val="Normal"/>
    <w:link w:val="TextodegloboCar"/>
    <w:uiPriority w:val="99"/>
    <w:semiHidden/>
    <w:unhideWhenUsed/>
    <w:rsid w:val="00937940"/>
    <w:rPr>
      <w:rFonts w:ascii="Lucida Grande" w:hAnsi="Lucida Grande" w:cs="Times New Roman"/>
      <w:sz w:val="18"/>
      <w:szCs w:val="18"/>
      <w:lang w:val="x-none"/>
    </w:rPr>
  </w:style>
  <w:style w:type="character" w:customStyle="1" w:styleId="TextodegloboCar">
    <w:name w:val="Texto de globo Car"/>
    <w:link w:val="Textodeglobo"/>
    <w:uiPriority w:val="99"/>
    <w:semiHidden/>
    <w:rsid w:val="00937940"/>
    <w:rPr>
      <w:rFonts w:ascii="Lucida Grande" w:eastAsia="Times New Roman" w:hAnsi="Lucida Grande" w:cs="Lucida Grande"/>
      <w:sz w:val="18"/>
      <w:szCs w:val="18"/>
      <w:lang w:eastAsia="es-CO"/>
    </w:rPr>
  </w:style>
  <w:style w:type="paragraph" w:styleId="Encabezado">
    <w:name w:val="header"/>
    <w:basedOn w:val="Normal"/>
    <w:link w:val="EncabezadoCar"/>
    <w:uiPriority w:val="99"/>
    <w:unhideWhenUsed/>
    <w:rsid w:val="00E50B39"/>
    <w:pPr>
      <w:tabs>
        <w:tab w:val="center" w:pos="4419"/>
        <w:tab w:val="right" w:pos="8838"/>
      </w:tabs>
    </w:pPr>
    <w:rPr>
      <w:rFonts w:cs="Times New Roman"/>
      <w:lang w:eastAsia="x-none"/>
    </w:rPr>
  </w:style>
  <w:style w:type="character" w:customStyle="1" w:styleId="EncabezadoCar">
    <w:name w:val="Encabezado Car"/>
    <w:link w:val="Encabezado"/>
    <w:uiPriority w:val="99"/>
    <w:rsid w:val="00E50B39"/>
    <w:rPr>
      <w:rFonts w:ascii="Courier New" w:eastAsia="Times New Roman" w:hAnsi="Courier New" w:cs="Courier New"/>
      <w:sz w:val="24"/>
      <w:szCs w:val="24"/>
      <w:lang w:val="es-ES_tradnl"/>
    </w:rPr>
  </w:style>
  <w:style w:type="paragraph" w:styleId="Piedepgina">
    <w:name w:val="footer"/>
    <w:basedOn w:val="Normal"/>
    <w:link w:val="PiedepginaCar"/>
    <w:uiPriority w:val="99"/>
    <w:unhideWhenUsed/>
    <w:rsid w:val="00E50B39"/>
    <w:pPr>
      <w:tabs>
        <w:tab w:val="center" w:pos="4419"/>
        <w:tab w:val="right" w:pos="8838"/>
      </w:tabs>
    </w:pPr>
    <w:rPr>
      <w:rFonts w:cs="Times New Roman"/>
      <w:lang w:eastAsia="x-none"/>
    </w:rPr>
  </w:style>
  <w:style w:type="character" w:customStyle="1" w:styleId="PiedepginaCar">
    <w:name w:val="Pie de página Car"/>
    <w:link w:val="Piedepgina"/>
    <w:uiPriority w:val="99"/>
    <w:rsid w:val="00E50B39"/>
    <w:rPr>
      <w:rFonts w:ascii="Courier New" w:eastAsia="Times New Roman" w:hAnsi="Courier New" w:cs="Courier New"/>
      <w:sz w:val="24"/>
      <w:szCs w:val="24"/>
      <w:lang w:val="es-ES_tradnl"/>
    </w:rPr>
  </w:style>
  <w:style w:type="paragraph" w:customStyle="1" w:styleId="TtulodeTDC">
    <w:name w:val="Título de TDC"/>
    <w:basedOn w:val="Ttulo1"/>
    <w:next w:val="Normal"/>
    <w:uiPriority w:val="39"/>
    <w:unhideWhenUsed/>
    <w:qFormat/>
    <w:rsid w:val="00525B4A"/>
    <w:pPr>
      <w:keepLines/>
      <w:spacing w:before="480" w:line="276" w:lineRule="auto"/>
      <w:jc w:val="left"/>
      <w:outlineLvl w:val="9"/>
    </w:pPr>
    <w:rPr>
      <w:rFonts w:ascii="Cambria" w:hAnsi="Cambria"/>
      <w:caps w:val="0"/>
      <w:color w:val="365F91"/>
      <w:kern w:val="0"/>
      <w:sz w:val="28"/>
      <w:szCs w:val="28"/>
      <w:lang w:val="es-CO" w:eastAsia="es-CO"/>
    </w:rPr>
  </w:style>
  <w:style w:type="paragraph" w:styleId="TDC1">
    <w:name w:val="toc 1"/>
    <w:basedOn w:val="Normal"/>
    <w:next w:val="Normal"/>
    <w:autoRedefine/>
    <w:uiPriority w:val="39"/>
    <w:unhideWhenUsed/>
    <w:rsid w:val="00525B4A"/>
    <w:pPr>
      <w:spacing w:before="240" w:after="120"/>
      <w:jc w:val="both"/>
    </w:pPr>
    <w:rPr>
      <w:rFonts w:ascii="Arial" w:hAnsi="Arial"/>
      <w:b/>
      <w:bCs/>
      <w:caps/>
      <w:sz w:val="16"/>
      <w:szCs w:val="20"/>
    </w:rPr>
  </w:style>
  <w:style w:type="paragraph" w:styleId="TDC2">
    <w:name w:val="toc 2"/>
    <w:basedOn w:val="Normal"/>
    <w:next w:val="Normal"/>
    <w:autoRedefine/>
    <w:uiPriority w:val="39"/>
    <w:unhideWhenUsed/>
    <w:rsid w:val="00EF3BD8"/>
    <w:pPr>
      <w:tabs>
        <w:tab w:val="right" w:leader="dot" w:pos="8830"/>
      </w:tabs>
      <w:ind w:left="159"/>
    </w:pPr>
    <w:rPr>
      <w:rFonts w:ascii="Arial" w:hAnsi="Arial"/>
      <w:iCs/>
      <w:noProof/>
      <w:color w:val="FF0000"/>
      <w:sz w:val="16"/>
      <w:szCs w:val="20"/>
      <w:lang w:val="es-ES"/>
    </w:rPr>
  </w:style>
  <w:style w:type="character" w:styleId="Hipervnculo">
    <w:name w:val="Hyperlink"/>
    <w:uiPriority w:val="99"/>
    <w:unhideWhenUsed/>
    <w:rsid w:val="00525B4A"/>
    <w:rPr>
      <w:color w:val="0000FF"/>
      <w:u w:val="single"/>
    </w:rPr>
  </w:style>
  <w:style w:type="paragraph" w:styleId="TDC3">
    <w:name w:val="toc 3"/>
    <w:basedOn w:val="Normal"/>
    <w:next w:val="Normal"/>
    <w:autoRedefine/>
    <w:uiPriority w:val="39"/>
    <w:unhideWhenUsed/>
    <w:rsid w:val="00525B4A"/>
    <w:pPr>
      <w:ind w:left="480"/>
    </w:pPr>
    <w:rPr>
      <w:rFonts w:ascii="Calibri" w:hAnsi="Calibri"/>
      <w:sz w:val="20"/>
      <w:szCs w:val="20"/>
    </w:rPr>
  </w:style>
  <w:style w:type="paragraph" w:styleId="TDC4">
    <w:name w:val="toc 4"/>
    <w:basedOn w:val="Normal"/>
    <w:next w:val="Normal"/>
    <w:autoRedefine/>
    <w:uiPriority w:val="39"/>
    <w:unhideWhenUsed/>
    <w:rsid w:val="00525B4A"/>
    <w:pPr>
      <w:ind w:left="720"/>
    </w:pPr>
    <w:rPr>
      <w:rFonts w:ascii="Calibri" w:hAnsi="Calibri"/>
      <w:sz w:val="20"/>
      <w:szCs w:val="20"/>
    </w:rPr>
  </w:style>
  <w:style w:type="paragraph" w:styleId="TDC5">
    <w:name w:val="toc 5"/>
    <w:basedOn w:val="Normal"/>
    <w:next w:val="Normal"/>
    <w:autoRedefine/>
    <w:uiPriority w:val="39"/>
    <w:unhideWhenUsed/>
    <w:rsid w:val="00525B4A"/>
    <w:pPr>
      <w:ind w:left="960"/>
    </w:pPr>
    <w:rPr>
      <w:rFonts w:ascii="Calibri" w:hAnsi="Calibri"/>
      <w:sz w:val="20"/>
      <w:szCs w:val="20"/>
    </w:rPr>
  </w:style>
  <w:style w:type="paragraph" w:styleId="TDC6">
    <w:name w:val="toc 6"/>
    <w:basedOn w:val="Normal"/>
    <w:next w:val="Normal"/>
    <w:autoRedefine/>
    <w:uiPriority w:val="39"/>
    <w:unhideWhenUsed/>
    <w:rsid w:val="00525B4A"/>
    <w:pPr>
      <w:ind w:left="1200"/>
    </w:pPr>
    <w:rPr>
      <w:rFonts w:ascii="Calibri" w:hAnsi="Calibri"/>
      <w:sz w:val="20"/>
      <w:szCs w:val="20"/>
    </w:rPr>
  </w:style>
  <w:style w:type="paragraph" w:styleId="TDC7">
    <w:name w:val="toc 7"/>
    <w:basedOn w:val="Normal"/>
    <w:next w:val="Normal"/>
    <w:autoRedefine/>
    <w:uiPriority w:val="39"/>
    <w:unhideWhenUsed/>
    <w:rsid w:val="00525B4A"/>
    <w:pPr>
      <w:ind w:left="1440"/>
    </w:pPr>
    <w:rPr>
      <w:rFonts w:ascii="Calibri" w:hAnsi="Calibri"/>
      <w:sz w:val="20"/>
      <w:szCs w:val="20"/>
    </w:rPr>
  </w:style>
  <w:style w:type="paragraph" w:styleId="TDC8">
    <w:name w:val="toc 8"/>
    <w:basedOn w:val="Normal"/>
    <w:next w:val="Normal"/>
    <w:autoRedefine/>
    <w:uiPriority w:val="39"/>
    <w:unhideWhenUsed/>
    <w:rsid w:val="00525B4A"/>
    <w:pPr>
      <w:ind w:left="1680"/>
    </w:pPr>
    <w:rPr>
      <w:rFonts w:ascii="Calibri" w:hAnsi="Calibri"/>
      <w:sz w:val="20"/>
      <w:szCs w:val="20"/>
    </w:rPr>
  </w:style>
  <w:style w:type="paragraph" w:styleId="TDC9">
    <w:name w:val="toc 9"/>
    <w:basedOn w:val="Normal"/>
    <w:next w:val="Normal"/>
    <w:autoRedefine/>
    <w:uiPriority w:val="39"/>
    <w:unhideWhenUsed/>
    <w:rsid w:val="00525B4A"/>
    <w:pPr>
      <w:ind w:left="1920"/>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35515-0B31-41FB-A584-B9BA201C8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803</Words>
  <Characters>4417</Characters>
  <Application>Microsoft Office Word</Application>
  <DocSecurity>0</DocSecurity>
  <Lines>36</Lines>
  <Paragraphs>10</Paragraphs>
  <ScaleCrop>false</ScaleCrop>
  <HeadingPairs>
    <vt:vector size="4" baseType="variant">
      <vt:variant>
        <vt:lpstr>Título</vt:lpstr>
      </vt:variant>
      <vt:variant>
        <vt:i4>1</vt:i4>
      </vt:variant>
      <vt:variant>
        <vt:lpstr>Headings</vt:lpstr>
      </vt:variant>
      <vt:variant>
        <vt:i4>6</vt:i4>
      </vt:variant>
    </vt:vector>
  </HeadingPairs>
  <TitlesOfParts>
    <vt:vector size="7" baseType="lpstr">
      <vt:lpstr/>
      <vt:lpstr>1. Gobierno Corporativo de los emisores de valores (CE 07 de 2011 que sustituyó </vt:lpstr>
      <vt:lpstr>    1.2. Alcance del código de mejores prácticas corporativas y adopción de la encue</vt:lpstr>
      <vt:lpstr>    1.3. Estructura del código de mejores prácticas corporativas de Colombia</vt:lpstr>
      <vt:lpstr>    1.4. Diligenciamiento de la encuesta</vt:lpstr>
      <vt:lpstr>    1.5. Contextualización de las preguntas</vt:lpstr>
      <vt:lpstr>    1.6. Periodicidad y vigencia</vt:lpstr>
    </vt:vector>
  </TitlesOfParts>
  <Company>superfinanciera</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Pilar Cabrera</dc:creator>
  <cp:keywords/>
  <cp:lastModifiedBy>Gabriel Armando Ospina Garcia</cp:lastModifiedBy>
  <cp:revision>4</cp:revision>
  <dcterms:created xsi:type="dcterms:W3CDTF">2021-08-10T16:51:00Z</dcterms:created>
  <dcterms:modified xsi:type="dcterms:W3CDTF">2021-08-25T19:54:00Z</dcterms:modified>
</cp:coreProperties>
</file>