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82CD3" w14:textId="77777777" w:rsidR="004B335C" w:rsidRDefault="004B335C" w:rsidP="004B335C">
      <w:pPr>
        <w:jc w:val="center"/>
        <w:rPr>
          <w:rFonts w:ascii="Arial" w:hAnsi="Arial" w:cs="Arial"/>
          <w:b/>
          <w:sz w:val="22"/>
          <w:szCs w:val="22"/>
          <w:u w:val="single"/>
        </w:rPr>
      </w:pPr>
      <w:r w:rsidRPr="00CE5533">
        <w:rPr>
          <w:rFonts w:ascii="Arial" w:hAnsi="Arial" w:cs="Arial"/>
          <w:b/>
          <w:sz w:val="22"/>
          <w:szCs w:val="22"/>
          <w:u w:val="single"/>
        </w:rPr>
        <w:t>FORMATO</w:t>
      </w:r>
    </w:p>
    <w:p w14:paraId="682C6CFF" w14:textId="77777777" w:rsidR="00F652DE" w:rsidRDefault="00F652DE" w:rsidP="004B335C">
      <w:pPr>
        <w:jc w:val="center"/>
        <w:rPr>
          <w:rFonts w:ascii="Arial" w:hAnsi="Arial" w:cs="Arial"/>
          <w:b/>
          <w:sz w:val="22"/>
          <w:szCs w:val="22"/>
          <w:u w:val="single"/>
        </w:rPr>
      </w:pPr>
    </w:p>
    <w:p w14:paraId="0B5E6462" w14:textId="77777777" w:rsidR="00F652DE" w:rsidRPr="00F652DE" w:rsidRDefault="00F652DE" w:rsidP="00F652DE">
      <w:pPr>
        <w:spacing w:before="120"/>
        <w:jc w:val="both"/>
        <w:rPr>
          <w:rFonts w:ascii="Arial" w:hAnsi="Arial" w:cs="Arial"/>
          <w:bCs/>
          <w:sz w:val="22"/>
          <w:szCs w:val="22"/>
        </w:rPr>
      </w:pPr>
      <w:r w:rsidRPr="00F652DE">
        <w:rPr>
          <w:rFonts w:ascii="Arial" w:hAnsi="Arial" w:cs="Arial"/>
          <w:b/>
          <w:sz w:val="22"/>
          <w:szCs w:val="22"/>
        </w:rPr>
        <w:t>Tema</w:t>
      </w:r>
      <w:r>
        <w:rPr>
          <w:rFonts w:ascii="Arial" w:hAnsi="Arial" w:cs="Arial"/>
          <w:b/>
          <w:sz w:val="22"/>
          <w:szCs w:val="22"/>
        </w:rPr>
        <w:t xml:space="preserve">: </w:t>
      </w:r>
      <w:r w:rsidRPr="00F652DE">
        <w:rPr>
          <w:rFonts w:ascii="Arial" w:hAnsi="Arial" w:cs="Arial"/>
          <w:bCs/>
          <w:sz w:val="22"/>
          <w:szCs w:val="22"/>
        </w:rPr>
        <w:t>Grandes exposiciones</w:t>
      </w:r>
    </w:p>
    <w:p w14:paraId="3F3DACBD" w14:textId="794AFB02" w:rsidR="00F652DE" w:rsidRDefault="00F652DE" w:rsidP="00F652DE">
      <w:pPr>
        <w:spacing w:before="120"/>
        <w:jc w:val="both"/>
        <w:rPr>
          <w:rFonts w:ascii="Arial" w:hAnsi="Arial" w:cs="Arial"/>
          <w:bCs/>
          <w:sz w:val="22"/>
          <w:szCs w:val="22"/>
        </w:rPr>
      </w:pPr>
      <w:r>
        <w:rPr>
          <w:rFonts w:ascii="Arial" w:hAnsi="Arial" w:cs="Arial"/>
          <w:b/>
          <w:sz w:val="22"/>
          <w:szCs w:val="22"/>
        </w:rPr>
        <w:t xml:space="preserve">Objetivo: </w:t>
      </w:r>
      <w:r w:rsidR="00653B2D" w:rsidRPr="00653B2D">
        <w:rPr>
          <w:rFonts w:ascii="Arial" w:hAnsi="Arial" w:cs="Arial"/>
          <w:bCs/>
          <w:sz w:val="22"/>
          <w:szCs w:val="22"/>
        </w:rPr>
        <w:t xml:space="preserve">El </w:t>
      </w:r>
      <w:r w:rsidR="001F2312">
        <w:rPr>
          <w:rFonts w:ascii="Arial" w:hAnsi="Arial" w:cs="Arial"/>
          <w:bCs/>
          <w:sz w:val="22"/>
          <w:szCs w:val="22"/>
        </w:rPr>
        <w:t>estudio</w:t>
      </w:r>
      <w:r w:rsidR="00653B2D" w:rsidRPr="00653B2D">
        <w:rPr>
          <w:rFonts w:ascii="Arial" w:hAnsi="Arial" w:cs="Arial"/>
          <w:bCs/>
          <w:sz w:val="22"/>
          <w:szCs w:val="22"/>
        </w:rPr>
        <w:t xml:space="preserve"> </w:t>
      </w:r>
      <w:r w:rsidR="00B52905">
        <w:rPr>
          <w:rFonts w:ascii="Arial" w:hAnsi="Arial" w:cs="Arial"/>
          <w:bCs/>
          <w:sz w:val="22"/>
          <w:szCs w:val="22"/>
        </w:rPr>
        <w:t xml:space="preserve">realizado por </w:t>
      </w:r>
      <w:r w:rsidR="00B52905" w:rsidRPr="00B52905">
        <w:rPr>
          <w:rFonts w:ascii="Arial" w:hAnsi="Arial" w:cs="Arial"/>
          <w:bCs/>
          <w:sz w:val="22"/>
          <w:szCs w:val="22"/>
        </w:rPr>
        <w:t xml:space="preserve">la Unidad de Proyección Normativa y Estudios </w:t>
      </w:r>
      <w:r w:rsidR="007B4464" w:rsidRPr="00B52905">
        <w:rPr>
          <w:rFonts w:ascii="Arial" w:hAnsi="Arial" w:cs="Arial"/>
          <w:bCs/>
          <w:sz w:val="22"/>
          <w:szCs w:val="22"/>
        </w:rPr>
        <w:t>de Regulación</w:t>
      </w:r>
      <w:r w:rsidR="00B52905" w:rsidRPr="00B52905">
        <w:rPr>
          <w:rFonts w:ascii="Arial" w:hAnsi="Arial" w:cs="Arial"/>
          <w:bCs/>
          <w:sz w:val="22"/>
          <w:szCs w:val="22"/>
        </w:rPr>
        <w:t xml:space="preserve"> Financiera (en adelante URF)</w:t>
      </w:r>
      <w:r w:rsidR="00BA142E">
        <w:rPr>
          <w:rFonts w:ascii="Arial" w:hAnsi="Arial" w:cs="Arial"/>
          <w:bCs/>
          <w:sz w:val="22"/>
          <w:szCs w:val="22"/>
        </w:rPr>
        <w:t xml:space="preserve"> </w:t>
      </w:r>
      <w:r w:rsidR="00653B2D" w:rsidRPr="00653B2D">
        <w:rPr>
          <w:rFonts w:ascii="Arial" w:hAnsi="Arial" w:cs="Arial"/>
          <w:bCs/>
          <w:sz w:val="22"/>
          <w:szCs w:val="22"/>
        </w:rPr>
        <w:t xml:space="preserve">sobre grandes exposiciones busca </w:t>
      </w:r>
      <w:r w:rsidR="001F2312">
        <w:rPr>
          <w:rFonts w:ascii="Arial" w:hAnsi="Arial" w:cs="Arial"/>
          <w:bCs/>
          <w:sz w:val="22"/>
          <w:szCs w:val="22"/>
        </w:rPr>
        <w:t xml:space="preserve">revisar la </w:t>
      </w:r>
      <w:r w:rsidR="00653B2D" w:rsidRPr="00653B2D">
        <w:rPr>
          <w:rFonts w:ascii="Arial" w:hAnsi="Arial" w:cs="Arial"/>
          <w:bCs/>
          <w:sz w:val="22"/>
          <w:szCs w:val="22"/>
        </w:rPr>
        <w:t>converge</w:t>
      </w:r>
      <w:r w:rsidR="001F2312">
        <w:rPr>
          <w:rFonts w:ascii="Arial" w:hAnsi="Arial" w:cs="Arial"/>
          <w:bCs/>
          <w:sz w:val="22"/>
          <w:szCs w:val="22"/>
        </w:rPr>
        <w:t>ncia</w:t>
      </w:r>
      <w:r w:rsidR="00653B2D" w:rsidRPr="00653B2D">
        <w:rPr>
          <w:rFonts w:ascii="Arial" w:hAnsi="Arial" w:cs="Arial"/>
          <w:bCs/>
          <w:sz w:val="22"/>
          <w:szCs w:val="22"/>
        </w:rPr>
        <w:t xml:space="preserve"> al estándar internacional del Comité de Supervisión Bancaria de Basilea</w:t>
      </w:r>
      <w:r w:rsidR="00E867EF">
        <w:rPr>
          <w:rFonts w:ascii="Arial" w:hAnsi="Arial" w:cs="Arial"/>
          <w:bCs/>
          <w:sz w:val="22"/>
          <w:szCs w:val="22"/>
        </w:rPr>
        <w:t xml:space="preserve"> y </w:t>
      </w:r>
      <w:r w:rsidR="00653B2D" w:rsidRPr="00653B2D">
        <w:rPr>
          <w:rFonts w:ascii="Arial" w:hAnsi="Arial" w:cs="Arial"/>
          <w:bCs/>
          <w:sz w:val="22"/>
          <w:szCs w:val="22"/>
        </w:rPr>
        <w:t xml:space="preserve">propone </w:t>
      </w:r>
      <w:r w:rsidR="00653B2D">
        <w:rPr>
          <w:rFonts w:ascii="Arial" w:hAnsi="Arial" w:cs="Arial"/>
          <w:bCs/>
          <w:sz w:val="22"/>
          <w:szCs w:val="22"/>
        </w:rPr>
        <w:t>actualizar y simplificar el</w:t>
      </w:r>
      <w:r w:rsidR="00653B2D" w:rsidRPr="00653B2D">
        <w:rPr>
          <w:rFonts w:ascii="Arial" w:hAnsi="Arial" w:cs="Arial"/>
          <w:bCs/>
          <w:sz w:val="22"/>
          <w:szCs w:val="22"/>
        </w:rPr>
        <w:t xml:space="preserve"> Título 2 y 3 del Libro 1 de la Parte 2 del Decreto 2555 de 2010, relacionado con </w:t>
      </w:r>
      <w:r w:rsidR="003E7708">
        <w:rPr>
          <w:rFonts w:ascii="Arial" w:hAnsi="Arial" w:cs="Arial"/>
          <w:bCs/>
          <w:sz w:val="22"/>
          <w:szCs w:val="22"/>
        </w:rPr>
        <w:t>c</w:t>
      </w:r>
      <w:r w:rsidR="00653B2D" w:rsidRPr="00653B2D">
        <w:rPr>
          <w:rFonts w:ascii="Arial" w:hAnsi="Arial" w:cs="Arial"/>
          <w:bCs/>
          <w:sz w:val="22"/>
          <w:szCs w:val="22"/>
        </w:rPr>
        <w:t xml:space="preserve">upos individuales de endeudamiento y </w:t>
      </w:r>
      <w:r w:rsidR="003E7708">
        <w:rPr>
          <w:rFonts w:ascii="Arial" w:hAnsi="Arial" w:cs="Arial"/>
          <w:bCs/>
          <w:sz w:val="22"/>
          <w:szCs w:val="22"/>
        </w:rPr>
        <w:t>l</w:t>
      </w:r>
      <w:r w:rsidR="00653B2D" w:rsidRPr="00653B2D">
        <w:rPr>
          <w:rFonts w:ascii="Arial" w:hAnsi="Arial" w:cs="Arial"/>
          <w:bCs/>
          <w:sz w:val="22"/>
          <w:szCs w:val="22"/>
        </w:rPr>
        <w:t xml:space="preserve">ímites de </w:t>
      </w:r>
      <w:r w:rsidR="003E7708">
        <w:rPr>
          <w:rFonts w:ascii="Arial" w:hAnsi="Arial" w:cs="Arial"/>
          <w:bCs/>
          <w:sz w:val="22"/>
          <w:szCs w:val="22"/>
        </w:rPr>
        <w:t>c</w:t>
      </w:r>
      <w:r w:rsidR="00653B2D" w:rsidRPr="00653B2D">
        <w:rPr>
          <w:rFonts w:ascii="Arial" w:hAnsi="Arial" w:cs="Arial"/>
          <w:bCs/>
          <w:sz w:val="22"/>
          <w:szCs w:val="22"/>
        </w:rPr>
        <w:t xml:space="preserve">oncentración de riesgos. Para </w:t>
      </w:r>
      <w:r w:rsidR="003E7708">
        <w:rPr>
          <w:rFonts w:ascii="Arial" w:hAnsi="Arial" w:cs="Arial"/>
          <w:bCs/>
          <w:sz w:val="22"/>
          <w:szCs w:val="22"/>
        </w:rPr>
        <w:t>analizar su impacto y establecer el régimen de transición</w:t>
      </w:r>
      <w:r w:rsidR="00653B2D" w:rsidRPr="00653B2D">
        <w:rPr>
          <w:rFonts w:ascii="Arial" w:hAnsi="Arial" w:cs="Arial"/>
          <w:bCs/>
          <w:sz w:val="22"/>
          <w:szCs w:val="22"/>
        </w:rPr>
        <w:t xml:space="preserve"> se requiere </w:t>
      </w:r>
      <w:r w:rsidR="003E7708">
        <w:rPr>
          <w:rFonts w:ascii="Arial" w:hAnsi="Arial" w:cs="Arial"/>
          <w:bCs/>
          <w:sz w:val="22"/>
          <w:szCs w:val="22"/>
        </w:rPr>
        <w:t>la información recogida e</w:t>
      </w:r>
      <w:r w:rsidR="00653B2D" w:rsidRPr="00653B2D">
        <w:rPr>
          <w:rFonts w:ascii="Arial" w:hAnsi="Arial" w:cs="Arial"/>
          <w:bCs/>
          <w:sz w:val="22"/>
          <w:szCs w:val="22"/>
        </w:rPr>
        <w:t>n e</w:t>
      </w:r>
      <w:r w:rsidR="00653B2D">
        <w:rPr>
          <w:rFonts w:ascii="Arial" w:hAnsi="Arial" w:cs="Arial"/>
          <w:bCs/>
          <w:sz w:val="22"/>
          <w:szCs w:val="22"/>
        </w:rPr>
        <w:t>ste</w:t>
      </w:r>
      <w:r w:rsidR="00653B2D" w:rsidRPr="00653B2D">
        <w:rPr>
          <w:rFonts w:ascii="Arial" w:hAnsi="Arial" w:cs="Arial"/>
          <w:bCs/>
          <w:sz w:val="22"/>
          <w:szCs w:val="22"/>
        </w:rPr>
        <w:t xml:space="preserve"> formato</w:t>
      </w:r>
      <w:r>
        <w:rPr>
          <w:rFonts w:ascii="Arial" w:hAnsi="Arial" w:cs="Arial"/>
          <w:bCs/>
          <w:sz w:val="22"/>
          <w:szCs w:val="22"/>
        </w:rPr>
        <w:t>.</w:t>
      </w:r>
    </w:p>
    <w:p w14:paraId="3C189DC9" w14:textId="386F1A85" w:rsidR="00F652DE" w:rsidRDefault="00F652DE" w:rsidP="00F652DE">
      <w:pPr>
        <w:spacing w:before="120"/>
        <w:jc w:val="both"/>
        <w:rPr>
          <w:rFonts w:ascii="Arial" w:hAnsi="Arial" w:cs="Arial"/>
          <w:sz w:val="22"/>
          <w:szCs w:val="22"/>
        </w:rPr>
      </w:pPr>
      <w:r w:rsidRPr="00F652DE">
        <w:rPr>
          <w:rFonts w:ascii="Arial" w:hAnsi="Arial" w:cs="Arial"/>
          <w:b/>
          <w:sz w:val="22"/>
          <w:szCs w:val="22"/>
        </w:rPr>
        <w:t>Tipo de entidad a la que aplica:</w:t>
      </w:r>
      <w:r>
        <w:rPr>
          <w:rFonts w:ascii="Arial" w:hAnsi="Arial" w:cs="Arial"/>
          <w:b/>
          <w:sz w:val="22"/>
          <w:szCs w:val="22"/>
        </w:rPr>
        <w:t xml:space="preserve"> </w:t>
      </w:r>
      <w:r w:rsidRPr="00CE5533">
        <w:rPr>
          <w:rFonts w:ascii="Arial" w:hAnsi="Arial" w:cs="Arial"/>
          <w:sz w:val="22"/>
          <w:szCs w:val="22"/>
        </w:rPr>
        <w:t>Establecimientos de crédito, la Financiera de Desarrollo Nacional</w:t>
      </w:r>
      <w:r w:rsidR="00C91F30">
        <w:rPr>
          <w:rFonts w:ascii="Arial" w:hAnsi="Arial" w:cs="Arial"/>
          <w:sz w:val="22"/>
          <w:szCs w:val="22"/>
        </w:rPr>
        <w:t xml:space="preserve"> (FDN)</w:t>
      </w:r>
      <w:r w:rsidRPr="00CE5533">
        <w:rPr>
          <w:rFonts w:ascii="Arial" w:hAnsi="Arial" w:cs="Arial"/>
          <w:sz w:val="22"/>
          <w:szCs w:val="22"/>
        </w:rPr>
        <w:t>, el Banco de Comercio Exterior de Colombia S.A. (Bancoldex), la Caja Promotora de Vivienda Militar y de Policía, la Financiera de Desarrollo Territorial (Findeter), el Fondo Nacional del Ahorro (FNA), el Fondo para el Financiamiento del Sector Agropecuario (Finagro) y los Organismos Cooperativos de Grado Superior de Carácter Financiero</w:t>
      </w:r>
      <w:r w:rsidR="006D27D5">
        <w:rPr>
          <w:rFonts w:ascii="Arial" w:hAnsi="Arial" w:cs="Arial"/>
          <w:sz w:val="22"/>
          <w:szCs w:val="22"/>
        </w:rPr>
        <w:t>,</w:t>
      </w:r>
      <w:r w:rsidR="005011FC">
        <w:rPr>
          <w:rFonts w:ascii="Arial" w:hAnsi="Arial" w:cs="Arial"/>
          <w:sz w:val="22"/>
          <w:szCs w:val="22"/>
        </w:rPr>
        <w:t xml:space="preserve"> </w:t>
      </w:r>
      <w:r w:rsidR="006D27D5">
        <w:rPr>
          <w:rFonts w:ascii="Arial" w:hAnsi="Arial" w:cs="Arial"/>
          <w:sz w:val="22"/>
          <w:szCs w:val="22"/>
        </w:rPr>
        <w:t>e</w:t>
      </w:r>
      <w:r w:rsidR="006D27D5" w:rsidRPr="006D27D5">
        <w:rPr>
          <w:rFonts w:ascii="Arial" w:hAnsi="Arial" w:cs="Arial"/>
          <w:sz w:val="22"/>
          <w:szCs w:val="22"/>
        </w:rPr>
        <w:t>ntidades aseguradoras</w:t>
      </w:r>
      <w:r w:rsidR="006D27D5">
        <w:rPr>
          <w:rFonts w:ascii="Arial" w:hAnsi="Arial" w:cs="Arial"/>
          <w:sz w:val="22"/>
          <w:szCs w:val="22"/>
        </w:rPr>
        <w:t xml:space="preserve"> y</w:t>
      </w:r>
      <w:r w:rsidR="006D27D5" w:rsidRPr="006D27D5">
        <w:rPr>
          <w:rFonts w:ascii="Arial" w:hAnsi="Arial" w:cs="Arial"/>
          <w:sz w:val="22"/>
          <w:szCs w:val="22"/>
        </w:rPr>
        <w:t xml:space="preserve"> sociedades de capitalización</w:t>
      </w:r>
      <w:r>
        <w:rPr>
          <w:rFonts w:ascii="Arial" w:hAnsi="Arial" w:cs="Arial"/>
          <w:sz w:val="22"/>
          <w:szCs w:val="22"/>
        </w:rPr>
        <w:t>.</w:t>
      </w:r>
    </w:p>
    <w:p w14:paraId="1769FAAB" w14:textId="77777777" w:rsidR="00F652DE" w:rsidRPr="00F652DE" w:rsidRDefault="00F652DE" w:rsidP="00F652DE">
      <w:pPr>
        <w:spacing w:before="120"/>
        <w:jc w:val="both"/>
        <w:rPr>
          <w:rFonts w:ascii="Arial" w:hAnsi="Arial" w:cs="Arial"/>
          <w:b/>
          <w:sz w:val="22"/>
          <w:szCs w:val="22"/>
        </w:rPr>
      </w:pPr>
      <w:r>
        <w:rPr>
          <w:rFonts w:ascii="Arial" w:hAnsi="Arial" w:cs="Arial"/>
          <w:b/>
          <w:sz w:val="22"/>
          <w:szCs w:val="22"/>
        </w:rPr>
        <w:t xml:space="preserve">Fecha corte de la información: </w:t>
      </w:r>
      <w:r w:rsidRPr="00F652DE">
        <w:rPr>
          <w:rFonts w:ascii="Arial" w:hAnsi="Arial" w:cs="Arial"/>
          <w:bCs/>
          <w:sz w:val="22"/>
          <w:szCs w:val="22"/>
        </w:rPr>
        <w:t>marzo 31 de 2021</w:t>
      </w:r>
    </w:p>
    <w:p w14:paraId="57C23302" w14:textId="3F7F48C5" w:rsidR="004B335C" w:rsidRPr="00CE5533" w:rsidRDefault="00F652DE" w:rsidP="00F652DE">
      <w:pPr>
        <w:spacing w:before="120"/>
        <w:rPr>
          <w:rFonts w:ascii="Arial" w:hAnsi="Arial" w:cs="Arial"/>
          <w:sz w:val="22"/>
          <w:szCs w:val="22"/>
        </w:rPr>
      </w:pPr>
      <w:r>
        <w:rPr>
          <w:rFonts w:ascii="Arial" w:hAnsi="Arial" w:cs="Arial"/>
          <w:b/>
          <w:bCs/>
          <w:sz w:val="22"/>
          <w:szCs w:val="22"/>
        </w:rPr>
        <w:t>F</w:t>
      </w:r>
      <w:r w:rsidRPr="00CE5533">
        <w:rPr>
          <w:rFonts w:ascii="Arial" w:hAnsi="Arial" w:cs="Arial"/>
          <w:b/>
          <w:bCs/>
          <w:sz w:val="22"/>
          <w:szCs w:val="22"/>
        </w:rPr>
        <w:t>echa lím</w:t>
      </w:r>
      <w:r>
        <w:rPr>
          <w:rFonts w:ascii="Arial" w:hAnsi="Arial" w:cs="Arial"/>
          <w:b/>
          <w:bCs/>
          <w:sz w:val="22"/>
          <w:szCs w:val="22"/>
        </w:rPr>
        <w:t>i</w:t>
      </w:r>
      <w:r w:rsidRPr="00CE5533">
        <w:rPr>
          <w:rFonts w:ascii="Arial" w:hAnsi="Arial" w:cs="Arial"/>
          <w:b/>
          <w:bCs/>
          <w:sz w:val="22"/>
          <w:szCs w:val="22"/>
        </w:rPr>
        <w:t>te entrega de la información:</w:t>
      </w:r>
      <w:r>
        <w:rPr>
          <w:rFonts w:ascii="Arial" w:hAnsi="Arial" w:cs="Arial"/>
          <w:b/>
          <w:bCs/>
          <w:sz w:val="22"/>
          <w:szCs w:val="22"/>
        </w:rPr>
        <w:t xml:space="preserve"> </w:t>
      </w:r>
      <w:r w:rsidR="005F3D73">
        <w:rPr>
          <w:rFonts w:ascii="Arial" w:hAnsi="Arial" w:cs="Arial"/>
          <w:sz w:val="22"/>
          <w:szCs w:val="22"/>
        </w:rPr>
        <w:t>octubre</w:t>
      </w:r>
      <w:r w:rsidR="005F3D73" w:rsidRPr="00F652DE">
        <w:rPr>
          <w:rFonts w:ascii="Arial" w:hAnsi="Arial" w:cs="Arial"/>
          <w:sz w:val="22"/>
          <w:szCs w:val="22"/>
        </w:rPr>
        <w:t xml:space="preserve"> </w:t>
      </w:r>
      <w:r w:rsidR="00663080">
        <w:rPr>
          <w:rFonts w:ascii="Arial" w:hAnsi="Arial" w:cs="Arial"/>
          <w:sz w:val="22"/>
          <w:szCs w:val="22"/>
        </w:rPr>
        <w:t>15</w:t>
      </w:r>
      <w:r w:rsidRPr="00F652DE">
        <w:rPr>
          <w:rFonts w:ascii="Arial" w:hAnsi="Arial" w:cs="Arial"/>
          <w:sz w:val="22"/>
          <w:szCs w:val="22"/>
        </w:rPr>
        <w:t xml:space="preserve"> de 2021</w:t>
      </w:r>
    </w:p>
    <w:p w14:paraId="502BB91B" w14:textId="16E53B9C" w:rsidR="004B335C" w:rsidRDefault="004B335C">
      <w:pPr>
        <w:rPr>
          <w:rFonts w:ascii="Arial" w:hAnsi="Arial" w:cs="Arial"/>
          <w:sz w:val="22"/>
          <w:szCs w:val="22"/>
        </w:rPr>
      </w:pPr>
    </w:p>
    <w:p w14:paraId="79F0687B" w14:textId="77777777" w:rsidR="0083163C" w:rsidRPr="00CE5533" w:rsidRDefault="0083163C">
      <w:pPr>
        <w:rPr>
          <w:rFonts w:ascii="Arial" w:hAnsi="Arial" w:cs="Arial"/>
          <w:sz w:val="22"/>
          <w:szCs w:val="22"/>
        </w:rPr>
      </w:pPr>
    </w:p>
    <w:p w14:paraId="3869116F" w14:textId="77777777" w:rsidR="00887CF2" w:rsidRPr="00CE5533" w:rsidRDefault="00887CF2" w:rsidP="00F652DE">
      <w:pPr>
        <w:spacing w:before="120"/>
        <w:rPr>
          <w:rFonts w:ascii="Arial" w:hAnsi="Arial" w:cs="Arial"/>
          <w:b/>
          <w:bCs/>
          <w:sz w:val="22"/>
          <w:szCs w:val="22"/>
        </w:rPr>
      </w:pPr>
      <w:r w:rsidRPr="00CE5533">
        <w:rPr>
          <w:rFonts w:ascii="Arial" w:hAnsi="Arial" w:cs="Arial"/>
          <w:b/>
          <w:bCs/>
          <w:sz w:val="22"/>
          <w:szCs w:val="22"/>
        </w:rPr>
        <w:t>INSTRUCTIVO</w:t>
      </w:r>
    </w:p>
    <w:p w14:paraId="31CE93E3" w14:textId="77777777" w:rsidR="00887CF2" w:rsidRPr="00CE5533" w:rsidRDefault="00887CF2" w:rsidP="00F652DE">
      <w:pPr>
        <w:spacing w:before="120"/>
        <w:jc w:val="both"/>
        <w:rPr>
          <w:rFonts w:ascii="Arial" w:hAnsi="Arial" w:cs="Arial"/>
          <w:b/>
          <w:bCs/>
          <w:sz w:val="22"/>
          <w:szCs w:val="22"/>
        </w:rPr>
      </w:pPr>
      <w:r w:rsidRPr="00CE5533">
        <w:rPr>
          <w:rFonts w:ascii="Arial" w:hAnsi="Arial" w:cs="Arial"/>
          <w:b/>
          <w:bCs/>
          <w:sz w:val="22"/>
          <w:szCs w:val="22"/>
        </w:rPr>
        <w:t>Generalidades</w:t>
      </w:r>
    </w:p>
    <w:p w14:paraId="5D0C26A8" w14:textId="68232699" w:rsidR="00887CF2" w:rsidRPr="00CE5533" w:rsidRDefault="00887CF2" w:rsidP="00F652DE">
      <w:pPr>
        <w:spacing w:before="120"/>
        <w:jc w:val="both"/>
        <w:rPr>
          <w:rFonts w:ascii="Arial" w:hAnsi="Arial" w:cs="Arial"/>
          <w:sz w:val="22"/>
          <w:szCs w:val="22"/>
        </w:rPr>
      </w:pPr>
      <w:r w:rsidRPr="00CE5533">
        <w:rPr>
          <w:rFonts w:ascii="Arial" w:hAnsi="Arial" w:cs="Arial"/>
          <w:sz w:val="22"/>
          <w:szCs w:val="22"/>
        </w:rPr>
        <w:t>Los datos que correspondan a valores deberán reportarse</w:t>
      </w:r>
      <w:r w:rsidR="002A2259">
        <w:rPr>
          <w:rFonts w:ascii="Arial" w:hAnsi="Arial" w:cs="Arial"/>
          <w:sz w:val="22"/>
          <w:szCs w:val="22"/>
        </w:rPr>
        <w:t>: (i)</w:t>
      </w:r>
      <w:r w:rsidR="00FE1EA2">
        <w:rPr>
          <w:rFonts w:ascii="Arial" w:hAnsi="Arial" w:cs="Arial"/>
          <w:sz w:val="22"/>
          <w:szCs w:val="22"/>
        </w:rPr>
        <w:t xml:space="preserve"> en </w:t>
      </w:r>
      <w:r w:rsidR="00FE1EA2" w:rsidRPr="00FE1EA2">
        <w:rPr>
          <w:rFonts w:ascii="Arial" w:hAnsi="Arial" w:cs="Arial"/>
          <w:sz w:val="22"/>
          <w:szCs w:val="22"/>
          <w:u w:val="single"/>
        </w:rPr>
        <w:t>millones de pesos</w:t>
      </w:r>
      <w:r w:rsidRPr="00CE5533">
        <w:rPr>
          <w:rFonts w:ascii="Arial" w:hAnsi="Arial" w:cs="Arial"/>
          <w:sz w:val="22"/>
          <w:szCs w:val="22"/>
        </w:rPr>
        <w:t xml:space="preserve">, </w:t>
      </w:r>
      <w:r w:rsidR="002A2259">
        <w:rPr>
          <w:rFonts w:ascii="Arial" w:hAnsi="Arial" w:cs="Arial"/>
          <w:sz w:val="22"/>
          <w:szCs w:val="22"/>
        </w:rPr>
        <w:t xml:space="preserve">(ii) </w:t>
      </w:r>
      <w:r w:rsidRPr="00CE5533">
        <w:rPr>
          <w:rFonts w:ascii="Arial" w:hAnsi="Arial" w:cs="Arial"/>
          <w:sz w:val="22"/>
          <w:szCs w:val="22"/>
        </w:rPr>
        <w:t>alineados a la derecha del campo</w:t>
      </w:r>
      <w:r w:rsidR="002A2259">
        <w:rPr>
          <w:rFonts w:ascii="Arial" w:hAnsi="Arial" w:cs="Arial"/>
          <w:sz w:val="22"/>
          <w:szCs w:val="22"/>
        </w:rPr>
        <w:t>, (ii</w:t>
      </w:r>
      <w:r w:rsidR="004C295A">
        <w:rPr>
          <w:rFonts w:ascii="Arial" w:hAnsi="Arial" w:cs="Arial"/>
          <w:sz w:val="22"/>
          <w:szCs w:val="22"/>
        </w:rPr>
        <w:t>i</w:t>
      </w:r>
      <w:r w:rsidR="002A2259">
        <w:rPr>
          <w:rFonts w:ascii="Arial" w:hAnsi="Arial" w:cs="Arial"/>
          <w:sz w:val="22"/>
          <w:szCs w:val="22"/>
        </w:rPr>
        <w:t xml:space="preserve">) </w:t>
      </w:r>
      <w:r w:rsidRPr="00CE5533">
        <w:rPr>
          <w:rFonts w:ascii="Arial" w:hAnsi="Arial" w:cs="Arial"/>
          <w:sz w:val="22"/>
          <w:szCs w:val="22"/>
        </w:rPr>
        <w:t>con</w:t>
      </w:r>
      <w:r w:rsidR="00453D10">
        <w:rPr>
          <w:rFonts w:ascii="Arial" w:hAnsi="Arial" w:cs="Arial"/>
          <w:sz w:val="22"/>
          <w:szCs w:val="22"/>
        </w:rPr>
        <w:t xml:space="preserve"> </w:t>
      </w:r>
      <w:r w:rsidRPr="00CE5533">
        <w:rPr>
          <w:rFonts w:ascii="Arial" w:hAnsi="Arial" w:cs="Arial"/>
          <w:sz w:val="22"/>
          <w:szCs w:val="22"/>
        </w:rPr>
        <w:t xml:space="preserve">6 decimales separados por punto y </w:t>
      </w:r>
      <w:r w:rsidR="002A2259">
        <w:rPr>
          <w:rFonts w:ascii="Arial" w:hAnsi="Arial" w:cs="Arial"/>
          <w:sz w:val="22"/>
          <w:szCs w:val="22"/>
        </w:rPr>
        <w:t xml:space="preserve">(iv) </w:t>
      </w:r>
      <w:r w:rsidRPr="00CE5533">
        <w:rPr>
          <w:rFonts w:ascii="Arial" w:hAnsi="Arial" w:cs="Arial"/>
          <w:sz w:val="22"/>
          <w:szCs w:val="22"/>
        </w:rPr>
        <w:t xml:space="preserve">aproximando el último decimal por el </w:t>
      </w:r>
      <w:r w:rsidRPr="00191D7D">
        <w:rPr>
          <w:rFonts w:ascii="Arial" w:hAnsi="Arial" w:cs="Arial"/>
          <w:sz w:val="22"/>
          <w:szCs w:val="22"/>
        </w:rPr>
        <w:t>sistema de redondeo</w:t>
      </w:r>
      <w:r w:rsidRPr="00CE5533">
        <w:rPr>
          <w:rFonts w:ascii="Arial" w:hAnsi="Arial" w:cs="Arial"/>
          <w:sz w:val="22"/>
          <w:szCs w:val="22"/>
        </w:rPr>
        <w:t>.</w:t>
      </w:r>
    </w:p>
    <w:p w14:paraId="3633E7E7" w14:textId="278CB019" w:rsidR="00887CF2" w:rsidRPr="00CE5533" w:rsidRDefault="00887CF2" w:rsidP="00F652DE">
      <w:pPr>
        <w:spacing w:before="120"/>
        <w:jc w:val="both"/>
        <w:rPr>
          <w:rFonts w:ascii="Arial" w:hAnsi="Arial" w:cs="Arial"/>
          <w:sz w:val="22"/>
          <w:szCs w:val="22"/>
        </w:rPr>
      </w:pPr>
      <w:r w:rsidRPr="00CE5533">
        <w:rPr>
          <w:rFonts w:ascii="Arial" w:hAnsi="Arial" w:cs="Arial"/>
          <w:sz w:val="22"/>
          <w:szCs w:val="22"/>
        </w:rPr>
        <w:t xml:space="preserve">Los datos que corresponden a tasas se deben reportar en forma porcentual, con </w:t>
      </w:r>
      <w:r w:rsidR="00D53DE8">
        <w:rPr>
          <w:rFonts w:ascii="Arial" w:hAnsi="Arial" w:cs="Arial"/>
          <w:sz w:val="22"/>
          <w:szCs w:val="22"/>
        </w:rPr>
        <w:t>3</w:t>
      </w:r>
      <w:r w:rsidR="00D53DE8" w:rsidRPr="00CE5533">
        <w:rPr>
          <w:rFonts w:ascii="Arial" w:hAnsi="Arial" w:cs="Arial"/>
          <w:sz w:val="22"/>
          <w:szCs w:val="22"/>
        </w:rPr>
        <w:t xml:space="preserve"> </w:t>
      </w:r>
      <w:r w:rsidRPr="00CE5533">
        <w:rPr>
          <w:rFonts w:ascii="Arial" w:hAnsi="Arial" w:cs="Arial"/>
          <w:sz w:val="22"/>
          <w:szCs w:val="22"/>
        </w:rPr>
        <w:t>decimales y aproximando el último decimal por el sistema de redondeo</w:t>
      </w:r>
      <w:r w:rsidR="00BF461A">
        <w:rPr>
          <w:rFonts w:ascii="Arial" w:hAnsi="Arial" w:cs="Arial"/>
          <w:sz w:val="22"/>
          <w:szCs w:val="22"/>
        </w:rPr>
        <w:t>,</w:t>
      </w:r>
      <w:r w:rsidRPr="00CE5533">
        <w:rPr>
          <w:rFonts w:ascii="Arial" w:hAnsi="Arial" w:cs="Arial"/>
          <w:sz w:val="22"/>
          <w:szCs w:val="22"/>
        </w:rPr>
        <w:t xml:space="preserve"> es decir</w:t>
      </w:r>
      <w:r w:rsidR="005F4E6C">
        <w:rPr>
          <w:rFonts w:ascii="Arial" w:hAnsi="Arial" w:cs="Arial"/>
          <w:sz w:val="22"/>
          <w:szCs w:val="22"/>
        </w:rPr>
        <w:t>,</w:t>
      </w:r>
      <w:r w:rsidRPr="00CE5533">
        <w:rPr>
          <w:rFonts w:ascii="Arial" w:hAnsi="Arial" w:cs="Arial"/>
          <w:sz w:val="22"/>
          <w:szCs w:val="22"/>
        </w:rPr>
        <w:t xml:space="preserve"> una tasa del 25.837</w:t>
      </w:r>
      <w:r w:rsidR="00FE1EA2">
        <w:rPr>
          <w:rFonts w:ascii="Arial" w:hAnsi="Arial" w:cs="Arial"/>
          <w:sz w:val="22"/>
          <w:szCs w:val="22"/>
        </w:rPr>
        <w:t>7</w:t>
      </w:r>
      <w:r w:rsidRPr="00CE5533">
        <w:rPr>
          <w:rFonts w:ascii="Arial" w:hAnsi="Arial" w:cs="Arial"/>
          <w:sz w:val="22"/>
          <w:szCs w:val="22"/>
        </w:rPr>
        <w:t>% se debe reportar así 25.83</w:t>
      </w:r>
      <w:r w:rsidR="00FE1EA2">
        <w:rPr>
          <w:rFonts w:ascii="Arial" w:hAnsi="Arial" w:cs="Arial"/>
          <w:sz w:val="22"/>
          <w:szCs w:val="22"/>
        </w:rPr>
        <w:t>8</w:t>
      </w:r>
      <w:r w:rsidRPr="00CE5533">
        <w:rPr>
          <w:rFonts w:ascii="Arial" w:hAnsi="Arial" w:cs="Arial"/>
          <w:sz w:val="22"/>
          <w:szCs w:val="22"/>
        </w:rPr>
        <w:t>.</w:t>
      </w:r>
    </w:p>
    <w:p w14:paraId="00545FD7" w14:textId="5B4C73DD" w:rsidR="00887CF2" w:rsidRPr="00CE5533" w:rsidRDefault="00887CF2" w:rsidP="00F652DE">
      <w:pPr>
        <w:adjustRightInd w:val="0"/>
        <w:spacing w:before="120"/>
        <w:jc w:val="both"/>
        <w:rPr>
          <w:rFonts w:ascii="Arial" w:hAnsi="Arial" w:cs="Arial"/>
          <w:sz w:val="22"/>
          <w:szCs w:val="22"/>
        </w:rPr>
      </w:pPr>
      <w:r w:rsidRPr="00CE5533">
        <w:rPr>
          <w:rFonts w:ascii="Arial" w:hAnsi="Arial" w:cs="Arial"/>
          <w:sz w:val="22"/>
          <w:szCs w:val="22"/>
        </w:rPr>
        <w:t xml:space="preserve">Si la entidad no tiene información para reportar, debe enviar el formato en cero, de lo contrario se entenderá como un incumplimiento por parte de la entidad. </w:t>
      </w:r>
    </w:p>
    <w:p w14:paraId="0D7C2E5D" w14:textId="25DDC411" w:rsidR="00EA4D1D" w:rsidRDefault="00973E54" w:rsidP="00F652DE">
      <w:pPr>
        <w:adjustRightInd w:val="0"/>
        <w:spacing w:before="120"/>
        <w:jc w:val="both"/>
        <w:rPr>
          <w:rFonts w:ascii="Arial" w:hAnsi="Arial" w:cs="Arial"/>
          <w:sz w:val="22"/>
          <w:szCs w:val="22"/>
        </w:rPr>
      </w:pPr>
      <w:r>
        <w:rPr>
          <w:rFonts w:ascii="Arial" w:hAnsi="Arial" w:cs="Arial"/>
          <w:sz w:val="22"/>
          <w:szCs w:val="22"/>
        </w:rPr>
        <w:t>Los</w:t>
      </w:r>
      <w:r w:rsidR="00887CF2" w:rsidRPr="16E078CF">
        <w:rPr>
          <w:rFonts w:ascii="Arial" w:hAnsi="Arial" w:cs="Arial"/>
          <w:sz w:val="22"/>
          <w:szCs w:val="22"/>
        </w:rPr>
        <w:t xml:space="preserve"> renglones y columnas que no apliquen, no se deben reportar en el archivo, a menos que el instructivo indique que se reporten en cero o con otro valor.</w:t>
      </w:r>
    </w:p>
    <w:p w14:paraId="47B79525" w14:textId="410C5FBA" w:rsidR="00E867EF" w:rsidRDefault="005011FC" w:rsidP="00F652DE">
      <w:pPr>
        <w:adjustRightInd w:val="0"/>
        <w:spacing w:before="120"/>
        <w:jc w:val="both"/>
        <w:rPr>
          <w:rFonts w:ascii="Arial" w:hAnsi="Arial" w:cs="Arial"/>
          <w:sz w:val="22"/>
          <w:szCs w:val="22"/>
        </w:rPr>
      </w:pPr>
      <w:r>
        <w:rPr>
          <w:rFonts w:ascii="Arial" w:hAnsi="Arial" w:cs="Arial"/>
          <w:sz w:val="22"/>
          <w:szCs w:val="22"/>
        </w:rPr>
        <w:t xml:space="preserve">Las </w:t>
      </w:r>
      <w:r w:rsidR="006D27D5">
        <w:rPr>
          <w:rFonts w:ascii="Arial" w:hAnsi="Arial" w:cs="Arial"/>
          <w:sz w:val="22"/>
          <w:szCs w:val="22"/>
        </w:rPr>
        <w:t>entidades aseguradoras y las sociedades de capitalización</w:t>
      </w:r>
      <w:r>
        <w:rPr>
          <w:rFonts w:ascii="Arial" w:hAnsi="Arial" w:cs="Arial"/>
          <w:sz w:val="22"/>
          <w:szCs w:val="22"/>
        </w:rPr>
        <w:t xml:space="preserve"> deben reportar </w:t>
      </w:r>
      <w:r w:rsidR="00332F1E">
        <w:rPr>
          <w:rFonts w:ascii="Arial" w:hAnsi="Arial" w:cs="Arial"/>
          <w:sz w:val="22"/>
          <w:szCs w:val="22"/>
        </w:rPr>
        <w:t xml:space="preserve">la información </w:t>
      </w:r>
      <w:r w:rsidR="009B64C9">
        <w:rPr>
          <w:rFonts w:ascii="Arial" w:hAnsi="Arial" w:cs="Arial"/>
          <w:sz w:val="22"/>
          <w:szCs w:val="22"/>
        </w:rPr>
        <w:t xml:space="preserve">completa </w:t>
      </w:r>
      <w:r w:rsidR="00332F1E">
        <w:rPr>
          <w:rFonts w:ascii="Arial" w:hAnsi="Arial" w:cs="Arial"/>
          <w:sz w:val="22"/>
          <w:szCs w:val="22"/>
        </w:rPr>
        <w:t xml:space="preserve">de la </w:t>
      </w:r>
      <w:r w:rsidR="005B1299">
        <w:rPr>
          <w:rFonts w:ascii="Arial" w:hAnsi="Arial" w:cs="Arial"/>
          <w:sz w:val="22"/>
          <w:szCs w:val="22"/>
        </w:rPr>
        <w:t>Hoja</w:t>
      </w:r>
      <w:r w:rsidR="00332F1E">
        <w:rPr>
          <w:rFonts w:ascii="Arial" w:hAnsi="Arial" w:cs="Arial"/>
          <w:sz w:val="22"/>
          <w:szCs w:val="22"/>
        </w:rPr>
        <w:t xml:space="preserve"> GE_1 y</w:t>
      </w:r>
      <w:r w:rsidR="00445B6F">
        <w:rPr>
          <w:rFonts w:ascii="Arial" w:hAnsi="Arial" w:cs="Arial"/>
          <w:sz w:val="22"/>
          <w:szCs w:val="22"/>
        </w:rPr>
        <w:t xml:space="preserve"> de</w:t>
      </w:r>
      <w:r w:rsidR="00332F1E">
        <w:rPr>
          <w:rFonts w:ascii="Arial" w:hAnsi="Arial" w:cs="Arial"/>
          <w:sz w:val="22"/>
          <w:szCs w:val="22"/>
        </w:rPr>
        <w:t xml:space="preserve"> la </w:t>
      </w:r>
      <w:r w:rsidR="005B1299">
        <w:rPr>
          <w:rFonts w:ascii="Arial" w:hAnsi="Arial" w:cs="Arial"/>
          <w:sz w:val="22"/>
          <w:szCs w:val="22"/>
        </w:rPr>
        <w:t>Hoja</w:t>
      </w:r>
      <w:r w:rsidR="00332F1E">
        <w:rPr>
          <w:rFonts w:ascii="Arial" w:hAnsi="Arial" w:cs="Arial"/>
          <w:sz w:val="22"/>
          <w:szCs w:val="22"/>
        </w:rPr>
        <w:t xml:space="preserve"> GE_2 deben reportar las </w:t>
      </w:r>
      <w:r w:rsidR="006D6137">
        <w:rPr>
          <w:rFonts w:ascii="Arial" w:hAnsi="Arial" w:cs="Arial"/>
          <w:sz w:val="22"/>
          <w:szCs w:val="22"/>
        </w:rPr>
        <w:t xml:space="preserve">columnas </w:t>
      </w:r>
      <w:r w:rsidR="00332F1E">
        <w:rPr>
          <w:rFonts w:ascii="Arial" w:hAnsi="Arial" w:cs="Arial"/>
          <w:sz w:val="22"/>
          <w:szCs w:val="22"/>
        </w:rPr>
        <w:t>001, 002, 003, 004, 005, 006, 007, 008, 012, 013</w:t>
      </w:r>
      <w:r w:rsidR="004E75C2">
        <w:rPr>
          <w:rFonts w:ascii="Arial" w:hAnsi="Arial" w:cs="Arial"/>
          <w:sz w:val="22"/>
          <w:szCs w:val="22"/>
        </w:rPr>
        <w:t>, 017 y 018.</w:t>
      </w:r>
    </w:p>
    <w:p w14:paraId="60AC9B06" w14:textId="6418B3A8" w:rsidR="00640131" w:rsidRPr="003D0C93" w:rsidRDefault="00945073" w:rsidP="00F652DE">
      <w:pPr>
        <w:adjustRightInd w:val="0"/>
        <w:spacing w:before="120"/>
        <w:jc w:val="both"/>
        <w:rPr>
          <w:rFonts w:ascii="Arial" w:hAnsi="Arial" w:cs="Arial"/>
          <w:b/>
          <w:bCs/>
          <w:sz w:val="22"/>
          <w:szCs w:val="22"/>
        </w:rPr>
      </w:pPr>
      <w:r w:rsidRPr="003D0C93">
        <w:rPr>
          <w:rFonts w:ascii="Arial" w:hAnsi="Arial" w:cs="Arial"/>
          <w:b/>
          <w:bCs/>
          <w:sz w:val="22"/>
          <w:szCs w:val="22"/>
        </w:rPr>
        <w:t>Encabezado e información de</w:t>
      </w:r>
      <w:r w:rsidR="00A8145A">
        <w:rPr>
          <w:rFonts w:ascii="Arial" w:hAnsi="Arial" w:cs="Arial"/>
          <w:b/>
          <w:bCs/>
          <w:sz w:val="22"/>
          <w:szCs w:val="22"/>
        </w:rPr>
        <w:t>l</w:t>
      </w:r>
      <w:r w:rsidRPr="003D0C93">
        <w:rPr>
          <w:rFonts w:ascii="Arial" w:hAnsi="Arial" w:cs="Arial"/>
          <w:b/>
          <w:bCs/>
          <w:sz w:val="22"/>
          <w:szCs w:val="22"/>
        </w:rPr>
        <w:t xml:space="preserve"> capital regulatorio</w:t>
      </w:r>
    </w:p>
    <w:p w14:paraId="15587ED7" w14:textId="7E893AE9" w:rsidR="003D3B7F" w:rsidRDefault="003D3B7F" w:rsidP="00F652DE">
      <w:pPr>
        <w:adjustRightInd w:val="0"/>
        <w:spacing w:before="120"/>
        <w:jc w:val="both"/>
        <w:rPr>
          <w:rFonts w:ascii="Arial" w:hAnsi="Arial" w:cs="Arial"/>
          <w:sz w:val="22"/>
          <w:szCs w:val="22"/>
        </w:rPr>
      </w:pPr>
      <w:r>
        <w:rPr>
          <w:rFonts w:ascii="Arial" w:hAnsi="Arial" w:cs="Arial"/>
          <w:sz w:val="22"/>
          <w:szCs w:val="22"/>
        </w:rPr>
        <w:t xml:space="preserve">Reporte la información </w:t>
      </w:r>
      <w:r w:rsidR="005A41E3">
        <w:rPr>
          <w:rFonts w:ascii="Arial" w:hAnsi="Arial" w:cs="Arial"/>
          <w:sz w:val="22"/>
          <w:szCs w:val="22"/>
        </w:rPr>
        <w:t>de la entidad (tipo, código,</w:t>
      </w:r>
      <w:r w:rsidR="004678A1">
        <w:rPr>
          <w:rFonts w:ascii="Arial" w:hAnsi="Arial" w:cs="Arial"/>
          <w:sz w:val="22"/>
          <w:szCs w:val="22"/>
        </w:rPr>
        <w:t xml:space="preserve"> nombre,</w:t>
      </w:r>
      <w:r w:rsidR="005A41E3">
        <w:rPr>
          <w:rFonts w:ascii="Arial" w:hAnsi="Arial" w:cs="Arial"/>
          <w:sz w:val="22"/>
          <w:szCs w:val="22"/>
        </w:rPr>
        <w:t xml:space="preserve"> tipo de informe y componentes del capital regulatorio) </w:t>
      </w:r>
      <w:r w:rsidR="003D0C93">
        <w:rPr>
          <w:rFonts w:ascii="Arial" w:hAnsi="Arial" w:cs="Arial"/>
          <w:sz w:val="22"/>
          <w:szCs w:val="22"/>
        </w:rPr>
        <w:t xml:space="preserve">en la </w:t>
      </w:r>
      <w:r w:rsidR="00D07A1D">
        <w:rPr>
          <w:rFonts w:ascii="Arial" w:hAnsi="Arial" w:cs="Arial"/>
          <w:sz w:val="22"/>
          <w:szCs w:val="22"/>
        </w:rPr>
        <w:t>hoja</w:t>
      </w:r>
      <w:r w:rsidR="003D0C93">
        <w:rPr>
          <w:rFonts w:ascii="Arial" w:hAnsi="Arial" w:cs="Arial"/>
          <w:sz w:val="22"/>
          <w:szCs w:val="22"/>
        </w:rPr>
        <w:t xml:space="preserve"> GE_1 </w:t>
      </w:r>
      <w:r w:rsidR="00DA7D11">
        <w:rPr>
          <w:rFonts w:ascii="Arial" w:hAnsi="Arial" w:cs="Arial"/>
          <w:sz w:val="22"/>
          <w:szCs w:val="22"/>
        </w:rPr>
        <w:t xml:space="preserve">del formato Excel </w:t>
      </w:r>
      <w:r w:rsidR="005A41E3">
        <w:rPr>
          <w:rFonts w:ascii="Arial" w:hAnsi="Arial" w:cs="Arial"/>
          <w:sz w:val="22"/>
          <w:szCs w:val="22"/>
        </w:rPr>
        <w:t xml:space="preserve">conforme </w:t>
      </w:r>
      <w:r w:rsidR="00755D19">
        <w:rPr>
          <w:rFonts w:ascii="Arial" w:hAnsi="Arial" w:cs="Arial"/>
          <w:sz w:val="22"/>
          <w:szCs w:val="22"/>
        </w:rPr>
        <w:t>a la siguiente tabla:</w:t>
      </w:r>
    </w:p>
    <w:p w14:paraId="754A6C94" w14:textId="367C69EE" w:rsidR="00755D19" w:rsidRDefault="00755D19" w:rsidP="00F652DE">
      <w:pPr>
        <w:adjustRightInd w:val="0"/>
        <w:spacing w:before="120"/>
        <w:jc w:val="both"/>
        <w:rPr>
          <w:rFonts w:ascii="Arial" w:hAnsi="Arial" w:cs="Arial"/>
          <w:sz w:val="22"/>
          <w:szCs w:val="22"/>
        </w:rPr>
      </w:pPr>
    </w:p>
    <w:p w14:paraId="5DF8A464" w14:textId="1F6FF23D" w:rsidR="00332F1E" w:rsidRPr="0031335B" w:rsidRDefault="000221DC" w:rsidP="0031335B">
      <w:pPr>
        <w:spacing w:before="120"/>
        <w:jc w:val="center"/>
        <w:rPr>
          <w:rFonts w:ascii="Arial" w:hAnsi="Arial" w:cs="Arial"/>
          <w:b/>
          <w:bCs/>
          <w:sz w:val="22"/>
          <w:szCs w:val="22"/>
        </w:rPr>
      </w:pPr>
      <w:r>
        <w:rPr>
          <w:rFonts w:ascii="Arial" w:hAnsi="Arial" w:cs="Arial"/>
          <w:b/>
          <w:bCs/>
          <w:sz w:val="22"/>
          <w:szCs w:val="22"/>
        </w:rPr>
        <w:t>Hoj</w:t>
      </w:r>
      <w:r w:rsidR="00332F1E">
        <w:rPr>
          <w:rFonts w:ascii="Arial" w:hAnsi="Arial" w:cs="Arial"/>
          <w:b/>
          <w:bCs/>
          <w:sz w:val="22"/>
          <w:szCs w:val="22"/>
        </w:rPr>
        <w:t>a GE_1</w:t>
      </w:r>
    </w:p>
    <w:tbl>
      <w:tblPr>
        <w:tblStyle w:val="Tablaconcuadrcula"/>
        <w:tblW w:w="9526" w:type="dxa"/>
        <w:tblInd w:w="108" w:type="dxa"/>
        <w:tblLook w:val="04A0" w:firstRow="1" w:lastRow="0" w:firstColumn="1" w:lastColumn="0" w:noHBand="0" w:noVBand="1"/>
      </w:tblPr>
      <w:tblGrid>
        <w:gridCol w:w="1101"/>
        <w:gridCol w:w="1459"/>
        <w:gridCol w:w="6966"/>
      </w:tblGrid>
      <w:tr w:rsidR="00755D19" w14:paraId="6E506D5F" w14:textId="77777777" w:rsidTr="00E867EF">
        <w:tc>
          <w:tcPr>
            <w:tcW w:w="1101" w:type="dxa"/>
          </w:tcPr>
          <w:p w14:paraId="5C7A9C4A" w14:textId="508E4D50" w:rsidR="00755D19" w:rsidRPr="008B16EF" w:rsidRDefault="00D87380" w:rsidP="008B16EF">
            <w:pPr>
              <w:jc w:val="center"/>
              <w:rPr>
                <w:rFonts w:ascii="Arial" w:hAnsi="Arial" w:cs="Arial"/>
                <w:b/>
                <w:bCs/>
                <w:sz w:val="18"/>
                <w:szCs w:val="18"/>
              </w:rPr>
            </w:pPr>
            <w:r w:rsidRPr="008B16EF">
              <w:rPr>
                <w:rFonts w:ascii="Arial" w:hAnsi="Arial" w:cs="Arial"/>
                <w:b/>
                <w:bCs/>
                <w:sz w:val="18"/>
                <w:szCs w:val="18"/>
              </w:rPr>
              <w:t>Cuenta</w:t>
            </w:r>
          </w:p>
        </w:tc>
        <w:tc>
          <w:tcPr>
            <w:tcW w:w="1459" w:type="dxa"/>
          </w:tcPr>
          <w:p w14:paraId="66CA9E12" w14:textId="77777777" w:rsidR="00755D19" w:rsidRPr="008B16EF" w:rsidRDefault="00755D19" w:rsidP="008B16EF">
            <w:pPr>
              <w:jc w:val="center"/>
              <w:rPr>
                <w:rFonts w:ascii="Arial" w:hAnsi="Arial" w:cs="Arial"/>
                <w:b/>
                <w:bCs/>
                <w:sz w:val="18"/>
                <w:szCs w:val="18"/>
              </w:rPr>
            </w:pPr>
            <w:r w:rsidRPr="008B16EF">
              <w:rPr>
                <w:rFonts w:ascii="Arial" w:hAnsi="Arial" w:cs="Arial"/>
                <w:b/>
                <w:bCs/>
                <w:sz w:val="18"/>
                <w:szCs w:val="18"/>
              </w:rPr>
              <w:t>Nombre</w:t>
            </w:r>
          </w:p>
        </w:tc>
        <w:tc>
          <w:tcPr>
            <w:tcW w:w="6966" w:type="dxa"/>
          </w:tcPr>
          <w:p w14:paraId="061F0005" w14:textId="77777777" w:rsidR="00755D19" w:rsidRPr="008B16EF" w:rsidRDefault="00755D19" w:rsidP="008B16EF">
            <w:pPr>
              <w:jc w:val="center"/>
              <w:rPr>
                <w:rFonts w:ascii="Arial" w:hAnsi="Arial" w:cs="Arial"/>
                <w:b/>
                <w:bCs/>
                <w:sz w:val="18"/>
                <w:szCs w:val="18"/>
              </w:rPr>
            </w:pPr>
            <w:r w:rsidRPr="008B16EF">
              <w:rPr>
                <w:rFonts w:ascii="Arial" w:hAnsi="Arial" w:cs="Arial"/>
                <w:b/>
                <w:bCs/>
                <w:sz w:val="18"/>
                <w:szCs w:val="18"/>
              </w:rPr>
              <w:t>Concepto</w:t>
            </w:r>
          </w:p>
        </w:tc>
      </w:tr>
      <w:tr w:rsidR="00755D19" w14:paraId="07E98FAC" w14:textId="77777777" w:rsidTr="00E867EF">
        <w:tc>
          <w:tcPr>
            <w:tcW w:w="1101" w:type="dxa"/>
            <w:vAlign w:val="center"/>
          </w:tcPr>
          <w:p w14:paraId="1E80C023" w14:textId="77777777" w:rsidR="00755D19" w:rsidRPr="00011ED6" w:rsidRDefault="00755D19" w:rsidP="00D66FD0">
            <w:pPr>
              <w:rPr>
                <w:rFonts w:ascii="Arial" w:hAnsi="Arial" w:cs="Arial"/>
                <w:sz w:val="18"/>
                <w:szCs w:val="18"/>
              </w:rPr>
            </w:pPr>
            <w:r w:rsidRPr="00011ED6">
              <w:rPr>
                <w:rFonts w:ascii="Arial" w:hAnsi="Arial" w:cs="Arial"/>
                <w:sz w:val="18"/>
                <w:szCs w:val="18"/>
              </w:rPr>
              <w:t>001</w:t>
            </w:r>
          </w:p>
        </w:tc>
        <w:tc>
          <w:tcPr>
            <w:tcW w:w="1459" w:type="dxa"/>
            <w:vAlign w:val="center"/>
          </w:tcPr>
          <w:p w14:paraId="4C57C479" w14:textId="77777777" w:rsidR="00755D19" w:rsidRPr="00011ED6" w:rsidRDefault="00755D19" w:rsidP="00D66FD0">
            <w:pPr>
              <w:rPr>
                <w:rFonts w:ascii="Arial" w:hAnsi="Arial" w:cs="Arial"/>
                <w:sz w:val="18"/>
                <w:szCs w:val="18"/>
              </w:rPr>
            </w:pPr>
            <w:r w:rsidRPr="00011ED6">
              <w:rPr>
                <w:rFonts w:ascii="Arial" w:hAnsi="Arial" w:cs="Arial"/>
                <w:sz w:val="18"/>
                <w:szCs w:val="18"/>
              </w:rPr>
              <w:t>Tipo</w:t>
            </w:r>
          </w:p>
        </w:tc>
        <w:tc>
          <w:tcPr>
            <w:tcW w:w="6966" w:type="dxa"/>
            <w:vAlign w:val="center"/>
          </w:tcPr>
          <w:p w14:paraId="5E1933EA" w14:textId="68EC8DBA" w:rsidR="00755D19" w:rsidRPr="00011ED6" w:rsidRDefault="00A32F18" w:rsidP="00D66FD0">
            <w:pPr>
              <w:rPr>
                <w:rFonts w:ascii="Arial" w:hAnsi="Arial" w:cs="Arial"/>
                <w:sz w:val="18"/>
                <w:szCs w:val="18"/>
              </w:rPr>
            </w:pPr>
            <w:r>
              <w:rPr>
                <w:rFonts w:ascii="Arial" w:hAnsi="Arial"/>
                <w:spacing w:val="0"/>
                <w:sz w:val="18"/>
              </w:rPr>
              <w:t>R</w:t>
            </w:r>
            <w:r w:rsidR="0057787D" w:rsidRPr="00452CF6">
              <w:rPr>
                <w:rFonts w:ascii="Arial" w:hAnsi="Arial"/>
                <w:spacing w:val="0"/>
                <w:sz w:val="18"/>
              </w:rPr>
              <w:t xml:space="preserve">egistre el </w:t>
            </w:r>
            <w:r w:rsidR="00470CD5">
              <w:rPr>
                <w:rFonts w:ascii="Arial" w:hAnsi="Arial"/>
                <w:spacing w:val="0"/>
                <w:sz w:val="18"/>
              </w:rPr>
              <w:t>tipo de</w:t>
            </w:r>
            <w:r w:rsidRPr="00452CF6">
              <w:rPr>
                <w:rFonts w:ascii="Arial" w:hAnsi="Arial"/>
                <w:spacing w:val="0"/>
                <w:sz w:val="18"/>
              </w:rPr>
              <w:t xml:space="preserve"> entidad </w:t>
            </w:r>
          </w:p>
        </w:tc>
      </w:tr>
      <w:tr w:rsidR="00755D19" w14:paraId="506764B8" w14:textId="77777777" w:rsidTr="00E867EF">
        <w:tc>
          <w:tcPr>
            <w:tcW w:w="1101" w:type="dxa"/>
            <w:vAlign w:val="center"/>
          </w:tcPr>
          <w:p w14:paraId="26397009" w14:textId="77777777" w:rsidR="00755D19" w:rsidRPr="00011ED6" w:rsidRDefault="00755D19" w:rsidP="00D66FD0">
            <w:pPr>
              <w:rPr>
                <w:rFonts w:ascii="Arial" w:hAnsi="Arial" w:cs="Arial"/>
                <w:sz w:val="18"/>
                <w:szCs w:val="18"/>
              </w:rPr>
            </w:pPr>
            <w:r w:rsidRPr="00011ED6">
              <w:rPr>
                <w:rFonts w:ascii="Arial" w:hAnsi="Arial" w:cs="Arial"/>
                <w:sz w:val="18"/>
                <w:szCs w:val="18"/>
              </w:rPr>
              <w:t>002</w:t>
            </w:r>
          </w:p>
        </w:tc>
        <w:tc>
          <w:tcPr>
            <w:tcW w:w="1459" w:type="dxa"/>
            <w:vAlign w:val="center"/>
          </w:tcPr>
          <w:p w14:paraId="048BC5BE" w14:textId="77777777" w:rsidR="00755D19" w:rsidRPr="00011ED6" w:rsidRDefault="00755D19" w:rsidP="00D66FD0">
            <w:pPr>
              <w:rPr>
                <w:rFonts w:ascii="Arial" w:hAnsi="Arial" w:cs="Arial"/>
                <w:sz w:val="18"/>
                <w:szCs w:val="18"/>
              </w:rPr>
            </w:pPr>
            <w:r w:rsidRPr="00011ED6">
              <w:rPr>
                <w:rFonts w:ascii="Arial" w:hAnsi="Arial" w:cs="Arial"/>
                <w:sz w:val="18"/>
                <w:szCs w:val="18"/>
              </w:rPr>
              <w:t>Código</w:t>
            </w:r>
          </w:p>
        </w:tc>
        <w:tc>
          <w:tcPr>
            <w:tcW w:w="6966" w:type="dxa"/>
            <w:vAlign w:val="center"/>
          </w:tcPr>
          <w:p w14:paraId="012DAD8B" w14:textId="77777777" w:rsidR="00755D19" w:rsidRPr="00011ED6" w:rsidRDefault="00755D19" w:rsidP="00D66FD0">
            <w:pPr>
              <w:rPr>
                <w:rFonts w:ascii="Arial" w:hAnsi="Arial" w:cs="Arial"/>
                <w:sz w:val="18"/>
                <w:szCs w:val="18"/>
              </w:rPr>
            </w:pPr>
            <w:r w:rsidRPr="00011ED6">
              <w:rPr>
                <w:rFonts w:ascii="Arial" w:hAnsi="Arial" w:cs="Arial"/>
                <w:sz w:val="18"/>
                <w:szCs w:val="18"/>
              </w:rPr>
              <w:t>Registre el código de la entidad asignado por la SFC</w:t>
            </w:r>
          </w:p>
        </w:tc>
      </w:tr>
      <w:tr w:rsidR="00755D19" w14:paraId="03DE02B5" w14:textId="77777777" w:rsidTr="00E867EF">
        <w:tc>
          <w:tcPr>
            <w:tcW w:w="1101" w:type="dxa"/>
            <w:vAlign w:val="center"/>
          </w:tcPr>
          <w:p w14:paraId="298FBBAA" w14:textId="77777777" w:rsidR="00755D19" w:rsidRPr="00011ED6" w:rsidRDefault="00755D19" w:rsidP="00D66FD0">
            <w:pPr>
              <w:rPr>
                <w:rFonts w:ascii="Arial" w:hAnsi="Arial" w:cs="Arial"/>
                <w:sz w:val="18"/>
                <w:szCs w:val="18"/>
              </w:rPr>
            </w:pPr>
            <w:r w:rsidRPr="00011ED6">
              <w:rPr>
                <w:rFonts w:ascii="Arial" w:hAnsi="Arial" w:cs="Arial"/>
                <w:sz w:val="18"/>
                <w:szCs w:val="18"/>
              </w:rPr>
              <w:t>003</w:t>
            </w:r>
          </w:p>
        </w:tc>
        <w:tc>
          <w:tcPr>
            <w:tcW w:w="1459" w:type="dxa"/>
            <w:vAlign w:val="center"/>
          </w:tcPr>
          <w:p w14:paraId="0A1F3F61" w14:textId="77777777" w:rsidR="00755D19" w:rsidRPr="00011ED6" w:rsidRDefault="00755D19" w:rsidP="00D66FD0">
            <w:pPr>
              <w:rPr>
                <w:rFonts w:ascii="Arial" w:hAnsi="Arial" w:cs="Arial"/>
                <w:sz w:val="18"/>
                <w:szCs w:val="18"/>
              </w:rPr>
            </w:pPr>
            <w:r w:rsidRPr="00011ED6">
              <w:rPr>
                <w:rFonts w:ascii="Arial" w:hAnsi="Arial" w:cs="Arial"/>
                <w:sz w:val="18"/>
                <w:szCs w:val="18"/>
              </w:rPr>
              <w:t>Nombre</w:t>
            </w:r>
          </w:p>
        </w:tc>
        <w:tc>
          <w:tcPr>
            <w:tcW w:w="6966" w:type="dxa"/>
            <w:vAlign w:val="center"/>
          </w:tcPr>
          <w:p w14:paraId="6BCF1ED0" w14:textId="560614E0" w:rsidR="00755D19" w:rsidRPr="00011ED6" w:rsidRDefault="00755D19" w:rsidP="00D66FD0">
            <w:pPr>
              <w:rPr>
                <w:rFonts w:ascii="Arial" w:hAnsi="Arial" w:cs="Arial"/>
                <w:sz w:val="18"/>
                <w:szCs w:val="18"/>
              </w:rPr>
            </w:pPr>
            <w:r w:rsidRPr="00011ED6">
              <w:rPr>
                <w:rFonts w:ascii="Arial" w:hAnsi="Arial" w:cs="Arial"/>
                <w:sz w:val="18"/>
                <w:szCs w:val="18"/>
              </w:rPr>
              <w:t>Registre el nombre o la razón social de la entidad</w:t>
            </w:r>
          </w:p>
        </w:tc>
      </w:tr>
      <w:tr w:rsidR="00755D19" w14:paraId="6E9BF2B1" w14:textId="77777777" w:rsidTr="00E867EF">
        <w:tc>
          <w:tcPr>
            <w:tcW w:w="1101" w:type="dxa"/>
            <w:vAlign w:val="center"/>
          </w:tcPr>
          <w:p w14:paraId="771A9804" w14:textId="77777777" w:rsidR="00755D19" w:rsidRPr="00011ED6" w:rsidRDefault="00755D19" w:rsidP="00D66FD0">
            <w:pPr>
              <w:rPr>
                <w:rFonts w:ascii="Arial" w:hAnsi="Arial" w:cs="Arial"/>
                <w:sz w:val="18"/>
                <w:szCs w:val="18"/>
              </w:rPr>
            </w:pPr>
            <w:r w:rsidRPr="00011ED6">
              <w:rPr>
                <w:rFonts w:ascii="Arial" w:hAnsi="Arial" w:cs="Arial"/>
                <w:sz w:val="18"/>
                <w:szCs w:val="18"/>
              </w:rPr>
              <w:lastRenderedPageBreak/>
              <w:t>004</w:t>
            </w:r>
          </w:p>
        </w:tc>
        <w:tc>
          <w:tcPr>
            <w:tcW w:w="1459" w:type="dxa"/>
            <w:vAlign w:val="center"/>
          </w:tcPr>
          <w:p w14:paraId="5246CF7B" w14:textId="71A6010A" w:rsidR="00755D19" w:rsidRPr="00011ED6" w:rsidRDefault="00755D19" w:rsidP="00D66FD0">
            <w:pPr>
              <w:rPr>
                <w:rFonts w:ascii="Arial" w:hAnsi="Arial" w:cs="Arial"/>
                <w:sz w:val="18"/>
                <w:szCs w:val="18"/>
              </w:rPr>
            </w:pPr>
            <w:r w:rsidRPr="00011ED6">
              <w:rPr>
                <w:rFonts w:ascii="Arial" w:hAnsi="Arial" w:cs="Arial"/>
                <w:sz w:val="18"/>
                <w:szCs w:val="18"/>
              </w:rPr>
              <w:t xml:space="preserve">Tipo de </w:t>
            </w:r>
            <w:r w:rsidR="004678A1">
              <w:rPr>
                <w:rFonts w:ascii="Arial" w:hAnsi="Arial" w:cs="Arial"/>
                <w:sz w:val="18"/>
                <w:szCs w:val="18"/>
              </w:rPr>
              <w:t>informe</w:t>
            </w:r>
          </w:p>
        </w:tc>
        <w:tc>
          <w:tcPr>
            <w:tcW w:w="6966" w:type="dxa"/>
            <w:vAlign w:val="center"/>
          </w:tcPr>
          <w:p w14:paraId="01928F9C" w14:textId="27D91E7E" w:rsidR="00755D19" w:rsidRPr="00011ED6" w:rsidRDefault="00755D19" w:rsidP="00D66FD0">
            <w:pPr>
              <w:rPr>
                <w:rFonts w:ascii="Arial" w:hAnsi="Arial" w:cs="Arial"/>
                <w:sz w:val="18"/>
                <w:szCs w:val="18"/>
              </w:rPr>
            </w:pPr>
            <w:r w:rsidRPr="00011ED6">
              <w:rPr>
                <w:rFonts w:ascii="Arial" w:hAnsi="Arial" w:cs="Arial"/>
                <w:sz w:val="18"/>
                <w:szCs w:val="18"/>
              </w:rPr>
              <w:t xml:space="preserve">Registre si el reporte es a nivel individual </w:t>
            </w:r>
            <w:r w:rsidR="008B40BC">
              <w:rPr>
                <w:rFonts w:ascii="Arial" w:hAnsi="Arial" w:cs="Arial"/>
                <w:sz w:val="18"/>
                <w:szCs w:val="18"/>
              </w:rPr>
              <w:t xml:space="preserve">(0) </w:t>
            </w:r>
            <w:r w:rsidRPr="00011ED6">
              <w:rPr>
                <w:rFonts w:ascii="Arial" w:hAnsi="Arial" w:cs="Arial"/>
                <w:sz w:val="18"/>
                <w:szCs w:val="18"/>
              </w:rPr>
              <w:t>o consolidado</w:t>
            </w:r>
            <w:r w:rsidR="008B40BC">
              <w:rPr>
                <w:rFonts w:ascii="Arial" w:hAnsi="Arial" w:cs="Arial"/>
                <w:sz w:val="18"/>
                <w:szCs w:val="18"/>
              </w:rPr>
              <w:t xml:space="preserve"> (31)</w:t>
            </w:r>
          </w:p>
        </w:tc>
      </w:tr>
      <w:tr w:rsidR="00755D19" w14:paraId="6F75BFE8" w14:textId="77777777" w:rsidTr="00E867EF">
        <w:tc>
          <w:tcPr>
            <w:tcW w:w="1101" w:type="dxa"/>
            <w:vAlign w:val="center"/>
          </w:tcPr>
          <w:p w14:paraId="6FBA51C8" w14:textId="77777777" w:rsidR="00755D19" w:rsidRPr="00011ED6" w:rsidRDefault="00755D19" w:rsidP="00D66FD0">
            <w:pPr>
              <w:rPr>
                <w:rFonts w:ascii="Arial" w:hAnsi="Arial" w:cs="Arial"/>
                <w:sz w:val="18"/>
                <w:szCs w:val="18"/>
              </w:rPr>
            </w:pPr>
            <w:r w:rsidRPr="00011ED6">
              <w:rPr>
                <w:rFonts w:ascii="Arial" w:hAnsi="Arial" w:cs="Arial"/>
                <w:sz w:val="18"/>
                <w:szCs w:val="18"/>
              </w:rPr>
              <w:t>005</w:t>
            </w:r>
          </w:p>
        </w:tc>
        <w:tc>
          <w:tcPr>
            <w:tcW w:w="1459" w:type="dxa"/>
            <w:vAlign w:val="center"/>
          </w:tcPr>
          <w:p w14:paraId="59E0572C" w14:textId="77777777" w:rsidR="00755D19" w:rsidRPr="00011ED6" w:rsidRDefault="00755D19" w:rsidP="00D66FD0">
            <w:pPr>
              <w:rPr>
                <w:rFonts w:ascii="Arial" w:hAnsi="Arial" w:cs="Arial"/>
                <w:sz w:val="18"/>
                <w:szCs w:val="18"/>
              </w:rPr>
            </w:pPr>
            <w:r w:rsidRPr="00011ED6">
              <w:rPr>
                <w:rFonts w:ascii="Arial" w:hAnsi="Arial" w:cs="Arial"/>
                <w:sz w:val="18"/>
                <w:szCs w:val="18"/>
              </w:rPr>
              <w:t>Patrimonio básico ordinario neto de deducciones</w:t>
            </w:r>
          </w:p>
        </w:tc>
        <w:tc>
          <w:tcPr>
            <w:tcW w:w="6966" w:type="dxa"/>
            <w:vAlign w:val="center"/>
          </w:tcPr>
          <w:p w14:paraId="0E7D1405" w14:textId="2119767D" w:rsidR="00755D19" w:rsidRPr="00011ED6" w:rsidRDefault="00755D19" w:rsidP="00D66FD0">
            <w:pPr>
              <w:rPr>
                <w:rFonts w:ascii="Arial" w:hAnsi="Arial" w:cs="Arial"/>
                <w:sz w:val="18"/>
                <w:szCs w:val="18"/>
              </w:rPr>
            </w:pPr>
            <w:r w:rsidRPr="00011ED6">
              <w:rPr>
                <w:rFonts w:ascii="Arial" w:hAnsi="Arial" w:cs="Arial"/>
                <w:sz w:val="18"/>
                <w:szCs w:val="18"/>
              </w:rPr>
              <w:t xml:space="preserve">Registre el valor del PBO neto de deducciones en los términos </w:t>
            </w:r>
            <w:r w:rsidR="002632AE" w:rsidRPr="00011ED6">
              <w:rPr>
                <w:rFonts w:ascii="Arial" w:hAnsi="Arial" w:cs="Arial"/>
                <w:sz w:val="18"/>
                <w:szCs w:val="18"/>
              </w:rPr>
              <w:t>de</w:t>
            </w:r>
            <w:r w:rsidR="002632AE">
              <w:rPr>
                <w:rFonts w:ascii="Arial" w:hAnsi="Arial" w:cs="Arial"/>
                <w:sz w:val="18"/>
                <w:szCs w:val="18"/>
              </w:rPr>
              <w:t xml:space="preserve"> </w:t>
            </w:r>
            <w:r w:rsidR="002632AE" w:rsidRPr="00011ED6">
              <w:rPr>
                <w:rFonts w:ascii="Arial" w:hAnsi="Arial" w:cs="Arial"/>
                <w:sz w:val="18"/>
                <w:szCs w:val="18"/>
              </w:rPr>
              <w:t>l</w:t>
            </w:r>
            <w:r w:rsidR="002632AE">
              <w:rPr>
                <w:rFonts w:ascii="Arial" w:hAnsi="Arial" w:cs="Arial"/>
                <w:sz w:val="18"/>
                <w:szCs w:val="18"/>
              </w:rPr>
              <w:t>os artículos 2.1.1.1.10</w:t>
            </w:r>
            <w:r w:rsidR="002632AE" w:rsidRPr="00011ED6">
              <w:rPr>
                <w:rFonts w:ascii="Arial" w:hAnsi="Arial" w:cs="Arial"/>
                <w:sz w:val="18"/>
                <w:szCs w:val="18"/>
              </w:rPr>
              <w:t xml:space="preserve"> </w:t>
            </w:r>
            <w:r w:rsidR="002632AE">
              <w:rPr>
                <w:rFonts w:ascii="Arial" w:hAnsi="Arial" w:cs="Arial"/>
                <w:sz w:val="18"/>
                <w:szCs w:val="18"/>
              </w:rPr>
              <w:t xml:space="preserve">y 2.1.1.1.11 </w:t>
            </w:r>
            <w:r w:rsidRPr="00011ED6">
              <w:rPr>
                <w:rFonts w:ascii="Arial" w:hAnsi="Arial" w:cs="Arial"/>
                <w:sz w:val="18"/>
                <w:szCs w:val="18"/>
              </w:rPr>
              <w:t xml:space="preserve">del Decreto </w:t>
            </w:r>
            <w:r w:rsidR="4C425F67" w:rsidRPr="1FE414F2">
              <w:rPr>
                <w:rFonts w:ascii="Arial" w:hAnsi="Arial" w:cs="Arial"/>
                <w:sz w:val="18"/>
                <w:szCs w:val="18"/>
              </w:rPr>
              <w:t>2555 de 20</w:t>
            </w:r>
            <w:r w:rsidRPr="1FE414F2">
              <w:rPr>
                <w:rFonts w:ascii="Arial" w:hAnsi="Arial" w:cs="Arial"/>
                <w:sz w:val="18"/>
                <w:szCs w:val="18"/>
              </w:rPr>
              <w:t>1</w:t>
            </w:r>
            <w:r w:rsidR="4C425F67" w:rsidRPr="1FE414F2">
              <w:rPr>
                <w:rFonts w:ascii="Arial" w:hAnsi="Arial" w:cs="Arial"/>
                <w:sz w:val="18"/>
                <w:szCs w:val="18"/>
              </w:rPr>
              <w:t>0</w:t>
            </w:r>
            <w:r w:rsidRPr="00011ED6">
              <w:rPr>
                <w:rFonts w:ascii="Arial" w:hAnsi="Arial" w:cs="Arial"/>
                <w:sz w:val="18"/>
                <w:szCs w:val="18"/>
              </w:rPr>
              <w:t xml:space="preserve"> y el Capítulo XIII-1</w:t>
            </w:r>
            <w:r>
              <w:rPr>
                <w:rFonts w:ascii="Arial" w:hAnsi="Arial" w:cs="Arial"/>
                <w:sz w:val="18"/>
                <w:szCs w:val="18"/>
              </w:rPr>
              <w:t>6</w:t>
            </w:r>
            <w:r w:rsidRPr="00011ED6">
              <w:rPr>
                <w:rFonts w:ascii="Arial" w:hAnsi="Arial" w:cs="Arial"/>
                <w:sz w:val="18"/>
                <w:szCs w:val="18"/>
              </w:rPr>
              <w:t xml:space="preserve"> de la </w:t>
            </w:r>
            <w:r w:rsidR="007433A1">
              <w:rPr>
                <w:rFonts w:ascii="Arial" w:hAnsi="Arial" w:cs="Arial"/>
                <w:sz w:val="18"/>
                <w:szCs w:val="18"/>
              </w:rPr>
              <w:t>Circular Básica Contable y Financiera (</w:t>
            </w:r>
            <w:r w:rsidRPr="00011ED6">
              <w:rPr>
                <w:rFonts w:ascii="Arial" w:hAnsi="Arial" w:cs="Arial"/>
                <w:sz w:val="18"/>
                <w:szCs w:val="18"/>
              </w:rPr>
              <w:t>CBCF</w:t>
            </w:r>
            <w:r w:rsidR="007433A1">
              <w:rPr>
                <w:rFonts w:ascii="Arial" w:hAnsi="Arial" w:cs="Arial"/>
                <w:sz w:val="18"/>
                <w:szCs w:val="18"/>
              </w:rPr>
              <w:t>)</w:t>
            </w:r>
          </w:p>
        </w:tc>
      </w:tr>
      <w:tr w:rsidR="00755D19" w14:paraId="7B954941" w14:textId="77777777" w:rsidTr="00E867EF">
        <w:tc>
          <w:tcPr>
            <w:tcW w:w="1101" w:type="dxa"/>
            <w:vAlign w:val="center"/>
          </w:tcPr>
          <w:p w14:paraId="13501B0C" w14:textId="77777777" w:rsidR="00755D19" w:rsidRPr="00011ED6" w:rsidRDefault="00755D19" w:rsidP="00D66FD0">
            <w:pPr>
              <w:rPr>
                <w:rFonts w:ascii="Arial" w:hAnsi="Arial" w:cs="Arial"/>
                <w:sz w:val="18"/>
                <w:szCs w:val="18"/>
              </w:rPr>
            </w:pPr>
            <w:r w:rsidRPr="00011ED6">
              <w:rPr>
                <w:rFonts w:ascii="Arial" w:hAnsi="Arial" w:cs="Arial"/>
                <w:sz w:val="18"/>
                <w:szCs w:val="18"/>
              </w:rPr>
              <w:t>006</w:t>
            </w:r>
          </w:p>
        </w:tc>
        <w:tc>
          <w:tcPr>
            <w:tcW w:w="1459" w:type="dxa"/>
            <w:vAlign w:val="center"/>
          </w:tcPr>
          <w:p w14:paraId="032A6744" w14:textId="77777777" w:rsidR="00755D19" w:rsidRPr="00011ED6" w:rsidRDefault="00755D19" w:rsidP="00D66FD0">
            <w:pPr>
              <w:rPr>
                <w:rFonts w:ascii="Arial" w:hAnsi="Arial" w:cs="Arial"/>
                <w:sz w:val="18"/>
                <w:szCs w:val="18"/>
              </w:rPr>
            </w:pPr>
            <w:r w:rsidRPr="00011ED6">
              <w:rPr>
                <w:rFonts w:ascii="Arial" w:hAnsi="Arial" w:cs="Arial"/>
                <w:sz w:val="18"/>
                <w:szCs w:val="18"/>
              </w:rPr>
              <w:t>Patrimonio básico adicional</w:t>
            </w:r>
          </w:p>
        </w:tc>
        <w:tc>
          <w:tcPr>
            <w:tcW w:w="6966" w:type="dxa"/>
            <w:vAlign w:val="center"/>
          </w:tcPr>
          <w:p w14:paraId="0CC84F42" w14:textId="65112930" w:rsidR="00755D19" w:rsidRPr="00011ED6" w:rsidRDefault="00755D19" w:rsidP="00D66FD0">
            <w:pPr>
              <w:rPr>
                <w:rFonts w:ascii="Arial" w:hAnsi="Arial" w:cs="Arial"/>
                <w:sz w:val="18"/>
                <w:szCs w:val="18"/>
              </w:rPr>
            </w:pPr>
            <w:r w:rsidRPr="00011ED6">
              <w:rPr>
                <w:rFonts w:ascii="Arial" w:hAnsi="Arial" w:cs="Arial"/>
                <w:sz w:val="18"/>
                <w:szCs w:val="18"/>
              </w:rPr>
              <w:t xml:space="preserve">Registre el valor del patrimonio básico adicional en los términos </w:t>
            </w:r>
            <w:r w:rsidR="002632AE" w:rsidRPr="00011ED6">
              <w:rPr>
                <w:rFonts w:ascii="Arial" w:hAnsi="Arial" w:cs="Arial"/>
                <w:sz w:val="18"/>
                <w:szCs w:val="18"/>
              </w:rPr>
              <w:t>del</w:t>
            </w:r>
            <w:r w:rsidR="002632AE">
              <w:rPr>
                <w:rFonts w:ascii="Arial" w:hAnsi="Arial" w:cs="Arial"/>
                <w:sz w:val="18"/>
                <w:szCs w:val="18"/>
              </w:rPr>
              <w:t xml:space="preserve"> artículo 2.1.1.1.12 del </w:t>
            </w:r>
            <w:r w:rsidRPr="00011ED6">
              <w:rPr>
                <w:rFonts w:ascii="Arial" w:hAnsi="Arial" w:cs="Arial"/>
                <w:sz w:val="18"/>
                <w:szCs w:val="18"/>
              </w:rPr>
              <w:t xml:space="preserve">Decreto </w:t>
            </w:r>
            <w:r w:rsidR="565BCB83" w:rsidRPr="301E7F6A">
              <w:rPr>
                <w:rFonts w:ascii="Arial" w:hAnsi="Arial" w:cs="Arial"/>
                <w:sz w:val="18"/>
                <w:szCs w:val="18"/>
              </w:rPr>
              <w:t xml:space="preserve">2555 de </w:t>
            </w:r>
            <w:r w:rsidR="565BCB83" w:rsidRPr="3E7F12FE">
              <w:rPr>
                <w:rFonts w:ascii="Arial" w:hAnsi="Arial" w:cs="Arial"/>
                <w:sz w:val="18"/>
                <w:szCs w:val="18"/>
              </w:rPr>
              <w:t>2010</w:t>
            </w:r>
            <w:r w:rsidRPr="00011ED6">
              <w:rPr>
                <w:rFonts w:ascii="Arial" w:hAnsi="Arial" w:cs="Arial"/>
                <w:sz w:val="18"/>
                <w:szCs w:val="18"/>
              </w:rPr>
              <w:t xml:space="preserve"> y el Capítulo XIII-1</w:t>
            </w:r>
            <w:r>
              <w:rPr>
                <w:rFonts w:ascii="Arial" w:hAnsi="Arial" w:cs="Arial"/>
                <w:sz w:val="18"/>
                <w:szCs w:val="18"/>
              </w:rPr>
              <w:t>6</w:t>
            </w:r>
            <w:r w:rsidRPr="00011ED6">
              <w:rPr>
                <w:rFonts w:ascii="Arial" w:hAnsi="Arial" w:cs="Arial"/>
                <w:sz w:val="18"/>
                <w:szCs w:val="18"/>
              </w:rPr>
              <w:t xml:space="preserve"> de la CBCF</w:t>
            </w:r>
          </w:p>
        </w:tc>
      </w:tr>
      <w:tr w:rsidR="00755D19" w14:paraId="7DA3F3E6" w14:textId="77777777" w:rsidTr="00E867EF">
        <w:tc>
          <w:tcPr>
            <w:tcW w:w="1101" w:type="dxa"/>
            <w:vAlign w:val="center"/>
          </w:tcPr>
          <w:p w14:paraId="29282EE1" w14:textId="77777777" w:rsidR="00755D19" w:rsidRPr="00011ED6" w:rsidRDefault="00755D19" w:rsidP="00D66FD0">
            <w:pPr>
              <w:rPr>
                <w:rFonts w:ascii="Arial" w:hAnsi="Arial" w:cs="Arial"/>
                <w:sz w:val="18"/>
                <w:szCs w:val="18"/>
              </w:rPr>
            </w:pPr>
            <w:r w:rsidRPr="00011ED6">
              <w:rPr>
                <w:rFonts w:ascii="Arial" w:hAnsi="Arial" w:cs="Arial"/>
                <w:sz w:val="18"/>
                <w:szCs w:val="18"/>
              </w:rPr>
              <w:t>007</w:t>
            </w:r>
          </w:p>
        </w:tc>
        <w:tc>
          <w:tcPr>
            <w:tcW w:w="1459" w:type="dxa"/>
            <w:vAlign w:val="center"/>
          </w:tcPr>
          <w:p w14:paraId="059B2411" w14:textId="77777777" w:rsidR="00755D19" w:rsidRPr="00011ED6" w:rsidRDefault="00755D19" w:rsidP="00D66FD0">
            <w:pPr>
              <w:rPr>
                <w:rFonts w:ascii="Arial" w:hAnsi="Arial" w:cs="Arial"/>
                <w:sz w:val="18"/>
                <w:szCs w:val="18"/>
              </w:rPr>
            </w:pPr>
            <w:r w:rsidRPr="00011ED6">
              <w:rPr>
                <w:rFonts w:ascii="Arial" w:hAnsi="Arial" w:cs="Arial"/>
                <w:sz w:val="18"/>
                <w:szCs w:val="18"/>
              </w:rPr>
              <w:t>Patrimonio adicional</w:t>
            </w:r>
          </w:p>
        </w:tc>
        <w:tc>
          <w:tcPr>
            <w:tcW w:w="6966" w:type="dxa"/>
            <w:vAlign w:val="center"/>
          </w:tcPr>
          <w:p w14:paraId="2BC347BD" w14:textId="5E660E65" w:rsidR="00755D19" w:rsidRPr="00011ED6" w:rsidRDefault="00755D19" w:rsidP="00D66FD0">
            <w:pPr>
              <w:rPr>
                <w:rFonts w:ascii="Arial" w:hAnsi="Arial" w:cs="Arial"/>
                <w:sz w:val="18"/>
                <w:szCs w:val="18"/>
              </w:rPr>
            </w:pPr>
            <w:r w:rsidRPr="00011ED6">
              <w:rPr>
                <w:rFonts w:ascii="Arial" w:hAnsi="Arial" w:cs="Arial"/>
                <w:sz w:val="18"/>
                <w:szCs w:val="18"/>
              </w:rPr>
              <w:t xml:space="preserve">Registre el valor del patrimonio adicional en los términos </w:t>
            </w:r>
            <w:r w:rsidR="002632AE" w:rsidRPr="00011ED6">
              <w:rPr>
                <w:rFonts w:ascii="Arial" w:hAnsi="Arial" w:cs="Arial"/>
                <w:sz w:val="18"/>
                <w:szCs w:val="18"/>
              </w:rPr>
              <w:t>del</w:t>
            </w:r>
            <w:r w:rsidR="002632AE">
              <w:rPr>
                <w:rFonts w:ascii="Arial" w:hAnsi="Arial" w:cs="Arial"/>
                <w:sz w:val="18"/>
                <w:szCs w:val="18"/>
              </w:rPr>
              <w:t xml:space="preserve"> artículo 2.1.1.1.1</w:t>
            </w:r>
            <w:r w:rsidR="00F772EE">
              <w:rPr>
                <w:rFonts w:ascii="Arial" w:hAnsi="Arial" w:cs="Arial"/>
                <w:sz w:val="18"/>
                <w:szCs w:val="18"/>
              </w:rPr>
              <w:t>3</w:t>
            </w:r>
            <w:r w:rsidR="002632AE" w:rsidRPr="00011ED6">
              <w:rPr>
                <w:rFonts w:ascii="Arial" w:hAnsi="Arial" w:cs="Arial"/>
                <w:sz w:val="18"/>
                <w:szCs w:val="18"/>
              </w:rPr>
              <w:t xml:space="preserve"> </w:t>
            </w:r>
            <w:r w:rsidRPr="00011ED6">
              <w:rPr>
                <w:rFonts w:ascii="Arial" w:hAnsi="Arial" w:cs="Arial"/>
                <w:sz w:val="18"/>
                <w:szCs w:val="18"/>
              </w:rPr>
              <w:t xml:space="preserve">del Decreto </w:t>
            </w:r>
            <w:r w:rsidR="2A3C5DC2" w:rsidRPr="16BE0414">
              <w:rPr>
                <w:rFonts w:ascii="Arial" w:hAnsi="Arial" w:cs="Arial"/>
                <w:sz w:val="18"/>
                <w:szCs w:val="18"/>
              </w:rPr>
              <w:t>2555 de 2010</w:t>
            </w:r>
            <w:r w:rsidRPr="00011ED6">
              <w:rPr>
                <w:rFonts w:ascii="Arial" w:hAnsi="Arial" w:cs="Arial"/>
                <w:sz w:val="18"/>
                <w:szCs w:val="18"/>
              </w:rPr>
              <w:t xml:space="preserve"> y el Capítulo XIII-1</w:t>
            </w:r>
            <w:r>
              <w:rPr>
                <w:rFonts w:ascii="Arial" w:hAnsi="Arial" w:cs="Arial"/>
                <w:sz w:val="18"/>
                <w:szCs w:val="18"/>
              </w:rPr>
              <w:t>6</w:t>
            </w:r>
            <w:r w:rsidRPr="00011ED6">
              <w:rPr>
                <w:rFonts w:ascii="Arial" w:hAnsi="Arial" w:cs="Arial"/>
                <w:sz w:val="18"/>
                <w:szCs w:val="18"/>
              </w:rPr>
              <w:t xml:space="preserve"> de la CBCF</w:t>
            </w:r>
          </w:p>
        </w:tc>
      </w:tr>
      <w:tr w:rsidR="00755D19" w14:paraId="3B3BD5F0" w14:textId="77777777" w:rsidTr="00E867EF">
        <w:tc>
          <w:tcPr>
            <w:tcW w:w="1101" w:type="dxa"/>
            <w:vAlign w:val="center"/>
          </w:tcPr>
          <w:p w14:paraId="44562B67" w14:textId="6BD66AAF" w:rsidR="00755D19" w:rsidRPr="00011ED6" w:rsidRDefault="00755D19" w:rsidP="00D66FD0">
            <w:pPr>
              <w:rPr>
                <w:rFonts w:ascii="Arial" w:hAnsi="Arial" w:cs="Arial"/>
                <w:sz w:val="18"/>
                <w:szCs w:val="18"/>
              </w:rPr>
            </w:pPr>
            <w:r w:rsidRPr="00011ED6">
              <w:rPr>
                <w:rFonts w:ascii="Arial" w:hAnsi="Arial" w:cs="Arial"/>
                <w:sz w:val="18"/>
                <w:szCs w:val="18"/>
              </w:rPr>
              <w:t>00</w:t>
            </w:r>
            <w:r w:rsidR="007E458C">
              <w:rPr>
                <w:rFonts w:ascii="Arial" w:hAnsi="Arial" w:cs="Arial"/>
                <w:sz w:val="18"/>
                <w:szCs w:val="18"/>
              </w:rPr>
              <w:t>8</w:t>
            </w:r>
          </w:p>
        </w:tc>
        <w:tc>
          <w:tcPr>
            <w:tcW w:w="1459" w:type="dxa"/>
            <w:vAlign w:val="center"/>
          </w:tcPr>
          <w:p w14:paraId="38CBDB12" w14:textId="77777777" w:rsidR="00755D19" w:rsidRPr="00011ED6" w:rsidRDefault="00755D19" w:rsidP="00D66FD0">
            <w:pPr>
              <w:rPr>
                <w:rFonts w:ascii="Arial" w:hAnsi="Arial" w:cs="Arial"/>
                <w:sz w:val="18"/>
                <w:szCs w:val="18"/>
              </w:rPr>
            </w:pPr>
            <w:r w:rsidRPr="00011ED6">
              <w:rPr>
                <w:rFonts w:ascii="Arial" w:hAnsi="Arial" w:cs="Arial"/>
                <w:sz w:val="18"/>
                <w:szCs w:val="18"/>
              </w:rPr>
              <w:t>Patrimonio técnico</w:t>
            </w:r>
          </w:p>
        </w:tc>
        <w:tc>
          <w:tcPr>
            <w:tcW w:w="6966" w:type="dxa"/>
            <w:vAlign w:val="center"/>
          </w:tcPr>
          <w:p w14:paraId="7FA01468" w14:textId="511CA8C4" w:rsidR="00755D19" w:rsidRPr="00011ED6" w:rsidRDefault="00755D19" w:rsidP="00D66FD0">
            <w:pPr>
              <w:rPr>
                <w:rFonts w:ascii="Arial" w:hAnsi="Arial" w:cs="Arial"/>
                <w:sz w:val="18"/>
                <w:szCs w:val="18"/>
              </w:rPr>
            </w:pPr>
            <w:r w:rsidRPr="00011ED6">
              <w:rPr>
                <w:rFonts w:ascii="Arial" w:hAnsi="Arial" w:cs="Arial"/>
                <w:sz w:val="18"/>
                <w:szCs w:val="18"/>
              </w:rPr>
              <w:t xml:space="preserve">Registre el valor del patrimonio técnico en los términos del Decreto </w:t>
            </w:r>
            <w:r w:rsidR="4B05CBA9" w:rsidRPr="5EF71017">
              <w:rPr>
                <w:rFonts w:ascii="Arial" w:hAnsi="Arial" w:cs="Arial"/>
                <w:sz w:val="18"/>
                <w:szCs w:val="18"/>
              </w:rPr>
              <w:t>2555 de 2010</w:t>
            </w:r>
            <w:r w:rsidRPr="00011ED6">
              <w:rPr>
                <w:rFonts w:ascii="Arial" w:hAnsi="Arial" w:cs="Arial"/>
                <w:sz w:val="18"/>
                <w:szCs w:val="18"/>
              </w:rPr>
              <w:t xml:space="preserve"> y el Capítulo XIII-1</w:t>
            </w:r>
            <w:r>
              <w:rPr>
                <w:rFonts w:ascii="Arial" w:hAnsi="Arial" w:cs="Arial"/>
                <w:sz w:val="18"/>
                <w:szCs w:val="18"/>
              </w:rPr>
              <w:t>6</w:t>
            </w:r>
            <w:r w:rsidRPr="00011ED6">
              <w:rPr>
                <w:rFonts w:ascii="Arial" w:hAnsi="Arial" w:cs="Arial"/>
                <w:sz w:val="18"/>
                <w:szCs w:val="18"/>
              </w:rPr>
              <w:t xml:space="preserve"> de la CBCF</w:t>
            </w:r>
          </w:p>
        </w:tc>
      </w:tr>
    </w:tbl>
    <w:p w14:paraId="00C9E59E" w14:textId="7FE615B7" w:rsidR="00755D19" w:rsidRDefault="00755D19" w:rsidP="00F652DE">
      <w:pPr>
        <w:adjustRightInd w:val="0"/>
        <w:spacing w:before="120"/>
        <w:jc w:val="both"/>
        <w:rPr>
          <w:rFonts w:ascii="Arial" w:hAnsi="Arial" w:cs="Arial"/>
          <w:sz w:val="22"/>
          <w:szCs w:val="22"/>
        </w:rPr>
      </w:pPr>
    </w:p>
    <w:p w14:paraId="5D968A77" w14:textId="6729EA94" w:rsidR="000F2577" w:rsidRDefault="00D82194" w:rsidP="00F652DE">
      <w:pPr>
        <w:adjustRightInd w:val="0"/>
        <w:spacing w:before="120"/>
        <w:jc w:val="both"/>
        <w:rPr>
          <w:rFonts w:ascii="Arial" w:hAnsi="Arial" w:cs="Arial"/>
          <w:b/>
          <w:bCs/>
          <w:sz w:val="22"/>
          <w:szCs w:val="22"/>
        </w:rPr>
      </w:pPr>
      <w:r>
        <w:rPr>
          <w:rFonts w:ascii="Arial" w:hAnsi="Arial" w:cs="Arial"/>
          <w:b/>
          <w:bCs/>
          <w:sz w:val="22"/>
          <w:szCs w:val="22"/>
        </w:rPr>
        <w:t>Grupo conectado de contrapartes</w:t>
      </w:r>
    </w:p>
    <w:p w14:paraId="38225732" w14:textId="30654865" w:rsidR="000D40AC" w:rsidRPr="000D40AC" w:rsidRDefault="000D40AC" w:rsidP="000D40AC">
      <w:pPr>
        <w:jc w:val="both"/>
        <w:rPr>
          <w:rFonts w:ascii="Arial" w:hAnsi="Arial" w:cs="Arial"/>
          <w:sz w:val="22"/>
          <w:szCs w:val="22"/>
        </w:rPr>
      </w:pPr>
      <w:r w:rsidRPr="000D40AC">
        <w:rPr>
          <w:rFonts w:ascii="Arial" w:hAnsi="Arial" w:cs="Arial"/>
          <w:sz w:val="22"/>
          <w:szCs w:val="22"/>
        </w:rPr>
        <w:t xml:space="preserve">Se considera que dos o más </w:t>
      </w:r>
      <w:r w:rsidR="009341BD">
        <w:rPr>
          <w:rFonts w:ascii="Arial" w:hAnsi="Arial" w:cs="Arial"/>
          <w:sz w:val="22"/>
          <w:szCs w:val="22"/>
        </w:rPr>
        <w:t>contrapartes</w:t>
      </w:r>
      <w:r w:rsidR="00A55A21">
        <w:rPr>
          <w:rFonts w:ascii="Arial" w:hAnsi="Arial" w:cs="Arial"/>
          <w:sz w:val="22"/>
          <w:szCs w:val="22"/>
        </w:rPr>
        <w:t xml:space="preserve"> (personas</w:t>
      </w:r>
      <w:r w:rsidR="00A55A21" w:rsidRPr="00A55A21">
        <w:rPr>
          <w:rFonts w:ascii="Arial" w:hAnsi="Arial" w:cs="Arial"/>
          <w:sz w:val="22"/>
          <w:szCs w:val="22"/>
        </w:rPr>
        <w:t xml:space="preserve"> natural</w:t>
      </w:r>
      <w:r w:rsidR="00A55A21">
        <w:rPr>
          <w:rFonts w:ascii="Arial" w:hAnsi="Arial" w:cs="Arial"/>
          <w:sz w:val="22"/>
          <w:szCs w:val="22"/>
        </w:rPr>
        <w:t>es</w:t>
      </w:r>
      <w:r w:rsidR="00A55A21" w:rsidRPr="00A55A21">
        <w:rPr>
          <w:rFonts w:ascii="Arial" w:hAnsi="Arial" w:cs="Arial"/>
          <w:sz w:val="22"/>
          <w:szCs w:val="22"/>
        </w:rPr>
        <w:t>, jurídica</w:t>
      </w:r>
      <w:r w:rsidR="00A55A21">
        <w:rPr>
          <w:rFonts w:ascii="Arial" w:hAnsi="Arial" w:cs="Arial"/>
          <w:sz w:val="22"/>
          <w:szCs w:val="22"/>
        </w:rPr>
        <w:t>s</w:t>
      </w:r>
      <w:r w:rsidR="00A55A21" w:rsidRPr="00A55A21">
        <w:rPr>
          <w:rFonts w:ascii="Arial" w:hAnsi="Arial" w:cs="Arial"/>
          <w:sz w:val="22"/>
          <w:szCs w:val="22"/>
        </w:rPr>
        <w:t>, patrimonio</w:t>
      </w:r>
      <w:r w:rsidR="00A55A21">
        <w:rPr>
          <w:rFonts w:ascii="Arial" w:hAnsi="Arial" w:cs="Arial"/>
          <w:sz w:val="22"/>
          <w:szCs w:val="22"/>
        </w:rPr>
        <w:t>s</w:t>
      </w:r>
      <w:r w:rsidR="00A55A21" w:rsidRPr="00A55A21">
        <w:rPr>
          <w:rFonts w:ascii="Arial" w:hAnsi="Arial" w:cs="Arial"/>
          <w:sz w:val="22"/>
          <w:szCs w:val="22"/>
        </w:rPr>
        <w:t xml:space="preserve"> autónomo</w:t>
      </w:r>
      <w:r w:rsidR="00A55A21">
        <w:rPr>
          <w:rFonts w:ascii="Arial" w:hAnsi="Arial" w:cs="Arial"/>
          <w:sz w:val="22"/>
          <w:szCs w:val="22"/>
        </w:rPr>
        <w:t>s</w:t>
      </w:r>
      <w:r w:rsidR="00F90F4B">
        <w:rPr>
          <w:rFonts w:ascii="Arial" w:hAnsi="Arial" w:cs="Arial"/>
          <w:sz w:val="22"/>
          <w:szCs w:val="22"/>
        </w:rPr>
        <w:t xml:space="preserve">, </w:t>
      </w:r>
      <w:r w:rsidR="00A55A21" w:rsidRPr="00A55A21">
        <w:rPr>
          <w:rFonts w:ascii="Arial" w:hAnsi="Arial" w:cs="Arial"/>
          <w:sz w:val="22"/>
          <w:szCs w:val="22"/>
        </w:rPr>
        <w:t>universalidades</w:t>
      </w:r>
      <w:r w:rsidR="0051110C">
        <w:rPr>
          <w:rFonts w:ascii="Arial" w:hAnsi="Arial" w:cs="Arial"/>
          <w:sz w:val="22"/>
          <w:szCs w:val="22"/>
        </w:rPr>
        <w:t>,</w:t>
      </w:r>
      <w:r w:rsidR="00011D47">
        <w:rPr>
          <w:rFonts w:ascii="Arial" w:hAnsi="Arial" w:cs="Arial"/>
          <w:sz w:val="22"/>
          <w:szCs w:val="22"/>
        </w:rPr>
        <w:t xml:space="preserve"> </w:t>
      </w:r>
      <w:r w:rsidR="00A55A21" w:rsidRPr="00A55A21">
        <w:rPr>
          <w:rFonts w:ascii="Arial" w:hAnsi="Arial" w:cs="Arial"/>
          <w:sz w:val="22"/>
          <w:szCs w:val="22"/>
        </w:rPr>
        <w:t>vehículo de inversión</w:t>
      </w:r>
      <w:r w:rsidR="00F90F4B">
        <w:rPr>
          <w:rFonts w:ascii="Arial" w:hAnsi="Arial" w:cs="Arial"/>
          <w:sz w:val="22"/>
          <w:szCs w:val="22"/>
        </w:rPr>
        <w:t xml:space="preserve">, </w:t>
      </w:r>
      <w:r w:rsidR="004106E9">
        <w:rPr>
          <w:rFonts w:ascii="Arial" w:hAnsi="Arial" w:cs="Arial"/>
          <w:sz w:val="22"/>
          <w:szCs w:val="22"/>
        </w:rPr>
        <w:t xml:space="preserve">vehículo de propósito especial </w:t>
      </w:r>
      <w:r w:rsidR="00F90F4B">
        <w:rPr>
          <w:rFonts w:ascii="Arial" w:hAnsi="Arial" w:cs="Arial"/>
          <w:sz w:val="22"/>
          <w:szCs w:val="22"/>
        </w:rPr>
        <w:t>y/</w:t>
      </w:r>
      <w:r w:rsidR="00A55A21" w:rsidRPr="00A55A21">
        <w:rPr>
          <w:rFonts w:ascii="Arial" w:hAnsi="Arial" w:cs="Arial"/>
          <w:sz w:val="22"/>
          <w:szCs w:val="22"/>
        </w:rPr>
        <w:t>o cualquier otra figura jurídica con la cual la entidad reportante asume una exposición</w:t>
      </w:r>
      <w:r w:rsidR="00A55A21">
        <w:rPr>
          <w:rFonts w:ascii="Arial" w:hAnsi="Arial" w:cs="Arial"/>
          <w:sz w:val="22"/>
          <w:szCs w:val="22"/>
        </w:rPr>
        <w:t>)</w:t>
      </w:r>
      <w:r w:rsidR="00A1590C">
        <w:rPr>
          <w:rFonts w:ascii="Arial" w:hAnsi="Arial" w:cs="Arial"/>
          <w:sz w:val="22"/>
          <w:szCs w:val="22"/>
        </w:rPr>
        <w:t xml:space="preserve"> forman </w:t>
      </w:r>
      <w:r w:rsidRPr="000D40AC">
        <w:rPr>
          <w:rFonts w:ascii="Arial" w:hAnsi="Arial" w:cs="Arial"/>
          <w:sz w:val="22"/>
          <w:szCs w:val="22"/>
        </w:rPr>
        <w:t>un grupo conectado de contrapartes</w:t>
      </w:r>
      <w:r>
        <w:rPr>
          <w:rFonts w:ascii="Arial" w:hAnsi="Arial" w:cs="Arial"/>
          <w:sz w:val="22"/>
          <w:szCs w:val="22"/>
        </w:rPr>
        <w:t xml:space="preserve"> (GCC)</w:t>
      </w:r>
      <w:r w:rsidRPr="000D40AC">
        <w:rPr>
          <w:rFonts w:ascii="Arial" w:hAnsi="Arial" w:cs="Arial"/>
          <w:sz w:val="22"/>
          <w:szCs w:val="22"/>
        </w:rPr>
        <w:t xml:space="preserve"> cuando se cumple por lo menos uno de los siguientes criterios: </w:t>
      </w:r>
    </w:p>
    <w:p w14:paraId="1877E465" w14:textId="77777777" w:rsidR="000D40AC" w:rsidRPr="000D40AC" w:rsidRDefault="000D40AC" w:rsidP="000D40AC">
      <w:pPr>
        <w:jc w:val="both"/>
        <w:rPr>
          <w:rFonts w:ascii="Arial" w:hAnsi="Arial" w:cs="Arial"/>
          <w:sz w:val="22"/>
          <w:szCs w:val="22"/>
          <w:lang w:val="es-CO"/>
        </w:rPr>
      </w:pPr>
      <w:r w:rsidRPr="000D40AC">
        <w:rPr>
          <w:rFonts w:ascii="Arial" w:hAnsi="Arial" w:cs="Arial"/>
          <w:sz w:val="22"/>
          <w:szCs w:val="22"/>
          <w:lang w:val="es-CO"/>
        </w:rPr>
        <w:tab/>
      </w:r>
      <w:r w:rsidRPr="000D40AC">
        <w:rPr>
          <w:rFonts w:ascii="Arial" w:hAnsi="Arial" w:cs="Arial"/>
          <w:sz w:val="22"/>
          <w:szCs w:val="22"/>
          <w:lang w:val="es-CO"/>
        </w:rPr>
        <w:tab/>
      </w:r>
      <w:r w:rsidRPr="000D40AC">
        <w:rPr>
          <w:rFonts w:ascii="Arial" w:hAnsi="Arial" w:cs="Arial"/>
          <w:sz w:val="22"/>
          <w:szCs w:val="22"/>
          <w:lang w:val="es-CO"/>
        </w:rPr>
        <w:tab/>
      </w:r>
    </w:p>
    <w:p w14:paraId="4A81B841" w14:textId="2B1A9CFF" w:rsidR="000D40AC" w:rsidRPr="003B3ECE" w:rsidRDefault="000D40AC" w:rsidP="003B3ECE">
      <w:pPr>
        <w:pStyle w:val="Prrafodelista"/>
        <w:numPr>
          <w:ilvl w:val="0"/>
          <w:numId w:val="8"/>
        </w:numPr>
        <w:jc w:val="both"/>
        <w:rPr>
          <w:rFonts w:ascii="Arial" w:hAnsi="Arial" w:cs="Arial"/>
          <w:i/>
          <w:iCs/>
          <w:sz w:val="22"/>
          <w:szCs w:val="22"/>
          <w:lang w:val="es-CO"/>
        </w:rPr>
      </w:pPr>
      <w:r w:rsidRPr="003B3ECE">
        <w:rPr>
          <w:rFonts w:ascii="Arial" w:hAnsi="Arial" w:cs="Arial"/>
          <w:i/>
          <w:iCs/>
          <w:sz w:val="22"/>
          <w:szCs w:val="22"/>
          <w:lang w:val="es-CO"/>
        </w:rPr>
        <w:t xml:space="preserve">Criterios de pertenencia a un GCC </w:t>
      </w:r>
      <w:r w:rsidR="001978BB">
        <w:rPr>
          <w:rFonts w:ascii="Arial" w:hAnsi="Arial" w:cs="Arial"/>
          <w:i/>
          <w:iCs/>
          <w:sz w:val="22"/>
          <w:szCs w:val="22"/>
          <w:lang w:val="es-CO"/>
        </w:rPr>
        <w:t>por control</w:t>
      </w:r>
    </w:p>
    <w:p w14:paraId="6D866CFA" w14:textId="6C493696" w:rsidR="000D40AC" w:rsidRPr="003B3ECE" w:rsidRDefault="000D40AC" w:rsidP="003B3ECE">
      <w:pPr>
        <w:pStyle w:val="Prrafodelista"/>
        <w:numPr>
          <w:ilvl w:val="1"/>
          <w:numId w:val="8"/>
        </w:numPr>
        <w:jc w:val="both"/>
        <w:rPr>
          <w:rFonts w:ascii="Arial" w:hAnsi="Arial" w:cs="Arial"/>
          <w:sz w:val="22"/>
          <w:szCs w:val="22"/>
          <w:lang w:val="es-CO"/>
        </w:rPr>
      </w:pPr>
      <w:r w:rsidRPr="003B3ECE">
        <w:rPr>
          <w:rFonts w:ascii="Arial" w:hAnsi="Arial" w:cs="Arial"/>
          <w:sz w:val="22"/>
          <w:szCs w:val="22"/>
          <w:lang w:val="es-CO"/>
        </w:rPr>
        <w:t>Contrapartes que cumplan con los criterios de subordinación y control del código de comercio (Ley 222 de 1995)</w:t>
      </w:r>
    </w:p>
    <w:p w14:paraId="590FAB14" w14:textId="234924A4" w:rsidR="000D40AC" w:rsidRPr="003B3ECE" w:rsidRDefault="000D40AC" w:rsidP="003B3ECE">
      <w:pPr>
        <w:pStyle w:val="Prrafodelista"/>
        <w:numPr>
          <w:ilvl w:val="1"/>
          <w:numId w:val="8"/>
        </w:numPr>
        <w:jc w:val="both"/>
        <w:rPr>
          <w:rFonts w:ascii="Arial" w:hAnsi="Arial" w:cs="Arial"/>
          <w:sz w:val="22"/>
          <w:szCs w:val="22"/>
          <w:lang w:val="es-CO"/>
        </w:rPr>
      </w:pPr>
      <w:r w:rsidRPr="003B3ECE">
        <w:rPr>
          <w:rFonts w:ascii="Arial" w:hAnsi="Arial" w:cs="Arial"/>
          <w:sz w:val="22"/>
          <w:szCs w:val="22"/>
          <w:lang w:val="es-CO"/>
        </w:rPr>
        <w:t>Contrapartes que cumplan con los criterios de grupo económico del código de comercio (Ley 222 de 1995)</w:t>
      </w:r>
    </w:p>
    <w:p w14:paraId="60A8920B" w14:textId="57AE2D14" w:rsidR="000D40AC" w:rsidRDefault="000D40AC" w:rsidP="003B3ECE">
      <w:pPr>
        <w:pStyle w:val="Prrafodelista"/>
        <w:numPr>
          <w:ilvl w:val="1"/>
          <w:numId w:val="8"/>
        </w:numPr>
        <w:jc w:val="both"/>
        <w:rPr>
          <w:rFonts w:ascii="Arial" w:hAnsi="Arial" w:cs="Arial"/>
          <w:b/>
          <w:bCs/>
          <w:sz w:val="22"/>
          <w:szCs w:val="22"/>
          <w:lang w:val="es-CO"/>
        </w:rPr>
      </w:pPr>
      <w:r w:rsidRPr="003B3ECE">
        <w:rPr>
          <w:rFonts w:ascii="Arial" w:hAnsi="Arial" w:cs="Arial"/>
          <w:sz w:val="22"/>
          <w:szCs w:val="22"/>
          <w:lang w:val="es-CO"/>
        </w:rPr>
        <w:t>Las contrapartes que pertenecen a un mismo conglomerado financiero (Ley 1870 de 2017)</w:t>
      </w:r>
      <w:r w:rsidRPr="003B3ECE">
        <w:rPr>
          <w:rFonts w:ascii="Arial" w:hAnsi="Arial" w:cs="Arial"/>
          <w:b/>
          <w:bCs/>
          <w:sz w:val="22"/>
          <w:szCs w:val="22"/>
          <w:lang w:val="es-CO"/>
        </w:rPr>
        <w:tab/>
      </w:r>
    </w:p>
    <w:p w14:paraId="4FA37DB5" w14:textId="037F317E" w:rsidR="008F49F5" w:rsidRPr="00800690" w:rsidRDefault="00AE74D5" w:rsidP="00043D23">
      <w:pPr>
        <w:pStyle w:val="Prrafodelista"/>
        <w:numPr>
          <w:ilvl w:val="1"/>
          <w:numId w:val="8"/>
        </w:numPr>
        <w:jc w:val="both"/>
        <w:rPr>
          <w:rFonts w:ascii="Arial" w:hAnsi="Arial" w:cs="Arial"/>
          <w:sz w:val="22"/>
          <w:szCs w:val="22"/>
          <w:lang w:val="es-CO"/>
        </w:rPr>
      </w:pPr>
      <w:r>
        <w:rPr>
          <w:rFonts w:ascii="Arial" w:hAnsi="Arial" w:cs="Arial"/>
          <w:sz w:val="22"/>
          <w:szCs w:val="22"/>
          <w:lang w:val="es-CO"/>
        </w:rPr>
        <w:t>Debe tenerse en cuenta estas dos consideraciones</w:t>
      </w:r>
      <w:r w:rsidR="00167770">
        <w:rPr>
          <w:rFonts w:ascii="Arial" w:hAnsi="Arial" w:cs="Arial"/>
          <w:sz w:val="22"/>
          <w:szCs w:val="22"/>
          <w:lang w:val="es-CO"/>
        </w:rPr>
        <w:t>: (i) l</w:t>
      </w:r>
      <w:r w:rsidR="008F49F5" w:rsidRPr="00800690">
        <w:rPr>
          <w:rFonts w:ascii="Arial" w:hAnsi="Arial" w:cs="Arial"/>
          <w:sz w:val="22"/>
          <w:szCs w:val="22"/>
          <w:lang w:val="es-CO"/>
        </w:rPr>
        <w:t>os patrimonios autónomos</w:t>
      </w:r>
      <w:r w:rsidR="00D17F3E" w:rsidRPr="00800690">
        <w:rPr>
          <w:rFonts w:ascii="Arial" w:hAnsi="Arial" w:cs="Arial"/>
          <w:sz w:val="22"/>
          <w:szCs w:val="22"/>
          <w:lang w:val="es-CO"/>
        </w:rPr>
        <w:t>, universali</w:t>
      </w:r>
      <w:r w:rsidR="001978BB" w:rsidRPr="00800690">
        <w:rPr>
          <w:rFonts w:ascii="Arial" w:hAnsi="Arial" w:cs="Arial"/>
          <w:sz w:val="22"/>
          <w:szCs w:val="22"/>
          <w:lang w:val="es-CO"/>
        </w:rPr>
        <w:t>d</w:t>
      </w:r>
      <w:r w:rsidR="00D17F3E" w:rsidRPr="00800690">
        <w:rPr>
          <w:rFonts w:ascii="Arial" w:hAnsi="Arial" w:cs="Arial"/>
          <w:sz w:val="22"/>
          <w:szCs w:val="22"/>
          <w:lang w:val="es-CO"/>
        </w:rPr>
        <w:t>ades</w:t>
      </w:r>
      <w:r w:rsidR="00D7035D">
        <w:rPr>
          <w:rFonts w:ascii="Arial" w:hAnsi="Arial" w:cs="Arial"/>
          <w:sz w:val="22"/>
          <w:szCs w:val="22"/>
          <w:lang w:val="es-CO"/>
        </w:rPr>
        <w:t xml:space="preserve"> y</w:t>
      </w:r>
      <w:r w:rsidR="00D17F3E" w:rsidRPr="00800690">
        <w:rPr>
          <w:rFonts w:ascii="Arial" w:hAnsi="Arial" w:cs="Arial"/>
          <w:sz w:val="22"/>
          <w:szCs w:val="22"/>
          <w:lang w:val="es-CO"/>
        </w:rPr>
        <w:t xml:space="preserve"> vehículos de inversiones</w:t>
      </w:r>
      <w:r w:rsidR="009F2C8A" w:rsidRPr="00800690">
        <w:rPr>
          <w:rFonts w:ascii="Arial" w:hAnsi="Arial" w:cs="Arial"/>
          <w:sz w:val="22"/>
          <w:szCs w:val="22"/>
          <w:lang w:val="es-CO"/>
        </w:rPr>
        <w:t>, cuando</w:t>
      </w:r>
      <w:r w:rsidR="008F49F5" w:rsidRPr="00800690">
        <w:rPr>
          <w:rFonts w:ascii="Arial" w:hAnsi="Arial" w:cs="Arial"/>
          <w:sz w:val="22"/>
          <w:szCs w:val="22"/>
          <w:lang w:val="es-CO"/>
        </w:rPr>
        <w:t xml:space="preserve"> los fideicomitentes</w:t>
      </w:r>
      <w:r w:rsidR="00400A69">
        <w:rPr>
          <w:rFonts w:ascii="Arial" w:hAnsi="Arial" w:cs="Arial"/>
          <w:sz w:val="22"/>
          <w:szCs w:val="22"/>
          <w:lang w:val="es-CO"/>
        </w:rPr>
        <w:t xml:space="preserve"> y/o inversionistas</w:t>
      </w:r>
      <w:r w:rsidR="004F7CB0">
        <w:rPr>
          <w:rFonts w:ascii="Arial" w:hAnsi="Arial" w:cs="Arial"/>
          <w:sz w:val="22"/>
          <w:szCs w:val="22"/>
          <w:lang w:val="es-CO"/>
        </w:rPr>
        <w:t xml:space="preserve"> sean contrapartes de la entidad reportante y</w:t>
      </w:r>
      <w:r w:rsidR="008F49F5" w:rsidRPr="00800690">
        <w:rPr>
          <w:rFonts w:ascii="Arial" w:hAnsi="Arial" w:cs="Arial"/>
          <w:sz w:val="22"/>
          <w:szCs w:val="22"/>
          <w:lang w:val="es-CO"/>
        </w:rPr>
        <w:t xml:space="preserve"> </w:t>
      </w:r>
      <w:r w:rsidR="00A51ED1">
        <w:rPr>
          <w:rFonts w:ascii="Arial" w:hAnsi="Arial" w:cs="Arial"/>
          <w:sz w:val="22"/>
          <w:szCs w:val="22"/>
          <w:lang w:val="es-CO"/>
        </w:rPr>
        <w:t xml:space="preserve">su </w:t>
      </w:r>
      <w:r w:rsidR="003D77DD" w:rsidRPr="00800690">
        <w:rPr>
          <w:rFonts w:ascii="Arial" w:hAnsi="Arial" w:cs="Arial"/>
          <w:sz w:val="22"/>
          <w:szCs w:val="22"/>
          <w:lang w:val="es-CO"/>
        </w:rPr>
        <w:t>particip</w:t>
      </w:r>
      <w:r w:rsidR="00A51ED1">
        <w:rPr>
          <w:rFonts w:ascii="Arial" w:hAnsi="Arial" w:cs="Arial"/>
          <w:sz w:val="22"/>
          <w:szCs w:val="22"/>
          <w:lang w:val="es-CO"/>
        </w:rPr>
        <w:t>ación</w:t>
      </w:r>
      <w:r w:rsidR="003D77DD" w:rsidRPr="00800690">
        <w:rPr>
          <w:rFonts w:ascii="Arial" w:hAnsi="Arial" w:cs="Arial"/>
          <w:sz w:val="22"/>
          <w:szCs w:val="22"/>
          <w:lang w:val="es-CO"/>
        </w:rPr>
        <w:t xml:space="preserve"> </w:t>
      </w:r>
      <w:r w:rsidR="00B84E8A">
        <w:rPr>
          <w:rFonts w:ascii="Arial" w:hAnsi="Arial" w:cs="Arial"/>
          <w:sz w:val="22"/>
          <w:szCs w:val="22"/>
          <w:lang w:val="es-CO"/>
        </w:rPr>
        <w:t xml:space="preserve">efectiva </w:t>
      </w:r>
      <w:r w:rsidR="003D77DD" w:rsidRPr="00800690">
        <w:rPr>
          <w:rFonts w:ascii="Arial" w:hAnsi="Arial" w:cs="Arial"/>
          <w:sz w:val="22"/>
          <w:szCs w:val="22"/>
          <w:lang w:val="es-CO"/>
        </w:rPr>
        <w:t>en el patrimonio autónomo, universalidad</w:t>
      </w:r>
      <w:r w:rsidR="00800690" w:rsidRPr="00800690">
        <w:rPr>
          <w:rFonts w:ascii="Arial" w:hAnsi="Arial" w:cs="Arial"/>
          <w:sz w:val="22"/>
          <w:szCs w:val="22"/>
          <w:lang w:val="es-CO"/>
        </w:rPr>
        <w:t xml:space="preserve"> o </w:t>
      </w:r>
      <w:r w:rsidR="003D77DD" w:rsidRPr="00800690">
        <w:rPr>
          <w:rFonts w:ascii="Arial" w:hAnsi="Arial" w:cs="Arial"/>
          <w:sz w:val="22"/>
          <w:szCs w:val="22"/>
          <w:lang w:val="es-CO"/>
        </w:rPr>
        <w:t>vehículo de inversi</w:t>
      </w:r>
      <w:r w:rsidR="00800690" w:rsidRPr="00800690">
        <w:rPr>
          <w:rFonts w:ascii="Arial" w:hAnsi="Arial" w:cs="Arial"/>
          <w:sz w:val="22"/>
          <w:szCs w:val="22"/>
          <w:lang w:val="es-CO"/>
        </w:rPr>
        <w:t>ó</w:t>
      </w:r>
      <w:r w:rsidR="003D77DD" w:rsidRPr="00800690">
        <w:rPr>
          <w:rFonts w:ascii="Arial" w:hAnsi="Arial" w:cs="Arial"/>
          <w:sz w:val="22"/>
          <w:szCs w:val="22"/>
          <w:lang w:val="es-CO"/>
        </w:rPr>
        <w:t>n</w:t>
      </w:r>
      <w:r w:rsidR="00965D4A" w:rsidRPr="00965D4A">
        <w:rPr>
          <w:rFonts w:ascii="Arial" w:hAnsi="Arial" w:cs="Arial"/>
          <w:sz w:val="22"/>
          <w:szCs w:val="22"/>
          <w:lang w:val="es-CO"/>
        </w:rPr>
        <w:t xml:space="preserve"> </w:t>
      </w:r>
      <w:r w:rsidR="00965D4A">
        <w:rPr>
          <w:rFonts w:ascii="Arial" w:hAnsi="Arial" w:cs="Arial"/>
          <w:sz w:val="22"/>
          <w:szCs w:val="22"/>
          <w:lang w:val="es-CO"/>
        </w:rPr>
        <w:t>representa más del 5% de</w:t>
      </w:r>
      <w:r w:rsidR="00D13E56">
        <w:rPr>
          <w:rFonts w:ascii="Arial" w:hAnsi="Arial" w:cs="Arial"/>
          <w:sz w:val="22"/>
          <w:szCs w:val="22"/>
          <w:lang w:val="es-CO"/>
        </w:rPr>
        <w:t xml:space="preserve"> la suma del PBO y PBA</w:t>
      </w:r>
      <w:r w:rsidR="00965D4A">
        <w:rPr>
          <w:rFonts w:ascii="Arial" w:hAnsi="Arial" w:cs="Arial"/>
          <w:sz w:val="22"/>
          <w:szCs w:val="22"/>
          <w:lang w:val="es-CO"/>
        </w:rPr>
        <w:t xml:space="preserve"> de la entidad reportante</w:t>
      </w:r>
      <w:r w:rsidR="008F49F5" w:rsidRPr="00800690">
        <w:rPr>
          <w:rFonts w:ascii="Arial" w:hAnsi="Arial" w:cs="Arial"/>
          <w:sz w:val="22"/>
          <w:szCs w:val="22"/>
          <w:lang w:val="es-CO"/>
        </w:rPr>
        <w:t xml:space="preserve">, individualmente o de forma conjunta con las otras contrapartes que cumplan lo definido en </w:t>
      </w:r>
      <w:r w:rsidR="006D1940" w:rsidRPr="00800690">
        <w:rPr>
          <w:rFonts w:ascii="Arial" w:hAnsi="Arial" w:cs="Arial"/>
          <w:sz w:val="22"/>
          <w:szCs w:val="22"/>
          <w:lang w:val="es-CO"/>
        </w:rPr>
        <w:t>los subnumerales anteriores</w:t>
      </w:r>
      <w:r w:rsidR="009F25D0">
        <w:rPr>
          <w:rFonts w:ascii="Arial" w:hAnsi="Arial" w:cs="Arial"/>
          <w:sz w:val="22"/>
          <w:szCs w:val="22"/>
          <w:lang w:val="es-CO"/>
        </w:rPr>
        <w:t>,</w:t>
      </w:r>
      <w:r w:rsidR="00B24B7F">
        <w:rPr>
          <w:rFonts w:ascii="Arial" w:hAnsi="Arial" w:cs="Arial"/>
          <w:sz w:val="22"/>
          <w:szCs w:val="22"/>
          <w:lang w:val="es-CO"/>
        </w:rPr>
        <w:t xml:space="preserve"> </w:t>
      </w:r>
      <w:r w:rsidR="00464CA1">
        <w:rPr>
          <w:rFonts w:ascii="Arial" w:hAnsi="Arial" w:cs="Arial"/>
          <w:sz w:val="22"/>
          <w:szCs w:val="22"/>
          <w:lang w:val="es-CO"/>
        </w:rPr>
        <w:t xml:space="preserve">o </w:t>
      </w:r>
      <w:r w:rsidR="00167770">
        <w:rPr>
          <w:rFonts w:ascii="Arial" w:hAnsi="Arial" w:cs="Arial"/>
          <w:sz w:val="22"/>
          <w:szCs w:val="22"/>
          <w:lang w:val="es-CO"/>
        </w:rPr>
        <w:t xml:space="preserve">(ii) </w:t>
      </w:r>
      <w:r w:rsidR="003B3D0B">
        <w:rPr>
          <w:rFonts w:ascii="Arial" w:hAnsi="Arial" w:cs="Arial"/>
          <w:sz w:val="22"/>
          <w:szCs w:val="22"/>
          <w:lang w:val="es-CO"/>
        </w:rPr>
        <w:t>l</w:t>
      </w:r>
      <w:r w:rsidR="003B3D0B" w:rsidRPr="003B3ECE">
        <w:rPr>
          <w:rFonts w:ascii="Arial" w:hAnsi="Arial" w:cs="Arial"/>
          <w:sz w:val="22"/>
          <w:szCs w:val="22"/>
          <w:lang w:val="es-CO"/>
        </w:rPr>
        <w:t>os patrimonios autónomos y los fideicomitentes que sean contrapartes de la entidad, cuando los fideicomitentes mantengan más del 50% de la participación</w:t>
      </w:r>
      <w:r w:rsidR="00E00465">
        <w:rPr>
          <w:rFonts w:ascii="Arial" w:hAnsi="Arial" w:cs="Arial"/>
          <w:sz w:val="22"/>
          <w:szCs w:val="22"/>
          <w:lang w:val="es-CO"/>
        </w:rPr>
        <w:t xml:space="preserve"> efectiva</w:t>
      </w:r>
      <w:r w:rsidR="003B3D0B" w:rsidRPr="003B3ECE">
        <w:rPr>
          <w:rFonts w:ascii="Arial" w:hAnsi="Arial" w:cs="Arial"/>
          <w:sz w:val="22"/>
          <w:szCs w:val="22"/>
          <w:lang w:val="es-CO"/>
        </w:rPr>
        <w:t xml:space="preserve"> en el patrimonio autónomo, individualmente o de forma conjunta con las otras contrapartes que cumplan lo definido en </w:t>
      </w:r>
      <w:r w:rsidR="00636842">
        <w:rPr>
          <w:rFonts w:ascii="Arial" w:hAnsi="Arial" w:cs="Arial"/>
          <w:sz w:val="22"/>
          <w:szCs w:val="22"/>
          <w:lang w:val="es-CO"/>
        </w:rPr>
        <w:t xml:space="preserve">numeral </w:t>
      </w:r>
      <w:r w:rsidR="003B3D0B" w:rsidRPr="003B3ECE">
        <w:rPr>
          <w:rFonts w:ascii="Arial" w:hAnsi="Arial" w:cs="Arial"/>
          <w:sz w:val="22"/>
          <w:szCs w:val="22"/>
          <w:lang w:val="es-CO"/>
        </w:rPr>
        <w:t>1.1</w:t>
      </w:r>
      <w:r w:rsidR="002F3FCE">
        <w:rPr>
          <w:rFonts w:ascii="Arial" w:hAnsi="Arial" w:cs="Arial"/>
          <w:sz w:val="22"/>
          <w:szCs w:val="22"/>
          <w:lang w:val="es-CO"/>
        </w:rPr>
        <w:t xml:space="preserve"> y </w:t>
      </w:r>
      <w:r w:rsidR="003B3D0B" w:rsidRPr="003B3ECE">
        <w:rPr>
          <w:rFonts w:ascii="Arial" w:hAnsi="Arial" w:cs="Arial"/>
          <w:sz w:val="22"/>
          <w:szCs w:val="22"/>
          <w:lang w:val="es-CO"/>
        </w:rPr>
        <w:t>1.2</w:t>
      </w:r>
      <w:r w:rsidR="008F49F5" w:rsidRPr="00800690">
        <w:rPr>
          <w:rFonts w:ascii="Arial" w:hAnsi="Arial" w:cs="Arial"/>
          <w:sz w:val="22"/>
          <w:szCs w:val="22"/>
          <w:lang w:val="es-CO"/>
        </w:rPr>
        <w:t>.</w:t>
      </w:r>
    </w:p>
    <w:p w14:paraId="50044A4E" w14:textId="77777777" w:rsidR="008F49F5" w:rsidRPr="003B3ECE" w:rsidRDefault="008F49F5" w:rsidP="008F49F5">
      <w:pPr>
        <w:pStyle w:val="Prrafodelista"/>
        <w:ind w:left="792"/>
        <w:jc w:val="both"/>
        <w:rPr>
          <w:rFonts w:ascii="Arial" w:hAnsi="Arial" w:cs="Arial"/>
          <w:b/>
          <w:bCs/>
          <w:sz w:val="22"/>
          <w:szCs w:val="22"/>
          <w:lang w:val="es-CO"/>
        </w:rPr>
      </w:pPr>
    </w:p>
    <w:p w14:paraId="64C83A19" w14:textId="17D01631" w:rsidR="00BD2FD4" w:rsidRPr="00AD18C9" w:rsidRDefault="00BD2FD4" w:rsidP="00BD2FD4">
      <w:pPr>
        <w:pStyle w:val="Prrafodelista"/>
        <w:numPr>
          <w:ilvl w:val="0"/>
          <w:numId w:val="8"/>
        </w:numPr>
        <w:jc w:val="both"/>
        <w:rPr>
          <w:rFonts w:ascii="Arial" w:hAnsi="Arial" w:cs="Arial"/>
          <w:i/>
          <w:iCs/>
          <w:sz w:val="22"/>
          <w:szCs w:val="22"/>
          <w:lang w:val="es-CO"/>
        </w:rPr>
      </w:pPr>
      <w:r w:rsidRPr="00AD18C9">
        <w:rPr>
          <w:rFonts w:ascii="Arial" w:hAnsi="Arial" w:cs="Arial"/>
          <w:i/>
          <w:iCs/>
          <w:sz w:val="22"/>
          <w:szCs w:val="22"/>
          <w:lang w:val="es-CO"/>
        </w:rPr>
        <w:t>Accionistas</w:t>
      </w:r>
      <w:r w:rsidR="00226C5F" w:rsidRPr="00AD18C9">
        <w:rPr>
          <w:rFonts w:ascii="Arial" w:hAnsi="Arial" w:cs="Arial"/>
          <w:i/>
          <w:iCs/>
          <w:sz w:val="22"/>
          <w:szCs w:val="22"/>
          <w:lang w:val="es-CO"/>
        </w:rPr>
        <w:t xml:space="preserve"> o asociados</w:t>
      </w:r>
      <w:r w:rsidRPr="00AD18C9">
        <w:rPr>
          <w:rFonts w:ascii="Arial" w:hAnsi="Arial" w:cs="Arial"/>
          <w:i/>
          <w:iCs/>
          <w:sz w:val="22"/>
          <w:szCs w:val="22"/>
          <w:lang w:val="es-CO"/>
        </w:rPr>
        <w:t xml:space="preserve"> de la entidad reportante</w:t>
      </w:r>
    </w:p>
    <w:p w14:paraId="6013704E" w14:textId="5971CB4A" w:rsidR="00BD2FD4" w:rsidRDefault="00BD2FD4">
      <w:pPr>
        <w:ind w:left="360"/>
        <w:jc w:val="both"/>
        <w:rPr>
          <w:rFonts w:ascii="Arial" w:hAnsi="Arial" w:cs="Arial"/>
          <w:sz w:val="22"/>
          <w:szCs w:val="22"/>
          <w:lang w:val="es-CO"/>
        </w:rPr>
      </w:pPr>
      <w:r w:rsidRPr="00AD18C9">
        <w:rPr>
          <w:rFonts w:ascii="Arial" w:hAnsi="Arial" w:cs="Arial"/>
          <w:sz w:val="22"/>
          <w:szCs w:val="22"/>
          <w:lang w:val="es-CO"/>
        </w:rPr>
        <w:t>Todos los accionistas</w:t>
      </w:r>
      <w:r w:rsidR="00AD18C9" w:rsidRPr="00AD18C9">
        <w:rPr>
          <w:rFonts w:ascii="Arial" w:hAnsi="Arial" w:cs="Arial"/>
          <w:sz w:val="22"/>
          <w:szCs w:val="22"/>
          <w:lang w:val="es-CO"/>
        </w:rPr>
        <w:t xml:space="preserve"> o asociados</w:t>
      </w:r>
      <w:r w:rsidRPr="00AD18C9">
        <w:rPr>
          <w:rFonts w:ascii="Arial" w:hAnsi="Arial" w:cs="Arial"/>
          <w:sz w:val="22"/>
          <w:szCs w:val="22"/>
          <w:lang w:val="es-CO"/>
        </w:rPr>
        <w:t xml:space="preserve"> de la entidad reportante, cuya participación </w:t>
      </w:r>
      <w:r w:rsidR="000356F4" w:rsidRPr="00AD18C9">
        <w:rPr>
          <w:rFonts w:ascii="Arial" w:hAnsi="Arial" w:cs="Arial"/>
          <w:sz w:val="22"/>
          <w:szCs w:val="22"/>
          <w:lang w:val="es-CO"/>
        </w:rPr>
        <w:t>direct</w:t>
      </w:r>
      <w:r w:rsidR="00CB1868" w:rsidRPr="00AD18C9">
        <w:rPr>
          <w:rFonts w:ascii="Arial" w:hAnsi="Arial" w:cs="Arial"/>
          <w:sz w:val="22"/>
          <w:szCs w:val="22"/>
          <w:lang w:val="es-CO"/>
        </w:rPr>
        <w:t>a</w:t>
      </w:r>
      <w:r w:rsidR="000356F4" w:rsidRPr="00AD18C9">
        <w:rPr>
          <w:rFonts w:ascii="Arial" w:hAnsi="Arial" w:cs="Arial"/>
          <w:sz w:val="22"/>
          <w:szCs w:val="22"/>
          <w:lang w:val="es-CO"/>
        </w:rPr>
        <w:t xml:space="preserve">, indirecta o sintética </w:t>
      </w:r>
      <w:r w:rsidRPr="00AD18C9">
        <w:rPr>
          <w:rFonts w:ascii="Arial" w:hAnsi="Arial" w:cs="Arial"/>
          <w:sz w:val="22"/>
          <w:szCs w:val="22"/>
          <w:lang w:val="es-CO"/>
        </w:rPr>
        <w:t xml:space="preserve">en el capital de esta sea igual o </w:t>
      </w:r>
      <w:r w:rsidR="006078ED" w:rsidRPr="00AD18C9">
        <w:rPr>
          <w:rFonts w:ascii="Arial" w:hAnsi="Arial" w:cs="Arial"/>
          <w:sz w:val="22"/>
          <w:szCs w:val="22"/>
          <w:lang w:val="es-CO"/>
        </w:rPr>
        <w:t>superior</w:t>
      </w:r>
      <w:r w:rsidRPr="00AD18C9">
        <w:rPr>
          <w:rFonts w:ascii="Arial" w:hAnsi="Arial" w:cs="Arial"/>
          <w:sz w:val="22"/>
          <w:szCs w:val="22"/>
          <w:lang w:val="es-CO"/>
        </w:rPr>
        <w:t xml:space="preserve"> al 20% de</w:t>
      </w:r>
      <w:r w:rsidR="00C933AC">
        <w:rPr>
          <w:rFonts w:ascii="Arial" w:hAnsi="Arial" w:cs="Arial"/>
          <w:sz w:val="22"/>
          <w:szCs w:val="22"/>
          <w:lang w:val="es-CO"/>
        </w:rPr>
        <w:t xml:space="preserve"> la suma de PBO y PBA de </w:t>
      </w:r>
      <w:r w:rsidR="00C933AC" w:rsidRPr="008B16EF">
        <w:rPr>
          <w:rFonts w:ascii="Arial" w:hAnsi="Arial" w:cs="Arial"/>
          <w:sz w:val="22"/>
          <w:szCs w:val="22"/>
          <w:lang w:val="es-CO"/>
        </w:rPr>
        <w:t>reportante</w:t>
      </w:r>
      <w:r w:rsidRPr="008B16EF">
        <w:rPr>
          <w:rFonts w:ascii="Arial" w:hAnsi="Arial" w:cs="Arial"/>
          <w:sz w:val="22"/>
          <w:szCs w:val="22"/>
          <w:lang w:val="es-CO"/>
        </w:rPr>
        <w:t>,</w:t>
      </w:r>
      <w:r w:rsidRPr="00AD18C9">
        <w:rPr>
          <w:rFonts w:ascii="Arial" w:hAnsi="Arial" w:cs="Arial"/>
          <w:sz w:val="22"/>
          <w:szCs w:val="22"/>
          <w:lang w:val="es-CO"/>
        </w:rPr>
        <w:t xml:space="preserve"> forman parte de un grupo conectado de contrapartes. </w:t>
      </w:r>
      <w:r w:rsidRPr="00636387">
        <w:rPr>
          <w:rFonts w:ascii="Arial" w:hAnsi="Arial" w:cs="Arial"/>
          <w:sz w:val="22"/>
          <w:szCs w:val="22"/>
          <w:lang w:val="es-CO"/>
        </w:rPr>
        <w:t>A</w:t>
      </w:r>
      <w:r w:rsidR="00636387" w:rsidRPr="008B16EF">
        <w:rPr>
          <w:rFonts w:ascii="Arial" w:hAnsi="Arial" w:cs="Arial"/>
          <w:sz w:val="22"/>
          <w:szCs w:val="22"/>
          <w:lang w:val="es-CO"/>
        </w:rPr>
        <w:t xml:space="preserve"> las exposiciones de </w:t>
      </w:r>
      <w:r w:rsidRPr="00636387">
        <w:rPr>
          <w:rFonts w:ascii="Arial" w:hAnsi="Arial" w:cs="Arial"/>
          <w:sz w:val="22"/>
          <w:szCs w:val="22"/>
          <w:lang w:val="es-CO"/>
        </w:rPr>
        <w:t xml:space="preserve">estos accionistas </w:t>
      </w:r>
      <w:r w:rsidR="00A905D7" w:rsidRPr="008B16EF">
        <w:rPr>
          <w:rFonts w:ascii="Arial" w:hAnsi="Arial" w:cs="Arial"/>
          <w:sz w:val="22"/>
          <w:szCs w:val="22"/>
          <w:lang w:val="es-CO"/>
        </w:rPr>
        <w:t xml:space="preserve">se deben </w:t>
      </w:r>
      <w:r w:rsidR="00144CBE">
        <w:rPr>
          <w:rFonts w:ascii="Arial" w:hAnsi="Arial" w:cs="Arial"/>
          <w:sz w:val="22"/>
          <w:szCs w:val="22"/>
          <w:lang w:val="es-CO"/>
        </w:rPr>
        <w:t>agregar</w:t>
      </w:r>
      <w:r w:rsidR="00636387" w:rsidRPr="008B16EF">
        <w:rPr>
          <w:rFonts w:ascii="Arial" w:hAnsi="Arial" w:cs="Arial"/>
          <w:sz w:val="22"/>
          <w:szCs w:val="22"/>
          <w:lang w:val="es-CO"/>
        </w:rPr>
        <w:t xml:space="preserve"> </w:t>
      </w:r>
      <w:r w:rsidR="006B368F">
        <w:rPr>
          <w:rFonts w:ascii="Arial" w:hAnsi="Arial" w:cs="Arial"/>
          <w:sz w:val="22"/>
          <w:szCs w:val="22"/>
          <w:lang w:val="es-CO"/>
        </w:rPr>
        <w:t xml:space="preserve">el valor de las exposiciones de </w:t>
      </w:r>
      <w:r w:rsidR="00636387" w:rsidRPr="008B16EF">
        <w:rPr>
          <w:rFonts w:ascii="Arial" w:hAnsi="Arial" w:cs="Arial"/>
          <w:sz w:val="22"/>
          <w:szCs w:val="22"/>
          <w:lang w:val="es-CO"/>
        </w:rPr>
        <w:t xml:space="preserve">las de las contrapartes con las cuales conforman un GCC </w:t>
      </w:r>
      <w:r w:rsidR="006B368F">
        <w:rPr>
          <w:rFonts w:ascii="Arial" w:hAnsi="Arial" w:cs="Arial"/>
          <w:sz w:val="22"/>
          <w:szCs w:val="22"/>
          <w:lang w:val="es-CO"/>
        </w:rPr>
        <w:t>de acuerdo</w:t>
      </w:r>
      <w:r w:rsidR="006B368F" w:rsidRPr="008B16EF">
        <w:rPr>
          <w:rFonts w:ascii="Arial" w:hAnsi="Arial" w:cs="Arial"/>
          <w:sz w:val="22"/>
          <w:szCs w:val="22"/>
          <w:lang w:val="es-CO"/>
        </w:rPr>
        <w:t xml:space="preserve"> con</w:t>
      </w:r>
      <w:r w:rsidR="00636387" w:rsidRPr="008B16EF">
        <w:rPr>
          <w:rFonts w:ascii="Arial" w:hAnsi="Arial" w:cs="Arial"/>
          <w:sz w:val="22"/>
          <w:szCs w:val="22"/>
          <w:lang w:val="es-CO"/>
        </w:rPr>
        <w:t xml:space="preserve"> los </w:t>
      </w:r>
      <w:r w:rsidR="00144CBE">
        <w:rPr>
          <w:rFonts w:ascii="Arial" w:hAnsi="Arial" w:cs="Arial"/>
          <w:sz w:val="22"/>
          <w:szCs w:val="22"/>
          <w:lang w:val="es-CO"/>
        </w:rPr>
        <w:t xml:space="preserve">criterios señalados en </w:t>
      </w:r>
      <w:r w:rsidR="00481C8D" w:rsidRPr="00636387">
        <w:rPr>
          <w:rFonts w:ascii="Arial" w:hAnsi="Arial" w:cs="Arial"/>
          <w:sz w:val="22"/>
          <w:szCs w:val="22"/>
          <w:lang w:val="es-CO"/>
        </w:rPr>
        <w:t xml:space="preserve">numerales </w:t>
      </w:r>
      <w:r w:rsidRPr="00636387">
        <w:rPr>
          <w:rFonts w:ascii="Arial" w:hAnsi="Arial" w:cs="Arial"/>
          <w:sz w:val="22"/>
          <w:szCs w:val="22"/>
          <w:lang w:val="es-CO"/>
        </w:rPr>
        <w:t xml:space="preserve">1 y </w:t>
      </w:r>
      <w:r w:rsidR="003C67CC" w:rsidRPr="00636387">
        <w:rPr>
          <w:rFonts w:ascii="Arial" w:hAnsi="Arial" w:cs="Arial"/>
          <w:sz w:val="22"/>
          <w:szCs w:val="22"/>
          <w:lang w:val="es-CO"/>
        </w:rPr>
        <w:t>4</w:t>
      </w:r>
      <w:r w:rsidR="00481C8D" w:rsidRPr="00636387">
        <w:rPr>
          <w:rFonts w:ascii="Arial" w:hAnsi="Arial" w:cs="Arial"/>
          <w:sz w:val="22"/>
          <w:szCs w:val="22"/>
          <w:lang w:val="es-CO"/>
        </w:rPr>
        <w:t xml:space="preserve"> de la presente sección</w:t>
      </w:r>
      <w:r w:rsidRPr="00636387">
        <w:rPr>
          <w:rFonts w:ascii="Arial" w:hAnsi="Arial" w:cs="Arial"/>
          <w:sz w:val="22"/>
          <w:szCs w:val="22"/>
          <w:lang w:val="es-CO"/>
        </w:rPr>
        <w:t>.</w:t>
      </w:r>
      <w:r w:rsidRPr="00AD18C9">
        <w:rPr>
          <w:rFonts w:ascii="Arial" w:hAnsi="Arial" w:cs="Arial"/>
          <w:sz w:val="22"/>
          <w:szCs w:val="22"/>
          <w:lang w:val="es-CO"/>
        </w:rPr>
        <w:t xml:space="preserve"> Se sumarán también las </w:t>
      </w:r>
      <w:r w:rsidR="00EF25AC" w:rsidRPr="00AD18C9">
        <w:rPr>
          <w:rFonts w:ascii="Arial" w:hAnsi="Arial" w:cs="Arial"/>
          <w:sz w:val="22"/>
          <w:szCs w:val="22"/>
          <w:lang w:val="es-CO"/>
        </w:rPr>
        <w:t xml:space="preserve">exposiciones </w:t>
      </w:r>
      <w:r w:rsidRPr="00AD18C9">
        <w:rPr>
          <w:rFonts w:ascii="Arial" w:hAnsi="Arial" w:cs="Arial"/>
          <w:sz w:val="22"/>
          <w:szCs w:val="22"/>
          <w:lang w:val="es-CO"/>
        </w:rPr>
        <w:t>contraídas por parientes dentro del tercer grado de consanguinidad y segundo de afinidad</w:t>
      </w:r>
    </w:p>
    <w:p w14:paraId="068FAACC" w14:textId="77777777" w:rsidR="00B32058" w:rsidRPr="003B3ECE" w:rsidRDefault="00B32058" w:rsidP="003B3ECE">
      <w:pPr>
        <w:ind w:left="55"/>
        <w:jc w:val="both"/>
        <w:rPr>
          <w:rFonts w:ascii="Arial" w:hAnsi="Arial" w:cs="Arial"/>
          <w:b/>
          <w:bCs/>
          <w:sz w:val="22"/>
          <w:szCs w:val="22"/>
          <w:lang w:val="es-CO"/>
        </w:rPr>
      </w:pPr>
    </w:p>
    <w:p w14:paraId="1152A6D5" w14:textId="77777777" w:rsidR="006B5313" w:rsidRPr="003B3ECE" w:rsidRDefault="000D40AC" w:rsidP="00D61B3D">
      <w:pPr>
        <w:pStyle w:val="Prrafodelista"/>
        <w:numPr>
          <w:ilvl w:val="0"/>
          <w:numId w:val="8"/>
        </w:numPr>
        <w:jc w:val="both"/>
        <w:rPr>
          <w:rFonts w:ascii="Arial" w:hAnsi="Arial" w:cs="Arial"/>
          <w:b/>
          <w:bCs/>
          <w:sz w:val="22"/>
          <w:szCs w:val="22"/>
          <w:lang w:val="es-CO"/>
        </w:rPr>
      </w:pPr>
      <w:r w:rsidRPr="003B3ECE">
        <w:rPr>
          <w:rFonts w:ascii="Arial" w:hAnsi="Arial" w:cs="Arial"/>
          <w:i/>
          <w:iCs/>
          <w:sz w:val="22"/>
          <w:szCs w:val="22"/>
          <w:lang w:val="es-CO"/>
        </w:rPr>
        <w:t>Criterios de pertenencia a un GCC para personas naturales</w:t>
      </w:r>
    </w:p>
    <w:p w14:paraId="08308A03" w14:textId="7D90C260" w:rsidR="000D40AC" w:rsidRDefault="00226C5F" w:rsidP="00B32058">
      <w:pPr>
        <w:ind w:left="360"/>
        <w:jc w:val="both"/>
        <w:rPr>
          <w:rFonts w:ascii="Arial" w:hAnsi="Arial" w:cs="Arial"/>
          <w:sz w:val="22"/>
          <w:szCs w:val="22"/>
          <w:lang w:val="es-CO"/>
        </w:rPr>
      </w:pPr>
      <w:r w:rsidRPr="00B32058">
        <w:rPr>
          <w:rFonts w:ascii="Arial" w:hAnsi="Arial" w:cs="Arial"/>
          <w:sz w:val="22"/>
          <w:szCs w:val="22"/>
          <w:lang w:val="es-CO"/>
        </w:rPr>
        <w:t xml:space="preserve">Una contraparte es </w:t>
      </w:r>
      <w:r w:rsidR="000D40AC" w:rsidRPr="00B32058">
        <w:rPr>
          <w:rFonts w:ascii="Arial" w:hAnsi="Arial" w:cs="Arial"/>
          <w:sz w:val="22"/>
          <w:szCs w:val="22"/>
          <w:lang w:val="es-CO"/>
        </w:rPr>
        <w:t>cónyuge, compañero(a)s, parientes hasta el segundo</w:t>
      </w:r>
      <w:r w:rsidR="00FE2A45">
        <w:rPr>
          <w:rFonts w:ascii="Arial" w:hAnsi="Arial" w:cs="Arial"/>
          <w:sz w:val="22"/>
          <w:szCs w:val="22"/>
          <w:lang w:val="es-CO"/>
        </w:rPr>
        <w:t xml:space="preserve"> grado</w:t>
      </w:r>
      <w:r w:rsidR="000D40AC" w:rsidRPr="00B32058">
        <w:rPr>
          <w:rFonts w:ascii="Arial" w:hAnsi="Arial" w:cs="Arial"/>
          <w:sz w:val="22"/>
          <w:szCs w:val="22"/>
          <w:lang w:val="es-CO"/>
        </w:rPr>
        <w:t xml:space="preserve"> de consanguinidad, segundo de afinidad y único civil</w:t>
      </w:r>
      <w:r w:rsidRPr="00B32058">
        <w:rPr>
          <w:rFonts w:ascii="Arial" w:hAnsi="Arial" w:cs="Arial"/>
          <w:sz w:val="22"/>
          <w:szCs w:val="22"/>
          <w:lang w:val="es-CO"/>
        </w:rPr>
        <w:t xml:space="preserve"> de otra contraparte</w:t>
      </w:r>
      <w:r w:rsidR="002E14A5">
        <w:rPr>
          <w:rFonts w:ascii="Arial" w:hAnsi="Arial" w:cs="Arial"/>
          <w:sz w:val="22"/>
          <w:szCs w:val="22"/>
          <w:lang w:val="es-CO"/>
        </w:rPr>
        <w:t>.</w:t>
      </w:r>
      <w:r w:rsidRPr="00B32058">
        <w:rPr>
          <w:rFonts w:ascii="Arial" w:hAnsi="Arial" w:cs="Arial"/>
          <w:sz w:val="22"/>
          <w:szCs w:val="22"/>
          <w:lang w:val="es-CO"/>
        </w:rPr>
        <w:t xml:space="preserve"> </w:t>
      </w:r>
      <w:r w:rsidR="000D40AC" w:rsidRPr="00B32058">
        <w:rPr>
          <w:rFonts w:ascii="Arial" w:hAnsi="Arial" w:cs="Arial"/>
          <w:sz w:val="22"/>
          <w:szCs w:val="22"/>
          <w:lang w:val="es-CO"/>
        </w:rPr>
        <w:t>A las contrapartes le son aplicables los supuestos del</w:t>
      </w:r>
      <w:r w:rsidRPr="00B32058">
        <w:rPr>
          <w:rFonts w:ascii="Arial" w:hAnsi="Arial" w:cs="Arial"/>
          <w:sz w:val="22"/>
          <w:szCs w:val="22"/>
          <w:lang w:val="es-CO"/>
        </w:rPr>
        <w:t xml:space="preserve"> numeral</w:t>
      </w:r>
      <w:r w:rsidR="000D40AC" w:rsidRPr="00B32058">
        <w:rPr>
          <w:rFonts w:ascii="Arial" w:hAnsi="Arial" w:cs="Arial"/>
          <w:sz w:val="22"/>
          <w:szCs w:val="22"/>
          <w:lang w:val="es-CO"/>
        </w:rPr>
        <w:t xml:space="preserve"> 1 (1.1, 1.2 y 1.</w:t>
      </w:r>
      <w:r w:rsidR="00D51A6C" w:rsidRPr="00B32058">
        <w:rPr>
          <w:rFonts w:ascii="Arial" w:hAnsi="Arial" w:cs="Arial"/>
          <w:sz w:val="22"/>
          <w:szCs w:val="22"/>
          <w:lang w:val="es-CO"/>
        </w:rPr>
        <w:t>4</w:t>
      </w:r>
      <w:r w:rsidR="000D40AC" w:rsidRPr="00B32058">
        <w:rPr>
          <w:rFonts w:ascii="Arial" w:hAnsi="Arial" w:cs="Arial"/>
          <w:sz w:val="22"/>
          <w:szCs w:val="22"/>
          <w:lang w:val="es-CO"/>
        </w:rPr>
        <w:t>).</w:t>
      </w:r>
    </w:p>
    <w:p w14:paraId="357DDDAD" w14:textId="77777777" w:rsidR="006B368F" w:rsidRDefault="006B368F" w:rsidP="00B32058">
      <w:pPr>
        <w:ind w:left="360"/>
        <w:jc w:val="both"/>
        <w:rPr>
          <w:rFonts w:ascii="Arial" w:hAnsi="Arial" w:cs="Arial"/>
          <w:sz w:val="22"/>
          <w:szCs w:val="22"/>
          <w:lang w:val="es-CO"/>
        </w:rPr>
      </w:pPr>
    </w:p>
    <w:p w14:paraId="561498F2" w14:textId="77777777" w:rsidR="00D12343" w:rsidRPr="00B32058" w:rsidRDefault="00D12343" w:rsidP="00B32058">
      <w:pPr>
        <w:ind w:left="360"/>
        <w:jc w:val="both"/>
        <w:rPr>
          <w:rFonts w:ascii="Arial" w:hAnsi="Arial" w:cs="Arial"/>
          <w:sz w:val="22"/>
          <w:szCs w:val="22"/>
          <w:lang w:val="es-CO"/>
        </w:rPr>
      </w:pPr>
    </w:p>
    <w:p w14:paraId="245C8930" w14:textId="21EB2CAB" w:rsidR="000D40AC" w:rsidRPr="003B3ECE" w:rsidRDefault="000D40AC" w:rsidP="003B3ECE">
      <w:pPr>
        <w:pStyle w:val="Prrafodelista"/>
        <w:numPr>
          <w:ilvl w:val="0"/>
          <w:numId w:val="8"/>
        </w:numPr>
        <w:jc w:val="both"/>
        <w:rPr>
          <w:rFonts w:ascii="Arial" w:hAnsi="Arial" w:cs="Arial"/>
          <w:i/>
          <w:iCs/>
          <w:sz w:val="22"/>
          <w:szCs w:val="22"/>
          <w:lang w:val="es-CO"/>
        </w:rPr>
      </w:pPr>
      <w:r w:rsidRPr="003B3ECE">
        <w:rPr>
          <w:rFonts w:ascii="Arial" w:hAnsi="Arial" w:cs="Arial"/>
          <w:i/>
          <w:iCs/>
          <w:sz w:val="22"/>
          <w:szCs w:val="22"/>
          <w:lang w:val="es-CO"/>
        </w:rPr>
        <w:lastRenderedPageBreak/>
        <w:t>Criterios de pertenencia a un GCC derivados de la Interdependencia económica</w:t>
      </w:r>
    </w:p>
    <w:p w14:paraId="72C9D7B7" w14:textId="27908B4C" w:rsidR="00BD2FD4" w:rsidRPr="00F24F62" w:rsidRDefault="000D40AC" w:rsidP="00AD18C9">
      <w:pPr>
        <w:pStyle w:val="Prrafodelista"/>
        <w:numPr>
          <w:ilvl w:val="1"/>
          <w:numId w:val="8"/>
        </w:numPr>
        <w:jc w:val="both"/>
        <w:rPr>
          <w:rFonts w:ascii="Arial" w:hAnsi="Arial" w:cs="Arial"/>
          <w:sz w:val="22"/>
          <w:szCs w:val="22"/>
          <w:lang w:val="es-CO"/>
        </w:rPr>
      </w:pPr>
      <w:r w:rsidRPr="00F24F62">
        <w:rPr>
          <w:rFonts w:ascii="Arial" w:hAnsi="Arial" w:cs="Arial"/>
          <w:sz w:val="22"/>
          <w:szCs w:val="22"/>
          <w:lang w:val="es-CO"/>
        </w:rPr>
        <w:t>El 50% o más de los ingresos</w:t>
      </w:r>
      <w:r w:rsidR="00BF7F6A">
        <w:rPr>
          <w:rFonts w:ascii="Arial" w:hAnsi="Arial" w:cs="Arial"/>
          <w:sz w:val="22"/>
          <w:szCs w:val="22"/>
          <w:lang w:val="es-CO"/>
        </w:rPr>
        <w:t xml:space="preserve"> o gastos brutos</w:t>
      </w:r>
      <w:r w:rsidRPr="00F24F62">
        <w:rPr>
          <w:rFonts w:ascii="Arial" w:hAnsi="Arial" w:cs="Arial"/>
          <w:sz w:val="22"/>
          <w:szCs w:val="22"/>
          <w:lang w:val="es-CO"/>
        </w:rPr>
        <w:t xml:space="preserve"> anuales de una contraparte son derivados de operaciones con otra contraparte</w:t>
      </w:r>
    </w:p>
    <w:p w14:paraId="0E3CFA96" w14:textId="79FEBCC8" w:rsidR="00952A6D" w:rsidRPr="00952A6D" w:rsidRDefault="00293059" w:rsidP="00A05D5B">
      <w:pPr>
        <w:pStyle w:val="Prrafodelista"/>
        <w:numPr>
          <w:ilvl w:val="1"/>
          <w:numId w:val="8"/>
        </w:numPr>
        <w:jc w:val="both"/>
        <w:rPr>
          <w:rFonts w:ascii="Arial" w:hAnsi="Arial" w:cs="Arial"/>
          <w:sz w:val="22"/>
          <w:szCs w:val="22"/>
          <w:lang w:val="es-CO"/>
        </w:rPr>
      </w:pPr>
      <w:r>
        <w:rPr>
          <w:rFonts w:ascii="Arial" w:hAnsi="Arial" w:cs="Arial"/>
          <w:sz w:val="22"/>
          <w:szCs w:val="22"/>
          <w:lang w:val="es-CO"/>
        </w:rPr>
        <w:t>El</w:t>
      </w:r>
      <w:r w:rsidR="00952A6D" w:rsidRPr="00952A6D">
        <w:rPr>
          <w:rFonts w:ascii="Arial" w:hAnsi="Arial" w:cs="Arial"/>
          <w:sz w:val="22"/>
          <w:szCs w:val="22"/>
          <w:lang w:val="es-CO"/>
        </w:rPr>
        <w:t xml:space="preserve"> 50%</w:t>
      </w:r>
      <w:r>
        <w:rPr>
          <w:rFonts w:ascii="Arial" w:hAnsi="Arial" w:cs="Arial"/>
          <w:sz w:val="22"/>
          <w:szCs w:val="22"/>
          <w:lang w:val="es-CO"/>
        </w:rPr>
        <w:t xml:space="preserve"> o </w:t>
      </w:r>
      <w:r w:rsidR="00CD0BA6">
        <w:rPr>
          <w:rFonts w:ascii="Arial" w:hAnsi="Arial" w:cs="Arial"/>
          <w:sz w:val="22"/>
          <w:szCs w:val="22"/>
          <w:lang w:val="es-CO"/>
        </w:rPr>
        <w:t>más</w:t>
      </w:r>
      <w:r w:rsidR="00952A6D" w:rsidRPr="00952A6D">
        <w:rPr>
          <w:rFonts w:ascii="Arial" w:hAnsi="Arial" w:cs="Arial"/>
          <w:sz w:val="22"/>
          <w:szCs w:val="22"/>
          <w:lang w:val="es-CO"/>
        </w:rPr>
        <w:t xml:space="preserve"> de la producción o el producto de una contraparte se vende a una contraparte que no puede ser sustituida fácilmente por otros clientes</w:t>
      </w:r>
      <w:r w:rsidR="00952A6D">
        <w:rPr>
          <w:rFonts w:ascii="Arial" w:hAnsi="Arial" w:cs="Arial"/>
          <w:sz w:val="22"/>
          <w:szCs w:val="22"/>
          <w:lang w:val="es-CO"/>
        </w:rPr>
        <w:t>.</w:t>
      </w:r>
    </w:p>
    <w:p w14:paraId="2E2D591A" w14:textId="74714D8F" w:rsidR="00BD2FD4" w:rsidRDefault="000D40AC" w:rsidP="00F24F62">
      <w:pPr>
        <w:pStyle w:val="Prrafodelista"/>
        <w:numPr>
          <w:ilvl w:val="1"/>
          <w:numId w:val="8"/>
        </w:numPr>
        <w:jc w:val="both"/>
        <w:rPr>
          <w:lang w:val="es-CO"/>
        </w:rPr>
      </w:pPr>
      <w:r w:rsidRPr="00F24F62">
        <w:rPr>
          <w:rFonts w:ascii="Arial" w:hAnsi="Arial" w:cs="Arial"/>
          <w:sz w:val="22"/>
          <w:szCs w:val="22"/>
          <w:lang w:val="es-CO"/>
        </w:rPr>
        <w:t>Una contraparte tiene total o parcialmente garantizada la exposición de otra contraparte y la exposición representa más del 30% del patrimonio del garante</w:t>
      </w:r>
      <w:r w:rsidR="00BD2FD4" w:rsidRPr="00F24F62">
        <w:rPr>
          <w:rFonts w:ascii="Arial" w:hAnsi="Arial" w:cs="Arial"/>
          <w:sz w:val="22"/>
          <w:szCs w:val="22"/>
          <w:lang w:val="es-CO"/>
        </w:rPr>
        <w:t>.</w:t>
      </w:r>
    </w:p>
    <w:p w14:paraId="01B5A3C4" w14:textId="7C37FE7F" w:rsidR="000D40AC" w:rsidRPr="00F24F62" w:rsidRDefault="000D40AC" w:rsidP="00F24F62">
      <w:pPr>
        <w:pStyle w:val="Prrafodelista"/>
        <w:numPr>
          <w:ilvl w:val="1"/>
          <w:numId w:val="8"/>
        </w:numPr>
        <w:jc w:val="both"/>
        <w:rPr>
          <w:rFonts w:ascii="Arial" w:hAnsi="Arial" w:cs="Arial"/>
          <w:sz w:val="22"/>
          <w:szCs w:val="22"/>
          <w:lang w:val="es-CO"/>
        </w:rPr>
      </w:pPr>
      <w:r w:rsidRPr="00F24F62">
        <w:rPr>
          <w:rFonts w:ascii="Arial" w:hAnsi="Arial" w:cs="Arial"/>
          <w:sz w:val="22"/>
          <w:szCs w:val="22"/>
          <w:lang w:val="es-CO"/>
        </w:rPr>
        <w:t xml:space="preserve">Dos o más contrapartes comparten una </w:t>
      </w:r>
      <w:r w:rsidR="002335B4">
        <w:rPr>
          <w:rFonts w:ascii="Arial" w:hAnsi="Arial" w:cs="Arial"/>
          <w:sz w:val="22"/>
          <w:szCs w:val="22"/>
          <w:lang w:val="es-CO"/>
        </w:rPr>
        <w:t xml:space="preserve">misma y </w:t>
      </w:r>
      <w:r w:rsidRPr="00F24F62">
        <w:rPr>
          <w:rFonts w:ascii="Arial" w:hAnsi="Arial" w:cs="Arial"/>
          <w:sz w:val="22"/>
          <w:szCs w:val="22"/>
          <w:lang w:val="es-CO"/>
        </w:rPr>
        <w:t>única fuente de financiamiento para reembolsar sus obligaciones</w:t>
      </w:r>
      <w:r w:rsidRPr="00F24F62">
        <w:rPr>
          <w:rFonts w:ascii="Arial" w:hAnsi="Arial" w:cs="Arial"/>
          <w:sz w:val="22"/>
          <w:szCs w:val="22"/>
          <w:lang w:val="es-CO"/>
        </w:rPr>
        <w:tab/>
      </w:r>
    </w:p>
    <w:p w14:paraId="5F9A2DAB" w14:textId="44439BCF" w:rsidR="00720B1D" w:rsidRPr="00720B1D" w:rsidRDefault="000D40AC" w:rsidP="00A05D5B">
      <w:pPr>
        <w:pStyle w:val="Prrafodelista"/>
        <w:numPr>
          <w:ilvl w:val="1"/>
          <w:numId w:val="8"/>
        </w:numPr>
        <w:jc w:val="both"/>
        <w:rPr>
          <w:rFonts w:ascii="Arial" w:hAnsi="Arial" w:cs="Arial"/>
          <w:b/>
          <w:bCs/>
          <w:sz w:val="22"/>
          <w:szCs w:val="22"/>
          <w:lang w:val="es-CO"/>
        </w:rPr>
      </w:pPr>
      <w:r w:rsidRPr="00720B1D">
        <w:rPr>
          <w:rFonts w:ascii="Arial" w:hAnsi="Arial" w:cs="Arial"/>
          <w:sz w:val="22"/>
          <w:szCs w:val="22"/>
          <w:lang w:val="es-CO"/>
        </w:rPr>
        <w:t>Cuando las entidades tengan 3 o más administradores</w:t>
      </w:r>
      <w:r w:rsidR="00720B1D" w:rsidRPr="00720B1D">
        <w:rPr>
          <w:rFonts w:ascii="Arial" w:hAnsi="Arial" w:cs="Arial"/>
          <w:sz w:val="22"/>
          <w:szCs w:val="22"/>
          <w:lang w:val="es-CO"/>
        </w:rPr>
        <w:t xml:space="preserve"> o </w:t>
      </w:r>
      <w:r w:rsidRPr="00720B1D">
        <w:rPr>
          <w:rFonts w:ascii="Arial" w:hAnsi="Arial" w:cs="Arial"/>
          <w:sz w:val="22"/>
          <w:szCs w:val="22"/>
          <w:lang w:val="es-CO"/>
        </w:rPr>
        <w:t>accionistas (aquellos que puedan nombrar al menos un miembro en la junta/órgano de control) comunes</w:t>
      </w:r>
      <w:r w:rsidR="00720B1D">
        <w:rPr>
          <w:rFonts w:ascii="Arial" w:hAnsi="Arial" w:cs="Arial"/>
          <w:sz w:val="22"/>
          <w:szCs w:val="22"/>
          <w:lang w:val="es-CO"/>
        </w:rPr>
        <w:t>.</w:t>
      </w:r>
    </w:p>
    <w:p w14:paraId="52A0F13E" w14:textId="4734989C" w:rsidR="00D61B3D" w:rsidRPr="00720B1D" w:rsidRDefault="000D40AC" w:rsidP="00A05D5B">
      <w:pPr>
        <w:pStyle w:val="Prrafodelista"/>
        <w:numPr>
          <w:ilvl w:val="1"/>
          <w:numId w:val="8"/>
        </w:numPr>
        <w:jc w:val="both"/>
        <w:rPr>
          <w:rFonts w:ascii="Arial" w:hAnsi="Arial" w:cs="Arial"/>
          <w:b/>
          <w:bCs/>
          <w:sz w:val="22"/>
          <w:szCs w:val="22"/>
          <w:lang w:val="es-CO"/>
        </w:rPr>
      </w:pPr>
      <w:r w:rsidRPr="00720B1D">
        <w:rPr>
          <w:rFonts w:ascii="Arial" w:hAnsi="Arial" w:cs="Arial"/>
          <w:sz w:val="22"/>
          <w:szCs w:val="22"/>
          <w:lang w:val="es-CO"/>
        </w:rPr>
        <w:t>Cualquier otro criterio, diferente a los enunciados en los numerales anteriores, que implique que los problemas financieros de una contraparte y el incumplimiento derivado se transfieran a otra contraparte y gener</w:t>
      </w:r>
      <w:r w:rsidR="00F37358">
        <w:rPr>
          <w:rFonts w:ascii="Arial" w:hAnsi="Arial" w:cs="Arial"/>
          <w:sz w:val="22"/>
          <w:szCs w:val="22"/>
          <w:lang w:val="es-CO"/>
        </w:rPr>
        <w:t>en</w:t>
      </w:r>
      <w:r w:rsidRPr="00720B1D">
        <w:rPr>
          <w:rFonts w:ascii="Arial" w:hAnsi="Arial" w:cs="Arial"/>
          <w:sz w:val="22"/>
          <w:szCs w:val="22"/>
          <w:lang w:val="es-CO"/>
        </w:rPr>
        <w:t xml:space="preserve"> </w:t>
      </w:r>
      <w:r w:rsidR="0082236A">
        <w:rPr>
          <w:rFonts w:ascii="Arial" w:hAnsi="Arial" w:cs="Arial"/>
          <w:sz w:val="22"/>
          <w:szCs w:val="22"/>
          <w:lang w:val="es-CO"/>
        </w:rPr>
        <w:t xml:space="preserve">el </w:t>
      </w:r>
      <w:r w:rsidRPr="00720B1D">
        <w:rPr>
          <w:rFonts w:ascii="Arial" w:hAnsi="Arial" w:cs="Arial"/>
          <w:sz w:val="22"/>
          <w:szCs w:val="22"/>
          <w:lang w:val="es-CO"/>
        </w:rPr>
        <w:t>incumplimiento en esta última</w:t>
      </w:r>
      <w:r w:rsidR="00D61B3D" w:rsidRPr="00720B1D">
        <w:rPr>
          <w:rFonts w:ascii="Arial" w:hAnsi="Arial" w:cs="Arial"/>
          <w:sz w:val="22"/>
          <w:szCs w:val="22"/>
          <w:lang w:val="es-CO"/>
        </w:rPr>
        <w:t>.</w:t>
      </w:r>
    </w:p>
    <w:p w14:paraId="5E0CF177" w14:textId="77777777" w:rsidR="00A55A21" w:rsidRDefault="00A55A21" w:rsidP="00A55A21">
      <w:pPr>
        <w:jc w:val="both"/>
        <w:rPr>
          <w:rFonts w:ascii="Arial" w:hAnsi="Arial" w:cs="Arial"/>
        </w:rPr>
      </w:pPr>
    </w:p>
    <w:p w14:paraId="507E91D1" w14:textId="22ACE654" w:rsidR="00A55A21" w:rsidRPr="00A55A21" w:rsidRDefault="00A55A21" w:rsidP="00A55A21">
      <w:pPr>
        <w:jc w:val="both"/>
        <w:rPr>
          <w:rFonts w:ascii="Arial" w:hAnsi="Arial" w:cs="Arial"/>
          <w:sz w:val="22"/>
          <w:szCs w:val="22"/>
          <w:lang w:val="es-CO"/>
        </w:rPr>
      </w:pPr>
      <w:r w:rsidRPr="00A55A21">
        <w:rPr>
          <w:rFonts w:ascii="Arial" w:hAnsi="Arial" w:cs="Arial"/>
          <w:sz w:val="22"/>
          <w:szCs w:val="22"/>
          <w:lang w:val="es-CO"/>
        </w:rPr>
        <w:t>Tenga en cuenta que, si no le aplica ningún criterio, un grupo puede estar conformado por una sola entidad.</w:t>
      </w:r>
    </w:p>
    <w:p w14:paraId="45B36E06" w14:textId="0CD499F3" w:rsidR="000D40AC" w:rsidRPr="00A55A21" w:rsidRDefault="000D40AC" w:rsidP="00A55A21">
      <w:pPr>
        <w:jc w:val="both"/>
        <w:rPr>
          <w:rFonts w:ascii="Arial" w:hAnsi="Arial" w:cs="Arial"/>
          <w:sz w:val="22"/>
          <w:szCs w:val="22"/>
          <w:lang w:val="es-CO"/>
        </w:rPr>
      </w:pPr>
    </w:p>
    <w:p w14:paraId="0F90B6FF" w14:textId="6F48E9AE" w:rsidR="000D40AC" w:rsidRPr="000D40AC" w:rsidRDefault="000D40AC" w:rsidP="000D40AC">
      <w:pPr>
        <w:jc w:val="both"/>
        <w:rPr>
          <w:rFonts w:ascii="Arial" w:hAnsi="Arial" w:cs="Arial"/>
          <w:sz w:val="22"/>
          <w:szCs w:val="22"/>
          <w:lang w:val="es-CO"/>
        </w:rPr>
      </w:pPr>
      <w:r w:rsidRPr="000D40AC">
        <w:rPr>
          <w:rFonts w:ascii="Arial" w:hAnsi="Arial" w:cs="Arial"/>
          <w:sz w:val="22"/>
          <w:szCs w:val="22"/>
          <w:lang w:val="es-CO"/>
        </w:rPr>
        <w:t>Para el criterio de interdependencia económica</w:t>
      </w:r>
      <w:r w:rsidR="00C76534">
        <w:rPr>
          <w:rFonts w:ascii="Arial" w:hAnsi="Arial" w:cs="Arial"/>
          <w:sz w:val="22"/>
          <w:szCs w:val="22"/>
          <w:lang w:val="es-CO"/>
        </w:rPr>
        <w:t xml:space="preserve"> y </w:t>
      </w:r>
      <w:r w:rsidR="003552C5">
        <w:rPr>
          <w:rFonts w:ascii="Arial" w:hAnsi="Arial" w:cs="Arial"/>
          <w:sz w:val="22"/>
          <w:szCs w:val="22"/>
          <w:lang w:val="es-CO"/>
        </w:rPr>
        <w:t xml:space="preserve">de control señalado en el </w:t>
      </w:r>
      <w:r w:rsidR="00427C7A">
        <w:rPr>
          <w:rFonts w:ascii="Arial" w:hAnsi="Arial" w:cs="Arial"/>
          <w:sz w:val="22"/>
          <w:szCs w:val="22"/>
          <w:lang w:val="es-CO"/>
        </w:rPr>
        <w:t xml:space="preserve">numeral </w:t>
      </w:r>
      <w:r w:rsidR="003552C5">
        <w:rPr>
          <w:rFonts w:ascii="Arial" w:hAnsi="Arial" w:cs="Arial"/>
          <w:sz w:val="22"/>
          <w:szCs w:val="22"/>
          <w:lang w:val="es-CO"/>
        </w:rPr>
        <w:t>1.4</w:t>
      </w:r>
      <w:r w:rsidRPr="000D40AC">
        <w:rPr>
          <w:rFonts w:ascii="Arial" w:hAnsi="Arial" w:cs="Arial"/>
          <w:sz w:val="22"/>
          <w:szCs w:val="22"/>
          <w:lang w:val="es-CO"/>
        </w:rPr>
        <w:t>,</w:t>
      </w:r>
      <w:r w:rsidR="00AD18C9">
        <w:rPr>
          <w:rFonts w:ascii="Arial" w:hAnsi="Arial" w:cs="Arial"/>
          <w:sz w:val="22"/>
          <w:szCs w:val="22"/>
          <w:lang w:val="es-CO"/>
        </w:rPr>
        <w:t xml:space="preserve"> e</w:t>
      </w:r>
      <w:r w:rsidRPr="000D40AC">
        <w:rPr>
          <w:rFonts w:ascii="Arial" w:hAnsi="Arial" w:cs="Arial"/>
          <w:sz w:val="22"/>
          <w:szCs w:val="22"/>
          <w:lang w:val="es-CO"/>
        </w:rPr>
        <w:t>l análisis se debe realizar, si la suma de las exposiciones con alguna contraparte individual es igual o superior al 5% de la suma del PBO y PBA de la entidad reportante. Esto con el fin de concentrar el análisis en las entidades que contribuyan de manera significativa al análisis de</w:t>
      </w:r>
      <w:r w:rsidR="0082236A">
        <w:rPr>
          <w:rFonts w:ascii="Arial" w:hAnsi="Arial" w:cs="Arial"/>
          <w:sz w:val="22"/>
          <w:szCs w:val="22"/>
          <w:lang w:val="es-CO"/>
        </w:rPr>
        <w:t xml:space="preserve"> las</w:t>
      </w:r>
      <w:r w:rsidRPr="000D40AC">
        <w:rPr>
          <w:rFonts w:ascii="Arial" w:hAnsi="Arial" w:cs="Arial"/>
          <w:sz w:val="22"/>
          <w:szCs w:val="22"/>
          <w:lang w:val="es-CO"/>
        </w:rPr>
        <w:t xml:space="preserve"> exposiciones.</w:t>
      </w:r>
    </w:p>
    <w:p w14:paraId="79A075D1" w14:textId="0C49C250" w:rsidR="00A7382B" w:rsidRDefault="000800D5" w:rsidP="00107E78">
      <w:pPr>
        <w:spacing w:before="120"/>
        <w:jc w:val="both"/>
        <w:rPr>
          <w:rFonts w:ascii="Arial" w:hAnsi="Arial" w:cs="Arial"/>
          <w:sz w:val="22"/>
          <w:szCs w:val="22"/>
        </w:rPr>
      </w:pPr>
      <w:r>
        <w:rPr>
          <w:rFonts w:ascii="Arial" w:hAnsi="Arial" w:cs="Arial"/>
          <w:sz w:val="22"/>
          <w:szCs w:val="22"/>
        </w:rPr>
        <w:t>T</w:t>
      </w:r>
      <w:r w:rsidR="00A7382B" w:rsidRPr="00A7382B">
        <w:rPr>
          <w:rFonts w:ascii="Arial" w:hAnsi="Arial" w:cs="Arial"/>
          <w:sz w:val="22"/>
          <w:szCs w:val="22"/>
        </w:rPr>
        <w:t xml:space="preserve">odas las </w:t>
      </w:r>
      <w:r w:rsidR="00B66896">
        <w:rPr>
          <w:rFonts w:ascii="Arial" w:hAnsi="Arial" w:cs="Arial"/>
          <w:sz w:val="22"/>
          <w:szCs w:val="22"/>
        </w:rPr>
        <w:t xml:space="preserve">contrapartes </w:t>
      </w:r>
      <w:r w:rsidR="0082236A">
        <w:rPr>
          <w:rFonts w:ascii="Arial" w:hAnsi="Arial" w:cs="Arial"/>
          <w:sz w:val="22"/>
          <w:szCs w:val="22"/>
        </w:rPr>
        <w:t>(</w:t>
      </w:r>
      <w:r w:rsidR="006B7EBC">
        <w:rPr>
          <w:rFonts w:ascii="Arial" w:hAnsi="Arial" w:cs="Arial"/>
          <w:sz w:val="22"/>
          <w:szCs w:val="22"/>
        </w:rPr>
        <w:t>personas</w:t>
      </w:r>
      <w:r w:rsidR="00B66896" w:rsidRPr="00A7382B">
        <w:rPr>
          <w:rFonts w:ascii="Arial" w:hAnsi="Arial" w:cs="Arial"/>
          <w:sz w:val="22"/>
          <w:szCs w:val="22"/>
        </w:rPr>
        <w:t xml:space="preserve"> </w:t>
      </w:r>
      <w:r w:rsidR="00A7382B" w:rsidRPr="00A7382B">
        <w:rPr>
          <w:rFonts w:ascii="Arial" w:hAnsi="Arial" w:cs="Arial"/>
          <w:sz w:val="22"/>
          <w:szCs w:val="22"/>
        </w:rPr>
        <w:t>naturales</w:t>
      </w:r>
      <w:r w:rsidR="006B7EBC">
        <w:rPr>
          <w:rFonts w:ascii="Arial" w:hAnsi="Arial" w:cs="Arial"/>
          <w:sz w:val="22"/>
          <w:szCs w:val="22"/>
        </w:rPr>
        <w:t>,</w:t>
      </w:r>
      <w:r w:rsidR="00A7382B" w:rsidRPr="00A7382B">
        <w:rPr>
          <w:rFonts w:ascii="Arial" w:hAnsi="Arial" w:cs="Arial"/>
          <w:sz w:val="22"/>
          <w:szCs w:val="22"/>
        </w:rPr>
        <w:t xml:space="preserve"> </w:t>
      </w:r>
      <w:r w:rsidR="00724E8C">
        <w:rPr>
          <w:rFonts w:ascii="Arial" w:hAnsi="Arial" w:cs="Arial"/>
          <w:sz w:val="22"/>
          <w:szCs w:val="22"/>
        </w:rPr>
        <w:t xml:space="preserve">personas </w:t>
      </w:r>
      <w:r w:rsidR="00A7382B" w:rsidRPr="00A7382B">
        <w:rPr>
          <w:rFonts w:ascii="Arial" w:hAnsi="Arial" w:cs="Arial"/>
          <w:sz w:val="22"/>
          <w:szCs w:val="22"/>
        </w:rPr>
        <w:t>jurídicas,</w:t>
      </w:r>
      <w:r w:rsidR="006B7EBC">
        <w:rPr>
          <w:rFonts w:ascii="Arial" w:hAnsi="Arial" w:cs="Arial"/>
          <w:sz w:val="22"/>
          <w:szCs w:val="22"/>
        </w:rPr>
        <w:t xml:space="preserve"> universalidades,</w:t>
      </w:r>
      <w:r w:rsidR="00A7382B" w:rsidRPr="00A7382B">
        <w:rPr>
          <w:rFonts w:ascii="Arial" w:hAnsi="Arial" w:cs="Arial"/>
          <w:sz w:val="22"/>
          <w:szCs w:val="22"/>
        </w:rPr>
        <w:t xml:space="preserve"> vehículos de inversión</w:t>
      </w:r>
      <w:r w:rsidR="006B7EBC">
        <w:rPr>
          <w:rFonts w:ascii="Arial" w:hAnsi="Arial" w:cs="Arial"/>
          <w:sz w:val="22"/>
          <w:szCs w:val="22"/>
        </w:rPr>
        <w:t xml:space="preserve"> o </w:t>
      </w:r>
      <w:r w:rsidR="004106E9">
        <w:rPr>
          <w:rFonts w:ascii="Arial" w:hAnsi="Arial" w:cs="Arial"/>
          <w:sz w:val="22"/>
          <w:szCs w:val="22"/>
        </w:rPr>
        <w:t>vehículo de propósito especial</w:t>
      </w:r>
      <w:r w:rsidR="00A7382B" w:rsidRPr="00A7382B">
        <w:rPr>
          <w:rFonts w:ascii="Arial" w:hAnsi="Arial" w:cs="Arial"/>
          <w:sz w:val="22"/>
          <w:szCs w:val="22"/>
        </w:rPr>
        <w:t xml:space="preserve"> </w:t>
      </w:r>
      <w:r w:rsidR="006B7EBC">
        <w:rPr>
          <w:rFonts w:ascii="Arial" w:hAnsi="Arial" w:cs="Arial"/>
          <w:sz w:val="22"/>
          <w:szCs w:val="22"/>
        </w:rPr>
        <w:t>y/</w:t>
      </w:r>
      <w:r w:rsidR="006B7EBC" w:rsidRPr="00A55A21">
        <w:rPr>
          <w:rFonts w:ascii="Arial" w:hAnsi="Arial" w:cs="Arial"/>
          <w:sz w:val="22"/>
          <w:szCs w:val="22"/>
        </w:rPr>
        <w:t>o cualquier otra figura jurídica</w:t>
      </w:r>
      <w:r w:rsidR="0082236A">
        <w:rPr>
          <w:rFonts w:ascii="Arial" w:hAnsi="Arial" w:cs="Arial"/>
          <w:sz w:val="22"/>
          <w:szCs w:val="22"/>
        </w:rPr>
        <w:t>)</w:t>
      </w:r>
      <w:r w:rsidR="006B7EBC">
        <w:rPr>
          <w:rFonts w:ascii="Arial" w:hAnsi="Arial" w:cs="Arial"/>
          <w:sz w:val="22"/>
          <w:szCs w:val="22"/>
        </w:rPr>
        <w:t xml:space="preserve"> </w:t>
      </w:r>
      <w:r w:rsidR="00A7382B" w:rsidRPr="00A7382B">
        <w:rPr>
          <w:rFonts w:ascii="Arial" w:hAnsi="Arial" w:cs="Arial"/>
          <w:sz w:val="22"/>
          <w:szCs w:val="22"/>
        </w:rPr>
        <w:t>que hacen parte del mismo grupo conectado de contrapartes deberán estar identificado</w:t>
      </w:r>
      <w:r w:rsidR="00910741">
        <w:rPr>
          <w:rFonts w:ascii="Arial" w:hAnsi="Arial" w:cs="Arial"/>
          <w:sz w:val="22"/>
          <w:szCs w:val="22"/>
        </w:rPr>
        <w:t>s</w:t>
      </w:r>
      <w:r w:rsidR="00A7382B" w:rsidRPr="00A7382B">
        <w:rPr>
          <w:rFonts w:ascii="Arial" w:hAnsi="Arial" w:cs="Arial"/>
          <w:sz w:val="22"/>
          <w:szCs w:val="22"/>
        </w:rPr>
        <w:t xml:space="preserve"> con el mismo número del grupo</w:t>
      </w:r>
      <w:r w:rsidR="00A7382B">
        <w:rPr>
          <w:rFonts w:ascii="Arial" w:hAnsi="Arial" w:cs="Arial"/>
          <w:sz w:val="22"/>
          <w:szCs w:val="22"/>
        </w:rPr>
        <w:t>.</w:t>
      </w:r>
    </w:p>
    <w:p w14:paraId="68F3FFA8" w14:textId="38AE18FB" w:rsidR="004F7CB0" w:rsidRDefault="004F7CB0" w:rsidP="004F7CB0">
      <w:pPr>
        <w:spacing w:before="120"/>
        <w:jc w:val="both"/>
        <w:rPr>
          <w:rFonts w:ascii="Arial" w:hAnsi="Arial" w:cs="Arial"/>
          <w:sz w:val="22"/>
          <w:szCs w:val="22"/>
        </w:rPr>
      </w:pPr>
      <w:r w:rsidRPr="006C2B81">
        <w:rPr>
          <w:rFonts w:ascii="Arial" w:hAnsi="Arial" w:cs="Arial"/>
          <w:sz w:val="22"/>
          <w:szCs w:val="22"/>
        </w:rPr>
        <w:t>Cuando en la aplicación del cálculo del valor de exposición se haga una deducción en dicho valor por concepto de una garantía, el valor deducido será entendido como una exposición con quien actúe como garante</w:t>
      </w:r>
      <w:r>
        <w:rPr>
          <w:rFonts w:ascii="Arial" w:hAnsi="Arial" w:cs="Arial"/>
          <w:sz w:val="22"/>
          <w:szCs w:val="22"/>
        </w:rPr>
        <w:t>.</w:t>
      </w:r>
      <w:r w:rsidR="001E083E">
        <w:rPr>
          <w:rFonts w:ascii="Arial" w:hAnsi="Arial" w:cs="Arial"/>
          <w:sz w:val="22"/>
          <w:szCs w:val="22"/>
        </w:rPr>
        <w:t xml:space="preserve"> </w:t>
      </w:r>
      <w:r w:rsidR="000D45C2" w:rsidRPr="00345E0F">
        <w:rPr>
          <w:rFonts w:ascii="Arial" w:hAnsi="Arial" w:cs="Arial"/>
          <w:bCs/>
          <w:sz w:val="22"/>
          <w:szCs w:val="22"/>
        </w:rPr>
        <w:t>Las</w:t>
      </w:r>
      <w:r w:rsidR="001E083E" w:rsidRPr="00345E0F">
        <w:rPr>
          <w:rFonts w:ascii="Arial" w:hAnsi="Arial" w:cs="Arial"/>
          <w:bCs/>
          <w:sz w:val="22"/>
          <w:szCs w:val="22"/>
        </w:rPr>
        <w:t xml:space="preserve"> instrucciones y tratamiento de los mitigantes (garantías) </w:t>
      </w:r>
      <w:r w:rsidR="000D45C2" w:rsidRPr="00345E0F">
        <w:rPr>
          <w:rFonts w:ascii="Arial" w:hAnsi="Arial" w:cs="Arial"/>
          <w:bCs/>
          <w:sz w:val="22"/>
          <w:szCs w:val="22"/>
        </w:rPr>
        <w:t xml:space="preserve">son los </w:t>
      </w:r>
      <w:r w:rsidR="001E083E" w:rsidRPr="00345E0F">
        <w:rPr>
          <w:rFonts w:ascii="Arial" w:hAnsi="Arial" w:cs="Arial"/>
          <w:bCs/>
          <w:sz w:val="22"/>
          <w:szCs w:val="22"/>
        </w:rPr>
        <w:t>señalad</w:t>
      </w:r>
      <w:r w:rsidR="00345E0F" w:rsidRPr="00345E0F">
        <w:rPr>
          <w:rFonts w:ascii="Arial" w:hAnsi="Arial" w:cs="Arial"/>
          <w:bCs/>
          <w:sz w:val="22"/>
          <w:szCs w:val="22"/>
        </w:rPr>
        <w:t>o</w:t>
      </w:r>
      <w:r w:rsidR="001E083E" w:rsidRPr="00345E0F">
        <w:rPr>
          <w:rFonts w:ascii="Arial" w:hAnsi="Arial" w:cs="Arial"/>
          <w:bCs/>
          <w:sz w:val="22"/>
          <w:szCs w:val="22"/>
        </w:rPr>
        <w:t xml:space="preserve">s en </w:t>
      </w:r>
      <w:r w:rsidR="000D45C2" w:rsidRPr="00345E0F">
        <w:rPr>
          <w:rFonts w:ascii="Arial" w:hAnsi="Arial" w:cs="Arial"/>
          <w:bCs/>
          <w:sz w:val="22"/>
          <w:szCs w:val="22"/>
        </w:rPr>
        <w:t xml:space="preserve">el Capítulo XIII-16 de la </w:t>
      </w:r>
      <w:r w:rsidR="00101C3E">
        <w:rPr>
          <w:rFonts w:ascii="Arial" w:hAnsi="Arial" w:cs="Arial"/>
          <w:bCs/>
          <w:sz w:val="22"/>
          <w:szCs w:val="22"/>
        </w:rPr>
        <w:t>CBCF</w:t>
      </w:r>
      <w:r w:rsidR="00345E0F">
        <w:rPr>
          <w:rFonts w:ascii="Arial" w:hAnsi="Arial" w:cs="Arial"/>
          <w:bCs/>
          <w:sz w:val="22"/>
          <w:szCs w:val="22"/>
        </w:rPr>
        <w:t>.</w:t>
      </w:r>
    </w:p>
    <w:p w14:paraId="38909ADF" w14:textId="7867BEC1" w:rsidR="00235832" w:rsidRDefault="001A233F">
      <w:pPr>
        <w:spacing w:before="120"/>
        <w:jc w:val="both"/>
        <w:rPr>
          <w:rFonts w:ascii="Arial" w:hAnsi="Arial" w:cs="Arial"/>
          <w:sz w:val="22"/>
          <w:szCs w:val="22"/>
        </w:rPr>
      </w:pPr>
      <w:r>
        <w:rPr>
          <w:rFonts w:ascii="Arial" w:hAnsi="Arial" w:cs="Arial"/>
          <w:sz w:val="22"/>
          <w:szCs w:val="22"/>
        </w:rPr>
        <w:t xml:space="preserve">De acuerdo con la definición anterior, </w:t>
      </w:r>
      <w:r w:rsidR="003609D5">
        <w:rPr>
          <w:rFonts w:ascii="Arial" w:hAnsi="Arial" w:cs="Arial"/>
          <w:sz w:val="22"/>
          <w:szCs w:val="22"/>
        </w:rPr>
        <w:t xml:space="preserve">la entidad </w:t>
      </w:r>
      <w:r w:rsidR="006B7EBC">
        <w:rPr>
          <w:rFonts w:ascii="Arial" w:hAnsi="Arial" w:cs="Arial"/>
          <w:sz w:val="22"/>
          <w:szCs w:val="22"/>
        </w:rPr>
        <w:t xml:space="preserve">debe </w:t>
      </w:r>
      <w:r w:rsidRPr="002C4B01">
        <w:rPr>
          <w:rFonts w:ascii="Arial" w:hAnsi="Arial" w:cs="Arial"/>
          <w:sz w:val="22"/>
          <w:szCs w:val="22"/>
        </w:rPr>
        <w:t>r</w:t>
      </w:r>
      <w:r w:rsidR="001F02E9" w:rsidRPr="002C4B01">
        <w:rPr>
          <w:rFonts w:ascii="Arial" w:hAnsi="Arial" w:cs="Arial"/>
          <w:sz w:val="22"/>
          <w:szCs w:val="22"/>
        </w:rPr>
        <w:t>eport</w:t>
      </w:r>
      <w:r w:rsidR="006B7EBC">
        <w:rPr>
          <w:rFonts w:ascii="Arial" w:hAnsi="Arial" w:cs="Arial"/>
          <w:sz w:val="22"/>
          <w:szCs w:val="22"/>
        </w:rPr>
        <w:t>ar</w:t>
      </w:r>
      <w:r w:rsidR="009529DE">
        <w:rPr>
          <w:rFonts w:ascii="Arial" w:hAnsi="Arial" w:cs="Arial"/>
          <w:sz w:val="22"/>
          <w:szCs w:val="22"/>
        </w:rPr>
        <w:t xml:space="preserve"> </w:t>
      </w:r>
      <w:r w:rsidR="00702563">
        <w:rPr>
          <w:rFonts w:ascii="Arial" w:hAnsi="Arial" w:cs="Arial"/>
          <w:sz w:val="22"/>
          <w:szCs w:val="22"/>
        </w:rPr>
        <w:t xml:space="preserve">en la </w:t>
      </w:r>
      <w:r w:rsidR="00D07A1D">
        <w:rPr>
          <w:rFonts w:ascii="Arial" w:hAnsi="Arial" w:cs="Arial"/>
          <w:sz w:val="22"/>
          <w:szCs w:val="22"/>
        </w:rPr>
        <w:t xml:space="preserve">hoja </w:t>
      </w:r>
      <w:r w:rsidR="009D3A43">
        <w:rPr>
          <w:rFonts w:ascii="Arial" w:hAnsi="Arial" w:cs="Arial"/>
          <w:sz w:val="22"/>
          <w:szCs w:val="22"/>
        </w:rPr>
        <w:t>GE_2</w:t>
      </w:r>
      <w:r w:rsidR="00702563">
        <w:rPr>
          <w:rFonts w:ascii="Arial" w:hAnsi="Arial" w:cs="Arial"/>
          <w:sz w:val="22"/>
          <w:szCs w:val="22"/>
        </w:rPr>
        <w:t xml:space="preserve"> </w:t>
      </w:r>
      <w:r w:rsidR="004106E9" w:rsidRPr="002B6367">
        <w:rPr>
          <w:rFonts w:ascii="Arial" w:hAnsi="Arial" w:cs="Arial"/>
          <w:sz w:val="22"/>
          <w:szCs w:val="22"/>
        </w:rPr>
        <w:t>todas las exposiciones</w:t>
      </w:r>
      <w:r w:rsidR="004106E9" w:rsidRPr="00ED72E7">
        <w:rPr>
          <w:rFonts w:ascii="Arial" w:hAnsi="Arial" w:cs="Arial"/>
          <w:sz w:val="22"/>
          <w:szCs w:val="22"/>
        </w:rPr>
        <w:t xml:space="preserve"> </w:t>
      </w:r>
      <w:r w:rsidR="004106E9">
        <w:rPr>
          <w:rFonts w:ascii="Arial" w:hAnsi="Arial" w:cs="Arial"/>
          <w:sz w:val="22"/>
          <w:szCs w:val="22"/>
        </w:rPr>
        <w:t>(</w:t>
      </w:r>
      <w:r w:rsidR="004106E9" w:rsidRPr="002B6367">
        <w:rPr>
          <w:rFonts w:ascii="Arial" w:hAnsi="Arial" w:cs="Arial"/>
          <w:sz w:val="22"/>
          <w:szCs w:val="22"/>
        </w:rPr>
        <w:t>en el libro bancario</w:t>
      </w:r>
      <w:r w:rsidR="004106E9">
        <w:rPr>
          <w:rFonts w:ascii="Arial" w:hAnsi="Arial" w:cs="Arial"/>
          <w:sz w:val="22"/>
          <w:szCs w:val="22"/>
        </w:rPr>
        <w:t xml:space="preserve"> y</w:t>
      </w:r>
      <w:r w:rsidR="004106E9" w:rsidRPr="002B6367">
        <w:rPr>
          <w:rFonts w:ascii="Arial" w:hAnsi="Arial" w:cs="Arial"/>
          <w:sz w:val="22"/>
          <w:szCs w:val="22"/>
        </w:rPr>
        <w:t xml:space="preserve"> de tesorería</w:t>
      </w:r>
      <w:r w:rsidR="004106E9">
        <w:rPr>
          <w:rFonts w:ascii="Arial" w:hAnsi="Arial" w:cs="Arial"/>
          <w:sz w:val="22"/>
          <w:szCs w:val="22"/>
        </w:rPr>
        <w:t>)</w:t>
      </w:r>
      <w:r w:rsidR="004106E9" w:rsidRPr="002B6367">
        <w:rPr>
          <w:rFonts w:ascii="Arial" w:hAnsi="Arial" w:cs="Arial"/>
          <w:sz w:val="22"/>
          <w:szCs w:val="22"/>
        </w:rPr>
        <w:t>, dentro y fuera de balance</w:t>
      </w:r>
      <w:r w:rsidR="004106E9">
        <w:rPr>
          <w:rFonts w:ascii="Arial" w:hAnsi="Arial" w:cs="Arial"/>
          <w:sz w:val="22"/>
          <w:szCs w:val="22"/>
        </w:rPr>
        <w:t xml:space="preserve"> </w:t>
      </w:r>
      <w:r w:rsidR="00427FE1">
        <w:rPr>
          <w:rFonts w:ascii="Arial" w:hAnsi="Arial" w:cs="Arial"/>
          <w:sz w:val="22"/>
          <w:szCs w:val="22"/>
        </w:rPr>
        <w:t xml:space="preserve">de </w:t>
      </w:r>
      <w:r w:rsidR="006F6532">
        <w:rPr>
          <w:rFonts w:ascii="Arial" w:hAnsi="Arial" w:cs="Arial"/>
          <w:sz w:val="22"/>
          <w:szCs w:val="22"/>
        </w:rPr>
        <w:t>l</w:t>
      </w:r>
      <w:r w:rsidR="00EF7C31">
        <w:rPr>
          <w:rFonts w:ascii="Arial" w:hAnsi="Arial" w:cs="Arial"/>
          <w:sz w:val="22"/>
          <w:szCs w:val="22"/>
        </w:rPr>
        <w:t xml:space="preserve">as </w:t>
      </w:r>
      <w:r w:rsidR="003419DE">
        <w:rPr>
          <w:rFonts w:ascii="Arial" w:hAnsi="Arial" w:cs="Arial"/>
          <w:sz w:val="22"/>
          <w:szCs w:val="22"/>
        </w:rPr>
        <w:t>contrapartes</w:t>
      </w:r>
      <w:r w:rsidR="00E86341">
        <w:rPr>
          <w:rFonts w:ascii="Arial" w:hAnsi="Arial" w:cs="Arial"/>
          <w:sz w:val="22"/>
          <w:szCs w:val="22"/>
        </w:rPr>
        <w:t xml:space="preserve"> que conforman </w:t>
      </w:r>
      <w:r w:rsidR="004106E9">
        <w:rPr>
          <w:rFonts w:ascii="Arial" w:hAnsi="Arial" w:cs="Arial"/>
          <w:sz w:val="22"/>
          <w:szCs w:val="22"/>
        </w:rPr>
        <w:t xml:space="preserve">cada uno de </w:t>
      </w:r>
      <w:r w:rsidR="00E86341" w:rsidRPr="008965DE">
        <w:rPr>
          <w:rFonts w:ascii="Arial" w:hAnsi="Arial" w:cs="Arial"/>
          <w:sz w:val="22"/>
          <w:szCs w:val="22"/>
        </w:rPr>
        <w:t>los</w:t>
      </w:r>
      <w:r w:rsidR="006F6532" w:rsidRPr="008965DE">
        <w:rPr>
          <w:rFonts w:ascii="Arial" w:hAnsi="Arial" w:cs="Arial"/>
          <w:sz w:val="22"/>
          <w:szCs w:val="22"/>
        </w:rPr>
        <w:t xml:space="preserve"> 10 </w:t>
      </w:r>
      <w:r w:rsidR="005321D1" w:rsidRPr="008965DE">
        <w:rPr>
          <w:rFonts w:ascii="Arial" w:hAnsi="Arial" w:cs="Arial"/>
          <w:sz w:val="22"/>
          <w:szCs w:val="22"/>
        </w:rPr>
        <w:t>grup</w:t>
      </w:r>
      <w:r w:rsidR="005321D1">
        <w:rPr>
          <w:rFonts w:ascii="Arial" w:hAnsi="Arial" w:cs="Arial"/>
          <w:sz w:val="22"/>
          <w:szCs w:val="22"/>
        </w:rPr>
        <w:t>o</w:t>
      </w:r>
      <w:r w:rsidR="006F6532">
        <w:rPr>
          <w:rFonts w:ascii="Arial" w:hAnsi="Arial" w:cs="Arial"/>
          <w:sz w:val="22"/>
          <w:szCs w:val="22"/>
        </w:rPr>
        <w:t>s</w:t>
      </w:r>
      <w:r w:rsidR="005321D1">
        <w:rPr>
          <w:rFonts w:ascii="Arial" w:hAnsi="Arial" w:cs="Arial"/>
          <w:sz w:val="22"/>
          <w:szCs w:val="22"/>
        </w:rPr>
        <w:t xml:space="preserve"> conectado</w:t>
      </w:r>
      <w:r w:rsidR="006F6532">
        <w:rPr>
          <w:rFonts w:ascii="Arial" w:hAnsi="Arial" w:cs="Arial"/>
          <w:sz w:val="22"/>
          <w:szCs w:val="22"/>
        </w:rPr>
        <w:t>s</w:t>
      </w:r>
      <w:r w:rsidR="00724E8C">
        <w:rPr>
          <w:rFonts w:ascii="Arial" w:hAnsi="Arial" w:cs="Arial"/>
          <w:sz w:val="22"/>
          <w:szCs w:val="22"/>
        </w:rPr>
        <w:t xml:space="preserve">. </w:t>
      </w:r>
    </w:p>
    <w:p w14:paraId="777CE713" w14:textId="06F1C944" w:rsidR="00B32058" w:rsidRPr="0020721D" w:rsidRDefault="000221DC" w:rsidP="0020721D">
      <w:pPr>
        <w:spacing w:before="120"/>
        <w:jc w:val="center"/>
        <w:rPr>
          <w:rFonts w:ascii="Arial" w:hAnsi="Arial" w:cs="Arial"/>
          <w:b/>
          <w:bCs/>
          <w:sz w:val="22"/>
          <w:szCs w:val="22"/>
        </w:rPr>
      </w:pPr>
      <w:r>
        <w:rPr>
          <w:rFonts w:ascii="Arial" w:hAnsi="Arial" w:cs="Arial"/>
          <w:b/>
          <w:bCs/>
          <w:sz w:val="22"/>
          <w:szCs w:val="22"/>
        </w:rPr>
        <w:t>Hoja</w:t>
      </w:r>
      <w:r w:rsidR="00DB176F">
        <w:rPr>
          <w:rFonts w:ascii="Arial" w:hAnsi="Arial" w:cs="Arial"/>
          <w:b/>
          <w:bCs/>
          <w:sz w:val="22"/>
          <w:szCs w:val="22"/>
        </w:rPr>
        <w:t xml:space="preserve"> </w:t>
      </w:r>
      <w:r w:rsidR="00332F1E">
        <w:rPr>
          <w:rFonts w:ascii="Arial" w:hAnsi="Arial" w:cs="Arial"/>
          <w:b/>
          <w:bCs/>
          <w:sz w:val="22"/>
          <w:szCs w:val="22"/>
        </w:rPr>
        <w:t>GE_2</w:t>
      </w:r>
    </w:p>
    <w:tbl>
      <w:tblPr>
        <w:tblStyle w:val="Tablaconcuadrcula"/>
        <w:tblW w:w="5000" w:type="pct"/>
        <w:tblLook w:val="04A0" w:firstRow="1" w:lastRow="0" w:firstColumn="1" w:lastColumn="0" w:noHBand="0" w:noVBand="1"/>
      </w:tblPr>
      <w:tblGrid>
        <w:gridCol w:w="916"/>
        <w:gridCol w:w="1278"/>
        <w:gridCol w:w="6634"/>
      </w:tblGrid>
      <w:tr w:rsidR="00E23BB5" w:rsidRPr="008E7C17" w14:paraId="29A8CAAD" w14:textId="77777777" w:rsidTr="008965DE">
        <w:tc>
          <w:tcPr>
            <w:tcW w:w="393" w:type="pct"/>
          </w:tcPr>
          <w:p w14:paraId="1C64E1D4" w14:textId="77777777" w:rsidR="00E23BB5" w:rsidRPr="008E7C17" w:rsidRDefault="00E23BB5" w:rsidP="00D66FD0">
            <w:pPr>
              <w:jc w:val="both"/>
              <w:rPr>
                <w:rFonts w:ascii="Arial" w:hAnsi="Arial" w:cs="Arial"/>
                <w:sz w:val="18"/>
                <w:szCs w:val="18"/>
              </w:rPr>
            </w:pPr>
            <w:r w:rsidRPr="008E7C17">
              <w:rPr>
                <w:rFonts w:ascii="Arial" w:hAnsi="Arial" w:cs="Arial"/>
                <w:sz w:val="18"/>
                <w:szCs w:val="18"/>
              </w:rPr>
              <w:t>Columna</w:t>
            </w:r>
          </w:p>
        </w:tc>
        <w:tc>
          <w:tcPr>
            <w:tcW w:w="532" w:type="pct"/>
          </w:tcPr>
          <w:p w14:paraId="65383018" w14:textId="77777777" w:rsidR="00E23BB5" w:rsidRPr="008E7C17" w:rsidRDefault="00E23BB5" w:rsidP="00D66FD0">
            <w:pPr>
              <w:jc w:val="both"/>
              <w:rPr>
                <w:rFonts w:ascii="Arial" w:hAnsi="Arial" w:cs="Arial"/>
                <w:sz w:val="18"/>
                <w:szCs w:val="18"/>
              </w:rPr>
            </w:pPr>
            <w:r w:rsidRPr="008E7C17">
              <w:rPr>
                <w:rFonts w:ascii="Arial" w:hAnsi="Arial" w:cs="Arial"/>
                <w:sz w:val="18"/>
                <w:szCs w:val="18"/>
              </w:rPr>
              <w:t xml:space="preserve">Nombre </w:t>
            </w:r>
          </w:p>
        </w:tc>
        <w:tc>
          <w:tcPr>
            <w:tcW w:w="4075" w:type="pct"/>
          </w:tcPr>
          <w:p w14:paraId="3799FDC2" w14:textId="77777777" w:rsidR="00E23BB5" w:rsidRPr="008E7C17" w:rsidRDefault="00E23BB5" w:rsidP="00D66FD0">
            <w:pPr>
              <w:jc w:val="both"/>
              <w:rPr>
                <w:rFonts w:ascii="Arial" w:hAnsi="Arial" w:cs="Arial"/>
                <w:sz w:val="18"/>
                <w:szCs w:val="18"/>
              </w:rPr>
            </w:pPr>
            <w:r w:rsidRPr="008E7C17">
              <w:rPr>
                <w:rFonts w:ascii="Arial" w:hAnsi="Arial" w:cs="Arial"/>
                <w:sz w:val="18"/>
                <w:szCs w:val="18"/>
              </w:rPr>
              <w:t>Concepto</w:t>
            </w:r>
          </w:p>
        </w:tc>
      </w:tr>
      <w:tr w:rsidR="00E23BB5" w:rsidRPr="008E7C17" w14:paraId="0434173A" w14:textId="77777777" w:rsidTr="008965DE">
        <w:tc>
          <w:tcPr>
            <w:tcW w:w="393" w:type="pct"/>
            <w:vAlign w:val="center"/>
          </w:tcPr>
          <w:p w14:paraId="4B742876" w14:textId="77777777" w:rsidR="00E23BB5" w:rsidRPr="008E7C17" w:rsidRDefault="00E23BB5" w:rsidP="00D66FD0">
            <w:pPr>
              <w:rPr>
                <w:rFonts w:ascii="Arial" w:hAnsi="Arial" w:cs="Arial"/>
                <w:sz w:val="18"/>
                <w:szCs w:val="18"/>
              </w:rPr>
            </w:pPr>
            <w:r w:rsidRPr="008E7C17">
              <w:rPr>
                <w:rFonts w:ascii="Arial" w:hAnsi="Arial" w:cs="Arial"/>
                <w:sz w:val="18"/>
                <w:szCs w:val="18"/>
              </w:rPr>
              <w:t>001</w:t>
            </w:r>
          </w:p>
        </w:tc>
        <w:tc>
          <w:tcPr>
            <w:tcW w:w="532" w:type="pct"/>
            <w:vAlign w:val="center"/>
          </w:tcPr>
          <w:p w14:paraId="424119FF" w14:textId="77777777" w:rsidR="00E23BB5" w:rsidRPr="008E7C17" w:rsidRDefault="00E23BB5" w:rsidP="00D66FD0">
            <w:pPr>
              <w:rPr>
                <w:rFonts w:ascii="Arial" w:hAnsi="Arial" w:cs="Arial"/>
                <w:sz w:val="18"/>
                <w:szCs w:val="18"/>
              </w:rPr>
            </w:pPr>
            <w:r w:rsidRPr="008E7C17">
              <w:rPr>
                <w:rFonts w:ascii="Arial" w:hAnsi="Arial" w:cs="Arial"/>
                <w:sz w:val="18"/>
                <w:szCs w:val="18"/>
              </w:rPr>
              <w:t>Número del grupo</w:t>
            </w:r>
          </w:p>
        </w:tc>
        <w:tc>
          <w:tcPr>
            <w:tcW w:w="4075" w:type="pct"/>
            <w:vAlign w:val="center"/>
          </w:tcPr>
          <w:p w14:paraId="568F3163" w14:textId="3F0DED98" w:rsidR="00E23BB5" w:rsidRPr="008E7C17" w:rsidRDefault="00E23BB5" w:rsidP="00656F14">
            <w:pPr>
              <w:jc w:val="both"/>
              <w:rPr>
                <w:rFonts w:ascii="Arial" w:hAnsi="Arial" w:cs="Arial"/>
                <w:sz w:val="18"/>
                <w:szCs w:val="18"/>
              </w:rPr>
            </w:pPr>
            <w:r w:rsidRPr="008E7C17">
              <w:rPr>
                <w:rFonts w:ascii="Arial" w:hAnsi="Arial" w:cs="Arial"/>
                <w:sz w:val="18"/>
                <w:szCs w:val="18"/>
              </w:rPr>
              <w:t xml:space="preserve">Registre el número asignado </w:t>
            </w:r>
            <w:r w:rsidR="00C30AD7">
              <w:rPr>
                <w:rFonts w:ascii="Arial" w:hAnsi="Arial" w:cs="Arial"/>
                <w:sz w:val="18"/>
                <w:szCs w:val="18"/>
              </w:rPr>
              <w:t xml:space="preserve">por </w:t>
            </w:r>
            <w:r w:rsidRPr="008E7C17">
              <w:rPr>
                <w:rFonts w:ascii="Arial" w:hAnsi="Arial" w:cs="Arial"/>
                <w:sz w:val="18"/>
                <w:szCs w:val="18"/>
              </w:rPr>
              <w:t xml:space="preserve">parte de la entidad reportante a cada </w:t>
            </w:r>
            <w:r w:rsidR="00C30AD7">
              <w:rPr>
                <w:rFonts w:ascii="Arial" w:hAnsi="Arial" w:cs="Arial"/>
                <w:sz w:val="18"/>
                <w:szCs w:val="18"/>
              </w:rPr>
              <w:t xml:space="preserve">contraparte o </w:t>
            </w:r>
            <w:r w:rsidRPr="008E7C17">
              <w:rPr>
                <w:rFonts w:ascii="Arial" w:hAnsi="Arial" w:cs="Arial"/>
                <w:sz w:val="18"/>
                <w:szCs w:val="18"/>
              </w:rPr>
              <w:t xml:space="preserve">GCC. </w:t>
            </w:r>
            <w:r w:rsidR="00E966C5">
              <w:rPr>
                <w:rFonts w:ascii="Arial" w:hAnsi="Arial" w:cs="Arial"/>
                <w:sz w:val="18"/>
                <w:szCs w:val="18"/>
              </w:rPr>
              <w:t>R</w:t>
            </w:r>
            <w:r w:rsidRPr="008E7C17">
              <w:rPr>
                <w:rFonts w:ascii="Arial" w:hAnsi="Arial" w:cs="Arial"/>
                <w:sz w:val="18"/>
                <w:szCs w:val="18"/>
              </w:rPr>
              <w:t xml:space="preserve">egistre un número entre 1 y 10, siendo 1 el grupo más grande en términos de exposición. </w:t>
            </w:r>
            <w:r w:rsidR="001D6660">
              <w:rPr>
                <w:rFonts w:ascii="Arial" w:hAnsi="Arial" w:cs="Arial"/>
                <w:sz w:val="18"/>
                <w:szCs w:val="18"/>
              </w:rPr>
              <w:t>D</w:t>
            </w:r>
            <w:r w:rsidRPr="008E7C17">
              <w:rPr>
                <w:rFonts w:ascii="Arial" w:hAnsi="Arial" w:cs="Arial"/>
                <w:sz w:val="18"/>
                <w:szCs w:val="18"/>
              </w:rPr>
              <w:t>ebe ser un</w:t>
            </w:r>
            <w:r w:rsidR="00544FA3">
              <w:rPr>
                <w:rFonts w:ascii="Arial" w:hAnsi="Arial" w:cs="Arial"/>
                <w:sz w:val="18"/>
                <w:szCs w:val="18"/>
              </w:rPr>
              <w:t xml:space="preserve"> número </w:t>
            </w:r>
            <w:r w:rsidRPr="008E7C17">
              <w:rPr>
                <w:rFonts w:ascii="Arial" w:hAnsi="Arial" w:cs="Arial"/>
                <w:sz w:val="18"/>
                <w:szCs w:val="18"/>
              </w:rPr>
              <w:t>diferente p</w:t>
            </w:r>
            <w:r w:rsidR="00936192">
              <w:rPr>
                <w:rFonts w:ascii="Arial" w:hAnsi="Arial" w:cs="Arial"/>
                <w:sz w:val="18"/>
                <w:szCs w:val="18"/>
              </w:rPr>
              <w:t>ara</w:t>
            </w:r>
            <w:r w:rsidRPr="008E7C17">
              <w:rPr>
                <w:rFonts w:ascii="Arial" w:hAnsi="Arial" w:cs="Arial"/>
                <w:sz w:val="18"/>
                <w:szCs w:val="18"/>
              </w:rPr>
              <w:t xml:space="preserve"> cada grupo.</w:t>
            </w:r>
          </w:p>
          <w:p w14:paraId="50A5D047" w14:textId="1CC6A3EE" w:rsidR="00E23BB5" w:rsidRPr="008E7C17" w:rsidRDefault="00E23BB5" w:rsidP="00656F14">
            <w:pPr>
              <w:jc w:val="both"/>
              <w:rPr>
                <w:rFonts w:ascii="Arial" w:hAnsi="Arial" w:cs="Arial"/>
                <w:sz w:val="18"/>
                <w:szCs w:val="18"/>
              </w:rPr>
            </w:pPr>
            <w:r w:rsidRPr="008E7C17">
              <w:rPr>
                <w:rFonts w:ascii="Arial" w:hAnsi="Arial" w:cs="Arial"/>
                <w:sz w:val="18"/>
                <w:szCs w:val="18"/>
              </w:rPr>
              <w:t xml:space="preserve">Los GCC se conforman de acuerdo con los criterios definidos </w:t>
            </w:r>
            <w:r w:rsidR="00A7382B">
              <w:rPr>
                <w:rFonts w:ascii="Arial" w:hAnsi="Arial" w:cs="Arial"/>
                <w:sz w:val="18"/>
                <w:szCs w:val="18"/>
              </w:rPr>
              <w:t>anteriormente.</w:t>
            </w:r>
          </w:p>
        </w:tc>
      </w:tr>
      <w:tr w:rsidR="00E23BB5" w:rsidRPr="008E7C17" w14:paraId="14CD0002" w14:textId="77777777" w:rsidTr="008965DE">
        <w:tc>
          <w:tcPr>
            <w:tcW w:w="393" w:type="pct"/>
            <w:vAlign w:val="center"/>
          </w:tcPr>
          <w:p w14:paraId="5D6BC0F8" w14:textId="77777777" w:rsidR="00E23BB5" w:rsidRPr="008E7C17" w:rsidRDefault="00E23BB5" w:rsidP="00D66FD0">
            <w:pPr>
              <w:rPr>
                <w:rFonts w:ascii="Arial" w:hAnsi="Arial" w:cs="Arial"/>
                <w:sz w:val="18"/>
                <w:szCs w:val="18"/>
              </w:rPr>
            </w:pPr>
            <w:r w:rsidRPr="008E7C17">
              <w:rPr>
                <w:rFonts w:ascii="Arial" w:hAnsi="Arial" w:cs="Arial"/>
                <w:sz w:val="18"/>
                <w:szCs w:val="18"/>
              </w:rPr>
              <w:t>002</w:t>
            </w:r>
          </w:p>
        </w:tc>
        <w:tc>
          <w:tcPr>
            <w:tcW w:w="532" w:type="pct"/>
            <w:vAlign w:val="center"/>
          </w:tcPr>
          <w:p w14:paraId="09D6CD14" w14:textId="77777777" w:rsidR="00E23BB5" w:rsidRPr="008E7C17" w:rsidRDefault="00E23BB5" w:rsidP="00D66FD0">
            <w:pPr>
              <w:rPr>
                <w:rFonts w:ascii="Arial" w:hAnsi="Arial" w:cs="Arial"/>
                <w:sz w:val="18"/>
                <w:szCs w:val="18"/>
              </w:rPr>
            </w:pPr>
            <w:r w:rsidRPr="008E7C17">
              <w:rPr>
                <w:rFonts w:ascii="Arial" w:hAnsi="Arial" w:cs="Arial"/>
                <w:sz w:val="18"/>
                <w:szCs w:val="18"/>
              </w:rPr>
              <w:t xml:space="preserve">Nombre o razón social </w:t>
            </w:r>
          </w:p>
        </w:tc>
        <w:tc>
          <w:tcPr>
            <w:tcW w:w="4075" w:type="pct"/>
            <w:vAlign w:val="center"/>
          </w:tcPr>
          <w:p w14:paraId="05FB4D31" w14:textId="217730F6" w:rsidR="00E23BB5" w:rsidRPr="00543020" w:rsidRDefault="00E23BB5" w:rsidP="00CA4F12">
            <w:pPr>
              <w:jc w:val="both"/>
              <w:rPr>
                <w:rFonts w:ascii="Arial" w:hAnsi="Arial" w:cs="Arial"/>
                <w:sz w:val="18"/>
                <w:szCs w:val="18"/>
              </w:rPr>
            </w:pPr>
            <w:r w:rsidRPr="008E7C17">
              <w:rPr>
                <w:rFonts w:ascii="Arial" w:hAnsi="Arial" w:cs="Arial"/>
                <w:sz w:val="18"/>
                <w:szCs w:val="18"/>
              </w:rPr>
              <w:t>Registre el nombre o la razón social de la contraparte</w:t>
            </w:r>
            <w:r w:rsidRPr="00020657">
              <w:rPr>
                <w:rFonts w:ascii="Arial" w:hAnsi="Arial" w:cs="Arial"/>
                <w:sz w:val="18"/>
                <w:szCs w:val="18"/>
              </w:rPr>
              <w:t>.</w:t>
            </w:r>
          </w:p>
        </w:tc>
      </w:tr>
      <w:tr w:rsidR="00E23BB5" w:rsidRPr="008E7C17" w14:paraId="72FD69A1" w14:textId="77777777" w:rsidTr="008965DE">
        <w:tc>
          <w:tcPr>
            <w:tcW w:w="393" w:type="pct"/>
            <w:vAlign w:val="center"/>
          </w:tcPr>
          <w:p w14:paraId="178610D7" w14:textId="77777777" w:rsidR="00E23BB5" w:rsidRPr="008E7C17" w:rsidRDefault="00E23BB5" w:rsidP="00D66FD0">
            <w:pPr>
              <w:rPr>
                <w:rFonts w:ascii="Arial" w:hAnsi="Arial" w:cs="Arial"/>
                <w:sz w:val="18"/>
                <w:szCs w:val="18"/>
              </w:rPr>
            </w:pPr>
            <w:r w:rsidRPr="008E7C17">
              <w:rPr>
                <w:rFonts w:ascii="Arial" w:hAnsi="Arial" w:cs="Arial"/>
                <w:sz w:val="18"/>
                <w:szCs w:val="18"/>
              </w:rPr>
              <w:t>003</w:t>
            </w:r>
          </w:p>
        </w:tc>
        <w:tc>
          <w:tcPr>
            <w:tcW w:w="532" w:type="pct"/>
            <w:vAlign w:val="center"/>
          </w:tcPr>
          <w:p w14:paraId="0D40BFDB" w14:textId="77777777" w:rsidR="00E23BB5" w:rsidRPr="008E7C17" w:rsidRDefault="00E23BB5" w:rsidP="00D66FD0">
            <w:pPr>
              <w:rPr>
                <w:rFonts w:ascii="Arial" w:hAnsi="Arial" w:cs="Arial"/>
                <w:sz w:val="18"/>
                <w:szCs w:val="18"/>
              </w:rPr>
            </w:pPr>
            <w:r w:rsidRPr="008E7C17">
              <w:rPr>
                <w:rFonts w:ascii="Arial" w:hAnsi="Arial" w:cs="Arial"/>
                <w:sz w:val="18"/>
                <w:szCs w:val="18"/>
              </w:rPr>
              <w:t>Tipo</w:t>
            </w:r>
          </w:p>
        </w:tc>
        <w:tc>
          <w:tcPr>
            <w:tcW w:w="4075" w:type="pct"/>
            <w:vAlign w:val="center"/>
          </w:tcPr>
          <w:p w14:paraId="080CED6F" w14:textId="298F351D" w:rsidR="00E23BB5" w:rsidRPr="008E7C17" w:rsidRDefault="00E23BB5" w:rsidP="00D66FD0">
            <w:pPr>
              <w:jc w:val="both"/>
              <w:rPr>
                <w:rFonts w:ascii="Arial" w:hAnsi="Arial" w:cs="Arial"/>
                <w:sz w:val="18"/>
                <w:szCs w:val="18"/>
              </w:rPr>
            </w:pPr>
            <w:r w:rsidRPr="008E7C17">
              <w:rPr>
                <w:rFonts w:ascii="Arial" w:hAnsi="Arial" w:cs="Arial"/>
                <w:sz w:val="18"/>
                <w:szCs w:val="18"/>
              </w:rPr>
              <w:t>Indi</w:t>
            </w:r>
            <w:r w:rsidR="00544FA3">
              <w:rPr>
                <w:rFonts w:ascii="Arial" w:hAnsi="Arial" w:cs="Arial"/>
                <w:sz w:val="18"/>
                <w:szCs w:val="18"/>
              </w:rPr>
              <w:t>que</w:t>
            </w:r>
            <w:r w:rsidRPr="008E7C17">
              <w:rPr>
                <w:rFonts w:ascii="Arial" w:hAnsi="Arial" w:cs="Arial"/>
                <w:sz w:val="18"/>
                <w:szCs w:val="18"/>
              </w:rPr>
              <w:t xml:space="preserve"> el tipo de identificación </w:t>
            </w:r>
            <w:r w:rsidR="005143AE">
              <w:rPr>
                <w:rFonts w:ascii="Arial" w:hAnsi="Arial" w:cs="Arial"/>
                <w:sz w:val="18"/>
                <w:szCs w:val="18"/>
              </w:rPr>
              <w:t>de la contraparte</w:t>
            </w:r>
            <w:r w:rsidRPr="008E7C17">
              <w:rPr>
                <w:rFonts w:ascii="Arial" w:hAnsi="Arial" w:cs="Arial"/>
                <w:sz w:val="18"/>
                <w:szCs w:val="18"/>
              </w:rPr>
              <w:t>. Los códigos para utilizar son: 0 = no aplica, 1 = cédula de ciudadanía, 2 = cédula de extranjería, 3 = NIT, 4= tarjeta de identidad, 5 = pasaporte, 6 = carné diplomático, 7 = sociedad extranjera sin NIT en Colombia, 8 = fideicomiso, 9 = registro civil de nacimiento o NUIP</w:t>
            </w:r>
          </w:p>
        </w:tc>
      </w:tr>
      <w:tr w:rsidR="00E23BB5" w:rsidRPr="008E7C17" w14:paraId="4D3905CE" w14:textId="77777777" w:rsidTr="008965DE">
        <w:tc>
          <w:tcPr>
            <w:tcW w:w="393" w:type="pct"/>
            <w:vAlign w:val="center"/>
          </w:tcPr>
          <w:p w14:paraId="7ECA2911" w14:textId="77777777" w:rsidR="00E23BB5" w:rsidRPr="008E7C17" w:rsidRDefault="00E23BB5" w:rsidP="00D66FD0">
            <w:pPr>
              <w:rPr>
                <w:rFonts w:ascii="Arial" w:hAnsi="Arial" w:cs="Arial"/>
                <w:sz w:val="18"/>
                <w:szCs w:val="18"/>
              </w:rPr>
            </w:pPr>
            <w:r w:rsidRPr="008E7C17">
              <w:rPr>
                <w:rFonts w:ascii="Arial" w:hAnsi="Arial" w:cs="Arial"/>
                <w:sz w:val="18"/>
                <w:szCs w:val="18"/>
              </w:rPr>
              <w:t>004</w:t>
            </w:r>
          </w:p>
        </w:tc>
        <w:tc>
          <w:tcPr>
            <w:tcW w:w="532" w:type="pct"/>
            <w:vAlign w:val="center"/>
          </w:tcPr>
          <w:p w14:paraId="2C965A74" w14:textId="77777777" w:rsidR="00E23BB5" w:rsidRPr="008E7C17" w:rsidRDefault="00E23BB5" w:rsidP="00D66FD0">
            <w:pPr>
              <w:rPr>
                <w:rFonts w:ascii="Arial" w:hAnsi="Arial" w:cs="Arial"/>
                <w:sz w:val="18"/>
                <w:szCs w:val="18"/>
              </w:rPr>
            </w:pPr>
            <w:r w:rsidRPr="008E7C17">
              <w:rPr>
                <w:rFonts w:ascii="Arial" w:hAnsi="Arial" w:cs="Arial"/>
                <w:sz w:val="18"/>
                <w:szCs w:val="18"/>
              </w:rPr>
              <w:t xml:space="preserve">Identificación </w:t>
            </w:r>
          </w:p>
        </w:tc>
        <w:tc>
          <w:tcPr>
            <w:tcW w:w="4075" w:type="pct"/>
            <w:vAlign w:val="center"/>
          </w:tcPr>
          <w:p w14:paraId="1F18CF90" w14:textId="6EBEC164" w:rsidR="00E23BB5" w:rsidRPr="008E7C17" w:rsidRDefault="00E23BB5" w:rsidP="00656F14">
            <w:pPr>
              <w:jc w:val="both"/>
              <w:rPr>
                <w:rFonts w:ascii="Arial" w:hAnsi="Arial" w:cs="Arial"/>
                <w:sz w:val="18"/>
                <w:szCs w:val="18"/>
              </w:rPr>
            </w:pPr>
            <w:r w:rsidRPr="008E7C17">
              <w:rPr>
                <w:rFonts w:ascii="Arial" w:hAnsi="Arial" w:cs="Arial"/>
                <w:sz w:val="18"/>
                <w:szCs w:val="18"/>
              </w:rPr>
              <w:t xml:space="preserve">Registre el número de identificación de la contraparte asignado por la Registraduría Nacional del Estado Civil, Dirección de Impuestos y Aduanas Nacionales o la entidad que corresponda. </w:t>
            </w:r>
          </w:p>
          <w:p w14:paraId="15DF7C5D" w14:textId="77777777" w:rsidR="00E23BB5" w:rsidRPr="008E7C17" w:rsidRDefault="00E23BB5" w:rsidP="00656F14">
            <w:pPr>
              <w:jc w:val="both"/>
              <w:rPr>
                <w:rFonts w:ascii="Arial" w:hAnsi="Arial" w:cs="Arial"/>
                <w:sz w:val="18"/>
                <w:szCs w:val="18"/>
              </w:rPr>
            </w:pPr>
            <w:r w:rsidRPr="008E7C17">
              <w:rPr>
                <w:rFonts w:ascii="Arial" w:hAnsi="Arial" w:cs="Arial"/>
                <w:sz w:val="18"/>
                <w:szCs w:val="18"/>
              </w:rPr>
              <w:t xml:space="preserve">Cuando se trate de un deudor de tipo de identificación 7 registre el número, código o clave de identificación fiscal tributaria asignada en el país de residencia o domicilio. </w:t>
            </w:r>
          </w:p>
          <w:p w14:paraId="1A6FC72F" w14:textId="127849F1" w:rsidR="00E23BB5" w:rsidRPr="002722FD" w:rsidRDefault="00E23BB5" w:rsidP="00656F14">
            <w:pPr>
              <w:jc w:val="both"/>
              <w:rPr>
                <w:rFonts w:ascii="Arial" w:hAnsi="Arial" w:cs="Arial"/>
                <w:sz w:val="18"/>
                <w:szCs w:val="18"/>
              </w:rPr>
            </w:pPr>
            <w:r w:rsidRPr="00D12343">
              <w:rPr>
                <w:rFonts w:ascii="Arial" w:hAnsi="Arial" w:cs="Arial"/>
                <w:sz w:val="18"/>
                <w:szCs w:val="18"/>
              </w:rPr>
              <w:lastRenderedPageBreak/>
              <w:t xml:space="preserve">Para el caso de los </w:t>
            </w:r>
            <w:r w:rsidR="00AD18C9" w:rsidRPr="00D12343">
              <w:rPr>
                <w:rFonts w:ascii="Arial" w:hAnsi="Arial" w:cs="Arial"/>
                <w:sz w:val="18"/>
                <w:szCs w:val="18"/>
              </w:rPr>
              <w:t xml:space="preserve">patrimonios autónomos, </w:t>
            </w:r>
            <w:r w:rsidR="00B51251" w:rsidRPr="00D12343">
              <w:rPr>
                <w:rFonts w:ascii="Arial" w:hAnsi="Arial" w:cs="Arial"/>
                <w:sz w:val="18"/>
                <w:szCs w:val="18"/>
              </w:rPr>
              <w:t>negocios fiduciarios</w:t>
            </w:r>
            <w:r w:rsidRPr="00D12343">
              <w:rPr>
                <w:rFonts w:ascii="Arial" w:hAnsi="Arial" w:cs="Arial"/>
                <w:sz w:val="18"/>
                <w:szCs w:val="18"/>
              </w:rPr>
              <w:t xml:space="preserve">, fondos o </w:t>
            </w:r>
            <w:r w:rsidR="00FC08B1" w:rsidRPr="00D12343">
              <w:rPr>
                <w:rFonts w:ascii="Arial" w:hAnsi="Arial" w:cs="Arial"/>
                <w:sz w:val="18"/>
                <w:szCs w:val="18"/>
              </w:rPr>
              <w:t>APT</w:t>
            </w:r>
            <w:r w:rsidR="008B1BD1" w:rsidRPr="00D12343">
              <w:rPr>
                <w:rFonts w:ascii="Arial" w:hAnsi="Arial" w:cs="Arial"/>
                <w:sz w:val="18"/>
                <w:szCs w:val="18"/>
              </w:rPr>
              <w:t>s</w:t>
            </w:r>
            <w:r w:rsidRPr="00D12343">
              <w:rPr>
                <w:rFonts w:ascii="Arial" w:hAnsi="Arial" w:cs="Arial"/>
                <w:sz w:val="18"/>
                <w:szCs w:val="18"/>
              </w:rPr>
              <w:t xml:space="preserve"> </w:t>
            </w:r>
            <w:r w:rsidR="00A43B08" w:rsidRPr="00D12343">
              <w:rPr>
                <w:rFonts w:ascii="Arial" w:hAnsi="Arial" w:cs="Arial"/>
                <w:sz w:val="18"/>
                <w:szCs w:val="18"/>
              </w:rPr>
              <w:t xml:space="preserve">registre </w:t>
            </w:r>
            <w:r w:rsidR="007E3215" w:rsidRPr="00D12343">
              <w:rPr>
                <w:rFonts w:ascii="Arial" w:hAnsi="Arial" w:cs="Arial"/>
                <w:sz w:val="18"/>
                <w:szCs w:val="18"/>
              </w:rPr>
              <w:t xml:space="preserve">el </w:t>
            </w:r>
            <w:r w:rsidR="00AD18C9" w:rsidRPr="00D12343">
              <w:rPr>
                <w:rFonts w:ascii="Arial" w:hAnsi="Arial" w:cs="Arial"/>
                <w:sz w:val="18"/>
                <w:szCs w:val="18"/>
              </w:rPr>
              <w:t>código de registro</w:t>
            </w:r>
            <w:r w:rsidR="007E3215" w:rsidRPr="00D12343">
              <w:rPr>
                <w:rFonts w:ascii="Arial" w:hAnsi="Arial" w:cs="Arial"/>
                <w:sz w:val="18"/>
                <w:szCs w:val="18"/>
              </w:rPr>
              <w:t xml:space="preserve"> asignado </w:t>
            </w:r>
            <w:r w:rsidR="002566C8" w:rsidRPr="00D12343">
              <w:rPr>
                <w:rFonts w:ascii="Arial" w:hAnsi="Arial" w:cs="Arial"/>
                <w:sz w:val="18"/>
                <w:szCs w:val="18"/>
              </w:rPr>
              <w:t>por la SFC</w:t>
            </w:r>
            <w:r w:rsidR="004630FE" w:rsidRPr="00D12343">
              <w:rPr>
                <w:rFonts w:ascii="Arial" w:hAnsi="Arial" w:cs="Arial"/>
                <w:sz w:val="18"/>
                <w:szCs w:val="18"/>
              </w:rPr>
              <w:t>.</w:t>
            </w:r>
          </w:p>
        </w:tc>
      </w:tr>
      <w:tr w:rsidR="00E23BB5" w:rsidRPr="008E7C17" w14:paraId="4F1A8AF2" w14:textId="77777777" w:rsidTr="008965DE">
        <w:tc>
          <w:tcPr>
            <w:tcW w:w="393" w:type="pct"/>
            <w:vAlign w:val="center"/>
          </w:tcPr>
          <w:p w14:paraId="651006F5" w14:textId="054553AC" w:rsidR="00E23BB5" w:rsidRPr="008E7C17" w:rsidRDefault="00E23BB5" w:rsidP="00D66FD0">
            <w:pPr>
              <w:rPr>
                <w:rFonts w:ascii="Arial" w:hAnsi="Arial" w:cs="Arial"/>
                <w:sz w:val="18"/>
                <w:szCs w:val="18"/>
              </w:rPr>
            </w:pPr>
            <w:r w:rsidRPr="008E7C17">
              <w:rPr>
                <w:rFonts w:ascii="Arial" w:hAnsi="Arial" w:cs="Arial"/>
                <w:sz w:val="18"/>
                <w:szCs w:val="18"/>
              </w:rPr>
              <w:lastRenderedPageBreak/>
              <w:t>00</w:t>
            </w:r>
            <w:r w:rsidR="00382311">
              <w:rPr>
                <w:rFonts w:ascii="Arial" w:hAnsi="Arial" w:cs="Arial"/>
                <w:sz w:val="18"/>
                <w:szCs w:val="18"/>
              </w:rPr>
              <w:t>5</w:t>
            </w:r>
          </w:p>
        </w:tc>
        <w:tc>
          <w:tcPr>
            <w:tcW w:w="532" w:type="pct"/>
            <w:vAlign w:val="center"/>
          </w:tcPr>
          <w:p w14:paraId="32E7D313" w14:textId="77777777" w:rsidR="00E23BB5" w:rsidRPr="008E7C17" w:rsidRDefault="00E23BB5" w:rsidP="00D66FD0">
            <w:pPr>
              <w:rPr>
                <w:rFonts w:ascii="Arial" w:hAnsi="Arial" w:cs="Arial"/>
                <w:sz w:val="18"/>
                <w:szCs w:val="18"/>
              </w:rPr>
            </w:pPr>
            <w:r w:rsidRPr="008E7C17">
              <w:rPr>
                <w:rFonts w:ascii="Arial" w:hAnsi="Arial" w:cs="Arial"/>
                <w:sz w:val="18"/>
                <w:szCs w:val="18"/>
              </w:rPr>
              <w:t xml:space="preserve">Naturaleza jurídica </w:t>
            </w:r>
          </w:p>
        </w:tc>
        <w:tc>
          <w:tcPr>
            <w:tcW w:w="4075" w:type="pct"/>
            <w:vAlign w:val="center"/>
          </w:tcPr>
          <w:p w14:paraId="0299533A" w14:textId="237A89E3" w:rsidR="00E23BB5" w:rsidRPr="008E7C17" w:rsidRDefault="00E23BB5" w:rsidP="00D66FD0">
            <w:pPr>
              <w:rPr>
                <w:rFonts w:ascii="Arial" w:hAnsi="Arial" w:cs="Arial"/>
                <w:sz w:val="18"/>
                <w:szCs w:val="18"/>
              </w:rPr>
            </w:pPr>
            <w:r w:rsidRPr="008E7C17">
              <w:rPr>
                <w:rFonts w:ascii="Arial" w:hAnsi="Arial" w:cs="Arial"/>
                <w:sz w:val="18"/>
                <w:szCs w:val="18"/>
              </w:rPr>
              <w:t>Registre el código de identificación de la naturaleza jurídica de las entidades. Los códigos que se deben utilizar son: 1 = entidad y</w:t>
            </w:r>
            <w:r w:rsidR="007E550E">
              <w:rPr>
                <w:rFonts w:ascii="Arial" w:hAnsi="Arial" w:cs="Arial"/>
                <w:sz w:val="18"/>
                <w:szCs w:val="18"/>
              </w:rPr>
              <w:t>/o</w:t>
            </w:r>
            <w:r w:rsidRPr="008E7C17">
              <w:rPr>
                <w:rFonts w:ascii="Arial" w:hAnsi="Arial" w:cs="Arial"/>
                <w:sz w:val="18"/>
                <w:szCs w:val="18"/>
              </w:rPr>
              <w:t xml:space="preserve"> organismo público a nivel nacional, 2 = entidad y</w:t>
            </w:r>
            <w:r w:rsidR="007E550E">
              <w:rPr>
                <w:rFonts w:ascii="Arial" w:hAnsi="Arial" w:cs="Arial"/>
                <w:sz w:val="18"/>
                <w:szCs w:val="18"/>
              </w:rPr>
              <w:t>/o</w:t>
            </w:r>
            <w:r w:rsidRPr="008E7C17">
              <w:rPr>
                <w:rFonts w:ascii="Arial" w:hAnsi="Arial" w:cs="Arial"/>
                <w:sz w:val="18"/>
                <w:szCs w:val="18"/>
              </w:rPr>
              <w:t xml:space="preserve"> organismo público a nivel departamental, 3 = entidad y</w:t>
            </w:r>
            <w:r w:rsidR="007E550E">
              <w:rPr>
                <w:rFonts w:ascii="Arial" w:hAnsi="Arial" w:cs="Arial"/>
                <w:sz w:val="18"/>
                <w:szCs w:val="18"/>
              </w:rPr>
              <w:t>/o</w:t>
            </w:r>
            <w:r w:rsidRPr="008E7C17">
              <w:rPr>
                <w:rFonts w:ascii="Arial" w:hAnsi="Arial" w:cs="Arial"/>
                <w:sz w:val="18"/>
                <w:szCs w:val="18"/>
              </w:rPr>
              <w:t xml:space="preserve"> organismo público a nivel municipal, 4 = sociedades privadas extranjeras, 5 = sociedades privadas nacionales, 6 = sociedades multinacionales, 7 = entidades sin ánimo de lucro, 8 = entidades cooperativas, 9 = entidad pública extranjera. Cuando el deudor sea una persona natural este campo no será tenido en cuenta y deberá ser diligenciado en 0: no aplica. </w:t>
            </w:r>
          </w:p>
        </w:tc>
      </w:tr>
      <w:tr w:rsidR="00E23BB5" w:rsidRPr="008E7C17" w14:paraId="3BA148E1" w14:textId="77777777" w:rsidTr="008965DE">
        <w:tc>
          <w:tcPr>
            <w:tcW w:w="393" w:type="pct"/>
            <w:vAlign w:val="center"/>
          </w:tcPr>
          <w:p w14:paraId="440FD18D" w14:textId="4FA7AEE5" w:rsidR="00E23BB5" w:rsidRPr="008E7C17" w:rsidRDefault="00E23BB5" w:rsidP="00D66FD0">
            <w:pPr>
              <w:rPr>
                <w:rFonts w:ascii="Arial" w:hAnsi="Arial" w:cs="Arial"/>
                <w:sz w:val="18"/>
                <w:szCs w:val="18"/>
              </w:rPr>
            </w:pPr>
            <w:r w:rsidRPr="008E7C17">
              <w:rPr>
                <w:rFonts w:ascii="Arial" w:hAnsi="Arial" w:cs="Arial"/>
                <w:sz w:val="18"/>
                <w:szCs w:val="18"/>
              </w:rPr>
              <w:t>00</w:t>
            </w:r>
            <w:r w:rsidR="00382311">
              <w:rPr>
                <w:rFonts w:ascii="Arial" w:hAnsi="Arial" w:cs="Arial"/>
                <w:sz w:val="18"/>
                <w:szCs w:val="18"/>
              </w:rPr>
              <w:t>6</w:t>
            </w:r>
          </w:p>
        </w:tc>
        <w:tc>
          <w:tcPr>
            <w:tcW w:w="532" w:type="pct"/>
            <w:vAlign w:val="center"/>
          </w:tcPr>
          <w:p w14:paraId="2DE6EC7C" w14:textId="65D0EF8F" w:rsidR="00E23BB5" w:rsidRPr="00D63F3F" w:rsidRDefault="00E23BB5" w:rsidP="00D66FD0">
            <w:pPr>
              <w:rPr>
                <w:rFonts w:ascii="Arial" w:hAnsi="Arial" w:cs="Arial"/>
                <w:sz w:val="18"/>
                <w:szCs w:val="18"/>
              </w:rPr>
            </w:pPr>
            <w:r w:rsidRPr="007D7DE7">
              <w:rPr>
                <w:rFonts w:ascii="Arial" w:hAnsi="Arial" w:cs="Arial"/>
                <w:sz w:val="18"/>
                <w:szCs w:val="18"/>
              </w:rPr>
              <w:t>Criterio p</w:t>
            </w:r>
            <w:r w:rsidR="001132F5">
              <w:rPr>
                <w:rFonts w:ascii="Arial" w:hAnsi="Arial" w:cs="Arial"/>
                <w:sz w:val="18"/>
                <w:szCs w:val="18"/>
              </w:rPr>
              <w:t>or el cual hace parte del grupo</w:t>
            </w:r>
          </w:p>
        </w:tc>
        <w:tc>
          <w:tcPr>
            <w:tcW w:w="4075" w:type="pct"/>
            <w:vAlign w:val="center"/>
          </w:tcPr>
          <w:p w14:paraId="5A20E941" w14:textId="3A8832DE" w:rsidR="00E23BB5" w:rsidRPr="00D63F3F" w:rsidRDefault="004603CD" w:rsidP="00D66FD0">
            <w:pPr>
              <w:jc w:val="both"/>
              <w:rPr>
                <w:rFonts w:ascii="Arial" w:hAnsi="Arial" w:cs="Arial"/>
                <w:sz w:val="18"/>
                <w:szCs w:val="18"/>
              </w:rPr>
            </w:pPr>
            <w:r w:rsidRPr="00D63F3F">
              <w:rPr>
                <w:rFonts w:ascii="Arial" w:hAnsi="Arial" w:cs="Arial"/>
                <w:sz w:val="18"/>
                <w:szCs w:val="18"/>
              </w:rPr>
              <w:t xml:space="preserve">Reporte el criterio </w:t>
            </w:r>
            <w:r w:rsidR="00AD5328" w:rsidRPr="00D63F3F">
              <w:rPr>
                <w:rFonts w:ascii="Arial" w:hAnsi="Arial" w:cs="Arial"/>
                <w:sz w:val="18"/>
                <w:szCs w:val="18"/>
              </w:rPr>
              <w:t xml:space="preserve">que </w:t>
            </w:r>
            <w:r w:rsidR="002A2A5B" w:rsidRPr="00D63F3F">
              <w:rPr>
                <w:rFonts w:ascii="Arial" w:hAnsi="Arial" w:cs="Arial"/>
                <w:sz w:val="18"/>
                <w:szCs w:val="18"/>
              </w:rPr>
              <w:t xml:space="preserve">se tuvo en cuenta para considerar </w:t>
            </w:r>
            <w:r w:rsidR="00387DD3" w:rsidRPr="00D63F3F">
              <w:rPr>
                <w:rFonts w:ascii="Arial" w:hAnsi="Arial" w:cs="Arial"/>
                <w:sz w:val="18"/>
                <w:szCs w:val="18"/>
              </w:rPr>
              <w:t>que las contrapartes se consideran c</w:t>
            </w:r>
            <w:r w:rsidR="002A2A5B" w:rsidRPr="00D63F3F">
              <w:rPr>
                <w:rFonts w:ascii="Arial" w:hAnsi="Arial" w:cs="Arial"/>
                <w:sz w:val="18"/>
                <w:szCs w:val="18"/>
              </w:rPr>
              <w:t>onectada</w:t>
            </w:r>
            <w:r w:rsidR="0002661D">
              <w:rPr>
                <w:rFonts w:ascii="Arial" w:hAnsi="Arial" w:cs="Arial"/>
                <w:sz w:val="18"/>
                <w:szCs w:val="18"/>
              </w:rPr>
              <w:t>s</w:t>
            </w:r>
            <w:r w:rsidR="002A2A5B" w:rsidRPr="00D63F3F">
              <w:rPr>
                <w:rFonts w:ascii="Arial" w:hAnsi="Arial" w:cs="Arial"/>
                <w:sz w:val="18"/>
                <w:szCs w:val="18"/>
              </w:rPr>
              <w:t xml:space="preserve"> </w:t>
            </w:r>
            <w:r w:rsidR="00C838EB" w:rsidRPr="00D63F3F">
              <w:rPr>
                <w:rFonts w:ascii="Arial" w:hAnsi="Arial" w:cs="Arial"/>
                <w:sz w:val="18"/>
                <w:szCs w:val="18"/>
              </w:rPr>
              <w:t xml:space="preserve">de acuerdo con </w:t>
            </w:r>
            <w:r w:rsidR="00387DD3" w:rsidRPr="00D63F3F">
              <w:rPr>
                <w:rFonts w:ascii="Arial" w:hAnsi="Arial" w:cs="Arial"/>
                <w:sz w:val="18"/>
                <w:szCs w:val="18"/>
              </w:rPr>
              <w:t>lo</w:t>
            </w:r>
            <w:r w:rsidR="004B16B8" w:rsidRPr="00D63F3F">
              <w:rPr>
                <w:rFonts w:ascii="Arial" w:hAnsi="Arial" w:cs="Arial"/>
                <w:sz w:val="18"/>
                <w:szCs w:val="18"/>
              </w:rPr>
              <w:t xml:space="preserve">s </w:t>
            </w:r>
            <w:r w:rsidR="00895CE4">
              <w:rPr>
                <w:rFonts w:ascii="Arial" w:hAnsi="Arial" w:cs="Arial"/>
                <w:sz w:val="18"/>
                <w:szCs w:val="18"/>
              </w:rPr>
              <w:t>subnumerales</w:t>
            </w:r>
            <w:r w:rsidR="00895CE4" w:rsidRPr="00D63F3F">
              <w:rPr>
                <w:rFonts w:ascii="Arial" w:hAnsi="Arial" w:cs="Arial"/>
                <w:sz w:val="18"/>
                <w:szCs w:val="18"/>
              </w:rPr>
              <w:t xml:space="preserve"> </w:t>
            </w:r>
            <w:r w:rsidR="00387DD3" w:rsidRPr="007D7DE7">
              <w:rPr>
                <w:rFonts w:ascii="Arial" w:hAnsi="Arial" w:cs="Arial"/>
                <w:sz w:val="18"/>
                <w:szCs w:val="18"/>
              </w:rPr>
              <w:t>señalado</w:t>
            </w:r>
            <w:r w:rsidR="004B16B8" w:rsidRPr="007D7DE7">
              <w:rPr>
                <w:rFonts w:ascii="Arial" w:hAnsi="Arial" w:cs="Arial"/>
                <w:sz w:val="18"/>
                <w:szCs w:val="18"/>
              </w:rPr>
              <w:t xml:space="preserve">s </w:t>
            </w:r>
            <w:r w:rsidR="00765556" w:rsidRPr="00D63F3F">
              <w:rPr>
                <w:rFonts w:ascii="Arial" w:hAnsi="Arial" w:cs="Arial"/>
                <w:sz w:val="18"/>
                <w:szCs w:val="18"/>
              </w:rPr>
              <w:t xml:space="preserve">en </w:t>
            </w:r>
            <w:r w:rsidR="00B4656B">
              <w:rPr>
                <w:rFonts w:ascii="Arial" w:hAnsi="Arial" w:cs="Arial"/>
                <w:sz w:val="18"/>
                <w:szCs w:val="18"/>
              </w:rPr>
              <w:t>el listado de “</w:t>
            </w:r>
            <w:r w:rsidR="00765556" w:rsidRPr="00D63F3F">
              <w:rPr>
                <w:rFonts w:ascii="Arial" w:hAnsi="Arial" w:cs="Arial"/>
                <w:sz w:val="18"/>
                <w:szCs w:val="18"/>
              </w:rPr>
              <w:t>Grupo Conectado de Contrapartes</w:t>
            </w:r>
            <w:r w:rsidR="00B4656B">
              <w:rPr>
                <w:rFonts w:ascii="Arial" w:hAnsi="Arial" w:cs="Arial"/>
                <w:sz w:val="18"/>
                <w:szCs w:val="18"/>
              </w:rPr>
              <w:t>”</w:t>
            </w:r>
          </w:p>
        </w:tc>
      </w:tr>
      <w:tr w:rsidR="00423A20" w:rsidRPr="008E7C17" w14:paraId="02C45C21" w14:textId="77777777" w:rsidTr="008965DE">
        <w:tc>
          <w:tcPr>
            <w:tcW w:w="393" w:type="pct"/>
            <w:vAlign w:val="center"/>
          </w:tcPr>
          <w:p w14:paraId="34918767" w14:textId="6EED76FB" w:rsidR="00423A20" w:rsidRPr="008E7C17" w:rsidRDefault="00423A20" w:rsidP="00423A20">
            <w:pPr>
              <w:rPr>
                <w:rFonts w:ascii="Arial" w:hAnsi="Arial" w:cs="Arial"/>
                <w:sz w:val="18"/>
                <w:szCs w:val="18"/>
              </w:rPr>
            </w:pPr>
            <w:r>
              <w:rPr>
                <w:rFonts w:ascii="Arial" w:hAnsi="Arial" w:cs="Arial"/>
                <w:sz w:val="18"/>
                <w:szCs w:val="18"/>
              </w:rPr>
              <w:t>00</w:t>
            </w:r>
            <w:r w:rsidR="00382311">
              <w:rPr>
                <w:rFonts w:ascii="Arial" w:hAnsi="Arial" w:cs="Arial"/>
                <w:sz w:val="18"/>
                <w:szCs w:val="18"/>
              </w:rPr>
              <w:t>7</w:t>
            </w:r>
          </w:p>
        </w:tc>
        <w:tc>
          <w:tcPr>
            <w:tcW w:w="532" w:type="pct"/>
            <w:vAlign w:val="center"/>
          </w:tcPr>
          <w:p w14:paraId="4E044592" w14:textId="29E3BC20" w:rsidR="00423A20" w:rsidRPr="008E7C17" w:rsidRDefault="00DD6CAC" w:rsidP="00423A20">
            <w:pPr>
              <w:rPr>
                <w:rFonts w:ascii="Arial" w:hAnsi="Arial" w:cs="Arial"/>
                <w:sz w:val="18"/>
                <w:szCs w:val="18"/>
              </w:rPr>
            </w:pPr>
            <w:r>
              <w:rPr>
                <w:rFonts w:ascii="Arial" w:hAnsi="Arial" w:cs="Arial"/>
                <w:sz w:val="18"/>
                <w:szCs w:val="18"/>
              </w:rPr>
              <w:t>Saldo</w:t>
            </w:r>
            <w:r w:rsidR="00423A20" w:rsidRPr="008E7C17">
              <w:rPr>
                <w:rFonts w:ascii="Arial" w:hAnsi="Arial" w:cs="Arial"/>
                <w:sz w:val="18"/>
                <w:szCs w:val="18"/>
              </w:rPr>
              <w:t xml:space="preserve"> total de </w:t>
            </w:r>
            <w:r w:rsidR="006D17A7">
              <w:rPr>
                <w:rFonts w:ascii="Arial" w:hAnsi="Arial" w:cs="Arial"/>
                <w:sz w:val="18"/>
                <w:szCs w:val="18"/>
              </w:rPr>
              <w:t>cartera</w:t>
            </w:r>
            <w:r w:rsidR="00423A20" w:rsidRPr="008E7C17">
              <w:rPr>
                <w:rFonts w:ascii="Arial" w:hAnsi="Arial" w:cs="Arial"/>
                <w:sz w:val="18"/>
                <w:szCs w:val="18"/>
              </w:rPr>
              <w:t xml:space="preserve"> de crédito</w:t>
            </w:r>
            <w:r w:rsidR="00321F8A">
              <w:rPr>
                <w:rFonts w:ascii="Arial" w:hAnsi="Arial" w:cs="Arial"/>
                <w:sz w:val="18"/>
                <w:szCs w:val="18"/>
              </w:rPr>
              <w:t xml:space="preserve"> </w:t>
            </w:r>
          </w:p>
        </w:tc>
        <w:tc>
          <w:tcPr>
            <w:tcW w:w="4075" w:type="pct"/>
            <w:vAlign w:val="center"/>
          </w:tcPr>
          <w:p w14:paraId="14EDD300" w14:textId="1460C740" w:rsidR="00423A20" w:rsidRPr="007E458C" w:rsidRDefault="00EA6FCD" w:rsidP="00423A20">
            <w:pPr>
              <w:jc w:val="both"/>
              <w:rPr>
                <w:rFonts w:ascii="Arial" w:hAnsi="Arial" w:cs="Arial"/>
                <w:sz w:val="18"/>
                <w:szCs w:val="18"/>
              </w:rPr>
            </w:pPr>
            <w:r w:rsidRPr="007E458C">
              <w:rPr>
                <w:rFonts w:ascii="Arial" w:hAnsi="Arial" w:cs="Arial"/>
                <w:spacing w:val="0"/>
                <w:sz w:val="18"/>
                <w:szCs w:val="18"/>
              </w:rPr>
              <w:t>R</w:t>
            </w:r>
            <w:r w:rsidRPr="007E458C">
              <w:rPr>
                <w:rFonts w:ascii="Arial" w:hAnsi="Arial" w:cs="Arial"/>
                <w:sz w:val="18"/>
                <w:szCs w:val="18"/>
              </w:rPr>
              <w:t xml:space="preserve">egistre </w:t>
            </w:r>
            <w:r w:rsidR="006F7899">
              <w:rPr>
                <w:rFonts w:ascii="Arial" w:hAnsi="Arial" w:cs="Arial"/>
                <w:sz w:val="18"/>
                <w:szCs w:val="18"/>
              </w:rPr>
              <w:t xml:space="preserve">el saldo total </w:t>
            </w:r>
            <w:r w:rsidR="00945804">
              <w:rPr>
                <w:rFonts w:ascii="Arial" w:hAnsi="Arial" w:cs="Arial"/>
                <w:sz w:val="18"/>
                <w:szCs w:val="18"/>
              </w:rPr>
              <w:t>de</w:t>
            </w:r>
            <w:r w:rsidRPr="007E458C">
              <w:rPr>
                <w:rFonts w:ascii="Arial" w:hAnsi="Arial" w:cs="Arial"/>
                <w:sz w:val="18"/>
                <w:szCs w:val="18"/>
              </w:rPr>
              <w:t xml:space="preserve"> </w:t>
            </w:r>
            <w:r w:rsidR="00945804">
              <w:rPr>
                <w:rFonts w:ascii="Arial" w:hAnsi="Arial" w:cs="Arial"/>
                <w:sz w:val="18"/>
                <w:szCs w:val="18"/>
              </w:rPr>
              <w:t>l</w:t>
            </w:r>
            <w:r w:rsidR="00945804" w:rsidRPr="007E458C">
              <w:rPr>
                <w:rFonts w:ascii="Arial" w:hAnsi="Arial" w:cs="Arial"/>
                <w:bCs/>
                <w:sz w:val="18"/>
                <w:szCs w:val="18"/>
              </w:rPr>
              <w:t>a</w:t>
            </w:r>
            <w:r w:rsidR="00166694">
              <w:rPr>
                <w:rFonts w:ascii="Arial" w:hAnsi="Arial" w:cs="Arial"/>
                <w:bCs/>
                <w:sz w:val="18"/>
                <w:szCs w:val="18"/>
              </w:rPr>
              <w:t xml:space="preserve"> cartera de crédito </w:t>
            </w:r>
            <w:r w:rsidR="00945804" w:rsidRPr="00812CE8">
              <w:rPr>
                <w:rFonts w:ascii="Arial" w:hAnsi="Arial" w:cs="Arial"/>
                <w:bCs/>
                <w:sz w:val="18"/>
                <w:szCs w:val="18"/>
              </w:rPr>
              <w:t>vigentes</w:t>
            </w:r>
            <w:r w:rsidR="00945804" w:rsidRPr="007E458C">
              <w:rPr>
                <w:rFonts w:ascii="Arial" w:hAnsi="Arial" w:cs="Arial"/>
                <w:bCs/>
                <w:sz w:val="18"/>
                <w:szCs w:val="18"/>
              </w:rPr>
              <w:t xml:space="preserve"> </w:t>
            </w:r>
            <w:r w:rsidRPr="007E458C">
              <w:rPr>
                <w:rFonts w:ascii="Arial" w:hAnsi="Arial" w:cs="Arial"/>
                <w:sz w:val="18"/>
                <w:szCs w:val="18"/>
              </w:rPr>
              <w:t>en pesos</w:t>
            </w:r>
            <w:r w:rsidR="00577768" w:rsidRPr="007E458C">
              <w:rPr>
                <w:rFonts w:ascii="Arial" w:hAnsi="Arial" w:cs="Arial"/>
                <w:sz w:val="18"/>
                <w:szCs w:val="18"/>
              </w:rPr>
              <w:t>, net</w:t>
            </w:r>
            <w:r w:rsidR="00F429DF">
              <w:rPr>
                <w:rFonts w:ascii="Arial" w:hAnsi="Arial" w:cs="Arial"/>
                <w:sz w:val="18"/>
                <w:szCs w:val="18"/>
              </w:rPr>
              <w:t>a</w:t>
            </w:r>
            <w:r w:rsidR="006F7899">
              <w:rPr>
                <w:rFonts w:ascii="Arial" w:hAnsi="Arial" w:cs="Arial"/>
                <w:sz w:val="18"/>
                <w:szCs w:val="18"/>
              </w:rPr>
              <w:t>s</w:t>
            </w:r>
            <w:r w:rsidR="00577768" w:rsidRPr="007E458C">
              <w:rPr>
                <w:rFonts w:ascii="Arial" w:hAnsi="Arial" w:cs="Arial"/>
                <w:sz w:val="18"/>
                <w:szCs w:val="18"/>
              </w:rPr>
              <w:t xml:space="preserve"> de provisiones</w:t>
            </w:r>
            <w:r w:rsidR="00ED62CF">
              <w:rPr>
                <w:rFonts w:ascii="Arial" w:hAnsi="Arial" w:cs="Arial"/>
                <w:sz w:val="18"/>
                <w:szCs w:val="18"/>
              </w:rPr>
              <w:t xml:space="preserve"> individuales</w:t>
            </w:r>
            <w:r w:rsidR="00423A20" w:rsidRPr="007E458C">
              <w:rPr>
                <w:rFonts w:ascii="Arial" w:hAnsi="Arial"/>
                <w:spacing w:val="0"/>
                <w:sz w:val="18"/>
                <w:szCs w:val="18"/>
              </w:rPr>
              <w:t>.</w:t>
            </w:r>
            <w:r w:rsidRPr="007E458C">
              <w:rPr>
                <w:rFonts w:ascii="Arial" w:hAnsi="Arial"/>
                <w:spacing w:val="0"/>
                <w:sz w:val="18"/>
                <w:szCs w:val="18"/>
              </w:rPr>
              <w:t xml:space="preserve"> </w:t>
            </w:r>
            <w:r w:rsidR="0099319A">
              <w:rPr>
                <w:rFonts w:ascii="Arial" w:hAnsi="Arial"/>
                <w:spacing w:val="0"/>
                <w:sz w:val="18"/>
                <w:szCs w:val="18"/>
              </w:rPr>
              <w:t>L</w:t>
            </w:r>
            <w:r w:rsidR="00166694">
              <w:rPr>
                <w:rFonts w:ascii="Arial" w:hAnsi="Arial"/>
                <w:spacing w:val="0"/>
                <w:sz w:val="18"/>
                <w:szCs w:val="18"/>
              </w:rPr>
              <w:t>o anterior incluye las</w:t>
            </w:r>
            <w:r w:rsidR="00423A20" w:rsidRPr="007E458C">
              <w:rPr>
                <w:rFonts w:ascii="Arial" w:hAnsi="Arial"/>
                <w:spacing w:val="0"/>
                <w:sz w:val="18"/>
                <w:szCs w:val="18"/>
              </w:rPr>
              <w:t xml:space="preserve"> operaciones de leasing</w:t>
            </w:r>
            <w:r w:rsidR="009747DA">
              <w:rPr>
                <w:rFonts w:ascii="Arial" w:hAnsi="Arial"/>
                <w:spacing w:val="0"/>
                <w:sz w:val="18"/>
                <w:szCs w:val="18"/>
              </w:rPr>
              <w:t>, pagarés, letras, contratos de cumplimiento</w:t>
            </w:r>
            <w:r w:rsidR="00B619DA">
              <w:rPr>
                <w:rFonts w:ascii="Arial" w:hAnsi="Arial"/>
                <w:spacing w:val="0"/>
                <w:sz w:val="18"/>
                <w:szCs w:val="18"/>
              </w:rPr>
              <w:t>,</w:t>
            </w:r>
            <w:r w:rsidR="0064511B">
              <w:rPr>
                <w:rFonts w:ascii="Arial" w:hAnsi="Arial"/>
                <w:spacing w:val="0"/>
                <w:sz w:val="18"/>
                <w:szCs w:val="18"/>
              </w:rPr>
              <w:t xml:space="preserve"> </w:t>
            </w:r>
            <w:r w:rsidR="0064511B" w:rsidRPr="007D7DE7">
              <w:rPr>
                <w:rFonts w:ascii="Arial" w:hAnsi="Arial"/>
                <w:i/>
                <w:iCs/>
                <w:spacing w:val="0"/>
                <w:sz w:val="18"/>
                <w:szCs w:val="18"/>
              </w:rPr>
              <w:t>factoring</w:t>
            </w:r>
            <w:r w:rsidR="00B619DA">
              <w:rPr>
                <w:rFonts w:ascii="Arial" w:hAnsi="Arial"/>
                <w:i/>
                <w:iCs/>
                <w:spacing w:val="0"/>
                <w:sz w:val="18"/>
                <w:szCs w:val="18"/>
              </w:rPr>
              <w:t>, descuento, entre otros</w:t>
            </w:r>
            <w:r w:rsidR="00423A20" w:rsidRPr="007E458C">
              <w:rPr>
                <w:rFonts w:ascii="Arial" w:hAnsi="Arial" w:cs="Arial"/>
                <w:bCs/>
                <w:sz w:val="18"/>
                <w:szCs w:val="18"/>
              </w:rPr>
              <w:t>. Se incluye la parte efectivamente utilizada de una línea de crédito.</w:t>
            </w:r>
            <w:r w:rsidR="00895CE4">
              <w:rPr>
                <w:rFonts w:ascii="Arial" w:hAnsi="Arial" w:cs="Arial"/>
                <w:bCs/>
                <w:sz w:val="18"/>
                <w:szCs w:val="18"/>
              </w:rPr>
              <w:t xml:space="preserve"> No incluye contingencias</w:t>
            </w:r>
            <w:r w:rsidR="00CE4DB6" w:rsidRPr="007E458C">
              <w:rPr>
                <w:rFonts w:ascii="Arial" w:hAnsi="Arial" w:cs="Arial"/>
                <w:bCs/>
                <w:sz w:val="18"/>
                <w:szCs w:val="18"/>
              </w:rPr>
              <w:t xml:space="preserve"> </w:t>
            </w:r>
          </w:p>
        </w:tc>
      </w:tr>
      <w:tr w:rsidR="00423A20" w:rsidRPr="008E7C17" w14:paraId="593541E0" w14:textId="77777777" w:rsidTr="008965DE">
        <w:tc>
          <w:tcPr>
            <w:tcW w:w="393" w:type="pct"/>
            <w:vAlign w:val="center"/>
          </w:tcPr>
          <w:p w14:paraId="748E3CB6" w14:textId="26FA7BB0" w:rsidR="00423A20" w:rsidRPr="00D12343" w:rsidRDefault="00423A20" w:rsidP="00423A20">
            <w:pPr>
              <w:rPr>
                <w:rFonts w:ascii="Arial" w:hAnsi="Arial" w:cs="Arial"/>
                <w:sz w:val="18"/>
                <w:szCs w:val="18"/>
              </w:rPr>
            </w:pPr>
            <w:r w:rsidRPr="00D12343">
              <w:rPr>
                <w:rFonts w:ascii="Arial" w:hAnsi="Arial" w:cs="Arial"/>
                <w:sz w:val="18"/>
                <w:szCs w:val="18"/>
              </w:rPr>
              <w:t>00</w:t>
            </w:r>
            <w:r w:rsidR="00382311" w:rsidRPr="00D12343">
              <w:rPr>
                <w:rFonts w:ascii="Arial" w:hAnsi="Arial" w:cs="Arial"/>
                <w:sz w:val="18"/>
                <w:szCs w:val="18"/>
              </w:rPr>
              <w:t>8</w:t>
            </w:r>
          </w:p>
        </w:tc>
        <w:tc>
          <w:tcPr>
            <w:tcW w:w="532" w:type="pct"/>
            <w:vAlign w:val="center"/>
          </w:tcPr>
          <w:p w14:paraId="0FBC0C54" w14:textId="69388C8A" w:rsidR="00423A20" w:rsidRPr="008E7C17" w:rsidRDefault="00423A20" w:rsidP="00423A20">
            <w:pPr>
              <w:rPr>
                <w:rFonts w:ascii="Arial" w:hAnsi="Arial" w:cs="Arial"/>
                <w:sz w:val="18"/>
                <w:szCs w:val="18"/>
              </w:rPr>
            </w:pPr>
            <w:r>
              <w:rPr>
                <w:rFonts w:ascii="Arial" w:hAnsi="Arial" w:cs="Arial"/>
                <w:sz w:val="18"/>
                <w:szCs w:val="18"/>
              </w:rPr>
              <w:t xml:space="preserve">Valor de exposición </w:t>
            </w:r>
            <w:r w:rsidRPr="008E7C17">
              <w:rPr>
                <w:rFonts w:ascii="Arial" w:hAnsi="Arial" w:cs="Arial"/>
                <w:sz w:val="18"/>
                <w:szCs w:val="18"/>
              </w:rPr>
              <w:t>de la</w:t>
            </w:r>
            <w:r w:rsidR="00CE0AC6">
              <w:rPr>
                <w:rFonts w:ascii="Arial" w:hAnsi="Arial" w:cs="Arial"/>
                <w:sz w:val="18"/>
                <w:szCs w:val="18"/>
              </w:rPr>
              <w:t xml:space="preserve"> cartera de crédit</w:t>
            </w:r>
            <w:r w:rsidR="006749D0">
              <w:rPr>
                <w:rFonts w:ascii="Arial" w:hAnsi="Arial" w:cs="Arial"/>
                <w:sz w:val="18"/>
                <w:szCs w:val="18"/>
              </w:rPr>
              <w:t>o</w:t>
            </w:r>
            <w:r w:rsidR="00CE0AC6">
              <w:rPr>
                <w:rFonts w:ascii="Arial" w:hAnsi="Arial" w:cs="Arial"/>
                <w:sz w:val="18"/>
                <w:szCs w:val="18"/>
              </w:rPr>
              <w:t>.</w:t>
            </w:r>
          </w:p>
        </w:tc>
        <w:tc>
          <w:tcPr>
            <w:tcW w:w="4075" w:type="pct"/>
            <w:vAlign w:val="center"/>
          </w:tcPr>
          <w:p w14:paraId="3C31AFE2" w14:textId="24207B25" w:rsidR="00423A20" w:rsidRDefault="00423A20" w:rsidP="00B24539">
            <w:pPr>
              <w:jc w:val="both"/>
              <w:rPr>
                <w:rFonts w:ascii="Arial" w:hAnsi="Arial" w:cs="Arial"/>
                <w:sz w:val="18"/>
                <w:szCs w:val="18"/>
              </w:rPr>
            </w:pPr>
            <w:r w:rsidRPr="008E7C17">
              <w:rPr>
                <w:rFonts w:ascii="Arial" w:hAnsi="Arial" w:cs="Arial"/>
                <w:bCs/>
                <w:sz w:val="18"/>
                <w:szCs w:val="18"/>
              </w:rPr>
              <w:t>Registr</w:t>
            </w:r>
            <w:r>
              <w:rPr>
                <w:rFonts w:ascii="Arial" w:hAnsi="Arial" w:cs="Arial"/>
                <w:bCs/>
                <w:sz w:val="18"/>
                <w:szCs w:val="18"/>
              </w:rPr>
              <w:t>e</w:t>
            </w:r>
            <w:r w:rsidR="00D318B3">
              <w:rPr>
                <w:rFonts w:ascii="Arial" w:hAnsi="Arial" w:cs="Arial"/>
                <w:bCs/>
                <w:sz w:val="18"/>
                <w:szCs w:val="18"/>
              </w:rPr>
              <w:t xml:space="preserve"> el valor de la exposición de los activos señalados en la columna 007</w:t>
            </w:r>
            <w:r w:rsidR="00B317D9">
              <w:rPr>
                <w:rFonts w:ascii="Arial" w:hAnsi="Arial" w:cs="Arial"/>
                <w:bCs/>
                <w:sz w:val="18"/>
                <w:szCs w:val="18"/>
              </w:rPr>
              <w:t xml:space="preserve">, conforme a </w:t>
            </w:r>
            <w:r w:rsidR="00613D24">
              <w:rPr>
                <w:rFonts w:ascii="Arial" w:hAnsi="Arial" w:cs="Arial"/>
                <w:bCs/>
                <w:sz w:val="18"/>
                <w:szCs w:val="18"/>
              </w:rPr>
              <w:t>las instrucciones</w:t>
            </w:r>
            <w:r w:rsidR="00B87EA1">
              <w:rPr>
                <w:rFonts w:ascii="Arial" w:hAnsi="Arial" w:cs="Arial"/>
                <w:bCs/>
                <w:sz w:val="18"/>
                <w:szCs w:val="18"/>
              </w:rPr>
              <w:t xml:space="preserve"> y tratamiento de los mitigantes (garantías)</w:t>
            </w:r>
            <w:r w:rsidR="00010BB3">
              <w:rPr>
                <w:rFonts w:ascii="Arial" w:hAnsi="Arial" w:cs="Arial"/>
                <w:bCs/>
                <w:sz w:val="18"/>
                <w:szCs w:val="18"/>
              </w:rPr>
              <w:t xml:space="preserve"> señaladas en</w:t>
            </w:r>
            <w:r w:rsidR="00613D24">
              <w:rPr>
                <w:rFonts w:ascii="Arial" w:hAnsi="Arial" w:cs="Arial"/>
                <w:bCs/>
                <w:sz w:val="18"/>
                <w:szCs w:val="18"/>
              </w:rPr>
              <w:t xml:space="preserve"> el </w:t>
            </w:r>
            <w:r w:rsidR="00344C6A">
              <w:rPr>
                <w:rFonts w:ascii="Arial" w:hAnsi="Arial" w:cs="Arial"/>
                <w:bCs/>
                <w:sz w:val="18"/>
                <w:szCs w:val="18"/>
              </w:rPr>
              <w:t xml:space="preserve">artículo </w:t>
            </w:r>
            <w:r w:rsidR="00C1056B">
              <w:rPr>
                <w:rFonts w:ascii="Arial" w:hAnsi="Arial" w:cs="Arial"/>
                <w:bCs/>
                <w:sz w:val="18"/>
                <w:szCs w:val="18"/>
              </w:rPr>
              <w:t>2.1.1.3.4. del Decreto 2555 de 2010</w:t>
            </w:r>
            <w:r w:rsidR="00750A67">
              <w:rPr>
                <w:rFonts w:ascii="Arial" w:hAnsi="Arial" w:cs="Arial"/>
                <w:bCs/>
                <w:sz w:val="18"/>
                <w:szCs w:val="18"/>
              </w:rPr>
              <w:t xml:space="preserve"> </w:t>
            </w:r>
            <w:r w:rsidRPr="008E7C17">
              <w:rPr>
                <w:rFonts w:ascii="Arial" w:hAnsi="Arial" w:cs="Arial"/>
                <w:bCs/>
                <w:sz w:val="18"/>
                <w:szCs w:val="18"/>
              </w:rPr>
              <w:t xml:space="preserve">y </w:t>
            </w:r>
            <w:r w:rsidR="00F10382">
              <w:rPr>
                <w:rFonts w:ascii="Arial" w:hAnsi="Arial" w:cs="Arial"/>
                <w:bCs/>
                <w:sz w:val="18"/>
                <w:szCs w:val="18"/>
              </w:rPr>
              <w:t>las d</w:t>
            </w:r>
            <w:r w:rsidRPr="008E7C17">
              <w:rPr>
                <w:rFonts w:ascii="Arial" w:hAnsi="Arial" w:cs="Arial"/>
                <w:bCs/>
                <w:sz w:val="18"/>
                <w:szCs w:val="18"/>
              </w:rPr>
              <w:t>el Capítulo XIII-1</w:t>
            </w:r>
            <w:r>
              <w:rPr>
                <w:rFonts w:ascii="Arial" w:hAnsi="Arial" w:cs="Arial"/>
                <w:bCs/>
                <w:sz w:val="18"/>
                <w:szCs w:val="18"/>
              </w:rPr>
              <w:t>6</w:t>
            </w:r>
            <w:r w:rsidRPr="008E7C17">
              <w:rPr>
                <w:rFonts w:ascii="Arial" w:hAnsi="Arial" w:cs="Arial"/>
                <w:bCs/>
                <w:sz w:val="18"/>
                <w:szCs w:val="18"/>
              </w:rPr>
              <w:t xml:space="preserve"> de la </w:t>
            </w:r>
            <w:r w:rsidR="00BA44B5">
              <w:rPr>
                <w:rFonts w:ascii="Arial" w:hAnsi="Arial" w:cs="Arial"/>
                <w:bCs/>
                <w:sz w:val="18"/>
                <w:szCs w:val="18"/>
              </w:rPr>
              <w:t>CBC</w:t>
            </w:r>
            <w:r w:rsidR="006B2A6E">
              <w:rPr>
                <w:rFonts w:ascii="Arial" w:hAnsi="Arial" w:cs="Arial"/>
                <w:bCs/>
                <w:sz w:val="18"/>
                <w:szCs w:val="18"/>
              </w:rPr>
              <w:t>F</w:t>
            </w:r>
            <w:r w:rsidRPr="008E7C17">
              <w:rPr>
                <w:rFonts w:ascii="Arial" w:hAnsi="Arial" w:cs="Arial"/>
                <w:bCs/>
                <w:sz w:val="18"/>
                <w:szCs w:val="18"/>
              </w:rPr>
              <w:t xml:space="preserve">. </w:t>
            </w:r>
          </w:p>
        </w:tc>
      </w:tr>
      <w:tr w:rsidR="00423A20" w:rsidRPr="008E7C17" w14:paraId="3486F67B" w14:textId="77777777" w:rsidTr="008965DE">
        <w:tc>
          <w:tcPr>
            <w:tcW w:w="393" w:type="pct"/>
            <w:vAlign w:val="center"/>
          </w:tcPr>
          <w:p w14:paraId="3297A8CE" w14:textId="14910C0A" w:rsidR="00423A20" w:rsidRPr="00D12343" w:rsidRDefault="00423A20" w:rsidP="00423A20">
            <w:pPr>
              <w:rPr>
                <w:rFonts w:ascii="Arial" w:hAnsi="Arial" w:cs="Arial"/>
                <w:sz w:val="18"/>
                <w:szCs w:val="18"/>
              </w:rPr>
            </w:pPr>
            <w:r w:rsidRPr="00D12343">
              <w:rPr>
                <w:rFonts w:ascii="Arial" w:hAnsi="Arial" w:cs="Arial"/>
                <w:sz w:val="18"/>
                <w:szCs w:val="18"/>
              </w:rPr>
              <w:t>00</w:t>
            </w:r>
            <w:r w:rsidR="00C93DE0" w:rsidRPr="00D12343">
              <w:rPr>
                <w:rFonts w:ascii="Arial" w:hAnsi="Arial" w:cs="Arial"/>
                <w:sz w:val="18"/>
                <w:szCs w:val="18"/>
              </w:rPr>
              <w:t>9</w:t>
            </w:r>
          </w:p>
        </w:tc>
        <w:tc>
          <w:tcPr>
            <w:tcW w:w="532" w:type="pct"/>
            <w:vAlign w:val="center"/>
          </w:tcPr>
          <w:p w14:paraId="7F33B26F" w14:textId="267AB56B" w:rsidR="00423A20" w:rsidRPr="008E7C17" w:rsidRDefault="00114F7C" w:rsidP="00423A20">
            <w:pPr>
              <w:rPr>
                <w:rFonts w:ascii="Arial" w:hAnsi="Arial" w:cs="Arial"/>
                <w:sz w:val="18"/>
                <w:szCs w:val="18"/>
              </w:rPr>
            </w:pPr>
            <w:r>
              <w:rPr>
                <w:rFonts w:ascii="Arial" w:hAnsi="Arial" w:cs="Arial"/>
                <w:sz w:val="18"/>
                <w:szCs w:val="18"/>
              </w:rPr>
              <w:t>Saldo</w:t>
            </w:r>
            <w:r w:rsidR="00423A20" w:rsidRPr="008E7C17">
              <w:rPr>
                <w:rFonts w:ascii="Arial" w:hAnsi="Arial" w:cs="Arial"/>
                <w:sz w:val="18"/>
                <w:szCs w:val="18"/>
              </w:rPr>
              <w:t xml:space="preserve"> total de las inversiones</w:t>
            </w:r>
          </w:p>
        </w:tc>
        <w:tc>
          <w:tcPr>
            <w:tcW w:w="4075" w:type="pct"/>
            <w:vAlign w:val="center"/>
          </w:tcPr>
          <w:p w14:paraId="7D515717" w14:textId="5FC88C5C" w:rsidR="00423A20" w:rsidRDefault="00423A20" w:rsidP="00423A20">
            <w:pPr>
              <w:jc w:val="both"/>
              <w:rPr>
                <w:rFonts w:ascii="Arial" w:hAnsi="Arial" w:cs="Arial"/>
                <w:sz w:val="18"/>
                <w:szCs w:val="18"/>
              </w:rPr>
            </w:pPr>
            <w:r w:rsidRPr="008E7C17">
              <w:rPr>
                <w:rFonts w:ascii="Arial" w:hAnsi="Arial" w:cs="Arial"/>
                <w:sz w:val="18"/>
                <w:szCs w:val="18"/>
              </w:rPr>
              <w:t xml:space="preserve">Registre </w:t>
            </w:r>
            <w:r w:rsidR="00D71B93">
              <w:rPr>
                <w:rFonts w:ascii="Arial" w:hAnsi="Arial" w:cs="Arial"/>
                <w:sz w:val="18"/>
                <w:szCs w:val="18"/>
              </w:rPr>
              <w:t>el</w:t>
            </w:r>
            <w:r w:rsidR="00250BFC">
              <w:rPr>
                <w:rFonts w:ascii="Arial" w:hAnsi="Arial" w:cs="Arial"/>
                <w:sz w:val="18"/>
                <w:szCs w:val="18"/>
              </w:rPr>
              <w:t xml:space="preserve"> saldo</w:t>
            </w:r>
            <w:r w:rsidR="00D71B93">
              <w:rPr>
                <w:rFonts w:ascii="Arial" w:hAnsi="Arial" w:cs="Arial"/>
                <w:sz w:val="18"/>
                <w:szCs w:val="18"/>
              </w:rPr>
              <w:t xml:space="preserve"> total de inversiones </w:t>
            </w:r>
            <w:r w:rsidR="00501A83">
              <w:rPr>
                <w:rFonts w:ascii="Arial" w:hAnsi="Arial" w:cs="Arial"/>
                <w:sz w:val="18"/>
                <w:szCs w:val="18"/>
              </w:rPr>
              <w:t>con</w:t>
            </w:r>
            <w:r w:rsidR="00C405DA">
              <w:rPr>
                <w:rFonts w:ascii="Arial" w:hAnsi="Arial" w:cs="Arial"/>
                <w:sz w:val="18"/>
                <w:szCs w:val="18"/>
              </w:rPr>
              <w:t xml:space="preserve"> </w:t>
            </w:r>
            <w:r w:rsidR="00831DA5">
              <w:rPr>
                <w:rFonts w:ascii="Arial" w:hAnsi="Arial" w:cs="Arial"/>
                <w:sz w:val="18"/>
                <w:szCs w:val="18"/>
              </w:rPr>
              <w:t>la contraparte</w:t>
            </w:r>
            <w:r w:rsidR="005A5DBF" w:rsidRPr="008E7C17">
              <w:rPr>
                <w:rFonts w:ascii="Arial" w:hAnsi="Arial" w:cs="Arial"/>
                <w:sz w:val="18"/>
                <w:szCs w:val="18"/>
              </w:rPr>
              <w:t xml:space="preserve">. </w:t>
            </w:r>
            <w:r w:rsidR="00A5228D">
              <w:rPr>
                <w:rFonts w:ascii="Arial" w:hAnsi="Arial" w:cs="Arial"/>
                <w:sz w:val="18"/>
                <w:szCs w:val="18"/>
              </w:rPr>
              <w:t>Lo anterior incluye las inversiones en acciones, bonos, papeles comerciales, certificado de depósito de mercancías, cualquier título o derecho resultante de un proceso de titularización, cualquier título representativo de capital de riesgo, los certificados de depósito a término, las aceptaciones bancarias, las cédulas hipotecarias</w:t>
            </w:r>
            <w:r w:rsidR="000F4E17">
              <w:rPr>
                <w:rFonts w:ascii="Arial" w:hAnsi="Arial" w:cs="Arial"/>
                <w:sz w:val="18"/>
                <w:szCs w:val="18"/>
              </w:rPr>
              <w:t>, entre otros</w:t>
            </w:r>
          </w:p>
        </w:tc>
      </w:tr>
      <w:tr w:rsidR="00423A20" w:rsidRPr="008E7C17" w14:paraId="30EC1EFA" w14:textId="77777777" w:rsidTr="008965DE">
        <w:tc>
          <w:tcPr>
            <w:tcW w:w="393" w:type="pct"/>
            <w:vAlign w:val="center"/>
          </w:tcPr>
          <w:p w14:paraId="44341BFF" w14:textId="3E9C1D49" w:rsidR="00423A20" w:rsidRPr="00D12343" w:rsidRDefault="00423A20" w:rsidP="00423A20">
            <w:pPr>
              <w:rPr>
                <w:rFonts w:ascii="Arial" w:hAnsi="Arial" w:cs="Arial"/>
                <w:sz w:val="18"/>
                <w:szCs w:val="18"/>
              </w:rPr>
            </w:pPr>
            <w:r w:rsidRPr="00D12343">
              <w:rPr>
                <w:rFonts w:ascii="Arial" w:hAnsi="Arial" w:cs="Arial"/>
                <w:sz w:val="18"/>
                <w:szCs w:val="18"/>
              </w:rPr>
              <w:t>0</w:t>
            </w:r>
            <w:r w:rsidR="00474364" w:rsidRPr="00D12343">
              <w:rPr>
                <w:rFonts w:ascii="Arial" w:hAnsi="Arial" w:cs="Arial"/>
                <w:sz w:val="18"/>
                <w:szCs w:val="18"/>
              </w:rPr>
              <w:t>10</w:t>
            </w:r>
          </w:p>
        </w:tc>
        <w:tc>
          <w:tcPr>
            <w:tcW w:w="532" w:type="pct"/>
            <w:vAlign w:val="center"/>
          </w:tcPr>
          <w:p w14:paraId="1E22DE94" w14:textId="7E73B4BC" w:rsidR="00423A20" w:rsidRPr="008E7C17" w:rsidRDefault="00423A20" w:rsidP="00423A20">
            <w:pPr>
              <w:rPr>
                <w:rFonts w:ascii="Arial" w:hAnsi="Arial" w:cs="Arial"/>
                <w:sz w:val="18"/>
                <w:szCs w:val="18"/>
              </w:rPr>
            </w:pPr>
            <w:r>
              <w:rPr>
                <w:rFonts w:ascii="Arial" w:hAnsi="Arial" w:cs="Arial"/>
                <w:sz w:val="18"/>
                <w:szCs w:val="18"/>
              </w:rPr>
              <w:t xml:space="preserve">Valor de exposición </w:t>
            </w:r>
            <w:r w:rsidRPr="008E7C17">
              <w:rPr>
                <w:rFonts w:ascii="Arial" w:hAnsi="Arial" w:cs="Arial"/>
                <w:sz w:val="18"/>
                <w:szCs w:val="18"/>
              </w:rPr>
              <w:t>de las inversiones</w:t>
            </w:r>
          </w:p>
        </w:tc>
        <w:tc>
          <w:tcPr>
            <w:tcW w:w="4075" w:type="pct"/>
            <w:vAlign w:val="center"/>
          </w:tcPr>
          <w:p w14:paraId="3AC19E8B" w14:textId="3C2787A9" w:rsidR="00423A20" w:rsidRDefault="00750A67" w:rsidP="00423A20">
            <w:pPr>
              <w:jc w:val="both"/>
              <w:rPr>
                <w:rFonts w:ascii="Arial" w:hAnsi="Arial" w:cs="Arial"/>
                <w:sz w:val="18"/>
                <w:szCs w:val="18"/>
              </w:rPr>
            </w:pPr>
            <w:r w:rsidRPr="008E7C17">
              <w:rPr>
                <w:rFonts w:ascii="Arial" w:hAnsi="Arial" w:cs="Arial"/>
                <w:bCs/>
                <w:sz w:val="18"/>
                <w:szCs w:val="18"/>
              </w:rPr>
              <w:t>Registr</w:t>
            </w:r>
            <w:r>
              <w:rPr>
                <w:rFonts w:ascii="Arial" w:hAnsi="Arial" w:cs="Arial"/>
                <w:bCs/>
                <w:sz w:val="18"/>
                <w:szCs w:val="18"/>
              </w:rPr>
              <w:t>e</w:t>
            </w:r>
            <w:r w:rsidRPr="008E7C17">
              <w:rPr>
                <w:rFonts w:ascii="Arial" w:hAnsi="Arial" w:cs="Arial"/>
                <w:bCs/>
                <w:sz w:val="18"/>
                <w:szCs w:val="18"/>
              </w:rPr>
              <w:t xml:space="preserve"> la suma de los valores de exposición </w:t>
            </w:r>
            <w:r w:rsidR="00D71B93">
              <w:rPr>
                <w:rFonts w:ascii="Arial" w:hAnsi="Arial" w:cs="Arial"/>
                <w:bCs/>
                <w:sz w:val="18"/>
                <w:szCs w:val="18"/>
              </w:rPr>
              <w:t xml:space="preserve">de la </w:t>
            </w:r>
            <w:r w:rsidR="00095DE4">
              <w:rPr>
                <w:rFonts w:ascii="Arial" w:hAnsi="Arial" w:cs="Arial"/>
                <w:bCs/>
                <w:sz w:val="18"/>
                <w:szCs w:val="18"/>
              </w:rPr>
              <w:t>c</w:t>
            </w:r>
            <w:r w:rsidR="004445DD">
              <w:rPr>
                <w:rFonts w:ascii="Arial" w:hAnsi="Arial" w:cs="Arial"/>
                <w:bCs/>
                <w:sz w:val="18"/>
                <w:szCs w:val="18"/>
              </w:rPr>
              <w:t>olumna</w:t>
            </w:r>
            <w:r w:rsidR="00095DE4">
              <w:rPr>
                <w:rFonts w:ascii="Arial" w:hAnsi="Arial" w:cs="Arial"/>
                <w:bCs/>
                <w:sz w:val="18"/>
                <w:szCs w:val="18"/>
              </w:rPr>
              <w:t xml:space="preserve"> </w:t>
            </w:r>
            <w:r w:rsidR="00D71B93">
              <w:rPr>
                <w:rFonts w:ascii="Arial" w:hAnsi="Arial" w:cs="Arial"/>
                <w:bCs/>
                <w:sz w:val="18"/>
                <w:szCs w:val="18"/>
              </w:rPr>
              <w:t>00</w:t>
            </w:r>
            <w:r w:rsidR="00EA2515">
              <w:rPr>
                <w:rFonts w:ascii="Arial" w:hAnsi="Arial" w:cs="Arial"/>
                <w:bCs/>
                <w:sz w:val="18"/>
                <w:szCs w:val="18"/>
              </w:rPr>
              <w:t>9</w:t>
            </w:r>
            <w:r>
              <w:rPr>
                <w:rFonts w:ascii="Arial" w:hAnsi="Arial" w:cs="Arial"/>
                <w:bCs/>
                <w:sz w:val="18"/>
                <w:szCs w:val="18"/>
              </w:rPr>
              <w:t xml:space="preserve">, </w:t>
            </w:r>
            <w:r w:rsidR="007D4480">
              <w:rPr>
                <w:rFonts w:ascii="Arial" w:hAnsi="Arial" w:cs="Arial"/>
                <w:bCs/>
                <w:sz w:val="18"/>
                <w:szCs w:val="18"/>
              </w:rPr>
              <w:t>conforme a las instrucciones y tratamiento de los mitigantes (garantías) señaladas en el</w:t>
            </w:r>
            <w:r>
              <w:rPr>
                <w:rFonts w:ascii="Arial" w:hAnsi="Arial" w:cs="Arial"/>
                <w:bCs/>
                <w:sz w:val="18"/>
                <w:szCs w:val="18"/>
              </w:rPr>
              <w:t xml:space="preserve"> artículo 2.1.1.3.4. del Decreto 2555 de 2010 </w:t>
            </w:r>
            <w:r w:rsidRPr="008E7C17">
              <w:rPr>
                <w:rFonts w:ascii="Arial" w:hAnsi="Arial" w:cs="Arial"/>
                <w:bCs/>
                <w:sz w:val="18"/>
                <w:szCs w:val="18"/>
              </w:rPr>
              <w:t xml:space="preserve">y </w:t>
            </w:r>
            <w:r w:rsidR="007D4480">
              <w:rPr>
                <w:rFonts w:ascii="Arial" w:hAnsi="Arial" w:cs="Arial"/>
                <w:bCs/>
                <w:sz w:val="18"/>
                <w:szCs w:val="18"/>
              </w:rPr>
              <w:t>las d</w:t>
            </w:r>
            <w:r w:rsidRPr="008E7C17">
              <w:rPr>
                <w:rFonts w:ascii="Arial" w:hAnsi="Arial" w:cs="Arial"/>
                <w:bCs/>
                <w:sz w:val="18"/>
                <w:szCs w:val="18"/>
              </w:rPr>
              <w:t>el Capítulo XIII-1</w:t>
            </w:r>
            <w:r>
              <w:rPr>
                <w:rFonts w:ascii="Arial" w:hAnsi="Arial" w:cs="Arial"/>
                <w:bCs/>
                <w:sz w:val="18"/>
                <w:szCs w:val="18"/>
              </w:rPr>
              <w:t>6</w:t>
            </w:r>
            <w:r w:rsidRPr="008E7C17">
              <w:rPr>
                <w:rFonts w:ascii="Arial" w:hAnsi="Arial" w:cs="Arial"/>
                <w:bCs/>
                <w:sz w:val="18"/>
                <w:szCs w:val="18"/>
              </w:rPr>
              <w:t xml:space="preserve"> de la </w:t>
            </w:r>
            <w:r w:rsidR="004445DD">
              <w:rPr>
                <w:rFonts w:ascii="Arial" w:hAnsi="Arial" w:cs="Arial"/>
                <w:bCs/>
                <w:sz w:val="18"/>
                <w:szCs w:val="18"/>
              </w:rPr>
              <w:t>CBCF</w:t>
            </w:r>
            <w:r w:rsidRPr="008E7C17">
              <w:rPr>
                <w:rFonts w:ascii="Arial" w:hAnsi="Arial" w:cs="Arial"/>
                <w:bCs/>
                <w:sz w:val="18"/>
                <w:szCs w:val="18"/>
              </w:rPr>
              <w:t xml:space="preserve">. </w:t>
            </w:r>
          </w:p>
        </w:tc>
      </w:tr>
      <w:tr w:rsidR="00F024E4" w:rsidRPr="008E7C17" w14:paraId="1B1182BD" w14:textId="77777777" w:rsidTr="008965DE">
        <w:tc>
          <w:tcPr>
            <w:tcW w:w="393" w:type="pct"/>
            <w:vAlign w:val="center"/>
          </w:tcPr>
          <w:p w14:paraId="1676E7B4" w14:textId="2488E723" w:rsidR="00F024E4" w:rsidRPr="00D12343" w:rsidRDefault="00A5228D" w:rsidP="005E46A0">
            <w:pPr>
              <w:rPr>
                <w:rFonts w:ascii="Arial" w:hAnsi="Arial" w:cs="Arial"/>
                <w:sz w:val="18"/>
                <w:szCs w:val="18"/>
              </w:rPr>
            </w:pPr>
            <w:r w:rsidRPr="00D12343">
              <w:rPr>
                <w:rFonts w:ascii="Arial" w:hAnsi="Arial" w:cs="Arial"/>
                <w:sz w:val="18"/>
                <w:szCs w:val="18"/>
              </w:rPr>
              <w:t>011</w:t>
            </w:r>
          </w:p>
        </w:tc>
        <w:tc>
          <w:tcPr>
            <w:tcW w:w="532" w:type="pct"/>
            <w:vAlign w:val="center"/>
          </w:tcPr>
          <w:p w14:paraId="6AA3AAAC" w14:textId="19D70C37" w:rsidR="00F024E4" w:rsidRDefault="005078D8" w:rsidP="005E46A0">
            <w:pPr>
              <w:rPr>
                <w:rFonts w:ascii="Arial" w:hAnsi="Arial" w:cs="Arial"/>
                <w:sz w:val="18"/>
                <w:szCs w:val="18"/>
              </w:rPr>
            </w:pPr>
            <w:r>
              <w:rPr>
                <w:rFonts w:ascii="Arial" w:hAnsi="Arial" w:cs="Arial"/>
                <w:sz w:val="18"/>
                <w:szCs w:val="18"/>
              </w:rPr>
              <w:t>Exposición del product</w:t>
            </w:r>
            <w:r w:rsidR="00C84445">
              <w:rPr>
                <w:rFonts w:ascii="Arial" w:hAnsi="Arial" w:cs="Arial"/>
                <w:sz w:val="18"/>
                <w:szCs w:val="18"/>
              </w:rPr>
              <w:t>o estructurado</w:t>
            </w:r>
          </w:p>
        </w:tc>
        <w:tc>
          <w:tcPr>
            <w:tcW w:w="4075" w:type="pct"/>
            <w:vAlign w:val="center"/>
          </w:tcPr>
          <w:p w14:paraId="23D770DD" w14:textId="6E1C4EE2" w:rsidR="00F024E4" w:rsidRPr="008E7C17" w:rsidRDefault="00AB397D" w:rsidP="007B36F3">
            <w:pPr>
              <w:jc w:val="both"/>
              <w:rPr>
                <w:rFonts w:ascii="Arial" w:hAnsi="Arial" w:cs="Arial"/>
                <w:sz w:val="18"/>
                <w:szCs w:val="18"/>
              </w:rPr>
            </w:pPr>
            <w:r>
              <w:rPr>
                <w:rFonts w:ascii="Arial" w:hAnsi="Arial" w:cs="Arial"/>
                <w:sz w:val="18"/>
                <w:szCs w:val="18"/>
              </w:rPr>
              <w:t>Registre la suma de la e</w:t>
            </w:r>
            <w:r w:rsidR="00A0273A" w:rsidRPr="00A0273A">
              <w:rPr>
                <w:rFonts w:ascii="Arial" w:hAnsi="Arial" w:cs="Arial"/>
                <w:sz w:val="18"/>
                <w:szCs w:val="18"/>
              </w:rPr>
              <w:t xml:space="preserve">xposición </w:t>
            </w:r>
            <w:r w:rsidR="00836205">
              <w:rPr>
                <w:rFonts w:ascii="Arial" w:hAnsi="Arial" w:cs="Arial"/>
                <w:sz w:val="18"/>
                <w:szCs w:val="18"/>
              </w:rPr>
              <w:t>de los productos estructurados, l</w:t>
            </w:r>
            <w:r w:rsidR="00CF36BE">
              <w:rPr>
                <w:rFonts w:ascii="Arial" w:hAnsi="Arial" w:cs="Arial"/>
                <w:sz w:val="18"/>
                <w:szCs w:val="18"/>
              </w:rPr>
              <w:t xml:space="preserve">a cual </w:t>
            </w:r>
            <w:r w:rsidR="00333D23">
              <w:rPr>
                <w:rFonts w:ascii="Arial" w:hAnsi="Arial" w:cs="Arial"/>
                <w:sz w:val="18"/>
                <w:szCs w:val="18"/>
              </w:rPr>
              <w:t>considera la suma de</w:t>
            </w:r>
            <w:r w:rsidR="00691F46">
              <w:rPr>
                <w:rFonts w:ascii="Arial" w:hAnsi="Arial" w:cs="Arial"/>
                <w:sz w:val="18"/>
                <w:szCs w:val="18"/>
              </w:rPr>
              <w:t xml:space="preserve">l valor razonable del componente no derivado del producto estructurado y </w:t>
            </w:r>
            <w:r w:rsidR="00F55E8C">
              <w:rPr>
                <w:rFonts w:ascii="Arial" w:hAnsi="Arial" w:cs="Arial"/>
                <w:sz w:val="18"/>
                <w:szCs w:val="18"/>
              </w:rPr>
              <w:t>el costo de reposición de los instrumentos financieros derivados</w:t>
            </w:r>
            <w:r w:rsidR="008E2101">
              <w:rPr>
                <w:rFonts w:ascii="Arial" w:hAnsi="Arial" w:cs="Arial"/>
                <w:sz w:val="18"/>
                <w:szCs w:val="18"/>
              </w:rPr>
              <w:t xml:space="preserve"> del producto estructurado, de acuerdo con las instrucciones del literal a) del numeral 2.4.8 del capítulo XIII </w:t>
            </w:r>
            <w:r w:rsidR="00F13AEC">
              <w:rPr>
                <w:rFonts w:ascii="Arial" w:hAnsi="Arial" w:cs="Arial"/>
                <w:sz w:val="18"/>
                <w:szCs w:val="18"/>
              </w:rPr>
              <w:t>-</w:t>
            </w:r>
            <w:r w:rsidR="008E2101">
              <w:rPr>
                <w:rFonts w:ascii="Arial" w:hAnsi="Arial" w:cs="Arial"/>
                <w:sz w:val="18"/>
                <w:szCs w:val="18"/>
              </w:rPr>
              <w:t>16</w:t>
            </w:r>
            <w:r w:rsidR="007B36F3">
              <w:rPr>
                <w:rFonts w:ascii="Arial" w:hAnsi="Arial" w:cs="Arial"/>
                <w:sz w:val="18"/>
                <w:szCs w:val="18"/>
              </w:rPr>
              <w:t xml:space="preserve"> y </w:t>
            </w:r>
            <w:r>
              <w:rPr>
                <w:rFonts w:ascii="Arial" w:hAnsi="Arial" w:cs="Arial"/>
                <w:sz w:val="18"/>
                <w:szCs w:val="18"/>
              </w:rPr>
              <w:t>el parágrafo 2 del artículo 2.1.1.3.2 del Decreto 2555 de 2010</w:t>
            </w:r>
            <w:r w:rsidR="007B36F3">
              <w:rPr>
                <w:rFonts w:ascii="Arial" w:hAnsi="Arial" w:cs="Arial"/>
                <w:sz w:val="18"/>
                <w:szCs w:val="18"/>
              </w:rPr>
              <w:t>.</w:t>
            </w:r>
          </w:p>
        </w:tc>
      </w:tr>
      <w:tr w:rsidR="005E46A0" w:rsidRPr="008E7C17" w14:paraId="509FDE0E" w14:textId="77777777" w:rsidTr="008965DE">
        <w:tc>
          <w:tcPr>
            <w:tcW w:w="393" w:type="pct"/>
            <w:vAlign w:val="center"/>
          </w:tcPr>
          <w:p w14:paraId="5187CD7A" w14:textId="25D41CD3" w:rsidR="005E46A0" w:rsidRPr="0087285A" w:rsidRDefault="005E46A0" w:rsidP="005E46A0">
            <w:pPr>
              <w:rPr>
                <w:rFonts w:ascii="Arial" w:hAnsi="Arial" w:cs="Arial"/>
                <w:sz w:val="18"/>
                <w:szCs w:val="18"/>
              </w:rPr>
            </w:pPr>
            <w:r w:rsidRPr="0087285A">
              <w:rPr>
                <w:rFonts w:ascii="Arial" w:hAnsi="Arial" w:cs="Arial"/>
                <w:sz w:val="18"/>
                <w:szCs w:val="18"/>
              </w:rPr>
              <w:t>01</w:t>
            </w:r>
            <w:r w:rsidR="00474364" w:rsidRPr="0087285A">
              <w:rPr>
                <w:rFonts w:ascii="Arial" w:hAnsi="Arial" w:cs="Arial"/>
                <w:sz w:val="18"/>
                <w:szCs w:val="18"/>
              </w:rPr>
              <w:t>2</w:t>
            </w:r>
          </w:p>
        </w:tc>
        <w:tc>
          <w:tcPr>
            <w:tcW w:w="532" w:type="pct"/>
            <w:vAlign w:val="center"/>
          </w:tcPr>
          <w:p w14:paraId="61E2A413" w14:textId="7399083E" w:rsidR="005E46A0" w:rsidRPr="008E7C17" w:rsidRDefault="00C84445" w:rsidP="005E46A0">
            <w:pPr>
              <w:rPr>
                <w:rFonts w:ascii="Arial" w:hAnsi="Arial" w:cs="Arial"/>
                <w:sz w:val="18"/>
                <w:szCs w:val="18"/>
              </w:rPr>
            </w:pPr>
            <w:r>
              <w:rPr>
                <w:rFonts w:ascii="Arial" w:hAnsi="Arial" w:cs="Arial"/>
                <w:sz w:val="18"/>
                <w:szCs w:val="18"/>
              </w:rPr>
              <w:t xml:space="preserve">Exposición </w:t>
            </w:r>
            <w:r w:rsidR="007456E4">
              <w:rPr>
                <w:rFonts w:ascii="Arial" w:hAnsi="Arial" w:cs="Arial"/>
                <w:sz w:val="18"/>
                <w:szCs w:val="18"/>
              </w:rPr>
              <w:t xml:space="preserve">crediticia </w:t>
            </w:r>
            <w:r w:rsidR="005E46A0" w:rsidRPr="008E7C17">
              <w:rPr>
                <w:rFonts w:ascii="Arial" w:hAnsi="Arial" w:cs="Arial"/>
                <w:sz w:val="18"/>
                <w:szCs w:val="18"/>
              </w:rPr>
              <w:t xml:space="preserve">de los </w:t>
            </w:r>
            <w:r>
              <w:rPr>
                <w:rFonts w:ascii="Arial" w:hAnsi="Arial" w:cs="Arial"/>
                <w:sz w:val="18"/>
                <w:szCs w:val="18"/>
              </w:rPr>
              <w:t xml:space="preserve">instrumentos financieros </w:t>
            </w:r>
            <w:r w:rsidR="007456E4">
              <w:rPr>
                <w:rFonts w:ascii="Arial" w:hAnsi="Arial" w:cs="Arial"/>
                <w:sz w:val="18"/>
                <w:szCs w:val="18"/>
              </w:rPr>
              <w:t xml:space="preserve">derivados </w:t>
            </w:r>
          </w:p>
        </w:tc>
        <w:tc>
          <w:tcPr>
            <w:tcW w:w="4075" w:type="pct"/>
            <w:vAlign w:val="center"/>
          </w:tcPr>
          <w:p w14:paraId="4EBD562D" w14:textId="43122C4B" w:rsidR="005E46A0" w:rsidRDefault="005E46A0" w:rsidP="005E46A0">
            <w:pPr>
              <w:jc w:val="both"/>
              <w:rPr>
                <w:rFonts w:ascii="Arial" w:hAnsi="Arial" w:cs="Arial"/>
                <w:sz w:val="18"/>
                <w:szCs w:val="18"/>
              </w:rPr>
            </w:pPr>
            <w:r w:rsidRPr="008E7C17">
              <w:rPr>
                <w:rFonts w:ascii="Arial" w:hAnsi="Arial" w:cs="Arial"/>
                <w:sz w:val="18"/>
                <w:szCs w:val="18"/>
              </w:rPr>
              <w:t>Registre la suma de los valores de exposición de los instrumentos financieros de</w:t>
            </w:r>
            <w:r>
              <w:rPr>
                <w:rFonts w:ascii="Arial" w:hAnsi="Arial" w:cs="Arial"/>
                <w:sz w:val="18"/>
                <w:szCs w:val="18"/>
              </w:rPr>
              <w:t>rivados de</w:t>
            </w:r>
            <w:r w:rsidRPr="008E7C17">
              <w:rPr>
                <w:rFonts w:ascii="Arial" w:hAnsi="Arial" w:cs="Arial"/>
                <w:sz w:val="18"/>
                <w:szCs w:val="18"/>
              </w:rPr>
              <w:t xml:space="preserve"> acuerdo con lo dispuesto en el artículo</w:t>
            </w:r>
            <w:r w:rsidR="00726298">
              <w:rPr>
                <w:rFonts w:ascii="Arial" w:hAnsi="Arial" w:cs="Arial"/>
                <w:sz w:val="18"/>
                <w:szCs w:val="18"/>
              </w:rPr>
              <w:t xml:space="preserve"> </w:t>
            </w:r>
            <w:r w:rsidRPr="008E7C17">
              <w:rPr>
                <w:rFonts w:ascii="Arial" w:hAnsi="Arial" w:cs="Arial"/>
                <w:sz w:val="18"/>
                <w:szCs w:val="18"/>
              </w:rPr>
              <w:t>2.35.1.1.1 del Decreto 2555 de 2010</w:t>
            </w:r>
            <w:r w:rsidR="00AB397D">
              <w:rPr>
                <w:rFonts w:ascii="Arial" w:hAnsi="Arial" w:cs="Arial"/>
                <w:sz w:val="18"/>
                <w:szCs w:val="18"/>
              </w:rPr>
              <w:t xml:space="preserve"> y las instrucciones del</w:t>
            </w:r>
            <w:r w:rsidR="004D5CC2">
              <w:rPr>
                <w:rFonts w:ascii="Arial" w:hAnsi="Arial" w:cs="Arial"/>
                <w:sz w:val="18"/>
                <w:szCs w:val="18"/>
              </w:rPr>
              <w:t xml:space="preserve"> numeral 2.4.7 del capítulo XIII-16</w:t>
            </w:r>
            <w:r w:rsidR="00AB397D">
              <w:rPr>
                <w:rFonts w:ascii="Arial" w:hAnsi="Arial" w:cs="Arial"/>
                <w:sz w:val="18"/>
                <w:szCs w:val="18"/>
              </w:rPr>
              <w:t xml:space="preserve"> </w:t>
            </w:r>
          </w:p>
        </w:tc>
      </w:tr>
      <w:tr w:rsidR="005E46A0" w:rsidRPr="008E7C17" w14:paraId="5B937C45" w14:textId="77777777" w:rsidTr="008965DE">
        <w:tc>
          <w:tcPr>
            <w:tcW w:w="393" w:type="pct"/>
            <w:vAlign w:val="center"/>
          </w:tcPr>
          <w:p w14:paraId="57F7D1A1" w14:textId="3FB2BC78" w:rsidR="005E46A0" w:rsidRPr="0087285A" w:rsidRDefault="005E46A0" w:rsidP="005E46A0">
            <w:pPr>
              <w:rPr>
                <w:rFonts w:ascii="Arial" w:hAnsi="Arial" w:cs="Arial"/>
                <w:sz w:val="18"/>
                <w:szCs w:val="18"/>
              </w:rPr>
            </w:pPr>
            <w:r w:rsidRPr="0087285A">
              <w:rPr>
                <w:rFonts w:ascii="Arial" w:hAnsi="Arial" w:cs="Arial"/>
                <w:sz w:val="18"/>
                <w:szCs w:val="18"/>
              </w:rPr>
              <w:t>01</w:t>
            </w:r>
            <w:r w:rsidR="00474364" w:rsidRPr="0087285A">
              <w:rPr>
                <w:rFonts w:ascii="Arial" w:hAnsi="Arial" w:cs="Arial"/>
                <w:sz w:val="18"/>
                <w:szCs w:val="18"/>
              </w:rPr>
              <w:t>3</w:t>
            </w:r>
          </w:p>
        </w:tc>
        <w:tc>
          <w:tcPr>
            <w:tcW w:w="532" w:type="pct"/>
            <w:vAlign w:val="center"/>
          </w:tcPr>
          <w:p w14:paraId="5931F09E" w14:textId="0D5D7639" w:rsidR="005E46A0" w:rsidRPr="008E7C17" w:rsidRDefault="005E46A0" w:rsidP="005E46A0">
            <w:pPr>
              <w:rPr>
                <w:rFonts w:ascii="Arial" w:hAnsi="Arial" w:cs="Arial"/>
                <w:sz w:val="18"/>
                <w:szCs w:val="18"/>
              </w:rPr>
            </w:pPr>
            <w:r>
              <w:rPr>
                <w:rFonts w:ascii="Arial" w:hAnsi="Arial" w:cs="Arial"/>
                <w:sz w:val="18"/>
                <w:szCs w:val="18"/>
              </w:rPr>
              <w:t>Valor de exposición</w:t>
            </w:r>
            <w:r w:rsidRPr="008E7C17">
              <w:rPr>
                <w:rFonts w:ascii="Arial" w:hAnsi="Arial" w:cs="Arial"/>
                <w:sz w:val="18"/>
                <w:szCs w:val="18"/>
              </w:rPr>
              <w:t xml:space="preserve"> de los repos, simultáneas y TTV</w:t>
            </w:r>
          </w:p>
        </w:tc>
        <w:tc>
          <w:tcPr>
            <w:tcW w:w="4075" w:type="pct"/>
            <w:vAlign w:val="center"/>
          </w:tcPr>
          <w:p w14:paraId="6BE8C326" w14:textId="3746FB29" w:rsidR="005E46A0" w:rsidRDefault="005E46A0" w:rsidP="00656F14">
            <w:pPr>
              <w:jc w:val="both"/>
              <w:rPr>
                <w:rFonts w:ascii="Arial" w:hAnsi="Arial" w:cs="Arial"/>
                <w:sz w:val="18"/>
                <w:szCs w:val="18"/>
              </w:rPr>
            </w:pPr>
            <w:r>
              <w:rPr>
                <w:rFonts w:ascii="Arial" w:hAnsi="Arial" w:cs="Arial"/>
                <w:sz w:val="18"/>
                <w:szCs w:val="18"/>
              </w:rPr>
              <w:t>Registre</w:t>
            </w:r>
            <w:r w:rsidR="00134A1F">
              <w:rPr>
                <w:rFonts w:ascii="Arial" w:hAnsi="Arial" w:cs="Arial"/>
                <w:sz w:val="18"/>
                <w:szCs w:val="18"/>
              </w:rPr>
              <w:t xml:space="preserve"> la exposición de acuerdo con el parágrafo </w:t>
            </w:r>
            <w:r w:rsidR="005A40A0">
              <w:rPr>
                <w:rFonts w:ascii="Arial" w:hAnsi="Arial" w:cs="Arial"/>
                <w:sz w:val="18"/>
                <w:szCs w:val="18"/>
              </w:rPr>
              <w:t>5</w:t>
            </w:r>
            <w:r w:rsidR="00CD2C1A">
              <w:rPr>
                <w:rFonts w:ascii="Arial" w:hAnsi="Arial" w:cs="Arial"/>
                <w:sz w:val="18"/>
                <w:szCs w:val="18"/>
              </w:rPr>
              <w:t xml:space="preserve"> </w:t>
            </w:r>
            <w:r w:rsidR="005A40A0">
              <w:rPr>
                <w:rFonts w:ascii="Arial" w:hAnsi="Arial" w:cs="Arial"/>
                <w:sz w:val="18"/>
                <w:szCs w:val="18"/>
              </w:rPr>
              <w:t>y 6 del art 2.1.1.3.4</w:t>
            </w:r>
            <w:r w:rsidR="00AF16DC">
              <w:rPr>
                <w:rFonts w:ascii="Arial" w:hAnsi="Arial" w:cs="Arial"/>
                <w:sz w:val="18"/>
                <w:szCs w:val="18"/>
              </w:rPr>
              <w:t xml:space="preserve"> del Decreto 2555 de 2010</w:t>
            </w:r>
            <w:r w:rsidR="005A40A0">
              <w:rPr>
                <w:rFonts w:ascii="Arial" w:hAnsi="Arial" w:cs="Arial"/>
                <w:sz w:val="18"/>
                <w:szCs w:val="18"/>
              </w:rPr>
              <w:t>.</w:t>
            </w:r>
            <w:r>
              <w:rPr>
                <w:rFonts w:ascii="Arial" w:hAnsi="Arial" w:cs="Arial"/>
                <w:sz w:val="18"/>
                <w:szCs w:val="18"/>
              </w:rPr>
              <w:t xml:space="preserve"> </w:t>
            </w:r>
          </w:p>
        </w:tc>
      </w:tr>
      <w:tr w:rsidR="005E46A0" w:rsidRPr="008E7C17" w14:paraId="59FDF3CC" w14:textId="77777777" w:rsidTr="008965DE">
        <w:tc>
          <w:tcPr>
            <w:tcW w:w="393" w:type="pct"/>
            <w:vAlign w:val="center"/>
          </w:tcPr>
          <w:p w14:paraId="2DA442CE" w14:textId="391E22B8" w:rsidR="005E46A0" w:rsidRPr="0087285A" w:rsidRDefault="005E46A0" w:rsidP="005E46A0">
            <w:pPr>
              <w:rPr>
                <w:rFonts w:ascii="Arial" w:hAnsi="Arial" w:cs="Arial"/>
                <w:sz w:val="18"/>
                <w:szCs w:val="18"/>
              </w:rPr>
            </w:pPr>
            <w:r w:rsidRPr="0087285A">
              <w:rPr>
                <w:rFonts w:ascii="Arial" w:hAnsi="Arial" w:cs="Arial"/>
                <w:sz w:val="18"/>
                <w:szCs w:val="18"/>
              </w:rPr>
              <w:t>01</w:t>
            </w:r>
            <w:r w:rsidR="00A5228D" w:rsidRPr="0087285A">
              <w:rPr>
                <w:rFonts w:ascii="Arial" w:hAnsi="Arial" w:cs="Arial"/>
                <w:sz w:val="18"/>
                <w:szCs w:val="18"/>
              </w:rPr>
              <w:t>4</w:t>
            </w:r>
          </w:p>
        </w:tc>
        <w:tc>
          <w:tcPr>
            <w:tcW w:w="532" w:type="pct"/>
            <w:vAlign w:val="center"/>
          </w:tcPr>
          <w:p w14:paraId="11A3AD22" w14:textId="6A395CD4" w:rsidR="005E46A0" w:rsidRPr="008E7C17" w:rsidRDefault="005E46A0" w:rsidP="005E46A0">
            <w:pPr>
              <w:rPr>
                <w:rFonts w:ascii="Arial" w:hAnsi="Arial" w:cs="Arial"/>
                <w:sz w:val="18"/>
                <w:szCs w:val="18"/>
              </w:rPr>
            </w:pPr>
            <w:r w:rsidRPr="008E7C17">
              <w:rPr>
                <w:rFonts w:ascii="Arial" w:hAnsi="Arial" w:cs="Arial"/>
                <w:sz w:val="18"/>
                <w:szCs w:val="18"/>
              </w:rPr>
              <w:t>Valor de exposición de las contingencias</w:t>
            </w:r>
          </w:p>
        </w:tc>
        <w:tc>
          <w:tcPr>
            <w:tcW w:w="4075" w:type="pct"/>
            <w:vAlign w:val="center"/>
          </w:tcPr>
          <w:p w14:paraId="025590FD" w14:textId="3ED94CD2" w:rsidR="005E46A0" w:rsidRDefault="005E46A0" w:rsidP="00656F14">
            <w:pPr>
              <w:jc w:val="both"/>
              <w:rPr>
                <w:rFonts w:ascii="Arial" w:hAnsi="Arial" w:cs="Arial"/>
                <w:sz w:val="18"/>
                <w:szCs w:val="18"/>
              </w:rPr>
            </w:pPr>
            <w:r w:rsidRPr="008E7C17">
              <w:rPr>
                <w:rFonts w:ascii="Arial" w:hAnsi="Arial" w:cs="Arial"/>
                <w:sz w:val="18"/>
                <w:szCs w:val="18"/>
              </w:rPr>
              <w:t xml:space="preserve">Registre la suma del valor de exposición de las contingencias que tenga </w:t>
            </w:r>
            <w:r>
              <w:rPr>
                <w:rFonts w:ascii="Arial" w:hAnsi="Arial" w:cs="Arial"/>
                <w:sz w:val="18"/>
                <w:szCs w:val="18"/>
              </w:rPr>
              <w:t>la contraparte</w:t>
            </w:r>
            <w:r w:rsidRPr="008E7C17">
              <w:rPr>
                <w:rFonts w:ascii="Arial" w:hAnsi="Arial" w:cs="Arial"/>
                <w:sz w:val="18"/>
                <w:szCs w:val="18"/>
              </w:rPr>
              <w:t xml:space="preserve"> con la entidad</w:t>
            </w:r>
            <w:r>
              <w:rPr>
                <w:rFonts w:ascii="Arial" w:hAnsi="Arial" w:cs="Arial"/>
                <w:sz w:val="18"/>
                <w:szCs w:val="18"/>
              </w:rPr>
              <w:t>,</w:t>
            </w:r>
            <w:r w:rsidRPr="008E7C17">
              <w:rPr>
                <w:rFonts w:ascii="Arial" w:hAnsi="Arial" w:cs="Arial"/>
                <w:sz w:val="18"/>
                <w:szCs w:val="18"/>
              </w:rPr>
              <w:t xml:space="preserve"> de acuerdo con el artículo 2.1.1.3.5 del Decreto 2555 de 2010</w:t>
            </w:r>
            <w:r w:rsidR="00065390">
              <w:rPr>
                <w:rFonts w:ascii="Arial" w:hAnsi="Arial" w:cs="Arial"/>
                <w:sz w:val="18"/>
                <w:szCs w:val="18"/>
              </w:rPr>
              <w:t xml:space="preserve">, </w:t>
            </w:r>
            <w:r w:rsidR="005636FD">
              <w:rPr>
                <w:rFonts w:ascii="Arial" w:hAnsi="Arial" w:cs="Arial"/>
                <w:sz w:val="18"/>
                <w:szCs w:val="18"/>
              </w:rPr>
              <w:t xml:space="preserve">así como </w:t>
            </w:r>
            <w:r w:rsidR="000D608D">
              <w:rPr>
                <w:rFonts w:ascii="Arial" w:hAnsi="Arial" w:cs="Arial"/>
                <w:sz w:val="18"/>
                <w:szCs w:val="18"/>
              </w:rPr>
              <w:t>l</w:t>
            </w:r>
            <w:r w:rsidR="00432294">
              <w:rPr>
                <w:rFonts w:ascii="Arial" w:hAnsi="Arial" w:cs="Arial"/>
                <w:sz w:val="18"/>
                <w:szCs w:val="18"/>
              </w:rPr>
              <w:t xml:space="preserve">os sustitutos directos de créditos revocables </w:t>
            </w:r>
            <w:r w:rsidR="005636FD">
              <w:rPr>
                <w:rFonts w:ascii="Arial" w:hAnsi="Arial" w:cs="Arial"/>
                <w:sz w:val="18"/>
                <w:szCs w:val="18"/>
              </w:rPr>
              <w:t>e</w:t>
            </w:r>
            <w:r w:rsidR="00432294">
              <w:rPr>
                <w:rFonts w:ascii="Arial" w:hAnsi="Arial" w:cs="Arial"/>
                <w:sz w:val="18"/>
                <w:szCs w:val="18"/>
              </w:rPr>
              <w:t xml:space="preserve"> </w:t>
            </w:r>
            <w:r w:rsidR="005636FD">
              <w:rPr>
                <w:rFonts w:ascii="Arial" w:hAnsi="Arial" w:cs="Arial"/>
                <w:sz w:val="18"/>
                <w:szCs w:val="18"/>
              </w:rPr>
              <w:t>ir</w:t>
            </w:r>
            <w:r w:rsidR="00432294">
              <w:rPr>
                <w:rFonts w:ascii="Arial" w:hAnsi="Arial" w:cs="Arial"/>
                <w:sz w:val="18"/>
                <w:szCs w:val="18"/>
              </w:rPr>
              <w:t xml:space="preserve">revocables emitidos por la entidad </w:t>
            </w:r>
            <w:r w:rsidR="005636FD">
              <w:rPr>
                <w:rFonts w:ascii="Arial" w:hAnsi="Arial" w:cs="Arial"/>
                <w:sz w:val="18"/>
                <w:szCs w:val="18"/>
              </w:rPr>
              <w:t>reportante citados en esta norma</w:t>
            </w:r>
            <w:r w:rsidR="00065390">
              <w:rPr>
                <w:rFonts w:ascii="Arial" w:hAnsi="Arial" w:cs="Arial"/>
                <w:sz w:val="18"/>
                <w:szCs w:val="18"/>
              </w:rPr>
              <w:t xml:space="preserve"> </w:t>
            </w:r>
          </w:p>
          <w:p w14:paraId="4F35B217" w14:textId="27A7DDA7" w:rsidR="005E46A0" w:rsidRDefault="005E46A0" w:rsidP="00656F14">
            <w:pPr>
              <w:jc w:val="both"/>
              <w:rPr>
                <w:rFonts w:ascii="Arial" w:hAnsi="Arial" w:cs="Arial"/>
                <w:sz w:val="18"/>
                <w:szCs w:val="18"/>
              </w:rPr>
            </w:pPr>
            <w:r>
              <w:rPr>
                <w:rFonts w:ascii="Arial" w:hAnsi="Arial" w:cs="Arial"/>
                <w:sz w:val="18"/>
                <w:szCs w:val="18"/>
              </w:rPr>
              <w:t>El valor de exposición se determinará multiplicando el valor nominal de la contingencia, neto de provisiones, por el factor de conversión crediticio correspondiente a dicha operación.</w:t>
            </w:r>
          </w:p>
        </w:tc>
      </w:tr>
      <w:tr w:rsidR="00685C0E" w:rsidRPr="008E7C17" w14:paraId="02A560A3" w14:textId="77777777" w:rsidTr="008965DE">
        <w:tc>
          <w:tcPr>
            <w:tcW w:w="393" w:type="pct"/>
            <w:vAlign w:val="center"/>
          </w:tcPr>
          <w:p w14:paraId="4A910715" w14:textId="5426C9FB" w:rsidR="00685C0E" w:rsidRPr="0087285A" w:rsidRDefault="008659FC" w:rsidP="005E46A0">
            <w:pPr>
              <w:rPr>
                <w:rFonts w:ascii="Arial" w:hAnsi="Arial" w:cs="Arial"/>
                <w:sz w:val="18"/>
                <w:szCs w:val="18"/>
              </w:rPr>
            </w:pPr>
            <w:r w:rsidRPr="0087285A">
              <w:rPr>
                <w:rFonts w:ascii="Arial" w:hAnsi="Arial" w:cs="Arial"/>
                <w:sz w:val="18"/>
                <w:szCs w:val="18"/>
              </w:rPr>
              <w:t>01</w:t>
            </w:r>
            <w:r w:rsidR="00A5228D" w:rsidRPr="0087285A">
              <w:rPr>
                <w:rFonts w:ascii="Arial" w:hAnsi="Arial" w:cs="Arial"/>
                <w:sz w:val="18"/>
                <w:szCs w:val="18"/>
              </w:rPr>
              <w:t>5</w:t>
            </w:r>
          </w:p>
        </w:tc>
        <w:tc>
          <w:tcPr>
            <w:tcW w:w="532" w:type="pct"/>
            <w:vAlign w:val="center"/>
          </w:tcPr>
          <w:p w14:paraId="38C97BB5" w14:textId="0FD915DC" w:rsidR="00685C0E" w:rsidRPr="008E7C17" w:rsidRDefault="00585DD1" w:rsidP="005E46A0">
            <w:pPr>
              <w:rPr>
                <w:rFonts w:ascii="Arial" w:hAnsi="Arial" w:cs="Arial"/>
                <w:sz w:val="18"/>
                <w:szCs w:val="18"/>
              </w:rPr>
            </w:pPr>
            <w:r>
              <w:rPr>
                <w:rFonts w:ascii="Arial" w:hAnsi="Arial" w:cs="Arial"/>
                <w:sz w:val="18"/>
                <w:szCs w:val="18"/>
              </w:rPr>
              <w:t>Saldo total de otros activos</w:t>
            </w:r>
          </w:p>
        </w:tc>
        <w:tc>
          <w:tcPr>
            <w:tcW w:w="4075" w:type="pct"/>
            <w:vAlign w:val="center"/>
          </w:tcPr>
          <w:p w14:paraId="249BA8BF" w14:textId="074D47DC" w:rsidR="00685C0E" w:rsidRPr="008E7C17" w:rsidRDefault="00585DD1" w:rsidP="005E46A0">
            <w:pPr>
              <w:jc w:val="both"/>
              <w:rPr>
                <w:rFonts w:ascii="Arial" w:hAnsi="Arial" w:cs="Arial"/>
                <w:sz w:val="18"/>
                <w:szCs w:val="18"/>
              </w:rPr>
            </w:pPr>
            <w:r>
              <w:rPr>
                <w:rFonts w:ascii="Arial" w:hAnsi="Arial" w:cs="Arial"/>
                <w:sz w:val="18"/>
                <w:szCs w:val="18"/>
              </w:rPr>
              <w:t xml:space="preserve">Registre la suma del salto total </w:t>
            </w:r>
            <w:r w:rsidR="00891545">
              <w:rPr>
                <w:rFonts w:ascii="Arial" w:hAnsi="Arial" w:cs="Arial"/>
                <w:sz w:val="18"/>
                <w:szCs w:val="18"/>
              </w:rPr>
              <w:t xml:space="preserve">neto de provisiones </w:t>
            </w:r>
            <w:r>
              <w:rPr>
                <w:rFonts w:ascii="Arial" w:hAnsi="Arial" w:cs="Arial"/>
                <w:sz w:val="18"/>
                <w:szCs w:val="18"/>
              </w:rPr>
              <w:t xml:space="preserve">de cualquier otro activo que no se contemple en las </w:t>
            </w:r>
            <w:r w:rsidR="006D6137">
              <w:rPr>
                <w:rFonts w:ascii="Arial" w:hAnsi="Arial" w:cs="Arial"/>
                <w:sz w:val="18"/>
                <w:szCs w:val="18"/>
              </w:rPr>
              <w:t xml:space="preserve">columnas </w:t>
            </w:r>
            <w:r>
              <w:rPr>
                <w:rFonts w:ascii="Arial" w:hAnsi="Arial" w:cs="Arial"/>
                <w:sz w:val="18"/>
                <w:szCs w:val="18"/>
              </w:rPr>
              <w:t>anteriores</w:t>
            </w:r>
            <w:r w:rsidR="0031764D">
              <w:rPr>
                <w:rFonts w:ascii="Arial" w:hAnsi="Arial" w:cs="Arial"/>
                <w:sz w:val="18"/>
                <w:szCs w:val="18"/>
              </w:rPr>
              <w:t>.</w:t>
            </w:r>
          </w:p>
        </w:tc>
      </w:tr>
      <w:tr w:rsidR="005E46A0" w:rsidRPr="008E7C17" w14:paraId="5A6A1E57" w14:textId="77777777" w:rsidTr="008965DE">
        <w:tc>
          <w:tcPr>
            <w:tcW w:w="393" w:type="pct"/>
            <w:vAlign w:val="center"/>
          </w:tcPr>
          <w:p w14:paraId="01E05F96" w14:textId="26F4D0AD" w:rsidR="005E46A0" w:rsidRPr="0087285A" w:rsidRDefault="005E46A0" w:rsidP="005E46A0">
            <w:pPr>
              <w:rPr>
                <w:rFonts w:ascii="Arial" w:hAnsi="Arial" w:cs="Arial"/>
                <w:sz w:val="18"/>
                <w:szCs w:val="18"/>
              </w:rPr>
            </w:pPr>
            <w:r w:rsidRPr="0087285A">
              <w:rPr>
                <w:rFonts w:ascii="Arial" w:hAnsi="Arial" w:cs="Arial"/>
                <w:sz w:val="18"/>
                <w:szCs w:val="18"/>
              </w:rPr>
              <w:t>01</w:t>
            </w:r>
            <w:r w:rsidR="00A5228D" w:rsidRPr="0087285A">
              <w:rPr>
                <w:rFonts w:ascii="Arial" w:hAnsi="Arial" w:cs="Arial"/>
                <w:sz w:val="18"/>
                <w:szCs w:val="18"/>
              </w:rPr>
              <w:t>6</w:t>
            </w:r>
          </w:p>
        </w:tc>
        <w:tc>
          <w:tcPr>
            <w:tcW w:w="532" w:type="pct"/>
            <w:vAlign w:val="center"/>
          </w:tcPr>
          <w:p w14:paraId="17BFA62E" w14:textId="4D1ADE49" w:rsidR="00486968" w:rsidRPr="008E7C17" w:rsidRDefault="005E46A0" w:rsidP="005E46A0">
            <w:pPr>
              <w:rPr>
                <w:rFonts w:ascii="Arial" w:hAnsi="Arial" w:cs="Arial"/>
                <w:sz w:val="18"/>
                <w:szCs w:val="18"/>
              </w:rPr>
            </w:pPr>
            <w:r w:rsidRPr="008E7C17">
              <w:rPr>
                <w:rFonts w:ascii="Arial" w:hAnsi="Arial" w:cs="Arial"/>
                <w:sz w:val="18"/>
                <w:szCs w:val="18"/>
              </w:rPr>
              <w:t>Valor de exposición de otros</w:t>
            </w:r>
            <w:r w:rsidR="00486968">
              <w:rPr>
                <w:rFonts w:ascii="Arial" w:hAnsi="Arial" w:cs="Arial"/>
                <w:sz w:val="18"/>
                <w:szCs w:val="18"/>
              </w:rPr>
              <w:t xml:space="preserve"> activos</w:t>
            </w:r>
          </w:p>
        </w:tc>
        <w:tc>
          <w:tcPr>
            <w:tcW w:w="4075" w:type="pct"/>
            <w:vAlign w:val="center"/>
          </w:tcPr>
          <w:p w14:paraId="2E56FE64" w14:textId="02C888C4" w:rsidR="005E46A0" w:rsidRDefault="005E46A0" w:rsidP="005E46A0">
            <w:pPr>
              <w:jc w:val="both"/>
              <w:rPr>
                <w:rFonts w:ascii="Arial" w:hAnsi="Arial" w:cs="Arial"/>
                <w:sz w:val="18"/>
                <w:szCs w:val="18"/>
              </w:rPr>
            </w:pPr>
            <w:r w:rsidRPr="008E7C17">
              <w:rPr>
                <w:rFonts w:ascii="Arial" w:hAnsi="Arial" w:cs="Arial"/>
                <w:sz w:val="18"/>
                <w:szCs w:val="18"/>
              </w:rPr>
              <w:t xml:space="preserve">Registre el valor de exposición de </w:t>
            </w:r>
            <w:r w:rsidR="008659FC">
              <w:rPr>
                <w:rFonts w:ascii="Arial" w:hAnsi="Arial" w:cs="Arial"/>
                <w:sz w:val="18"/>
                <w:szCs w:val="18"/>
              </w:rPr>
              <w:t xml:space="preserve">los activos de la </w:t>
            </w:r>
            <w:r w:rsidR="00CD2C1A">
              <w:rPr>
                <w:rFonts w:ascii="Arial" w:hAnsi="Arial" w:cs="Arial"/>
                <w:sz w:val="18"/>
                <w:szCs w:val="18"/>
              </w:rPr>
              <w:t>c</w:t>
            </w:r>
            <w:r w:rsidR="00A23936">
              <w:rPr>
                <w:rFonts w:ascii="Arial" w:hAnsi="Arial" w:cs="Arial"/>
                <w:sz w:val="18"/>
                <w:szCs w:val="18"/>
              </w:rPr>
              <w:t>olumna</w:t>
            </w:r>
            <w:r w:rsidR="00CD2C1A">
              <w:rPr>
                <w:rFonts w:ascii="Arial" w:hAnsi="Arial" w:cs="Arial"/>
                <w:sz w:val="18"/>
                <w:szCs w:val="18"/>
              </w:rPr>
              <w:t xml:space="preserve"> </w:t>
            </w:r>
            <w:r w:rsidR="008659FC">
              <w:rPr>
                <w:rFonts w:ascii="Arial" w:hAnsi="Arial" w:cs="Arial"/>
                <w:sz w:val="18"/>
                <w:szCs w:val="18"/>
              </w:rPr>
              <w:t>01</w:t>
            </w:r>
            <w:r w:rsidR="00891545">
              <w:rPr>
                <w:rFonts w:ascii="Arial" w:hAnsi="Arial" w:cs="Arial"/>
                <w:sz w:val="18"/>
                <w:szCs w:val="18"/>
              </w:rPr>
              <w:t>5</w:t>
            </w:r>
            <w:r w:rsidR="00706E3E">
              <w:rPr>
                <w:rFonts w:ascii="Arial" w:hAnsi="Arial" w:cs="Arial"/>
                <w:sz w:val="18"/>
                <w:szCs w:val="18"/>
              </w:rPr>
              <w:t xml:space="preserve">, </w:t>
            </w:r>
            <w:r w:rsidR="000C7B8F">
              <w:rPr>
                <w:rFonts w:ascii="Arial" w:hAnsi="Arial" w:cs="Arial"/>
                <w:bCs/>
                <w:sz w:val="18"/>
                <w:szCs w:val="18"/>
              </w:rPr>
              <w:t>conforme a las instrucciones y tratamiento de los mitigantes (garantías) señaladas en</w:t>
            </w:r>
            <w:r w:rsidR="000C7B8F" w:rsidDel="000C7B8F">
              <w:rPr>
                <w:rFonts w:ascii="Arial" w:hAnsi="Arial" w:cs="Arial"/>
                <w:sz w:val="18"/>
                <w:szCs w:val="18"/>
              </w:rPr>
              <w:t xml:space="preserve"> </w:t>
            </w:r>
            <w:r w:rsidR="00706E3E">
              <w:rPr>
                <w:rFonts w:ascii="Arial" w:hAnsi="Arial" w:cs="Arial"/>
                <w:sz w:val="18"/>
                <w:szCs w:val="18"/>
              </w:rPr>
              <w:t>las instrucciones</w:t>
            </w:r>
            <w:r w:rsidR="001B2A8C">
              <w:rPr>
                <w:rFonts w:ascii="Arial" w:hAnsi="Arial" w:cs="Arial"/>
                <w:sz w:val="18"/>
                <w:szCs w:val="18"/>
              </w:rPr>
              <w:t xml:space="preserve"> del</w:t>
            </w:r>
            <w:r w:rsidRPr="008E7C17">
              <w:rPr>
                <w:rFonts w:ascii="Arial" w:hAnsi="Arial" w:cs="Arial"/>
                <w:sz w:val="18"/>
                <w:szCs w:val="18"/>
              </w:rPr>
              <w:t xml:space="preserve"> </w:t>
            </w:r>
            <w:r w:rsidR="00EB2C2F">
              <w:rPr>
                <w:rFonts w:ascii="Arial" w:hAnsi="Arial" w:cs="Arial"/>
                <w:sz w:val="18"/>
                <w:szCs w:val="18"/>
              </w:rPr>
              <w:t xml:space="preserve">Capítulo 3 del </w:t>
            </w:r>
            <w:r w:rsidR="00F87BA3">
              <w:rPr>
                <w:rFonts w:ascii="Arial" w:hAnsi="Arial" w:cs="Arial"/>
                <w:sz w:val="18"/>
                <w:szCs w:val="18"/>
              </w:rPr>
              <w:t xml:space="preserve">Título 1 del Libro 1 de la Parte </w:t>
            </w:r>
            <w:r w:rsidR="00BF1ED9">
              <w:rPr>
                <w:rFonts w:ascii="Arial" w:hAnsi="Arial" w:cs="Arial"/>
                <w:sz w:val="18"/>
                <w:szCs w:val="18"/>
              </w:rPr>
              <w:t>2</w:t>
            </w:r>
            <w:r w:rsidR="00F87BA3">
              <w:rPr>
                <w:rFonts w:ascii="Arial" w:hAnsi="Arial" w:cs="Arial"/>
                <w:sz w:val="18"/>
                <w:szCs w:val="18"/>
              </w:rPr>
              <w:t xml:space="preserve"> </w:t>
            </w:r>
            <w:r w:rsidR="002C4B01">
              <w:rPr>
                <w:rFonts w:ascii="Arial" w:hAnsi="Arial" w:cs="Arial"/>
                <w:bCs/>
                <w:sz w:val="18"/>
                <w:szCs w:val="18"/>
              </w:rPr>
              <w:t>del Decreto</w:t>
            </w:r>
            <w:r w:rsidR="0094602C">
              <w:rPr>
                <w:rFonts w:ascii="Arial" w:hAnsi="Arial" w:cs="Arial"/>
                <w:bCs/>
                <w:sz w:val="18"/>
                <w:szCs w:val="18"/>
              </w:rPr>
              <w:t xml:space="preserve"> </w:t>
            </w:r>
            <w:r w:rsidR="002C4B01">
              <w:rPr>
                <w:rFonts w:ascii="Arial" w:hAnsi="Arial" w:cs="Arial"/>
                <w:bCs/>
                <w:sz w:val="18"/>
                <w:szCs w:val="18"/>
              </w:rPr>
              <w:t xml:space="preserve">2555 de 2010 </w:t>
            </w:r>
            <w:r w:rsidR="002C4B01" w:rsidRPr="008E7C17">
              <w:rPr>
                <w:rFonts w:ascii="Arial" w:hAnsi="Arial" w:cs="Arial"/>
                <w:bCs/>
                <w:sz w:val="18"/>
                <w:szCs w:val="18"/>
              </w:rPr>
              <w:t>y el Capítulo XIII-1</w:t>
            </w:r>
            <w:r w:rsidR="002C4B01">
              <w:rPr>
                <w:rFonts w:ascii="Arial" w:hAnsi="Arial" w:cs="Arial"/>
                <w:bCs/>
                <w:sz w:val="18"/>
                <w:szCs w:val="18"/>
              </w:rPr>
              <w:t>6</w:t>
            </w:r>
            <w:r w:rsidR="002C4B01" w:rsidRPr="008E7C17">
              <w:rPr>
                <w:rFonts w:ascii="Arial" w:hAnsi="Arial" w:cs="Arial"/>
                <w:bCs/>
                <w:sz w:val="18"/>
                <w:szCs w:val="18"/>
              </w:rPr>
              <w:t xml:space="preserve"> de la Circular Básica Contable y Financiera</w:t>
            </w:r>
          </w:p>
        </w:tc>
      </w:tr>
      <w:tr w:rsidR="005E46A0" w:rsidRPr="008E7C17" w14:paraId="4FF6C7BB" w14:textId="77777777" w:rsidTr="008965DE">
        <w:tc>
          <w:tcPr>
            <w:tcW w:w="393" w:type="pct"/>
            <w:vAlign w:val="center"/>
          </w:tcPr>
          <w:p w14:paraId="26074C30" w14:textId="0B89778E" w:rsidR="005E46A0" w:rsidRPr="008E7C17" w:rsidRDefault="005E46A0" w:rsidP="005E46A0">
            <w:pPr>
              <w:rPr>
                <w:rFonts w:ascii="Arial" w:hAnsi="Arial" w:cs="Arial"/>
                <w:sz w:val="18"/>
                <w:szCs w:val="18"/>
              </w:rPr>
            </w:pPr>
            <w:r>
              <w:rPr>
                <w:rFonts w:ascii="Arial" w:hAnsi="Arial" w:cs="Arial"/>
                <w:sz w:val="18"/>
                <w:szCs w:val="18"/>
              </w:rPr>
              <w:lastRenderedPageBreak/>
              <w:t>01</w:t>
            </w:r>
            <w:r w:rsidR="00A5228D">
              <w:rPr>
                <w:rFonts w:ascii="Arial" w:hAnsi="Arial" w:cs="Arial"/>
                <w:sz w:val="18"/>
                <w:szCs w:val="18"/>
              </w:rPr>
              <w:t>7</w:t>
            </w:r>
          </w:p>
        </w:tc>
        <w:tc>
          <w:tcPr>
            <w:tcW w:w="532" w:type="pct"/>
            <w:vAlign w:val="center"/>
          </w:tcPr>
          <w:p w14:paraId="01028B1C" w14:textId="65AB1CB3" w:rsidR="005E46A0" w:rsidRPr="008E7C17" w:rsidRDefault="005E46A0" w:rsidP="005E46A0">
            <w:pPr>
              <w:rPr>
                <w:rFonts w:ascii="Arial" w:hAnsi="Arial" w:cs="Arial"/>
                <w:sz w:val="18"/>
                <w:szCs w:val="18"/>
              </w:rPr>
            </w:pPr>
            <w:r>
              <w:rPr>
                <w:rFonts w:ascii="Arial" w:hAnsi="Arial" w:cs="Arial"/>
                <w:sz w:val="18"/>
                <w:szCs w:val="18"/>
              </w:rPr>
              <w:t xml:space="preserve">Exposición neta </w:t>
            </w:r>
            <w:r w:rsidR="002605CD">
              <w:rPr>
                <w:rFonts w:ascii="Arial" w:hAnsi="Arial" w:cs="Arial"/>
                <w:sz w:val="18"/>
                <w:szCs w:val="18"/>
              </w:rPr>
              <w:t xml:space="preserve">total </w:t>
            </w:r>
            <w:r>
              <w:rPr>
                <w:rFonts w:ascii="Arial" w:hAnsi="Arial" w:cs="Arial"/>
                <w:sz w:val="18"/>
                <w:szCs w:val="18"/>
              </w:rPr>
              <w:t>por contraparte</w:t>
            </w:r>
          </w:p>
        </w:tc>
        <w:tc>
          <w:tcPr>
            <w:tcW w:w="4075" w:type="pct"/>
            <w:vAlign w:val="center"/>
          </w:tcPr>
          <w:p w14:paraId="599F5117" w14:textId="56F9EF68" w:rsidR="005E46A0" w:rsidRDefault="005E46A0" w:rsidP="005E46A0">
            <w:pPr>
              <w:jc w:val="both"/>
              <w:rPr>
                <w:rFonts w:ascii="Arial" w:hAnsi="Arial" w:cs="Arial"/>
                <w:sz w:val="18"/>
                <w:szCs w:val="18"/>
              </w:rPr>
            </w:pPr>
            <w:r>
              <w:rPr>
                <w:rFonts w:ascii="Arial" w:hAnsi="Arial" w:cs="Arial"/>
                <w:sz w:val="18"/>
                <w:szCs w:val="18"/>
              </w:rPr>
              <w:t>Registre la suma de los valores de exposición por cada contraparte, teniendo en cuenta el efecto de las garantías. Corresponde a la suma de 00</w:t>
            </w:r>
            <w:r w:rsidR="00567859">
              <w:rPr>
                <w:rFonts w:ascii="Arial" w:hAnsi="Arial" w:cs="Arial"/>
                <w:sz w:val="18"/>
                <w:szCs w:val="18"/>
              </w:rPr>
              <w:t>8</w:t>
            </w:r>
            <w:r>
              <w:rPr>
                <w:rFonts w:ascii="Arial" w:hAnsi="Arial" w:cs="Arial"/>
                <w:sz w:val="18"/>
                <w:szCs w:val="18"/>
              </w:rPr>
              <w:t>, 0</w:t>
            </w:r>
            <w:r w:rsidR="00567859">
              <w:rPr>
                <w:rFonts w:ascii="Arial" w:hAnsi="Arial" w:cs="Arial"/>
                <w:sz w:val="18"/>
                <w:szCs w:val="18"/>
              </w:rPr>
              <w:t>10</w:t>
            </w:r>
            <w:r>
              <w:rPr>
                <w:rFonts w:ascii="Arial" w:hAnsi="Arial" w:cs="Arial"/>
                <w:sz w:val="18"/>
                <w:szCs w:val="18"/>
              </w:rPr>
              <w:t xml:space="preserve">, </w:t>
            </w:r>
            <w:r w:rsidR="00A5228D">
              <w:rPr>
                <w:rFonts w:ascii="Arial" w:hAnsi="Arial" w:cs="Arial"/>
                <w:sz w:val="18"/>
                <w:szCs w:val="18"/>
              </w:rPr>
              <w:t xml:space="preserve">011, </w:t>
            </w:r>
            <w:r>
              <w:rPr>
                <w:rFonts w:ascii="Arial" w:hAnsi="Arial" w:cs="Arial"/>
                <w:sz w:val="18"/>
                <w:szCs w:val="18"/>
              </w:rPr>
              <w:t>012, 013</w:t>
            </w:r>
            <w:r w:rsidR="00567859">
              <w:rPr>
                <w:rFonts w:ascii="Arial" w:hAnsi="Arial" w:cs="Arial"/>
                <w:sz w:val="18"/>
                <w:szCs w:val="18"/>
              </w:rPr>
              <w:t xml:space="preserve">, </w:t>
            </w:r>
            <w:r>
              <w:rPr>
                <w:rFonts w:ascii="Arial" w:hAnsi="Arial" w:cs="Arial"/>
                <w:sz w:val="18"/>
                <w:szCs w:val="18"/>
              </w:rPr>
              <w:t>01</w:t>
            </w:r>
            <w:r w:rsidR="00A5228D">
              <w:rPr>
                <w:rFonts w:ascii="Arial" w:hAnsi="Arial" w:cs="Arial"/>
                <w:sz w:val="18"/>
                <w:szCs w:val="18"/>
              </w:rPr>
              <w:t>4</w:t>
            </w:r>
            <w:r w:rsidR="00567859">
              <w:rPr>
                <w:rFonts w:ascii="Arial" w:hAnsi="Arial" w:cs="Arial"/>
                <w:sz w:val="18"/>
                <w:szCs w:val="18"/>
              </w:rPr>
              <w:t xml:space="preserve"> y 01</w:t>
            </w:r>
            <w:r w:rsidR="007B5CEB">
              <w:rPr>
                <w:rFonts w:ascii="Arial" w:hAnsi="Arial" w:cs="Arial"/>
                <w:sz w:val="18"/>
                <w:szCs w:val="18"/>
              </w:rPr>
              <w:t>6</w:t>
            </w:r>
          </w:p>
        </w:tc>
      </w:tr>
      <w:tr w:rsidR="005E46A0" w:rsidRPr="008E7C17" w14:paraId="3BC2E0E6" w14:textId="77777777" w:rsidTr="008965DE">
        <w:tc>
          <w:tcPr>
            <w:tcW w:w="393" w:type="pct"/>
            <w:vAlign w:val="center"/>
          </w:tcPr>
          <w:p w14:paraId="45A85390" w14:textId="4D62404C" w:rsidR="005E46A0" w:rsidRPr="008E7C17" w:rsidRDefault="005E46A0" w:rsidP="005E46A0">
            <w:pPr>
              <w:rPr>
                <w:rFonts w:ascii="Arial" w:hAnsi="Arial" w:cs="Arial"/>
                <w:sz w:val="18"/>
                <w:szCs w:val="18"/>
              </w:rPr>
            </w:pPr>
            <w:r>
              <w:rPr>
                <w:rFonts w:ascii="Arial" w:hAnsi="Arial" w:cs="Arial"/>
                <w:sz w:val="18"/>
                <w:szCs w:val="18"/>
              </w:rPr>
              <w:t>01</w:t>
            </w:r>
            <w:r w:rsidR="00A5228D">
              <w:rPr>
                <w:rFonts w:ascii="Arial" w:hAnsi="Arial" w:cs="Arial"/>
                <w:sz w:val="18"/>
                <w:szCs w:val="18"/>
              </w:rPr>
              <w:t>8</w:t>
            </w:r>
          </w:p>
        </w:tc>
        <w:tc>
          <w:tcPr>
            <w:tcW w:w="532" w:type="pct"/>
            <w:vAlign w:val="center"/>
          </w:tcPr>
          <w:p w14:paraId="659A8EB5" w14:textId="76B6E85A" w:rsidR="005E46A0" w:rsidRPr="008E7C17" w:rsidRDefault="005E46A0" w:rsidP="005E46A0">
            <w:pPr>
              <w:rPr>
                <w:rFonts w:ascii="Arial" w:hAnsi="Arial" w:cs="Arial"/>
                <w:sz w:val="18"/>
                <w:szCs w:val="18"/>
              </w:rPr>
            </w:pPr>
            <w:r w:rsidRPr="00FE1EA2">
              <w:rPr>
                <w:rFonts w:ascii="Arial" w:hAnsi="Arial" w:cs="Arial"/>
                <w:sz w:val="18"/>
                <w:szCs w:val="18"/>
              </w:rPr>
              <w:t>Exposición neta total por contraparte</w:t>
            </w:r>
            <w:r>
              <w:rPr>
                <w:rFonts w:ascii="Arial" w:hAnsi="Arial" w:cs="Arial"/>
                <w:sz w:val="18"/>
                <w:szCs w:val="18"/>
              </w:rPr>
              <w:t xml:space="preserve"> </w:t>
            </w:r>
            <w:r w:rsidRPr="00FE1EA2">
              <w:rPr>
                <w:rFonts w:ascii="Arial" w:hAnsi="Arial" w:cs="Arial"/>
                <w:sz w:val="18"/>
                <w:szCs w:val="18"/>
              </w:rPr>
              <w:t>como porcentaje del PBO+PBA</w:t>
            </w:r>
          </w:p>
        </w:tc>
        <w:tc>
          <w:tcPr>
            <w:tcW w:w="4075" w:type="pct"/>
            <w:vAlign w:val="center"/>
          </w:tcPr>
          <w:p w14:paraId="756195F5" w14:textId="6DBC6273" w:rsidR="005E46A0" w:rsidRDefault="005E46A0" w:rsidP="005E46A0">
            <w:pPr>
              <w:jc w:val="both"/>
              <w:rPr>
                <w:rFonts w:ascii="Arial" w:hAnsi="Arial" w:cs="Arial"/>
                <w:sz w:val="18"/>
                <w:szCs w:val="18"/>
              </w:rPr>
            </w:pPr>
            <w:r>
              <w:rPr>
                <w:rFonts w:ascii="Arial" w:hAnsi="Arial" w:cs="Arial"/>
                <w:sz w:val="18"/>
                <w:szCs w:val="18"/>
              </w:rPr>
              <w:t xml:space="preserve">Corresponde a la división entre la </w:t>
            </w:r>
            <w:r w:rsidR="006D6137">
              <w:rPr>
                <w:rFonts w:ascii="Arial" w:hAnsi="Arial" w:cs="Arial"/>
                <w:sz w:val="18"/>
                <w:szCs w:val="18"/>
              </w:rPr>
              <w:t xml:space="preserve">columna </w:t>
            </w:r>
            <w:r>
              <w:rPr>
                <w:rFonts w:ascii="Arial" w:hAnsi="Arial" w:cs="Arial"/>
                <w:sz w:val="18"/>
                <w:szCs w:val="18"/>
              </w:rPr>
              <w:t>01</w:t>
            </w:r>
            <w:r w:rsidR="006E0A78">
              <w:rPr>
                <w:rFonts w:ascii="Arial" w:hAnsi="Arial" w:cs="Arial"/>
                <w:sz w:val="18"/>
                <w:szCs w:val="18"/>
              </w:rPr>
              <w:t>7</w:t>
            </w:r>
            <w:r>
              <w:rPr>
                <w:rFonts w:ascii="Arial" w:hAnsi="Arial" w:cs="Arial"/>
                <w:sz w:val="18"/>
                <w:szCs w:val="18"/>
              </w:rPr>
              <w:t xml:space="preserve"> y la suma del PBO y el PBA, registrados en la</w:t>
            </w:r>
            <w:r w:rsidR="006D6137">
              <w:rPr>
                <w:rFonts w:ascii="Arial" w:hAnsi="Arial" w:cs="Arial"/>
                <w:sz w:val="18"/>
                <w:szCs w:val="18"/>
              </w:rPr>
              <w:t>s</w:t>
            </w:r>
            <w:r>
              <w:rPr>
                <w:rFonts w:ascii="Arial" w:hAnsi="Arial" w:cs="Arial"/>
                <w:sz w:val="18"/>
                <w:szCs w:val="18"/>
              </w:rPr>
              <w:t xml:space="preserve"> </w:t>
            </w:r>
            <w:r w:rsidR="006D6137">
              <w:rPr>
                <w:rFonts w:ascii="Arial" w:hAnsi="Arial" w:cs="Arial"/>
                <w:sz w:val="18"/>
                <w:szCs w:val="18"/>
              </w:rPr>
              <w:t xml:space="preserve">columnas </w:t>
            </w:r>
            <w:r w:rsidR="00BC079B">
              <w:rPr>
                <w:rFonts w:ascii="Arial" w:hAnsi="Arial" w:cs="Arial"/>
                <w:sz w:val="18"/>
                <w:szCs w:val="18"/>
              </w:rPr>
              <w:t xml:space="preserve">005 y 006 de la </w:t>
            </w:r>
            <w:r w:rsidR="006C41E6">
              <w:rPr>
                <w:rFonts w:ascii="Arial" w:hAnsi="Arial" w:cs="Arial"/>
                <w:sz w:val="18"/>
                <w:szCs w:val="18"/>
              </w:rPr>
              <w:t>hoja</w:t>
            </w:r>
            <w:r>
              <w:rPr>
                <w:rFonts w:ascii="Arial" w:hAnsi="Arial" w:cs="Arial"/>
                <w:sz w:val="18"/>
                <w:szCs w:val="18"/>
              </w:rPr>
              <w:t xml:space="preserve"> GE_1.</w:t>
            </w:r>
          </w:p>
        </w:tc>
      </w:tr>
    </w:tbl>
    <w:p w14:paraId="34692658" w14:textId="77777777" w:rsidR="000A1085" w:rsidRPr="00CE5533" w:rsidRDefault="000A1085" w:rsidP="000A1085">
      <w:pPr>
        <w:spacing w:before="120"/>
        <w:jc w:val="both"/>
        <w:rPr>
          <w:rFonts w:ascii="Arial" w:hAnsi="Arial" w:cs="Arial"/>
          <w:bCs/>
          <w:sz w:val="22"/>
          <w:szCs w:val="22"/>
        </w:rPr>
      </w:pPr>
      <w:r w:rsidRPr="00CE5533">
        <w:rPr>
          <w:rFonts w:ascii="Arial" w:hAnsi="Arial" w:cs="Arial"/>
          <w:bCs/>
          <w:sz w:val="22"/>
          <w:szCs w:val="22"/>
        </w:rPr>
        <w:t>Las siguientes exposiciones no deben registrarse en el form</w:t>
      </w:r>
      <w:r>
        <w:rPr>
          <w:rFonts w:ascii="Arial" w:hAnsi="Arial" w:cs="Arial"/>
          <w:bCs/>
          <w:sz w:val="22"/>
          <w:szCs w:val="22"/>
        </w:rPr>
        <w:t>ato</w:t>
      </w:r>
      <w:r w:rsidRPr="00CE5533">
        <w:rPr>
          <w:rFonts w:ascii="Arial" w:hAnsi="Arial" w:cs="Arial"/>
          <w:bCs/>
          <w:sz w:val="22"/>
          <w:szCs w:val="22"/>
        </w:rPr>
        <w:t>:</w:t>
      </w:r>
    </w:p>
    <w:p w14:paraId="40F0CB98" w14:textId="22AED872" w:rsidR="000A1085" w:rsidRPr="00CE5533" w:rsidRDefault="000A1085" w:rsidP="000A1085">
      <w:pPr>
        <w:pStyle w:val="Prrafodelista"/>
        <w:numPr>
          <w:ilvl w:val="0"/>
          <w:numId w:val="15"/>
        </w:numPr>
        <w:spacing w:before="120"/>
        <w:jc w:val="both"/>
        <w:rPr>
          <w:rFonts w:ascii="Arial" w:hAnsi="Arial" w:cs="Arial"/>
          <w:bCs/>
          <w:sz w:val="22"/>
          <w:szCs w:val="22"/>
        </w:rPr>
      </w:pPr>
      <w:r w:rsidRPr="00CE5533">
        <w:rPr>
          <w:rFonts w:ascii="Arial" w:hAnsi="Arial" w:cs="Arial"/>
          <w:bCs/>
          <w:sz w:val="22"/>
          <w:szCs w:val="22"/>
        </w:rPr>
        <w:t>Las operaciones realizadas con la Nación</w:t>
      </w:r>
      <w:r w:rsidR="008C1A59">
        <w:rPr>
          <w:rFonts w:ascii="Arial" w:hAnsi="Arial" w:cs="Arial"/>
          <w:bCs/>
          <w:sz w:val="22"/>
          <w:szCs w:val="22"/>
        </w:rPr>
        <w:t xml:space="preserve"> o</w:t>
      </w:r>
      <w:r w:rsidRPr="00CE5533">
        <w:rPr>
          <w:rFonts w:ascii="Arial" w:hAnsi="Arial" w:cs="Arial"/>
          <w:bCs/>
          <w:sz w:val="22"/>
          <w:szCs w:val="22"/>
        </w:rPr>
        <w:t xml:space="preserve"> el Banco de la República</w:t>
      </w:r>
      <w:r w:rsidR="00723474">
        <w:rPr>
          <w:rFonts w:ascii="Arial" w:hAnsi="Arial" w:cs="Arial"/>
          <w:bCs/>
          <w:sz w:val="22"/>
          <w:szCs w:val="22"/>
        </w:rPr>
        <w:t xml:space="preserve"> hasta el valor de la parte garantizada</w:t>
      </w:r>
      <w:r w:rsidRPr="00CE5533">
        <w:rPr>
          <w:rFonts w:ascii="Arial" w:hAnsi="Arial" w:cs="Arial"/>
          <w:bCs/>
          <w:sz w:val="22"/>
          <w:szCs w:val="22"/>
        </w:rPr>
        <w:t>, cuando actúan como contrapartes o garantes.</w:t>
      </w:r>
    </w:p>
    <w:p w14:paraId="70BF66F3" w14:textId="77777777" w:rsidR="000A1085" w:rsidRPr="00746653" w:rsidRDefault="000A1085" w:rsidP="000A1085">
      <w:pPr>
        <w:pStyle w:val="Prrafodelista"/>
        <w:numPr>
          <w:ilvl w:val="0"/>
          <w:numId w:val="15"/>
        </w:numPr>
        <w:spacing w:before="120"/>
        <w:jc w:val="both"/>
        <w:rPr>
          <w:rFonts w:ascii="Arial" w:hAnsi="Arial" w:cs="Arial"/>
          <w:bCs/>
          <w:sz w:val="22"/>
          <w:szCs w:val="22"/>
        </w:rPr>
      </w:pPr>
      <w:r w:rsidRPr="00746653">
        <w:rPr>
          <w:rFonts w:ascii="Arial" w:hAnsi="Arial" w:cs="Arial"/>
          <w:bCs/>
          <w:sz w:val="22"/>
          <w:szCs w:val="22"/>
        </w:rPr>
        <w:t xml:space="preserve">Las operaciones realizadas con </w:t>
      </w:r>
      <w:r w:rsidR="0071655F" w:rsidRPr="00746653">
        <w:rPr>
          <w:rFonts w:ascii="Arial" w:hAnsi="Arial" w:cs="Arial"/>
          <w:bCs/>
          <w:sz w:val="22"/>
          <w:szCs w:val="22"/>
        </w:rPr>
        <w:t>Fogafín</w:t>
      </w:r>
      <w:r w:rsidRPr="00746653">
        <w:rPr>
          <w:rFonts w:ascii="Arial" w:hAnsi="Arial" w:cs="Arial"/>
          <w:bCs/>
          <w:sz w:val="22"/>
          <w:szCs w:val="22"/>
        </w:rPr>
        <w:t xml:space="preserve"> o Fogacoop, cuando estos actúen como acreedores, garantes, o emisores de instrumentos financieros.</w:t>
      </w:r>
    </w:p>
    <w:p w14:paraId="79DD6538" w14:textId="77777777" w:rsidR="000A1085" w:rsidRPr="00746653" w:rsidRDefault="000A1085" w:rsidP="000A1085">
      <w:pPr>
        <w:pStyle w:val="Prrafodelista"/>
        <w:numPr>
          <w:ilvl w:val="0"/>
          <w:numId w:val="15"/>
        </w:numPr>
        <w:spacing w:before="120"/>
        <w:jc w:val="both"/>
        <w:rPr>
          <w:rFonts w:ascii="Arial" w:hAnsi="Arial" w:cs="Arial"/>
          <w:bCs/>
          <w:sz w:val="22"/>
          <w:szCs w:val="22"/>
        </w:rPr>
      </w:pPr>
      <w:r w:rsidRPr="00746653">
        <w:rPr>
          <w:rFonts w:ascii="Arial" w:hAnsi="Arial" w:cs="Arial"/>
          <w:bCs/>
          <w:sz w:val="22"/>
          <w:szCs w:val="22"/>
        </w:rPr>
        <w:t>Las operaciones que celebren las instituciones vigiladas en desarrollo de los programas de adecuación aprobados y supervisados por la Superintendencia Financiera de Colombia a que se refiere el artículo 2.1.2.1.14 del Decreto 2555 de 2010.</w:t>
      </w:r>
    </w:p>
    <w:p w14:paraId="3D8119BE" w14:textId="77777777" w:rsidR="000A1085" w:rsidRPr="00CE5533" w:rsidRDefault="000A1085" w:rsidP="000A1085">
      <w:pPr>
        <w:pStyle w:val="Prrafodelista"/>
        <w:numPr>
          <w:ilvl w:val="0"/>
          <w:numId w:val="15"/>
        </w:numPr>
        <w:spacing w:before="120"/>
        <w:jc w:val="both"/>
        <w:rPr>
          <w:rFonts w:ascii="Arial" w:hAnsi="Arial" w:cs="Arial"/>
          <w:bCs/>
          <w:sz w:val="22"/>
          <w:szCs w:val="22"/>
        </w:rPr>
      </w:pPr>
      <w:r w:rsidRPr="00CE5533">
        <w:rPr>
          <w:rFonts w:ascii="Arial" w:hAnsi="Arial" w:cs="Arial"/>
          <w:bCs/>
          <w:sz w:val="22"/>
          <w:szCs w:val="22"/>
        </w:rPr>
        <w:t xml:space="preserve">Las exposiciones que se deducen del capital regulatorio a las que hace referencia el artículo 2.1.1.1.11 del decreto 2555 de 2010. </w:t>
      </w:r>
    </w:p>
    <w:p w14:paraId="1CC5665E" w14:textId="31E518F0" w:rsidR="000A1085" w:rsidRPr="008965DE" w:rsidRDefault="000A1085" w:rsidP="000A1085">
      <w:pPr>
        <w:pStyle w:val="Prrafodelista"/>
        <w:numPr>
          <w:ilvl w:val="0"/>
          <w:numId w:val="15"/>
        </w:numPr>
        <w:spacing w:before="120"/>
        <w:jc w:val="both"/>
        <w:rPr>
          <w:rFonts w:ascii="Arial" w:hAnsi="Arial" w:cs="Arial"/>
          <w:bCs/>
          <w:sz w:val="22"/>
          <w:szCs w:val="22"/>
        </w:rPr>
      </w:pPr>
      <w:r w:rsidRPr="00CE5533">
        <w:rPr>
          <w:rFonts w:ascii="Arial" w:hAnsi="Arial" w:cs="Arial"/>
          <w:bCs/>
          <w:sz w:val="22"/>
          <w:szCs w:val="22"/>
        </w:rPr>
        <w:t>Las obligaciones a cargo de establecimientos de crédito por concepto de operaciones de redescuento</w:t>
      </w:r>
      <w:r w:rsidR="00C82CFA">
        <w:rPr>
          <w:rFonts w:ascii="Arial" w:hAnsi="Arial" w:cs="Arial"/>
          <w:bCs/>
          <w:sz w:val="22"/>
          <w:szCs w:val="22"/>
        </w:rPr>
        <w:t xml:space="preserve"> </w:t>
      </w:r>
      <w:r w:rsidR="00C82CFA" w:rsidRPr="008965DE">
        <w:rPr>
          <w:rFonts w:ascii="Arial" w:hAnsi="Arial" w:cs="Arial"/>
          <w:bCs/>
          <w:sz w:val="22"/>
          <w:szCs w:val="22"/>
        </w:rPr>
        <w:t xml:space="preserve">con </w:t>
      </w:r>
      <w:r w:rsidR="00BF4FC4" w:rsidRPr="008965DE">
        <w:rPr>
          <w:rFonts w:ascii="Arial" w:hAnsi="Arial" w:cs="Arial"/>
          <w:bCs/>
          <w:sz w:val="22"/>
          <w:szCs w:val="22"/>
        </w:rPr>
        <w:t xml:space="preserve">cualquier </w:t>
      </w:r>
      <w:r w:rsidR="00C82CFA" w:rsidRPr="008965DE">
        <w:rPr>
          <w:rFonts w:ascii="Arial" w:hAnsi="Arial" w:cs="Arial"/>
          <w:bCs/>
          <w:sz w:val="22"/>
          <w:szCs w:val="22"/>
        </w:rPr>
        <w:t>I</w:t>
      </w:r>
      <w:r w:rsidR="0095103F" w:rsidRPr="008965DE">
        <w:rPr>
          <w:rFonts w:ascii="Arial" w:hAnsi="Arial" w:cs="Arial"/>
          <w:bCs/>
          <w:sz w:val="22"/>
          <w:szCs w:val="22"/>
        </w:rPr>
        <w:t xml:space="preserve">nstituciones </w:t>
      </w:r>
      <w:r w:rsidR="00C82CFA" w:rsidRPr="008965DE">
        <w:rPr>
          <w:rFonts w:ascii="Arial" w:hAnsi="Arial" w:cs="Arial"/>
          <w:bCs/>
          <w:sz w:val="22"/>
          <w:szCs w:val="22"/>
        </w:rPr>
        <w:t>O</w:t>
      </w:r>
      <w:r w:rsidR="0095103F" w:rsidRPr="008965DE">
        <w:rPr>
          <w:rFonts w:ascii="Arial" w:hAnsi="Arial" w:cs="Arial"/>
          <w:bCs/>
          <w:sz w:val="22"/>
          <w:szCs w:val="22"/>
        </w:rPr>
        <w:t xml:space="preserve">ficiales </w:t>
      </w:r>
      <w:r w:rsidR="00C82CFA" w:rsidRPr="008965DE">
        <w:rPr>
          <w:rFonts w:ascii="Arial" w:hAnsi="Arial" w:cs="Arial"/>
          <w:bCs/>
          <w:sz w:val="22"/>
          <w:szCs w:val="22"/>
        </w:rPr>
        <w:t>Es</w:t>
      </w:r>
      <w:r w:rsidR="0095103F" w:rsidRPr="008965DE">
        <w:rPr>
          <w:rFonts w:ascii="Arial" w:hAnsi="Arial" w:cs="Arial"/>
          <w:bCs/>
          <w:sz w:val="22"/>
          <w:szCs w:val="22"/>
        </w:rPr>
        <w:t>peciales (IOE)</w:t>
      </w:r>
      <w:r w:rsidRPr="008965DE">
        <w:rPr>
          <w:rFonts w:ascii="Arial" w:hAnsi="Arial" w:cs="Arial"/>
          <w:sz w:val="22"/>
          <w:szCs w:val="22"/>
        </w:rPr>
        <w:t>.</w:t>
      </w:r>
    </w:p>
    <w:p w14:paraId="5BF4DD8B" w14:textId="0CF04C1C" w:rsidR="000A1085" w:rsidRPr="008965DE" w:rsidRDefault="000A1085" w:rsidP="000A1085">
      <w:pPr>
        <w:pStyle w:val="Prrafodelista"/>
        <w:numPr>
          <w:ilvl w:val="0"/>
          <w:numId w:val="15"/>
        </w:numPr>
        <w:spacing w:before="120"/>
        <w:jc w:val="both"/>
        <w:rPr>
          <w:rFonts w:ascii="Arial" w:hAnsi="Arial" w:cs="Arial"/>
          <w:bCs/>
          <w:sz w:val="22"/>
          <w:szCs w:val="22"/>
        </w:rPr>
      </w:pPr>
      <w:r w:rsidRPr="008965DE">
        <w:rPr>
          <w:rFonts w:ascii="Arial" w:hAnsi="Arial" w:cs="Arial"/>
          <w:bCs/>
          <w:sz w:val="22"/>
          <w:szCs w:val="22"/>
        </w:rPr>
        <w:t xml:space="preserve">Las exposiciones que sean aceptadas por </w:t>
      </w:r>
      <w:r w:rsidR="00813993">
        <w:rPr>
          <w:rFonts w:ascii="Arial" w:hAnsi="Arial" w:cs="Arial"/>
          <w:bCs/>
          <w:sz w:val="22"/>
          <w:szCs w:val="22"/>
        </w:rPr>
        <w:t xml:space="preserve">la </w:t>
      </w:r>
      <w:r w:rsidRPr="008965DE">
        <w:rPr>
          <w:rFonts w:ascii="Arial" w:hAnsi="Arial" w:cs="Arial"/>
          <w:bCs/>
          <w:sz w:val="22"/>
          <w:szCs w:val="22"/>
        </w:rPr>
        <w:t>cámara de riesgo central de contraparte</w:t>
      </w:r>
      <w:r w:rsidR="00D14C5A">
        <w:rPr>
          <w:rFonts w:ascii="Arial" w:hAnsi="Arial" w:cs="Arial"/>
          <w:bCs/>
          <w:sz w:val="22"/>
          <w:szCs w:val="22"/>
        </w:rPr>
        <w:t xml:space="preserve"> de Colombia</w:t>
      </w:r>
      <w:r w:rsidRPr="008965DE">
        <w:rPr>
          <w:rFonts w:ascii="Arial" w:hAnsi="Arial" w:cs="Arial"/>
          <w:bCs/>
          <w:sz w:val="22"/>
          <w:szCs w:val="22"/>
        </w:rPr>
        <w:t xml:space="preserve">, </w:t>
      </w:r>
      <w:r w:rsidRPr="008965DE">
        <w:rPr>
          <w:rFonts w:ascii="Arial" w:hAnsi="Arial" w:cs="Arial"/>
          <w:sz w:val="22"/>
          <w:szCs w:val="22"/>
        </w:rPr>
        <w:t>cuando esta se interpone</w:t>
      </w:r>
      <w:r w:rsidRPr="008965DE">
        <w:rPr>
          <w:rFonts w:ascii="Arial" w:hAnsi="Arial" w:cs="Arial"/>
          <w:bCs/>
          <w:sz w:val="22"/>
          <w:szCs w:val="22"/>
        </w:rPr>
        <w:t xml:space="preserve"> como contraparte.</w:t>
      </w:r>
    </w:p>
    <w:p w14:paraId="5BE3FC94" w14:textId="15B45273" w:rsidR="000A1085" w:rsidRPr="008965DE" w:rsidRDefault="000A1085" w:rsidP="000A1085">
      <w:pPr>
        <w:pStyle w:val="Prrafodelista"/>
        <w:numPr>
          <w:ilvl w:val="0"/>
          <w:numId w:val="15"/>
        </w:numPr>
        <w:spacing w:before="120"/>
        <w:jc w:val="both"/>
        <w:rPr>
          <w:rFonts w:ascii="Arial" w:hAnsi="Arial" w:cs="Arial"/>
          <w:bCs/>
          <w:sz w:val="22"/>
          <w:szCs w:val="22"/>
        </w:rPr>
      </w:pPr>
      <w:r w:rsidRPr="008965DE">
        <w:rPr>
          <w:rFonts w:ascii="Arial" w:hAnsi="Arial" w:cs="Arial"/>
          <w:bCs/>
          <w:sz w:val="22"/>
          <w:szCs w:val="22"/>
        </w:rPr>
        <w:t>Créditos interbancarios intradía</w:t>
      </w:r>
      <w:r w:rsidR="00F22DF0">
        <w:rPr>
          <w:rFonts w:ascii="Arial" w:hAnsi="Arial" w:cs="Arial"/>
          <w:bCs/>
          <w:sz w:val="22"/>
          <w:szCs w:val="22"/>
        </w:rPr>
        <w:t>.</w:t>
      </w:r>
    </w:p>
    <w:p w14:paraId="545DA6DC" w14:textId="77777777" w:rsidR="00CF6EC8" w:rsidRPr="0046410D" w:rsidRDefault="000A1085" w:rsidP="00FE5FCB">
      <w:pPr>
        <w:pStyle w:val="Prrafodelista"/>
        <w:numPr>
          <w:ilvl w:val="0"/>
          <w:numId w:val="15"/>
        </w:numPr>
        <w:spacing w:before="120"/>
        <w:jc w:val="both"/>
        <w:rPr>
          <w:rFonts w:ascii="Arial" w:hAnsi="Arial" w:cs="Arial"/>
          <w:sz w:val="22"/>
          <w:szCs w:val="22"/>
        </w:rPr>
      </w:pPr>
      <w:r w:rsidRPr="00543020">
        <w:rPr>
          <w:rFonts w:ascii="Arial" w:hAnsi="Arial" w:cs="Arial"/>
          <w:bCs/>
          <w:sz w:val="22"/>
          <w:szCs w:val="22"/>
        </w:rPr>
        <w:t>Las inversiones obligatorias o forzosas.</w:t>
      </w:r>
    </w:p>
    <w:p w14:paraId="059C2E7A" w14:textId="7FB15D24" w:rsidR="0046410D" w:rsidRDefault="0046410D" w:rsidP="0046410D">
      <w:pPr>
        <w:spacing w:before="120"/>
        <w:jc w:val="both"/>
        <w:rPr>
          <w:rFonts w:ascii="Arial" w:hAnsi="Arial" w:cs="Arial"/>
          <w:sz w:val="22"/>
          <w:szCs w:val="22"/>
        </w:rPr>
      </w:pPr>
      <w:r>
        <w:rPr>
          <w:rFonts w:ascii="Arial" w:hAnsi="Arial" w:cs="Arial"/>
          <w:sz w:val="22"/>
          <w:szCs w:val="22"/>
        </w:rPr>
        <w:t>A continuación, se incluye</w:t>
      </w:r>
      <w:r w:rsidR="0051679D">
        <w:rPr>
          <w:rFonts w:ascii="Arial" w:hAnsi="Arial" w:cs="Arial"/>
          <w:sz w:val="22"/>
          <w:szCs w:val="22"/>
        </w:rPr>
        <w:t>n</w:t>
      </w:r>
      <w:r w:rsidR="00746653">
        <w:rPr>
          <w:rFonts w:ascii="Arial" w:hAnsi="Arial" w:cs="Arial"/>
          <w:sz w:val="22"/>
          <w:szCs w:val="22"/>
        </w:rPr>
        <w:t xml:space="preserve"> algunos</w:t>
      </w:r>
      <w:r w:rsidR="0051679D">
        <w:rPr>
          <w:rFonts w:ascii="Arial" w:hAnsi="Arial" w:cs="Arial"/>
          <w:sz w:val="22"/>
          <w:szCs w:val="22"/>
        </w:rPr>
        <w:t xml:space="preserve"> ejemplos </w:t>
      </w:r>
      <w:r>
        <w:rPr>
          <w:rFonts w:ascii="Arial" w:hAnsi="Arial" w:cs="Arial"/>
          <w:sz w:val="22"/>
          <w:szCs w:val="22"/>
        </w:rPr>
        <w:t xml:space="preserve">que podrían </w:t>
      </w:r>
      <w:r w:rsidR="0041769A">
        <w:rPr>
          <w:rFonts w:ascii="Arial" w:hAnsi="Arial" w:cs="Arial"/>
          <w:sz w:val="22"/>
          <w:szCs w:val="22"/>
        </w:rPr>
        <w:t>aclarar alguna duda al momento de interpretar los criterios para conformar Grupos conectados de contrapartes</w:t>
      </w:r>
      <w:r>
        <w:rPr>
          <w:rFonts w:ascii="Arial" w:hAnsi="Arial" w:cs="Arial"/>
          <w:sz w:val="22"/>
          <w:szCs w:val="22"/>
        </w:rPr>
        <w:t xml:space="preserve">. </w:t>
      </w:r>
      <w:r w:rsidR="00746653">
        <w:rPr>
          <w:rFonts w:ascii="Arial" w:hAnsi="Arial" w:cs="Arial"/>
          <w:sz w:val="22"/>
          <w:szCs w:val="22"/>
        </w:rPr>
        <w:t xml:space="preserve">Los diagramas y ejemplos fueron tomados de </w:t>
      </w:r>
      <w:r w:rsidR="000773B0">
        <w:rPr>
          <w:rFonts w:ascii="Arial" w:hAnsi="Arial" w:cs="Arial"/>
          <w:sz w:val="22"/>
          <w:szCs w:val="22"/>
        </w:rPr>
        <w:t>la guía sobre “Límites a las grandes exposiciones para Bancos Sistémicos de importancia local” de la Oficina de la Superintendencia de instituciones financieras de Canadá (OSFI)</w:t>
      </w:r>
      <w:r w:rsidR="000773B0">
        <w:rPr>
          <w:rStyle w:val="Refdenotaalpie"/>
          <w:rFonts w:ascii="Arial" w:hAnsi="Arial" w:cs="Arial"/>
          <w:sz w:val="22"/>
          <w:szCs w:val="22"/>
        </w:rPr>
        <w:footnoteReference w:id="2"/>
      </w:r>
    </w:p>
    <w:p w14:paraId="53AFB9BD" w14:textId="59909CDD" w:rsidR="0046410D" w:rsidRDefault="0046410D" w:rsidP="0046410D">
      <w:pPr>
        <w:pStyle w:val="Prrafodelista"/>
        <w:numPr>
          <w:ilvl w:val="0"/>
          <w:numId w:val="18"/>
        </w:numPr>
        <w:spacing w:before="120"/>
        <w:jc w:val="both"/>
        <w:rPr>
          <w:rFonts w:ascii="Arial" w:hAnsi="Arial" w:cs="Arial"/>
          <w:sz w:val="22"/>
          <w:szCs w:val="22"/>
        </w:rPr>
      </w:pPr>
      <w:r>
        <w:rPr>
          <w:rFonts w:ascii="Arial" w:hAnsi="Arial" w:cs="Arial"/>
          <w:sz w:val="22"/>
          <w:szCs w:val="22"/>
        </w:rPr>
        <w:t>Agrupación basada en criterios de control</w:t>
      </w:r>
    </w:p>
    <w:p w14:paraId="17756313" w14:textId="76284D9A" w:rsidR="00011ED6" w:rsidRDefault="00011ED6" w:rsidP="00011ED6">
      <w:pPr>
        <w:spacing w:before="120"/>
        <w:jc w:val="both"/>
        <w:rPr>
          <w:rFonts w:ascii="Arial" w:hAnsi="Arial" w:cs="Arial"/>
          <w:sz w:val="22"/>
          <w:szCs w:val="22"/>
        </w:rPr>
      </w:pPr>
      <w:r>
        <w:rPr>
          <w:rFonts w:ascii="Arial" w:hAnsi="Arial" w:cs="Arial"/>
          <w:sz w:val="22"/>
          <w:szCs w:val="22"/>
        </w:rPr>
        <w:t xml:space="preserve">Ejemplo 1. A es </w:t>
      </w:r>
      <w:r w:rsidRPr="00011ED6">
        <w:rPr>
          <w:rFonts w:ascii="Arial" w:hAnsi="Arial" w:cs="Arial"/>
          <w:i/>
          <w:iCs/>
          <w:sz w:val="22"/>
          <w:szCs w:val="22"/>
        </w:rPr>
        <w:t>holding</w:t>
      </w:r>
      <w:r>
        <w:rPr>
          <w:rFonts w:ascii="Arial" w:hAnsi="Arial" w:cs="Arial"/>
          <w:sz w:val="22"/>
          <w:szCs w:val="22"/>
        </w:rPr>
        <w:t xml:space="preserve"> de A1, A2, A3 y A4. Todas las entidades que </w:t>
      </w:r>
      <w:r w:rsidR="009226EE">
        <w:rPr>
          <w:rFonts w:ascii="Arial" w:hAnsi="Arial" w:cs="Arial"/>
          <w:sz w:val="22"/>
          <w:szCs w:val="22"/>
        </w:rPr>
        <w:t>están bajo</w:t>
      </w:r>
      <w:r>
        <w:rPr>
          <w:rFonts w:ascii="Arial" w:hAnsi="Arial" w:cs="Arial"/>
          <w:sz w:val="22"/>
          <w:szCs w:val="22"/>
        </w:rPr>
        <w:t xml:space="preserve"> su control y son contrapartes </w:t>
      </w:r>
      <w:r w:rsidR="000773B0">
        <w:rPr>
          <w:rFonts w:ascii="Arial" w:hAnsi="Arial" w:cs="Arial"/>
          <w:sz w:val="22"/>
          <w:szCs w:val="22"/>
        </w:rPr>
        <w:t>de la entidad reportante</w:t>
      </w:r>
      <w:r>
        <w:rPr>
          <w:rFonts w:ascii="Arial" w:hAnsi="Arial" w:cs="Arial"/>
          <w:sz w:val="22"/>
          <w:szCs w:val="22"/>
        </w:rPr>
        <w:t xml:space="preserve"> deben tratarse como una situación de riesgo común y deben conectarse</w:t>
      </w:r>
    </w:p>
    <w:p w14:paraId="0D669A76" w14:textId="77777777" w:rsidR="00011ED6" w:rsidRDefault="00011ED6" w:rsidP="000773B0">
      <w:pPr>
        <w:spacing w:before="120"/>
        <w:jc w:val="center"/>
        <w:rPr>
          <w:rFonts w:ascii="Arial" w:hAnsi="Arial" w:cs="Arial"/>
          <w:sz w:val="22"/>
          <w:szCs w:val="22"/>
        </w:rPr>
      </w:pPr>
      <w:r>
        <w:rPr>
          <w:noProof/>
        </w:rPr>
        <w:drawing>
          <wp:inline distT="0" distB="0" distL="0" distR="0" wp14:anchorId="4BE9BB7B" wp14:editId="041D1954">
            <wp:extent cx="2257740" cy="1247949"/>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1">
                      <a:extLst>
                        <a:ext uri="{28A0092B-C50C-407E-A947-70E740481C1C}">
                          <a14:useLocalDpi xmlns:a14="http://schemas.microsoft.com/office/drawing/2010/main" val="0"/>
                        </a:ext>
                      </a:extLst>
                    </a:blip>
                    <a:stretch>
                      <a:fillRect/>
                    </a:stretch>
                  </pic:blipFill>
                  <pic:spPr>
                    <a:xfrm>
                      <a:off x="0" y="0"/>
                      <a:ext cx="2257740" cy="1247949"/>
                    </a:xfrm>
                    <a:prstGeom prst="rect">
                      <a:avLst/>
                    </a:prstGeom>
                  </pic:spPr>
                </pic:pic>
              </a:graphicData>
            </a:graphic>
          </wp:inline>
        </w:drawing>
      </w:r>
    </w:p>
    <w:p w14:paraId="34404A14" w14:textId="276196CC" w:rsidR="00011ED6" w:rsidRDefault="00011ED6" w:rsidP="00011ED6">
      <w:pPr>
        <w:spacing w:before="120"/>
        <w:jc w:val="both"/>
        <w:rPr>
          <w:rFonts w:ascii="Arial" w:hAnsi="Arial" w:cs="Arial"/>
          <w:sz w:val="22"/>
          <w:szCs w:val="22"/>
        </w:rPr>
      </w:pPr>
      <w:r>
        <w:rPr>
          <w:rFonts w:ascii="Arial" w:hAnsi="Arial" w:cs="Arial"/>
          <w:sz w:val="22"/>
          <w:szCs w:val="22"/>
        </w:rPr>
        <w:lastRenderedPageBreak/>
        <w:t xml:space="preserve">Ejemplo 2. Si </w:t>
      </w:r>
      <w:r w:rsidR="000773B0">
        <w:rPr>
          <w:rFonts w:ascii="Arial" w:hAnsi="Arial" w:cs="Arial"/>
          <w:sz w:val="22"/>
          <w:szCs w:val="22"/>
        </w:rPr>
        <w:t>la entidad reportante</w:t>
      </w:r>
      <w:r>
        <w:rPr>
          <w:rFonts w:ascii="Arial" w:hAnsi="Arial" w:cs="Arial"/>
          <w:sz w:val="22"/>
          <w:szCs w:val="22"/>
        </w:rPr>
        <w:t xml:space="preserve"> tiene exposiciones con A1, A2, A3 y A4, pero no con A, entonces A+A1+A2+A3+A4 deben tratarse como un GGC. La suma de los valores de exposición sujetos al límite será la suma de A1+A2+A3+A4.</w:t>
      </w:r>
    </w:p>
    <w:p w14:paraId="2166B75C" w14:textId="77777777" w:rsidR="00011ED6" w:rsidRDefault="00011ED6" w:rsidP="000773B0">
      <w:pPr>
        <w:spacing w:before="120"/>
        <w:jc w:val="center"/>
        <w:rPr>
          <w:rFonts w:ascii="Arial" w:hAnsi="Arial" w:cs="Arial"/>
          <w:sz w:val="22"/>
          <w:szCs w:val="22"/>
        </w:rPr>
      </w:pPr>
      <w:r>
        <w:rPr>
          <w:noProof/>
        </w:rPr>
        <w:drawing>
          <wp:inline distT="0" distB="0" distL="0" distR="0" wp14:anchorId="4B2525CE" wp14:editId="21B57D9D">
            <wp:extent cx="2429214" cy="1524213"/>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pic:nvPicPr>
                  <pic:blipFill>
                    <a:blip r:embed="rId12">
                      <a:extLst>
                        <a:ext uri="{28A0092B-C50C-407E-A947-70E740481C1C}">
                          <a14:useLocalDpi xmlns:a14="http://schemas.microsoft.com/office/drawing/2010/main" val="0"/>
                        </a:ext>
                      </a:extLst>
                    </a:blip>
                    <a:stretch>
                      <a:fillRect/>
                    </a:stretch>
                  </pic:blipFill>
                  <pic:spPr>
                    <a:xfrm>
                      <a:off x="0" y="0"/>
                      <a:ext cx="2429214" cy="1524213"/>
                    </a:xfrm>
                    <a:prstGeom prst="rect">
                      <a:avLst/>
                    </a:prstGeom>
                  </pic:spPr>
                </pic:pic>
              </a:graphicData>
            </a:graphic>
          </wp:inline>
        </w:drawing>
      </w:r>
    </w:p>
    <w:p w14:paraId="7C9512F1" w14:textId="445E52A9" w:rsidR="00011ED6" w:rsidRDefault="00011ED6" w:rsidP="00011ED6">
      <w:pPr>
        <w:spacing w:before="120"/>
        <w:jc w:val="both"/>
        <w:rPr>
          <w:rFonts w:ascii="Arial" w:hAnsi="Arial" w:cs="Arial"/>
          <w:sz w:val="22"/>
          <w:szCs w:val="22"/>
        </w:rPr>
      </w:pPr>
      <w:r>
        <w:rPr>
          <w:rFonts w:ascii="Arial" w:hAnsi="Arial" w:cs="Arial"/>
          <w:sz w:val="22"/>
          <w:szCs w:val="22"/>
        </w:rPr>
        <w:t xml:space="preserve">Ejemplo 3. Si la </w:t>
      </w:r>
      <w:r w:rsidR="000773B0">
        <w:rPr>
          <w:rFonts w:ascii="Arial" w:hAnsi="Arial" w:cs="Arial"/>
          <w:sz w:val="22"/>
          <w:szCs w:val="22"/>
        </w:rPr>
        <w:t>entidad reportante</w:t>
      </w:r>
      <w:r>
        <w:rPr>
          <w:rFonts w:ascii="Arial" w:hAnsi="Arial" w:cs="Arial"/>
          <w:sz w:val="22"/>
          <w:szCs w:val="22"/>
        </w:rPr>
        <w:t xml:space="preserve"> tiene exposiciones con A, A2, A3 y A4, pero no con A1,</w:t>
      </w:r>
      <w:r w:rsidR="00746653" w:rsidRPr="00746653">
        <w:rPr>
          <w:rFonts w:ascii="Arial" w:hAnsi="Arial" w:cs="Arial"/>
          <w:sz w:val="22"/>
          <w:szCs w:val="22"/>
        </w:rPr>
        <w:t xml:space="preserve"> el grupo de entidades conectadas </w:t>
      </w:r>
      <w:r w:rsidR="00746653">
        <w:rPr>
          <w:rFonts w:ascii="Arial" w:hAnsi="Arial" w:cs="Arial"/>
          <w:sz w:val="22"/>
          <w:szCs w:val="22"/>
        </w:rPr>
        <w:t>está conformado por</w:t>
      </w:r>
      <w:r w:rsidR="00746653" w:rsidRPr="00746653">
        <w:rPr>
          <w:rFonts w:ascii="Arial" w:hAnsi="Arial" w:cs="Arial"/>
          <w:sz w:val="22"/>
          <w:szCs w:val="22"/>
        </w:rPr>
        <w:t xml:space="preserve"> A+A1+A2+A3+A4</w:t>
      </w:r>
      <w:r w:rsidR="00746653">
        <w:rPr>
          <w:rFonts w:ascii="Arial" w:hAnsi="Arial" w:cs="Arial"/>
          <w:sz w:val="22"/>
          <w:szCs w:val="22"/>
        </w:rPr>
        <w:t xml:space="preserve"> y</w:t>
      </w:r>
      <w:r>
        <w:rPr>
          <w:rFonts w:ascii="Arial" w:hAnsi="Arial" w:cs="Arial"/>
          <w:sz w:val="22"/>
          <w:szCs w:val="22"/>
        </w:rPr>
        <w:t xml:space="preserve"> la suma de los valores de exposición sujetos </w:t>
      </w:r>
      <w:r w:rsidRPr="00746653">
        <w:rPr>
          <w:rFonts w:ascii="Arial" w:hAnsi="Arial" w:cs="Arial"/>
          <w:sz w:val="22"/>
          <w:szCs w:val="22"/>
        </w:rPr>
        <w:t>al límite será la suma de A+A2+A3+A4</w:t>
      </w:r>
      <w:r w:rsidR="00746653">
        <w:rPr>
          <w:rFonts w:ascii="Arial" w:hAnsi="Arial" w:cs="Arial"/>
          <w:sz w:val="22"/>
          <w:szCs w:val="22"/>
        </w:rPr>
        <w:t>.</w:t>
      </w:r>
      <w:r w:rsidR="00746653" w:rsidRPr="00746653">
        <w:rPr>
          <w:rFonts w:ascii="Arial" w:hAnsi="Arial" w:cs="Arial"/>
          <w:sz w:val="22"/>
          <w:szCs w:val="22"/>
        </w:rPr>
        <w:t xml:space="preserve"> </w:t>
      </w:r>
    </w:p>
    <w:p w14:paraId="7E04B589" w14:textId="77777777" w:rsidR="00011ED6" w:rsidRDefault="00011ED6" w:rsidP="000773B0">
      <w:pPr>
        <w:spacing w:before="120"/>
        <w:jc w:val="center"/>
        <w:rPr>
          <w:rFonts w:ascii="Arial" w:hAnsi="Arial" w:cs="Arial"/>
          <w:sz w:val="22"/>
          <w:szCs w:val="22"/>
        </w:rPr>
      </w:pPr>
      <w:r>
        <w:rPr>
          <w:noProof/>
        </w:rPr>
        <w:drawing>
          <wp:inline distT="0" distB="0" distL="0" distR="0" wp14:anchorId="7F71BC67" wp14:editId="79E586DB">
            <wp:extent cx="2372056" cy="1533739"/>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3">
                      <a:extLst>
                        <a:ext uri="{28A0092B-C50C-407E-A947-70E740481C1C}">
                          <a14:useLocalDpi xmlns:a14="http://schemas.microsoft.com/office/drawing/2010/main" val="0"/>
                        </a:ext>
                      </a:extLst>
                    </a:blip>
                    <a:stretch>
                      <a:fillRect/>
                    </a:stretch>
                  </pic:blipFill>
                  <pic:spPr>
                    <a:xfrm>
                      <a:off x="0" y="0"/>
                      <a:ext cx="2372056" cy="1533739"/>
                    </a:xfrm>
                    <a:prstGeom prst="rect">
                      <a:avLst/>
                    </a:prstGeom>
                  </pic:spPr>
                </pic:pic>
              </a:graphicData>
            </a:graphic>
          </wp:inline>
        </w:drawing>
      </w:r>
    </w:p>
    <w:p w14:paraId="15B55111" w14:textId="77777777" w:rsidR="00011ED6" w:rsidRDefault="00011ED6" w:rsidP="00011ED6">
      <w:pPr>
        <w:spacing w:before="120"/>
        <w:jc w:val="both"/>
        <w:rPr>
          <w:rFonts w:ascii="Arial" w:hAnsi="Arial" w:cs="Arial"/>
          <w:sz w:val="22"/>
          <w:szCs w:val="22"/>
        </w:rPr>
      </w:pPr>
    </w:p>
    <w:p w14:paraId="67F3BC3C" w14:textId="77777777" w:rsidR="00011ED6" w:rsidRDefault="00011ED6" w:rsidP="00011ED6">
      <w:pPr>
        <w:pStyle w:val="Prrafodelista"/>
        <w:numPr>
          <w:ilvl w:val="0"/>
          <w:numId w:val="18"/>
        </w:numPr>
        <w:spacing w:before="120"/>
        <w:jc w:val="both"/>
        <w:rPr>
          <w:rFonts w:ascii="Arial" w:hAnsi="Arial" w:cs="Arial"/>
          <w:sz w:val="22"/>
          <w:szCs w:val="22"/>
        </w:rPr>
      </w:pPr>
      <w:r>
        <w:rPr>
          <w:rFonts w:ascii="Arial" w:hAnsi="Arial" w:cs="Arial"/>
          <w:sz w:val="22"/>
          <w:szCs w:val="22"/>
        </w:rPr>
        <w:t>Agrupación basada en criterios de interdependencia económica</w:t>
      </w:r>
    </w:p>
    <w:p w14:paraId="00E16C34" w14:textId="3FA8708D" w:rsidR="00D41DEA" w:rsidRPr="001A233F" w:rsidRDefault="00011ED6" w:rsidP="00D41DEA">
      <w:pPr>
        <w:spacing w:before="120"/>
        <w:jc w:val="both"/>
        <w:rPr>
          <w:rFonts w:ascii="Arial" w:hAnsi="Arial" w:cs="Arial"/>
          <w:sz w:val="22"/>
          <w:szCs w:val="22"/>
        </w:rPr>
      </w:pPr>
      <w:r>
        <w:rPr>
          <w:rFonts w:ascii="Arial" w:hAnsi="Arial" w:cs="Arial"/>
          <w:sz w:val="22"/>
          <w:szCs w:val="22"/>
        </w:rPr>
        <w:t>Bajo estos criterios</w:t>
      </w:r>
      <w:r w:rsidR="000773B0">
        <w:rPr>
          <w:rFonts w:ascii="Arial" w:hAnsi="Arial" w:cs="Arial"/>
          <w:sz w:val="22"/>
          <w:szCs w:val="22"/>
        </w:rPr>
        <w:t>, las entidades reportantes</w:t>
      </w:r>
      <w:r>
        <w:rPr>
          <w:rFonts w:ascii="Arial" w:hAnsi="Arial" w:cs="Arial"/>
          <w:sz w:val="22"/>
          <w:szCs w:val="22"/>
        </w:rPr>
        <w:t xml:space="preserve"> deben evaluar las circunstancias específicas para cada caso. </w:t>
      </w:r>
      <w:r w:rsidR="00D41DEA" w:rsidRPr="000D40AC">
        <w:rPr>
          <w:rFonts w:ascii="Arial" w:hAnsi="Arial" w:cs="Arial"/>
          <w:sz w:val="22"/>
          <w:szCs w:val="22"/>
          <w:lang w:val="es-CO"/>
        </w:rPr>
        <w:t xml:space="preserve">Por ejemplo, en el caso de una </w:t>
      </w:r>
      <w:r w:rsidR="00D41DEA">
        <w:rPr>
          <w:rFonts w:ascii="Arial" w:hAnsi="Arial" w:cs="Arial"/>
          <w:sz w:val="22"/>
          <w:szCs w:val="22"/>
          <w:lang w:val="es-CO"/>
        </w:rPr>
        <w:t>gran empresa</w:t>
      </w:r>
      <w:r w:rsidR="00D41DEA" w:rsidRPr="000D40AC">
        <w:rPr>
          <w:rFonts w:ascii="Arial" w:hAnsi="Arial" w:cs="Arial"/>
          <w:sz w:val="22"/>
          <w:szCs w:val="22"/>
          <w:lang w:val="es-CO"/>
        </w:rPr>
        <w:t xml:space="preserve">, </w:t>
      </w:r>
      <w:r w:rsidR="00D41DEA">
        <w:rPr>
          <w:rFonts w:ascii="Arial" w:hAnsi="Arial" w:cs="Arial"/>
          <w:sz w:val="22"/>
          <w:szCs w:val="22"/>
          <w:lang w:val="es-CO"/>
        </w:rPr>
        <w:t xml:space="preserve">para agruparla con sus proveedores o clientes, </w:t>
      </w:r>
      <w:r w:rsidR="00D41DEA" w:rsidRPr="000D40AC">
        <w:rPr>
          <w:rFonts w:ascii="Arial" w:hAnsi="Arial" w:cs="Arial"/>
          <w:sz w:val="22"/>
          <w:szCs w:val="22"/>
          <w:lang w:val="es-CO"/>
        </w:rPr>
        <w:t xml:space="preserve">se propone realizar al análisis </w:t>
      </w:r>
      <w:r w:rsidR="00D41DEA">
        <w:rPr>
          <w:rFonts w:ascii="Arial" w:hAnsi="Arial" w:cs="Arial"/>
          <w:sz w:val="22"/>
          <w:szCs w:val="22"/>
          <w:lang w:val="es-CO"/>
        </w:rPr>
        <w:t xml:space="preserve">si </w:t>
      </w:r>
      <w:r w:rsidR="00D41DEA" w:rsidRPr="000D40AC">
        <w:rPr>
          <w:rFonts w:ascii="Arial" w:hAnsi="Arial" w:cs="Arial"/>
          <w:sz w:val="22"/>
          <w:szCs w:val="22"/>
          <w:lang w:val="es-CO"/>
        </w:rPr>
        <w:t>los proveedores</w:t>
      </w:r>
      <w:r w:rsidR="00D41DEA">
        <w:rPr>
          <w:rFonts w:ascii="Arial" w:hAnsi="Arial" w:cs="Arial"/>
          <w:sz w:val="22"/>
          <w:szCs w:val="22"/>
          <w:lang w:val="es-CO"/>
        </w:rPr>
        <w:t xml:space="preserve"> o </w:t>
      </w:r>
      <w:r w:rsidR="00D41DEA" w:rsidRPr="000D40AC">
        <w:rPr>
          <w:rFonts w:ascii="Arial" w:hAnsi="Arial" w:cs="Arial"/>
          <w:sz w:val="22"/>
          <w:szCs w:val="22"/>
          <w:lang w:val="es-CO"/>
        </w:rPr>
        <w:t>clientes</w:t>
      </w:r>
      <w:r w:rsidR="00D41DEA">
        <w:rPr>
          <w:rFonts w:ascii="Arial" w:hAnsi="Arial" w:cs="Arial"/>
          <w:sz w:val="22"/>
          <w:szCs w:val="22"/>
          <w:lang w:val="es-CO"/>
        </w:rPr>
        <w:t xml:space="preserve"> individuales tienen una </w:t>
      </w:r>
      <w:r w:rsidR="00D41DEA" w:rsidRPr="000D40AC">
        <w:rPr>
          <w:rFonts w:ascii="Arial" w:hAnsi="Arial" w:cs="Arial"/>
          <w:sz w:val="22"/>
          <w:szCs w:val="22"/>
          <w:lang w:val="es-CO"/>
        </w:rPr>
        <w:t xml:space="preserve">exposición con </w:t>
      </w:r>
      <w:r w:rsidR="00D41DEA">
        <w:rPr>
          <w:rFonts w:ascii="Arial" w:hAnsi="Arial" w:cs="Arial"/>
          <w:sz w:val="22"/>
          <w:szCs w:val="22"/>
          <w:lang w:val="es-CO"/>
        </w:rPr>
        <w:t xml:space="preserve">el establecimiento de crédito que </w:t>
      </w:r>
      <w:r w:rsidR="00D41DEA" w:rsidRPr="000D40AC">
        <w:rPr>
          <w:rFonts w:ascii="Arial" w:hAnsi="Arial" w:cs="Arial"/>
          <w:sz w:val="22"/>
          <w:szCs w:val="22"/>
          <w:lang w:val="es-CO"/>
        </w:rPr>
        <w:t>es igual o superior al 5% de la suma del PBO y PBA y siempre que estos cumplan con alguno de los criterios de interdependencia económica.</w:t>
      </w:r>
    </w:p>
    <w:p w14:paraId="076D7042" w14:textId="77777777" w:rsidR="00011ED6" w:rsidRDefault="00011ED6" w:rsidP="00011ED6">
      <w:pPr>
        <w:spacing w:before="120"/>
        <w:jc w:val="both"/>
        <w:rPr>
          <w:rFonts w:ascii="Arial" w:hAnsi="Arial" w:cs="Arial"/>
          <w:sz w:val="22"/>
          <w:szCs w:val="22"/>
        </w:rPr>
      </w:pPr>
      <w:r>
        <w:rPr>
          <w:rFonts w:ascii="Arial" w:hAnsi="Arial" w:cs="Arial"/>
          <w:sz w:val="22"/>
          <w:szCs w:val="22"/>
        </w:rPr>
        <w:t xml:space="preserve">Ejemplo 1. B, C y D son tres contrapartes que dependen económicamente de una </w:t>
      </w:r>
      <w:r w:rsidR="00D02D97">
        <w:rPr>
          <w:rFonts w:ascii="Arial" w:hAnsi="Arial" w:cs="Arial"/>
          <w:sz w:val="22"/>
          <w:szCs w:val="22"/>
        </w:rPr>
        <w:t>contraparte</w:t>
      </w:r>
      <w:r>
        <w:rPr>
          <w:rFonts w:ascii="Arial" w:hAnsi="Arial" w:cs="Arial"/>
          <w:sz w:val="22"/>
          <w:szCs w:val="22"/>
        </w:rPr>
        <w:t xml:space="preserve"> en común</w:t>
      </w:r>
      <w:r w:rsidR="00D02D97">
        <w:rPr>
          <w:rFonts w:ascii="Arial" w:hAnsi="Arial" w:cs="Arial"/>
          <w:sz w:val="22"/>
          <w:szCs w:val="22"/>
        </w:rPr>
        <w:t>,</w:t>
      </w:r>
      <w:r>
        <w:rPr>
          <w:rFonts w:ascii="Arial" w:hAnsi="Arial" w:cs="Arial"/>
          <w:sz w:val="22"/>
          <w:szCs w:val="22"/>
        </w:rPr>
        <w:t xml:space="preserve"> A. </w:t>
      </w:r>
      <w:r w:rsidR="002B1014">
        <w:rPr>
          <w:rFonts w:ascii="Arial" w:hAnsi="Arial" w:cs="Arial"/>
          <w:sz w:val="22"/>
          <w:szCs w:val="22"/>
        </w:rPr>
        <w:t xml:space="preserve">En este caso el GCC estará formado por A+B+C+D, es irrelevante que no existe dependencia entre B, C y D. </w:t>
      </w:r>
    </w:p>
    <w:p w14:paraId="0C783D0A" w14:textId="77777777" w:rsidR="002B1014" w:rsidRDefault="002B1014" w:rsidP="000773B0">
      <w:pPr>
        <w:spacing w:before="120"/>
        <w:jc w:val="center"/>
        <w:rPr>
          <w:rFonts w:ascii="Arial" w:hAnsi="Arial" w:cs="Arial"/>
          <w:sz w:val="22"/>
          <w:szCs w:val="22"/>
        </w:rPr>
      </w:pPr>
      <w:r w:rsidRPr="002B1014">
        <w:rPr>
          <w:rFonts w:ascii="Arial" w:hAnsi="Arial" w:cs="Arial"/>
          <w:noProof/>
          <w:sz w:val="22"/>
          <w:szCs w:val="22"/>
          <w:lang w:val="es-CO" w:eastAsia="es-CO"/>
        </w:rPr>
        <w:drawing>
          <wp:inline distT="0" distB="0" distL="0" distR="0" wp14:anchorId="79844F13" wp14:editId="63DA7EFE">
            <wp:extent cx="2905125" cy="1313597"/>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17910"/>
                    <a:stretch/>
                  </pic:blipFill>
                  <pic:spPr bwMode="auto">
                    <a:xfrm>
                      <a:off x="0" y="0"/>
                      <a:ext cx="2905530" cy="1313780"/>
                    </a:xfrm>
                    <a:prstGeom prst="rect">
                      <a:avLst/>
                    </a:prstGeom>
                    <a:ln>
                      <a:noFill/>
                    </a:ln>
                    <a:extLst>
                      <a:ext uri="{53640926-AAD7-44D8-BBD7-CCE9431645EC}">
                        <a14:shadowObscured xmlns:a14="http://schemas.microsoft.com/office/drawing/2010/main"/>
                      </a:ext>
                    </a:extLst>
                  </pic:spPr>
                </pic:pic>
              </a:graphicData>
            </a:graphic>
          </wp:inline>
        </w:drawing>
      </w:r>
    </w:p>
    <w:p w14:paraId="7BCA70C9" w14:textId="195C03F4" w:rsidR="002B1014" w:rsidRDefault="002B1014" w:rsidP="00011ED6">
      <w:pPr>
        <w:spacing w:before="120"/>
        <w:jc w:val="both"/>
        <w:rPr>
          <w:rFonts w:ascii="Arial" w:hAnsi="Arial" w:cs="Arial"/>
          <w:sz w:val="22"/>
          <w:szCs w:val="22"/>
        </w:rPr>
      </w:pPr>
      <w:r>
        <w:rPr>
          <w:rFonts w:ascii="Arial" w:hAnsi="Arial" w:cs="Arial"/>
          <w:sz w:val="22"/>
          <w:szCs w:val="22"/>
        </w:rPr>
        <w:t xml:space="preserve">Ejemplo 2. Si </w:t>
      </w:r>
      <w:r w:rsidR="000773B0">
        <w:rPr>
          <w:rFonts w:ascii="Arial" w:hAnsi="Arial" w:cs="Arial"/>
          <w:sz w:val="22"/>
          <w:szCs w:val="22"/>
        </w:rPr>
        <w:t>la entidad reportante</w:t>
      </w:r>
      <w:r>
        <w:rPr>
          <w:rFonts w:ascii="Arial" w:hAnsi="Arial" w:cs="Arial"/>
          <w:sz w:val="22"/>
          <w:szCs w:val="22"/>
        </w:rPr>
        <w:t xml:space="preserve"> solo </w:t>
      </w:r>
      <w:r w:rsidR="00746653">
        <w:rPr>
          <w:rFonts w:ascii="Arial" w:hAnsi="Arial" w:cs="Arial"/>
          <w:sz w:val="22"/>
          <w:szCs w:val="22"/>
        </w:rPr>
        <w:t>está</w:t>
      </w:r>
      <w:r>
        <w:rPr>
          <w:rFonts w:ascii="Arial" w:hAnsi="Arial" w:cs="Arial"/>
          <w:sz w:val="22"/>
          <w:szCs w:val="22"/>
        </w:rPr>
        <w:t xml:space="preserve"> expuesto a B, C y D, pero no a A, y una de las exposiciones representa más del 5% del PBO+PBA del EC, entonces todas las </w:t>
      </w:r>
      <w:r w:rsidR="00D02D97">
        <w:rPr>
          <w:rFonts w:ascii="Arial" w:hAnsi="Arial" w:cs="Arial"/>
          <w:sz w:val="22"/>
          <w:szCs w:val="22"/>
        </w:rPr>
        <w:t>contrapartes</w:t>
      </w:r>
      <w:r>
        <w:rPr>
          <w:rFonts w:ascii="Arial" w:hAnsi="Arial" w:cs="Arial"/>
          <w:sz w:val="22"/>
          <w:szCs w:val="22"/>
        </w:rPr>
        <w:t xml:space="preserve"> </w:t>
      </w:r>
      <w:r>
        <w:rPr>
          <w:rFonts w:ascii="Arial" w:hAnsi="Arial" w:cs="Arial"/>
          <w:sz w:val="22"/>
          <w:szCs w:val="22"/>
        </w:rPr>
        <w:lastRenderedPageBreak/>
        <w:t>deben ser tratadas como un GCC (A+B+C+D), como se muestra a continuación, porque tanto B como C y D dependen económicamente de A. La suma del valor de exposición sujeto al límite es B+C+D</w:t>
      </w:r>
    </w:p>
    <w:p w14:paraId="2055CC27" w14:textId="77777777" w:rsidR="002B1014" w:rsidRDefault="002B1014" w:rsidP="000773B0">
      <w:pPr>
        <w:spacing w:before="120"/>
        <w:jc w:val="center"/>
        <w:rPr>
          <w:rFonts w:ascii="Arial" w:hAnsi="Arial" w:cs="Arial"/>
          <w:sz w:val="22"/>
          <w:szCs w:val="22"/>
        </w:rPr>
      </w:pPr>
      <w:r>
        <w:rPr>
          <w:noProof/>
        </w:rPr>
        <w:drawing>
          <wp:inline distT="0" distB="0" distL="0" distR="0" wp14:anchorId="5046B01D" wp14:editId="22799326">
            <wp:extent cx="2705478" cy="1200318"/>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pic:nvPicPr>
                  <pic:blipFill>
                    <a:blip r:embed="rId15">
                      <a:extLst>
                        <a:ext uri="{28A0092B-C50C-407E-A947-70E740481C1C}">
                          <a14:useLocalDpi xmlns:a14="http://schemas.microsoft.com/office/drawing/2010/main" val="0"/>
                        </a:ext>
                      </a:extLst>
                    </a:blip>
                    <a:stretch>
                      <a:fillRect/>
                    </a:stretch>
                  </pic:blipFill>
                  <pic:spPr>
                    <a:xfrm>
                      <a:off x="0" y="0"/>
                      <a:ext cx="2705478" cy="1200318"/>
                    </a:xfrm>
                    <a:prstGeom prst="rect">
                      <a:avLst/>
                    </a:prstGeom>
                  </pic:spPr>
                </pic:pic>
              </a:graphicData>
            </a:graphic>
          </wp:inline>
        </w:drawing>
      </w:r>
    </w:p>
    <w:p w14:paraId="7551F4A2" w14:textId="77777777" w:rsidR="009179E6" w:rsidRDefault="009179E6" w:rsidP="00011ED6">
      <w:pPr>
        <w:spacing w:before="120"/>
        <w:jc w:val="both"/>
        <w:rPr>
          <w:rFonts w:ascii="Arial" w:hAnsi="Arial" w:cs="Arial"/>
          <w:sz w:val="22"/>
          <w:szCs w:val="22"/>
        </w:rPr>
      </w:pPr>
    </w:p>
    <w:p w14:paraId="1685B4D5" w14:textId="3FC266D6" w:rsidR="002B1014" w:rsidRDefault="002B1014" w:rsidP="00011ED6">
      <w:pPr>
        <w:spacing w:before="120"/>
        <w:jc w:val="both"/>
        <w:rPr>
          <w:rFonts w:ascii="Arial" w:hAnsi="Arial" w:cs="Arial"/>
          <w:sz w:val="22"/>
          <w:szCs w:val="22"/>
        </w:rPr>
      </w:pPr>
      <w:r w:rsidRPr="00746653">
        <w:rPr>
          <w:rFonts w:ascii="Arial" w:hAnsi="Arial" w:cs="Arial"/>
          <w:sz w:val="22"/>
          <w:szCs w:val="22"/>
        </w:rPr>
        <w:t xml:space="preserve">Ejemplo 3. Una </w:t>
      </w:r>
      <w:r w:rsidR="00D02D97" w:rsidRPr="00746653">
        <w:rPr>
          <w:rFonts w:ascii="Arial" w:hAnsi="Arial" w:cs="Arial"/>
          <w:sz w:val="22"/>
          <w:szCs w:val="22"/>
        </w:rPr>
        <w:t>contraparte</w:t>
      </w:r>
      <w:r w:rsidRPr="00746653">
        <w:rPr>
          <w:rFonts w:ascii="Arial" w:hAnsi="Arial" w:cs="Arial"/>
          <w:sz w:val="22"/>
          <w:szCs w:val="22"/>
        </w:rPr>
        <w:t xml:space="preserve"> C depende económicamente de dos </w:t>
      </w:r>
      <w:r w:rsidR="00D02D97" w:rsidRPr="00746653">
        <w:rPr>
          <w:rFonts w:ascii="Arial" w:hAnsi="Arial" w:cs="Arial"/>
          <w:sz w:val="22"/>
          <w:szCs w:val="22"/>
        </w:rPr>
        <w:t>contrapartes</w:t>
      </w:r>
      <w:r w:rsidRPr="00746653">
        <w:rPr>
          <w:rFonts w:ascii="Arial" w:hAnsi="Arial" w:cs="Arial"/>
          <w:sz w:val="22"/>
          <w:szCs w:val="22"/>
        </w:rPr>
        <w:t xml:space="preserve"> distintas: A y B, pero no existe dependencia entre A y B. Si </w:t>
      </w:r>
      <w:r w:rsidR="000773B0">
        <w:rPr>
          <w:rFonts w:ascii="Arial" w:hAnsi="Arial" w:cs="Arial"/>
          <w:sz w:val="22"/>
          <w:szCs w:val="22"/>
        </w:rPr>
        <w:t>la entidad reportante</w:t>
      </w:r>
      <w:r w:rsidRPr="00746653">
        <w:rPr>
          <w:rFonts w:ascii="Arial" w:hAnsi="Arial" w:cs="Arial"/>
          <w:sz w:val="22"/>
          <w:szCs w:val="22"/>
        </w:rPr>
        <w:t xml:space="preserve"> tiene exposiciones a las tres </w:t>
      </w:r>
      <w:r w:rsidR="00D02D97" w:rsidRPr="00746653">
        <w:rPr>
          <w:rFonts w:ascii="Arial" w:hAnsi="Arial" w:cs="Arial"/>
          <w:sz w:val="22"/>
          <w:szCs w:val="22"/>
        </w:rPr>
        <w:t>contrapartes</w:t>
      </w:r>
      <w:r w:rsidR="0051679D" w:rsidRPr="00746653">
        <w:rPr>
          <w:rFonts w:ascii="Arial" w:hAnsi="Arial" w:cs="Arial"/>
          <w:sz w:val="22"/>
          <w:szCs w:val="22"/>
        </w:rPr>
        <w:t xml:space="preserve"> (</w:t>
      </w:r>
      <w:r w:rsidRPr="00746653">
        <w:rPr>
          <w:rFonts w:ascii="Arial" w:hAnsi="Arial" w:cs="Arial"/>
          <w:sz w:val="22"/>
          <w:szCs w:val="22"/>
        </w:rPr>
        <w:t>A, B y C</w:t>
      </w:r>
      <w:r w:rsidR="0051679D" w:rsidRPr="00746653">
        <w:rPr>
          <w:rFonts w:ascii="Arial" w:hAnsi="Arial" w:cs="Arial"/>
          <w:sz w:val="22"/>
          <w:szCs w:val="22"/>
        </w:rPr>
        <w:t>)</w:t>
      </w:r>
      <w:r w:rsidRPr="00746653">
        <w:rPr>
          <w:rFonts w:ascii="Arial" w:hAnsi="Arial" w:cs="Arial"/>
          <w:sz w:val="22"/>
          <w:szCs w:val="22"/>
        </w:rPr>
        <w:t xml:space="preserve"> debe incluir a la </w:t>
      </w:r>
      <w:r w:rsidR="00D02D97" w:rsidRPr="00746653">
        <w:rPr>
          <w:rFonts w:ascii="Arial" w:hAnsi="Arial" w:cs="Arial"/>
          <w:sz w:val="22"/>
          <w:szCs w:val="22"/>
        </w:rPr>
        <w:t>contraparte</w:t>
      </w:r>
      <w:r w:rsidRPr="00746653">
        <w:rPr>
          <w:rFonts w:ascii="Arial" w:hAnsi="Arial" w:cs="Arial"/>
          <w:sz w:val="22"/>
          <w:szCs w:val="22"/>
        </w:rPr>
        <w:t xml:space="preserve"> C en ambos grupos: el GCC de A y el GCC de B. Esta situación refleja un potencial efecto contagio de dificultades financieras de A a C o de B a C. Como no hay dependencia entre A y B, no es necesario formar un grupo A+B+C</w:t>
      </w:r>
    </w:p>
    <w:p w14:paraId="726EE3B0" w14:textId="22E7082A" w:rsidR="00746653" w:rsidRPr="00746653" w:rsidRDefault="00746653" w:rsidP="000773B0">
      <w:pPr>
        <w:spacing w:before="120"/>
        <w:jc w:val="center"/>
        <w:rPr>
          <w:rFonts w:ascii="Arial" w:hAnsi="Arial" w:cs="Arial"/>
          <w:noProof/>
          <w:sz w:val="18"/>
          <w:szCs w:val="18"/>
          <w:lang w:val="es-CO" w:eastAsia="es-CO"/>
        </w:rPr>
      </w:pPr>
      <w:r w:rsidRPr="00746653">
        <w:rPr>
          <w:rFonts w:ascii="Arial" w:hAnsi="Arial" w:cs="Arial"/>
          <w:noProof/>
          <w:sz w:val="18"/>
          <w:szCs w:val="18"/>
          <w:lang w:val="es-CO" w:eastAsia="es-CO"/>
        </w:rPr>
        <w:t>Grupo conectado de contrapartes de A</w:t>
      </w:r>
      <w:r w:rsidRPr="00746653">
        <w:rPr>
          <w:rFonts w:ascii="Arial" w:hAnsi="Arial" w:cs="Arial"/>
          <w:noProof/>
          <w:sz w:val="18"/>
          <w:szCs w:val="18"/>
          <w:lang w:val="es-CO" w:eastAsia="es-CO"/>
        </w:rPr>
        <w:tab/>
      </w:r>
      <w:r>
        <w:rPr>
          <w:rFonts w:ascii="Arial" w:hAnsi="Arial" w:cs="Arial"/>
          <w:noProof/>
          <w:sz w:val="18"/>
          <w:szCs w:val="18"/>
          <w:lang w:val="es-CO" w:eastAsia="es-CO"/>
        </w:rPr>
        <w:t xml:space="preserve">        </w:t>
      </w:r>
      <w:r w:rsidRPr="00746653">
        <w:rPr>
          <w:rFonts w:ascii="Arial" w:hAnsi="Arial" w:cs="Arial"/>
          <w:noProof/>
          <w:sz w:val="18"/>
          <w:szCs w:val="18"/>
          <w:lang w:val="es-CO" w:eastAsia="es-CO"/>
        </w:rPr>
        <w:t>Grupo conectado de contrapartes de B</w:t>
      </w:r>
    </w:p>
    <w:p w14:paraId="22771FDB" w14:textId="523FBE28" w:rsidR="002B1014" w:rsidRDefault="002B1014" w:rsidP="000773B0">
      <w:pPr>
        <w:spacing w:before="120"/>
        <w:jc w:val="center"/>
        <w:rPr>
          <w:rFonts w:ascii="Arial" w:hAnsi="Arial" w:cs="Arial"/>
          <w:sz w:val="22"/>
          <w:szCs w:val="22"/>
        </w:rPr>
      </w:pPr>
      <w:r w:rsidRPr="002B1014">
        <w:rPr>
          <w:rFonts w:ascii="Arial" w:hAnsi="Arial" w:cs="Arial"/>
          <w:noProof/>
          <w:sz w:val="22"/>
          <w:szCs w:val="22"/>
          <w:lang w:val="es-CO" w:eastAsia="es-CO"/>
        </w:rPr>
        <w:drawing>
          <wp:inline distT="0" distB="0" distL="0" distR="0" wp14:anchorId="03FD3CA6" wp14:editId="6A7CD68D">
            <wp:extent cx="4648200" cy="1878280"/>
            <wp:effectExtent l="0" t="0" r="0" b="825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11967"/>
                    <a:stretch/>
                  </pic:blipFill>
                  <pic:spPr bwMode="auto">
                    <a:xfrm>
                      <a:off x="0" y="0"/>
                      <a:ext cx="4648849" cy="1878542"/>
                    </a:xfrm>
                    <a:prstGeom prst="rect">
                      <a:avLst/>
                    </a:prstGeom>
                    <a:ln>
                      <a:noFill/>
                    </a:ln>
                    <a:extLst>
                      <a:ext uri="{53640926-AAD7-44D8-BBD7-CCE9431645EC}">
                        <a14:shadowObscured xmlns:a14="http://schemas.microsoft.com/office/drawing/2010/main"/>
                      </a:ext>
                    </a:extLst>
                  </pic:spPr>
                </pic:pic>
              </a:graphicData>
            </a:graphic>
          </wp:inline>
        </w:drawing>
      </w:r>
    </w:p>
    <w:p w14:paraId="4F0DCB2E" w14:textId="7483899F" w:rsidR="002B1014" w:rsidRDefault="002B1014" w:rsidP="00011ED6">
      <w:pPr>
        <w:spacing w:before="120"/>
        <w:jc w:val="both"/>
        <w:rPr>
          <w:rFonts w:ascii="Arial" w:hAnsi="Arial" w:cs="Arial"/>
          <w:sz w:val="22"/>
          <w:szCs w:val="22"/>
        </w:rPr>
      </w:pPr>
      <w:r>
        <w:rPr>
          <w:rFonts w:ascii="Arial" w:hAnsi="Arial" w:cs="Arial"/>
          <w:sz w:val="22"/>
          <w:szCs w:val="22"/>
        </w:rPr>
        <w:t xml:space="preserve">Ejemplo 4. La </w:t>
      </w:r>
      <w:r w:rsidR="00D02D97">
        <w:rPr>
          <w:rFonts w:ascii="Arial" w:hAnsi="Arial" w:cs="Arial"/>
          <w:sz w:val="22"/>
          <w:szCs w:val="22"/>
        </w:rPr>
        <w:t>contraparte</w:t>
      </w:r>
      <w:r>
        <w:rPr>
          <w:rFonts w:ascii="Arial" w:hAnsi="Arial" w:cs="Arial"/>
          <w:sz w:val="22"/>
          <w:szCs w:val="22"/>
        </w:rPr>
        <w:t xml:space="preserve"> C es dependiente económicamente de B, y B es económicamente dependiente de A</w:t>
      </w:r>
      <w:r w:rsidR="00D02D97">
        <w:rPr>
          <w:rFonts w:ascii="Arial" w:hAnsi="Arial" w:cs="Arial"/>
          <w:sz w:val="22"/>
          <w:szCs w:val="22"/>
        </w:rPr>
        <w:t xml:space="preserve">. Si </w:t>
      </w:r>
      <w:r w:rsidR="000773B0">
        <w:rPr>
          <w:rFonts w:ascii="Arial" w:hAnsi="Arial" w:cs="Arial"/>
          <w:sz w:val="22"/>
          <w:szCs w:val="22"/>
        </w:rPr>
        <w:t>la entidad reportante</w:t>
      </w:r>
      <w:r w:rsidR="00D02D97">
        <w:rPr>
          <w:rFonts w:ascii="Arial" w:hAnsi="Arial" w:cs="Arial"/>
          <w:sz w:val="22"/>
          <w:szCs w:val="22"/>
        </w:rPr>
        <w:t xml:space="preserve"> tiene exposiciones con A, B y C, el GCC de A debe incluir a B y a C debido a que las dificultades financieras de A podrían llevar a dificultades financieras de C.</w:t>
      </w:r>
    </w:p>
    <w:p w14:paraId="5F388D82" w14:textId="77777777" w:rsidR="00D02D97" w:rsidRDefault="00D02D97" w:rsidP="000773B0">
      <w:pPr>
        <w:spacing w:before="120"/>
        <w:jc w:val="center"/>
        <w:rPr>
          <w:rFonts w:ascii="Arial" w:hAnsi="Arial" w:cs="Arial"/>
          <w:sz w:val="22"/>
          <w:szCs w:val="22"/>
        </w:rPr>
      </w:pPr>
      <w:r>
        <w:rPr>
          <w:noProof/>
        </w:rPr>
        <w:drawing>
          <wp:inline distT="0" distB="0" distL="0" distR="0" wp14:anchorId="6505C15F" wp14:editId="7FFB9036">
            <wp:extent cx="3496163" cy="2019582"/>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pic:nvPicPr>
                  <pic:blipFill>
                    <a:blip r:embed="rId17">
                      <a:extLst>
                        <a:ext uri="{28A0092B-C50C-407E-A947-70E740481C1C}">
                          <a14:useLocalDpi xmlns:a14="http://schemas.microsoft.com/office/drawing/2010/main" val="0"/>
                        </a:ext>
                      </a:extLst>
                    </a:blip>
                    <a:stretch>
                      <a:fillRect/>
                    </a:stretch>
                  </pic:blipFill>
                  <pic:spPr>
                    <a:xfrm>
                      <a:off x="0" y="0"/>
                      <a:ext cx="3496163" cy="2019582"/>
                    </a:xfrm>
                    <a:prstGeom prst="rect">
                      <a:avLst/>
                    </a:prstGeom>
                  </pic:spPr>
                </pic:pic>
              </a:graphicData>
            </a:graphic>
          </wp:inline>
        </w:drawing>
      </w:r>
    </w:p>
    <w:p w14:paraId="1799A05A" w14:textId="77777777" w:rsidR="00D02D97" w:rsidRPr="00011ED6" w:rsidRDefault="00D02D97" w:rsidP="00011ED6">
      <w:pPr>
        <w:spacing w:before="120"/>
        <w:jc w:val="both"/>
        <w:rPr>
          <w:rFonts w:ascii="Arial" w:hAnsi="Arial" w:cs="Arial"/>
          <w:sz w:val="22"/>
          <w:szCs w:val="22"/>
        </w:rPr>
      </w:pPr>
    </w:p>
    <w:sectPr w:rsidR="00D02D97" w:rsidRPr="00011E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C9BF7" w14:textId="77777777" w:rsidR="00DE5848" w:rsidRDefault="00DE5848" w:rsidP="00EC7875">
      <w:r>
        <w:separator/>
      </w:r>
    </w:p>
  </w:endnote>
  <w:endnote w:type="continuationSeparator" w:id="0">
    <w:p w14:paraId="13D44B1C" w14:textId="77777777" w:rsidR="00DE5848" w:rsidRDefault="00DE5848" w:rsidP="00EC7875">
      <w:r>
        <w:continuationSeparator/>
      </w:r>
    </w:p>
  </w:endnote>
  <w:endnote w:type="continuationNotice" w:id="1">
    <w:p w14:paraId="3537DBC3" w14:textId="77777777" w:rsidR="00DE5848" w:rsidRDefault="00DE5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Univers Cd (W1)">
    <w:altName w:val="Calibri"/>
    <w:panose1 w:val="020B0604020202020204"/>
    <w:charset w:val="00"/>
    <w:family w:val="swiss"/>
    <w:notTrueType/>
    <w:pitch w:val="variable"/>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6DF47" w14:textId="77777777" w:rsidR="00DE5848" w:rsidRDefault="00DE5848" w:rsidP="00EC7875">
      <w:r>
        <w:separator/>
      </w:r>
    </w:p>
  </w:footnote>
  <w:footnote w:type="continuationSeparator" w:id="0">
    <w:p w14:paraId="1D267A4C" w14:textId="77777777" w:rsidR="00DE5848" w:rsidRDefault="00DE5848" w:rsidP="00EC7875">
      <w:r>
        <w:continuationSeparator/>
      </w:r>
    </w:p>
  </w:footnote>
  <w:footnote w:type="continuationNotice" w:id="1">
    <w:p w14:paraId="5C19EDC5" w14:textId="77777777" w:rsidR="00DE5848" w:rsidRDefault="00DE5848"/>
  </w:footnote>
  <w:footnote w:id="2">
    <w:p w14:paraId="376FFF77" w14:textId="71BC6E51" w:rsidR="000773B0" w:rsidRPr="00BF4FC4" w:rsidRDefault="000773B0" w:rsidP="00BF4FC4">
      <w:pPr>
        <w:pStyle w:val="Textonotapie"/>
        <w:jc w:val="both"/>
        <w:rPr>
          <w:rFonts w:ascii="Arial" w:hAnsi="Arial" w:cs="Arial"/>
          <w:lang w:val="es-CO"/>
        </w:rPr>
      </w:pPr>
      <w:r w:rsidRPr="00BF4FC4">
        <w:rPr>
          <w:rStyle w:val="Refdenotaalpie"/>
          <w:rFonts w:ascii="Arial" w:hAnsi="Arial" w:cs="Arial"/>
          <w:sz w:val="18"/>
          <w:szCs w:val="18"/>
        </w:rPr>
        <w:footnoteRef/>
      </w:r>
      <w:r w:rsidRPr="00BF4FC4">
        <w:rPr>
          <w:rFonts w:ascii="Arial" w:hAnsi="Arial" w:cs="Arial"/>
          <w:sz w:val="18"/>
          <w:szCs w:val="18"/>
          <w:lang w:val="en-US"/>
        </w:rPr>
        <w:t xml:space="preserve"> OSFI (2019), Large Exposure Limits for Domestic Systemically Important Banks. </w:t>
      </w:r>
      <w:r w:rsidR="00C82CFA" w:rsidRPr="00BF4FC4">
        <w:rPr>
          <w:rFonts w:ascii="Arial" w:hAnsi="Arial" w:cs="Arial"/>
          <w:sz w:val="18"/>
          <w:szCs w:val="18"/>
        </w:rPr>
        <w:t>Disponible en</w:t>
      </w:r>
      <w:r w:rsidRPr="00BF4FC4">
        <w:rPr>
          <w:rFonts w:ascii="Arial" w:hAnsi="Arial" w:cs="Arial"/>
          <w:sz w:val="18"/>
          <w:szCs w:val="18"/>
        </w:rPr>
        <w:t xml:space="preserve">: </w:t>
      </w:r>
      <w:hyperlink r:id="rId1" w:anchor="fnb23" w:history="1">
        <w:r w:rsidRPr="00BF4FC4">
          <w:rPr>
            <w:rStyle w:val="Hipervnculo"/>
            <w:rFonts w:ascii="Arial" w:hAnsi="Arial" w:cs="Arial"/>
            <w:sz w:val="18"/>
            <w:szCs w:val="18"/>
          </w:rPr>
          <w:t>https://www.osfi-bsif.gc.ca/Eng/fi-if/rg-ro/gdn-ort/gl-ld/Pages/b2-20.aspx#fnb23</w:t>
        </w:r>
      </w:hyperlink>
      <w:r w:rsidRPr="00BF4FC4">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D0C69"/>
    <w:multiLevelType w:val="hybridMultilevel"/>
    <w:tmpl w:val="878EF2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2F062BC"/>
    <w:multiLevelType w:val="hybridMultilevel"/>
    <w:tmpl w:val="2C7282BA"/>
    <w:lvl w:ilvl="0" w:tplc="010A2C56">
      <w:start w:val="1"/>
      <w:numFmt w:val="low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571CF6"/>
    <w:multiLevelType w:val="multilevel"/>
    <w:tmpl w:val="440CCF56"/>
    <w:lvl w:ilvl="0">
      <w:start w:val="1"/>
      <w:numFmt w:val="decimal"/>
      <w:lvlText w:val="%1."/>
      <w:lvlJc w:val="left"/>
      <w:pPr>
        <w:ind w:left="360" w:hanging="360"/>
      </w:pPr>
      <w:rPr>
        <w:b w:val="0"/>
        <w:bCs w:val="0"/>
      </w:rPr>
    </w:lvl>
    <w:lvl w:ilvl="1">
      <w:start w:val="1"/>
      <w:numFmt w:val="decimal"/>
      <w:lvlText w:val="%1.%2."/>
      <w:lvlJc w:val="left"/>
      <w:pPr>
        <w:ind w:left="792" w:hanging="432"/>
      </w:pPr>
      <w:rPr>
        <w:rFonts w:ascii="Arial" w:hAnsi="Arial" w:cs="Arial"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D13BD4"/>
    <w:multiLevelType w:val="hybridMultilevel"/>
    <w:tmpl w:val="0C5EB2CA"/>
    <w:lvl w:ilvl="0" w:tplc="240A000F">
      <w:start w:val="1"/>
      <w:numFmt w:val="decimal"/>
      <w:lvlText w:val="%1."/>
      <w:lvlJc w:val="left"/>
      <w:pPr>
        <w:ind w:left="422" w:hanging="360"/>
      </w:pPr>
    </w:lvl>
    <w:lvl w:ilvl="1" w:tplc="240A0019" w:tentative="1">
      <w:start w:val="1"/>
      <w:numFmt w:val="lowerLetter"/>
      <w:lvlText w:val="%2."/>
      <w:lvlJc w:val="left"/>
      <w:pPr>
        <w:ind w:left="1142" w:hanging="360"/>
      </w:pPr>
    </w:lvl>
    <w:lvl w:ilvl="2" w:tplc="240A001B" w:tentative="1">
      <w:start w:val="1"/>
      <w:numFmt w:val="lowerRoman"/>
      <w:lvlText w:val="%3."/>
      <w:lvlJc w:val="right"/>
      <w:pPr>
        <w:ind w:left="1862" w:hanging="180"/>
      </w:pPr>
    </w:lvl>
    <w:lvl w:ilvl="3" w:tplc="240A000F" w:tentative="1">
      <w:start w:val="1"/>
      <w:numFmt w:val="decimal"/>
      <w:lvlText w:val="%4."/>
      <w:lvlJc w:val="left"/>
      <w:pPr>
        <w:ind w:left="2582" w:hanging="360"/>
      </w:pPr>
    </w:lvl>
    <w:lvl w:ilvl="4" w:tplc="240A0019" w:tentative="1">
      <w:start w:val="1"/>
      <w:numFmt w:val="lowerLetter"/>
      <w:lvlText w:val="%5."/>
      <w:lvlJc w:val="left"/>
      <w:pPr>
        <w:ind w:left="3302" w:hanging="360"/>
      </w:pPr>
    </w:lvl>
    <w:lvl w:ilvl="5" w:tplc="240A001B" w:tentative="1">
      <w:start w:val="1"/>
      <w:numFmt w:val="lowerRoman"/>
      <w:lvlText w:val="%6."/>
      <w:lvlJc w:val="right"/>
      <w:pPr>
        <w:ind w:left="4022" w:hanging="180"/>
      </w:pPr>
    </w:lvl>
    <w:lvl w:ilvl="6" w:tplc="240A000F" w:tentative="1">
      <w:start w:val="1"/>
      <w:numFmt w:val="decimal"/>
      <w:lvlText w:val="%7."/>
      <w:lvlJc w:val="left"/>
      <w:pPr>
        <w:ind w:left="4742" w:hanging="360"/>
      </w:pPr>
    </w:lvl>
    <w:lvl w:ilvl="7" w:tplc="240A0019" w:tentative="1">
      <w:start w:val="1"/>
      <w:numFmt w:val="lowerLetter"/>
      <w:lvlText w:val="%8."/>
      <w:lvlJc w:val="left"/>
      <w:pPr>
        <w:ind w:left="5462" w:hanging="360"/>
      </w:pPr>
    </w:lvl>
    <w:lvl w:ilvl="8" w:tplc="240A001B" w:tentative="1">
      <w:start w:val="1"/>
      <w:numFmt w:val="lowerRoman"/>
      <w:lvlText w:val="%9."/>
      <w:lvlJc w:val="right"/>
      <w:pPr>
        <w:ind w:left="6182" w:hanging="180"/>
      </w:pPr>
    </w:lvl>
  </w:abstractNum>
  <w:abstractNum w:abstractNumId="4" w15:restartNumberingAfterBreak="0">
    <w:nsid w:val="06F47EDD"/>
    <w:multiLevelType w:val="hybridMultilevel"/>
    <w:tmpl w:val="CE68E422"/>
    <w:lvl w:ilvl="0" w:tplc="C18817BC">
      <w:start w:val="1"/>
      <w:numFmt w:val="upperRoman"/>
      <w:lvlText w:val="%1."/>
      <w:lvlJc w:val="left"/>
      <w:pPr>
        <w:ind w:left="720" w:hanging="72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8846656"/>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A97880"/>
    <w:multiLevelType w:val="multilevel"/>
    <w:tmpl w:val="1270D53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3B777C"/>
    <w:multiLevelType w:val="multilevel"/>
    <w:tmpl w:val="1270D53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1151FD"/>
    <w:multiLevelType w:val="hybridMultilevel"/>
    <w:tmpl w:val="AAC84760"/>
    <w:lvl w:ilvl="0" w:tplc="9F8A06D4">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5393E84"/>
    <w:multiLevelType w:val="multilevel"/>
    <w:tmpl w:val="1270D534"/>
    <w:lvl w:ilvl="0">
      <w:start w:val="1"/>
      <w:numFmt w:val="decimal"/>
      <w:lvlText w:val="%1"/>
      <w:lvlJc w:val="left"/>
      <w:pPr>
        <w:ind w:left="1410" w:hanging="705"/>
      </w:pPr>
      <w:rPr>
        <w:rFonts w:hint="default"/>
      </w:rPr>
    </w:lvl>
    <w:lvl w:ilvl="1">
      <w:start w:val="1"/>
      <w:numFmt w:val="decimal"/>
      <w:lvlText w:val="%1.%2"/>
      <w:lvlJc w:val="left"/>
      <w:pPr>
        <w:ind w:left="1410" w:hanging="705"/>
      </w:pPr>
      <w:rPr>
        <w:rFonts w:hint="default"/>
      </w:rPr>
    </w:lvl>
    <w:lvl w:ilvl="2">
      <w:start w:val="1"/>
      <w:numFmt w:val="decimal"/>
      <w:lvlText w:val="%1.%2.%3"/>
      <w:lvlJc w:val="left"/>
      <w:pPr>
        <w:ind w:left="1425" w:hanging="720"/>
      </w:pPr>
      <w:rPr>
        <w:rFonts w:hint="default"/>
      </w:rPr>
    </w:lvl>
    <w:lvl w:ilvl="3">
      <w:start w:val="1"/>
      <w:numFmt w:val="decimal"/>
      <w:lvlText w:val="%1.%2.%3.%4"/>
      <w:lvlJc w:val="left"/>
      <w:pPr>
        <w:ind w:left="1425" w:hanging="720"/>
      </w:pPr>
      <w:rPr>
        <w:rFonts w:hint="default"/>
      </w:rPr>
    </w:lvl>
    <w:lvl w:ilvl="4">
      <w:start w:val="1"/>
      <w:numFmt w:val="decimal"/>
      <w:lvlText w:val="%1.%2.%3.%4.%5"/>
      <w:lvlJc w:val="left"/>
      <w:pPr>
        <w:ind w:left="1785"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145" w:hanging="1440"/>
      </w:pPr>
      <w:rPr>
        <w:rFonts w:hint="default"/>
      </w:rPr>
    </w:lvl>
    <w:lvl w:ilvl="7">
      <w:start w:val="1"/>
      <w:numFmt w:val="decimal"/>
      <w:lvlText w:val="%1.%2.%3.%4.%5.%6.%7.%8"/>
      <w:lvlJc w:val="left"/>
      <w:pPr>
        <w:ind w:left="2505" w:hanging="1800"/>
      </w:pPr>
      <w:rPr>
        <w:rFonts w:hint="default"/>
      </w:rPr>
    </w:lvl>
    <w:lvl w:ilvl="8">
      <w:start w:val="1"/>
      <w:numFmt w:val="decimal"/>
      <w:lvlText w:val="%1.%2.%3.%4.%5.%6.%7.%8.%9"/>
      <w:lvlJc w:val="left"/>
      <w:pPr>
        <w:ind w:left="2505" w:hanging="1800"/>
      </w:pPr>
      <w:rPr>
        <w:rFonts w:hint="default"/>
      </w:rPr>
    </w:lvl>
  </w:abstractNum>
  <w:abstractNum w:abstractNumId="10" w15:restartNumberingAfterBreak="0">
    <w:nsid w:val="2CC124AC"/>
    <w:multiLevelType w:val="multilevel"/>
    <w:tmpl w:val="B9FEE77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0CF2343"/>
    <w:multiLevelType w:val="hybridMultilevel"/>
    <w:tmpl w:val="609A4A24"/>
    <w:lvl w:ilvl="0" w:tplc="9F8A06D4">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2E839F8"/>
    <w:multiLevelType w:val="hybridMultilevel"/>
    <w:tmpl w:val="A770DBFC"/>
    <w:lvl w:ilvl="0" w:tplc="240A0019">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8D5490"/>
    <w:multiLevelType w:val="hybridMultilevel"/>
    <w:tmpl w:val="D3D644C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E13870"/>
    <w:multiLevelType w:val="multilevel"/>
    <w:tmpl w:val="12CA56DE"/>
    <w:lvl w:ilvl="0">
      <w:start w:val="1"/>
      <w:numFmt w:val="decimal"/>
      <w:lvlText w:val="%1"/>
      <w:lvlJc w:val="left"/>
      <w:pPr>
        <w:ind w:left="1410" w:hanging="705"/>
      </w:pPr>
      <w:rPr>
        <w:rFonts w:hint="default"/>
      </w:rPr>
    </w:lvl>
    <w:lvl w:ilvl="1">
      <w:start w:val="1"/>
      <w:numFmt w:val="decimal"/>
      <w:lvlText w:val="%1.%2"/>
      <w:lvlJc w:val="left"/>
      <w:pPr>
        <w:ind w:left="1410" w:hanging="705"/>
      </w:pPr>
      <w:rPr>
        <w:rFonts w:hint="default"/>
        <w:b w:val="0"/>
        <w:bCs w:val="0"/>
      </w:rPr>
    </w:lvl>
    <w:lvl w:ilvl="2">
      <w:start w:val="1"/>
      <w:numFmt w:val="decimal"/>
      <w:lvlText w:val="%1.%2.%3"/>
      <w:lvlJc w:val="left"/>
      <w:pPr>
        <w:ind w:left="1425" w:hanging="720"/>
      </w:pPr>
      <w:rPr>
        <w:rFonts w:hint="default"/>
      </w:rPr>
    </w:lvl>
    <w:lvl w:ilvl="3">
      <w:start w:val="1"/>
      <w:numFmt w:val="decimal"/>
      <w:lvlText w:val="%1.%2.%3.%4"/>
      <w:lvlJc w:val="left"/>
      <w:pPr>
        <w:ind w:left="1425" w:hanging="720"/>
      </w:pPr>
      <w:rPr>
        <w:rFonts w:hint="default"/>
      </w:rPr>
    </w:lvl>
    <w:lvl w:ilvl="4">
      <w:start w:val="1"/>
      <w:numFmt w:val="decimal"/>
      <w:lvlText w:val="%1.%2.%3.%4.%5"/>
      <w:lvlJc w:val="left"/>
      <w:pPr>
        <w:ind w:left="1785"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145" w:hanging="1440"/>
      </w:pPr>
      <w:rPr>
        <w:rFonts w:hint="default"/>
      </w:rPr>
    </w:lvl>
    <w:lvl w:ilvl="7">
      <w:start w:val="1"/>
      <w:numFmt w:val="decimal"/>
      <w:lvlText w:val="%1.%2.%3.%4.%5.%6.%7.%8"/>
      <w:lvlJc w:val="left"/>
      <w:pPr>
        <w:ind w:left="2505" w:hanging="1800"/>
      </w:pPr>
      <w:rPr>
        <w:rFonts w:hint="default"/>
      </w:rPr>
    </w:lvl>
    <w:lvl w:ilvl="8">
      <w:start w:val="1"/>
      <w:numFmt w:val="decimal"/>
      <w:lvlText w:val="%1.%2.%3.%4.%5.%6.%7.%8.%9"/>
      <w:lvlJc w:val="left"/>
      <w:pPr>
        <w:ind w:left="2505" w:hanging="1800"/>
      </w:pPr>
      <w:rPr>
        <w:rFonts w:hint="default"/>
      </w:rPr>
    </w:lvl>
  </w:abstractNum>
  <w:abstractNum w:abstractNumId="15" w15:restartNumberingAfterBreak="0">
    <w:nsid w:val="4F8F7621"/>
    <w:multiLevelType w:val="hybridMultilevel"/>
    <w:tmpl w:val="786C5632"/>
    <w:lvl w:ilvl="0" w:tplc="240A0019">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613161A4"/>
    <w:multiLevelType w:val="hybridMultilevel"/>
    <w:tmpl w:val="0C067E02"/>
    <w:lvl w:ilvl="0" w:tplc="F3FE20A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5123749"/>
    <w:multiLevelType w:val="hybridMultilevel"/>
    <w:tmpl w:val="606EE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6D301B5"/>
    <w:multiLevelType w:val="multilevel"/>
    <w:tmpl w:val="1270D53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2D6E3B"/>
    <w:multiLevelType w:val="hybridMultilevel"/>
    <w:tmpl w:val="D97C1252"/>
    <w:lvl w:ilvl="0" w:tplc="240A001B">
      <w:start w:val="1"/>
      <w:numFmt w:val="low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1"/>
  </w:num>
  <w:num w:numId="2">
    <w:abstractNumId w:val="8"/>
  </w:num>
  <w:num w:numId="3">
    <w:abstractNumId w:val="15"/>
  </w:num>
  <w:num w:numId="4">
    <w:abstractNumId w:val="12"/>
  </w:num>
  <w:num w:numId="5">
    <w:abstractNumId w:val="19"/>
  </w:num>
  <w:num w:numId="6">
    <w:abstractNumId w:val="17"/>
  </w:num>
  <w:num w:numId="7">
    <w:abstractNumId w:val="16"/>
  </w:num>
  <w:num w:numId="8">
    <w:abstractNumId w:val="2"/>
  </w:num>
  <w:num w:numId="9">
    <w:abstractNumId w:val="6"/>
  </w:num>
  <w:num w:numId="10">
    <w:abstractNumId w:val="7"/>
  </w:num>
  <w:num w:numId="11">
    <w:abstractNumId w:val="9"/>
  </w:num>
  <w:num w:numId="12">
    <w:abstractNumId w:val="18"/>
  </w:num>
  <w:num w:numId="13">
    <w:abstractNumId w:val="14"/>
  </w:num>
  <w:num w:numId="14">
    <w:abstractNumId w:val="13"/>
  </w:num>
  <w:num w:numId="15">
    <w:abstractNumId w:val="1"/>
  </w:num>
  <w:num w:numId="16">
    <w:abstractNumId w:val="5"/>
  </w:num>
  <w:num w:numId="17">
    <w:abstractNumId w:val="0"/>
  </w:num>
  <w:num w:numId="18">
    <w:abstractNumId w:val="4"/>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4"/>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9F8"/>
    <w:rsid w:val="00000869"/>
    <w:rsid w:val="0000218A"/>
    <w:rsid w:val="00007902"/>
    <w:rsid w:val="0001048D"/>
    <w:rsid w:val="00010BB3"/>
    <w:rsid w:val="000116B8"/>
    <w:rsid w:val="00011876"/>
    <w:rsid w:val="00011D47"/>
    <w:rsid w:val="00011ED6"/>
    <w:rsid w:val="00014690"/>
    <w:rsid w:val="00016488"/>
    <w:rsid w:val="00020657"/>
    <w:rsid w:val="000221DC"/>
    <w:rsid w:val="00023FC8"/>
    <w:rsid w:val="0002661D"/>
    <w:rsid w:val="000276A3"/>
    <w:rsid w:val="00032352"/>
    <w:rsid w:val="000356F4"/>
    <w:rsid w:val="000422B8"/>
    <w:rsid w:val="000429E5"/>
    <w:rsid w:val="00042C79"/>
    <w:rsid w:val="00043D23"/>
    <w:rsid w:val="0004687E"/>
    <w:rsid w:val="00053A54"/>
    <w:rsid w:val="00053D16"/>
    <w:rsid w:val="000625A8"/>
    <w:rsid w:val="000651F4"/>
    <w:rsid w:val="00065390"/>
    <w:rsid w:val="0006734E"/>
    <w:rsid w:val="000711EC"/>
    <w:rsid w:val="00074141"/>
    <w:rsid w:val="00074536"/>
    <w:rsid w:val="00076287"/>
    <w:rsid w:val="000773B0"/>
    <w:rsid w:val="000800D5"/>
    <w:rsid w:val="000829BF"/>
    <w:rsid w:val="00083D17"/>
    <w:rsid w:val="00087688"/>
    <w:rsid w:val="00095DE4"/>
    <w:rsid w:val="000A1085"/>
    <w:rsid w:val="000A2114"/>
    <w:rsid w:val="000A2ABE"/>
    <w:rsid w:val="000A3858"/>
    <w:rsid w:val="000A53EB"/>
    <w:rsid w:val="000A5C17"/>
    <w:rsid w:val="000A7108"/>
    <w:rsid w:val="000B2177"/>
    <w:rsid w:val="000B53D6"/>
    <w:rsid w:val="000C1E61"/>
    <w:rsid w:val="000C2A86"/>
    <w:rsid w:val="000C458B"/>
    <w:rsid w:val="000C4FE6"/>
    <w:rsid w:val="000C6CF1"/>
    <w:rsid w:val="000C77F4"/>
    <w:rsid w:val="000C7B8F"/>
    <w:rsid w:val="000D1813"/>
    <w:rsid w:val="000D196D"/>
    <w:rsid w:val="000D3930"/>
    <w:rsid w:val="000D40AC"/>
    <w:rsid w:val="000D45C2"/>
    <w:rsid w:val="000D53D8"/>
    <w:rsid w:val="000D608D"/>
    <w:rsid w:val="000F2460"/>
    <w:rsid w:val="000F2577"/>
    <w:rsid w:val="000F37BA"/>
    <w:rsid w:val="000F4E17"/>
    <w:rsid w:val="000F71E8"/>
    <w:rsid w:val="000F7EB3"/>
    <w:rsid w:val="00101C3E"/>
    <w:rsid w:val="00102B73"/>
    <w:rsid w:val="0010364B"/>
    <w:rsid w:val="00103836"/>
    <w:rsid w:val="00105E8E"/>
    <w:rsid w:val="00107E78"/>
    <w:rsid w:val="001115E2"/>
    <w:rsid w:val="001127D2"/>
    <w:rsid w:val="001132F5"/>
    <w:rsid w:val="0011481D"/>
    <w:rsid w:val="00114F7C"/>
    <w:rsid w:val="0011784A"/>
    <w:rsid w:val="0012516E"/>
    <w:rsid w:val="00127996"/>
    <w:rsid w:val="0013105F"/>
    <w:rsid w:val="00134A1F"/>
    <w:rsid w:val="001370F2"/>
    <w:rsid w:val="00144CBE"/>
    <w:rsid w:val="0014581B"/>
    <w:rsid w:val="001477B0"/>
    <w:rsid w:val="00150740"/>
    <w:rsid w:val="0015143A"/>
    <w:rsid w:val="00153268"/>
    <w:rsid w:val="001544F5"/>
    <w:rsid w:val="0015621E"/>
    <w:rsid w:val="00162494"/>
    <w:rsid w:val="001652C9"/>
    <w:rsid w:val="00166694"/>
    <w:rsid w:val="00167770"/>
    <w:rsid w:val="00170B01"/>
    <w:rsid w:val="0017230B"/>
    <w:rsid w:val="001762FE"/>
    <w:rsid w:val="00180C99"/>
    <w:rsid w:val="00187912"/>
    <w:rsid w:val="00190315"/>
    <w:rsid w:val="00191D7D"/>
    <w:rsid w:val="00192241"/>
    <w:rsid w:val="00196778"/>
    <w:rsid w:val="001978BB"/>
    <w:rsid w:val="001A0270"/>
    <w:rsid w:val="001A233F"/>
    <w:rsid w:val="001A49EA"/>
    <w:rsid w:val="001A67A4"/>
    <w:rsid w:val="001B0A03"/>
    <w:rsid w:val="001B2A8C"/>
    <w:rsid w:val="001B6F3C"/>
    <w:rsid w:val="001B731B"/>
    <w:rsid w:val="001C40DA"/>
    <w:rsid w:val="001D1128"/>
    <w:rsid w:val="001D325C"/>
    <w:rsid w:val="001D4ED2"/>
    <w:rsid w:val="001D6660"/>
    <w:rsid w:val="001E083E"/>
    <w:rsid w:val="001E53EE"/>
    <w:rsid w:val="001F02E9"/>
    <w:rsid w:val="001F2312"/>
    <w:rsid w:val="0020721D"/>
    <w:rsid w:val="0021517C"/>
    <w:rsid w:val="00217405"/>
    <w:rsid w:val="00221AED"/>
    <w:rsid w:val="00226C5F"/>
    <w:rsid w:val="00233087"/>
    <w:rsid w:val="002335B4"/>
    <w:rsid w:val="00235832"/>
    <w:rsid w:val="00241EC7"/>
    <w:rsid w:val="0024567F"/>
    <w:rsid w:val="00246151"/>
    <w:rsid w:val="00250BFC"/>
    <w:rsid w:val="00252B45"/>
    <w:rsid w:val="0025356F"/>
    <w:rsid w:val="00254906"/>
    <w:rsid w:val="002566C8"/>
    <w:rsid w:val="002605CD"/>
    <w:rsid w:val="002609B7"/>
    <w:rsid w:val="002632AE"/>
    <w:rsid w:val="0026412B"/>
    <w:rsid w:val="0026575E"/>
    <w:rsid w:val="00266FB8"/>
    <w:rsid w:val="00271E4B"/>
    <w:rsid w:val="00271FA5"/>
    <w:rsid w:val="002722FD"/>
    <w:rsid w:val="00272F81"/>
    <w:rsid w:val="00274951"/>
    <w:rsid w:val="00275FB1"/>
    <w:rsid w:val="0027737C"/>
    <w:rsid w:val="002824B5"/>
    <w:rsid w:val="00283A66"/>
    <w:rsid w:val="002857C2"/>
    <w:rsid w:val="0028621B"/>
    <w:rsid w:val="00286809"/>
    <w:rsid w:val="00290754"/>
    <w:rsid w:val="00291355"/>
    <w:rsid w:val="00293059"/>
    <w:rsid w:val="00296E27"/>
    <w:rsid w:val="002A1502"/>
    <w:rsid w:val="002A2259"/>
    <w:rsid w:val="002A2A5B"/>
    <w:rsid w:val="002A3C19"/>
    <w:rsid w:val="002A5394"/>
    <w:rsid w:val="002A744C"/>
    <w:rsid w:val="002A7D3E"/>
    <w:rsid w:val="002B02BD"/>
    <w:rsid w:val="002B1014"/>
    <w:rsid w:val="002B6367"/>
    <w:rsid w:val="002C2891"/>
    <w:rsid w:val="002C4B01"/>
    <w:rsid w:val="002C6C09"/>
    <w:rsid w:val="002C7D0A"/>
    <w:rsid w:val="002D1794"/>
    <w:rsid w:val="002D1DD4"/>
    <w:rsid w:val="002D7122"/>
    <w:rsid w:val="002E14A5"/>
    <w:rsid w:val="002E2114"/>
    <w:rsid w:val="002E342C"/>
    <w:rsid w:val="002F3FCE"/>
    <w:rsid w:val="002F544F"/>
    <w:rsid w:val="002F7EB2"/>
    <w:rsid w:val="00301C49"/>
    <w:rsid w:val="00302C1E"/>
    <w:rsid w:val="00305738"/>
    <w:rsid w:val="003065F5"/>
    <w:rsid w:val="00311175"/>
    <w:rsid w:val="0031335B"/>
    <w:rsid w:val="00316FC1"/>
    <w:rsid w:val="0031764D"/>
    <w:rsid w:val="00317AFB"/>
    <w:rsid w:val="00321796"/>
    <w:rsid w:val="00321F8A"/>
    <w:rsid w:val="00322439"/>
    <w:rsid w:val="00322D33"/>
    <w:rsid w:val="00332294"/>
    <w:rsid w:val="00332F1E"/>
    <w:rsid w:val="00333D23"/>
    <w:rsid w:val="00334FFB"/>
    <w:rsid w:val="003369D0"/>
    <w:rsid w:val="00340539"/>
    <w:rsid w:val="003419DE"/>
    <w:rsid w:val="003434A0"/>
    <w:rsid w:val="00344C6A"/>
    <w:rsid w:val="00345E0F"/>
    <w:rsid w:val="003547F4"/>
    <w:rsid w:val="003552C5"/>
    <w:rsid w:val="003609D5"/>
    <w:rsid w:val="00360B68"/>
    <w:rsid w:val="003634C4"/>
    <w:rsid w:val="003646D4"/>
    <w:rsid w:val="00365543"/>
    <w:rsid w:val="003708B2"/>
    <w:rsid w:val="003722D8"/>
    <w:rsid w:val="00375330"/>
    <w:rsid w:val="003801B0"/>
    <w:rsid w:val="00380F6A"/>
    <w:rsid w:val="00382311"/>
    <w:rsid w:val="00387DD3"/>
    <w:rsid w:val="0039062A"/>
    <w:rsid w:val="00391518"/>
    <w:rsid w:val="00394FD0"/>
    <w:rsid w:val="003A0225"/>
    <w:rsid w:val="003A180C"/>
    <w:rsid w:val="003B2BF6"/>
    <w:rsid w:val="003B3D0B"/>
    <w:rsid w:val="003B3ECE"/>
    <w:rsid w:val="003B58EC"/>
    <w:rsid w:val="003B6461"/>
    <w:rsid w:val="003B78B4"/>
    <w:rsid w:val="003C23BF"/>
    <w:rsid w:val="003C3E1F"/>
    <w:rsid w:val="003C3EF3"/>
    <w:rsid w:val="003C4841"/>
    <w:rsid w:val="003C67CC"/>
    <w:rsid w:val="003C6D65"/>
    <w:rsid w:val="003D0C93"/>
    <w:rsid w:val="003D3B7F"/>
    <w:rsid w:val="003D4104"/>
    <w:rsid w:val="003D6E08"/>
    <w:rsid w:val="003D77DD"/>
    <w:rsid w:val="003E10FA"/>
    <w:rsid w:val="003E2115"/>
    <w:rsid w:val="003E7708"/>
    <w:rsid w:val="003F0040"/>
    <w:rsid w:val="003F42B7"/>
    <w:rsid w:val="003F4661"/>
    <w:rsid w:val="003F6000"/>
    <w:rsid w:val="003F728E"/>
    <w:rsid w:val="00400A69"/>
    <w:rsid w:val="00403B81"/>
    <w:rsid w:val="004050FA"/>
    <w:rsid w:val="00405368"/>
    <w:rsid w:val="0040709C"/>
    <w:rsid w:val="0040794D"/>
    <w:rsid w:val="00407BC3"/>
    <w:rsid w:val="00410040"/>
    <w:rsid w:val="004106E9"/>
    <w:rsid w:val="00411305"/>
    <w:rsid w:val="004163F6"/>
    <w:rsid w:val="004175DF"/>
    <w:rsid w:val="0041769A"/>
    <w:rsid w:val="0042028A"/>
    <w:rsid w:val="00420919"/>
    <w:rsid w:val="00420BEF"/>
    <w:rsid w:val="00423A20"/>
    <w:rsid w:val="00425576"/>
    <w:rsid w:val="004260ED"/>
    <w:rsid w:val="00427C7A"/>
    <w:rsid w:val="00427FE1"/>
    <w:rsid w:val="00431F27"/>
    <w:rsid w:val="00432294"/>
    <w:rsid w:val="00433421"/>
    <w:rsid w:val="00434F26"/>
    <w:rsid w:val="00437303"/>
    <w:rsid w:val="004445DD"/>
    <w:rsid w:val="00445B6F"/>
    <w:rsid w:val="0044720B"/>
    <w:rsid w:val="00453D10"/>
    <w:rsid w:val="004543D7"/>
    <w:rsid w:val="004569C4"/>
    <w:rsid w:val="00456E61"/>
    <w:rsid w:val="004603CD"/>
    <w:rsid w:val="004615DB"/>
    <w:rsid w:val="004630FE"/>
    <w:rsid w:val="0046410D"/>
    <w:rsid w:val="00464CA1"/>
    <w:rsid w:val="00464DF9"/>
    <w:rsid w:val="00464E88"/>
    <w:rsid w:val="004678A1"/>
    <w:rsid w:val="00470CD5"/>
    <w:rsid w:val="00471F6E"/>
    <w:rsid w:val="00474364"/>
    <w:rsid w:val="00475F81"/>
    <w:rsid w:val="004765C7"/>
    <w:rsid w:val="0048058F"/>
    <w:rsid w:val="00481C5E"/>
    <w:rsid w:val="00481C8D"/>
    <w:rsid w:val="0048242D"/>
    <w:rsid w:val="00482746"/>
    <w:rsid w:val="00483690"/>
    <w:rsid w:val="00485F78"/>
    <w:rsid w:val="00486968"/>
    <w:rsid w:val="00487696"/>
    <w:rsid w:val="004877E4"/>
    <w:rsid w:val="00493F90"/>
    <w:rsid w:val="004A05F9"/>
    <w:rsid w:val="004A5BF0"/>
    <w:rsid w:val="004A619A"/>
    <w:rsid w:val="004A65E1"/>
    <w:rsid w:val="004B0692"/>
    <w:rsid w:val="004B12D7"/>
    <w:rsid w:val="004B16B8"/>
    <w:rsid w:val="004B259E"/>
    <w:rsid w:val="004B335C"/>
    <w:rsid w:val="004B3785"/>
    <w:rsid w:val="004B6312"/>
    <w:rsid w:val="004B7126"/>
    <w:rsid w:val="004C295A"/>
    <w:rsid w:val="004C621C"/>
    <w:rsid w:val="004D0E1B"/>
    <w:rsid w:val="004D10DC"/>
    <w:rsid w:val="004D15CC"/>
    <w:rsid w:val="004D5852"/>
    <w:rsid w:val="004D5CC2"/>
    <w:rsid w:val="004E50BB"/>
    <w:rsid w:val="004E52A1"/>
    <w:rsid w:val="004E5BC0"/>
    <w:rsid w:val="004E75C2"/>
    <w:rsid w:val="004E7F52"/>
    <w:rsid w:val="004F3263"/>
    <w:rsid w:val="004F7CB0"/>
    <w:rsid w:val="004F7DDA"/>
    <w:rsid w:val="005011FC"/>
    <w:rsid w:val="00501A83"/>
    <w:rsid w:val="00502203"/>
    <w:rsid w:val="00502AC0"/>
    <w:rsid w:val="00504A5C"/>
    <w:rsid w:val="00506D90"/>
    <w:rsid w:val="005078D8"/>
    <w:rsid w:val="0051110C"/>
    <w:rsid w:val="00514313"/>
    <w:rsid w:val="005143AE"/>
    <w:rsid w:val="005144BE"/>
    <w:rsid w:val="00514952"/>
    <w:rsid w:val="005151A9"/>
    <w:rsid w:val="0051679D"/>
    <w:rsid w:val="00516D12"/>
    <w:rsid w:val="0052077A"/>
    <w:rsid w:val="0052207F"/>
    <w:rsid w:val="0052633D"/>
    <w:rsid w:val="0053192C"/>
    <w:rsid w:val="005321D1"/>
    <w:rsid w:val="005328B3"/>
    <w:rsid w:val="005352AC"/>
    <w:rsid w:val="0053668A"/>
    <w:rsid w:val="005403DB"/>
    <w:rsid w:val="005419A3"/>
    <w:rsid w:val="00542A5D"/>
    <w:rsid w:val="00543020"/>
    <w:rsid w:val="00544FA3"/>
    <w:rsid w:val="005457A1"/>
    <w:rsid w:val="00555360"/>
    <w:rsid w:val="00556985"/>
    <w:rsid w:val="005627B2"/>
    <w:rsid w:val="005636FD"/>
    <w:rsid w:val="005661EE"/>
    <w:rsid w:val="00567859"/>
    <w:rsid w:val="00572139"/>
    <w:rsid w:val="00575194"/>
    <w:rsid w:val="00577768"/>
    <w:rsid w:val="0057787D"/>
    <w:rsid w:val="00580A42"/>
    <w:rsid w:val="00582DCC"/>
    <w:rsid w:val="00583E90"/>
    <w:rsid w:val="00584B21"/>
    <w:rsid w:val="005853B5"/>
    <w:rsid w:val="00585DD1"/>
    <w:rsid w:val="00586CF9"/>
    <w:rsid w:val="00590ADD"/>
    <w:rsid w:val="00592968"/>
    <w:rsid w:val="00595F4E"/>
    <w:rsid w:val="0059723C"/>
    <w:rsid w:val="005A2BD5"/>
    <w:rsid w:val="005A3297"/>
    <w:rsid w:val="005A40A0"/>
    <w:rsid w:val="005A41E3"/>
    <w:rsid w:val="005A474D"/>
    <w:rsid w:val="005A575B"/>
    <w:rsid w:val="005A5DBF"/>
    <w:rsid w:val="005A6C69"/>
    <w:rsid w:val="005B02A5"/>
    <w:rsid w:val="005B1299"/>
    <w:rsid w:val="005B265F"/>
    <w:rsid w:val="005B7B02"/>
    <w:rsid w:val="005C14C2"/>
    <w:rsid w:val="005C5652"/>
    <w:rsid w:val="005D092F"/>
    <w:rsid w:val="005D245C"/>
    <w:rsid w:val="005D4FAC"/>
    <w:rsid w:val="005D5DA0"/>
    <w:rsid w:val="005E1739"/>
    <w:rsid w:val="005E46A0"/>
    <w:rsid w:val="005E5F8C"/>
    <w:rsid w:val="005F078A"/>
    <w:rsid w:val="005F1EE3"/>
    <w:rsid w:val="005F3D73"/>
    <w:rsid w:val="005F4E6C"/>
    <w:rsid w:val="005F6AF3"/>
    <w:rsid w:val="00601172"/>
    <w:rsid w:val="006037FC"/>
    <w:rsid w:val="0060766E"/>
    <w:rsid w:val="006078ED"/>
    <w:rsid w:val="00607D9D"/>
    <w:rsid w:val="00610D18"/>
    <w:rsid w:val="00613D24"/>
    <w:rsid w:val="00614E74"/>
    <w:rsid w:val="00617B4A"/>
    <w:rsid w:val="00620958"/>
    <w:rsid w:val="00621274"/>
    <w:rsid w:val="00621C61"/>
    <w:rsid w:val="00622196"/>
    <w:rsid w:val="0062567C"/>
    <w:rsid w:val="0062748F"/>
    <w:rsid w:val="0062777C"/>
    <w:rsid w:val="00627A3E"/>
    <w:rsid w:val="006305AD"/>
    <w:rsid w:val="00630737"/>
    <w:rsid w:val="00631243"/>
    <w:rsid w:val="00631A40"/>
    <w:rsid w:val="00634E3E"/>
    <w:rsid w:val="00636387"/>
    <w:rsid w:val="00636391"/>
    <w:rsid w:val="00636842"/>
    <w:rsid w:val="00640131"/>
    <w:rsid w:val="0064041E"/>
    <w:rsid w:val="0064132A"/>
    <w:rsid w:val="00641892"/>
    <w:rsid w:val="0064476A"/>
    <w:rsid w:val="00644A57"/>
    <w:rsid w:val="0064511B"/>
    <w:rsid w:val="00647FAB"/>
    <w:rsid w:val="00653B2D"/>
    <w:rsid w:val="00653CFE"/>
    <w:rsid w:val="00656C73"/>
    <w:rsid w:val="00656E46"/>
    <w:rsid w:val="00656F14"/>
    <w:rsid w:val="006572A4"/>
    <w:rsid w:val="006577A5"/>
    <w:rsid w:val="00663080"/>
    <w:rsid w:val="006645E7"/>
    <w:rsid w:val="00667440"/>
    <w:rsid w:val="006730F9"/>
    <w:rsid w:val="006749D0"/>
    <w:rsid w:val="00674C9B"/>
    <w:rsid w:val="00682E13"/>
    <w:rsid w:val="00683249"/>
    <w:rsid w:val="00684A6A"/>
    <w:rsid w:val="00684C58"/>
    <w:rsid w:val="00685C0E"/>
    <w:rsid w:val="00691F46"/>
    <w:rsid w:val="00695354"/>
    <w:rsid w:val="006A1A49"/>
    <w:rsid w:val="006B1337"/>
    <w:rsid w:val="006B2A6E"/>
    <w:rsid w:val="006B368F"/>
    <w:rsid w:val="006B5313"/>
    <w:rsid w:val="006B7EBC"/>
    <w:rsid w:val="006C0F29"/>
    <w:rsid w:val="006C13CD"/>
    <w:rsid w:val="006C2B81"/>
    <w:rsid w:val="006C41E6"/>
    <w:rsid w:val="006C6320"/>
    <w:rsid w:val="006C6FCE"/>
    <w:rsid w:val="006C7F77"/>
    <w:rsid w:val="006D17A7"/>
    <w:rsid w:val="006D1940"/>
    <w:rsid w:val="006D25A1"/>
    <w:rsid w:val="006D27D5"/>
    <w:rsid w:val="006D4427"/>
    <w:rsid w:val="006D6137"/>
    <w:rsid w:val="006D6DD7"/>
    <w:rsid w:val="006D7AD2"/>
    <w:rsid w:val="006E0A78"/>
    <w:rsid w:val="006E0AEF"/>
    <w:rsid w:val="006E1829"/>
    <w:rsid w:val="006E1FA9"/>
    <w:rsid w:val="006E2D2C"/>
    <w:rsid w:val="006E3201"/>
    <w:rsid w:val="006E3F01"/>
    <w:rsid w:val="006F05EF"/>
    <w:rsid w:val="006F3922"/>
    <w:rsid w:val="006F6532"/>
    <w:rsid w:val="006F75AC"/>
    <w:rsid w:val="006F7899"/>
    <w:rsid w:val="00702563"/>
    <w:rsid w:val="00705362"/>
    <w:rsid w:val="007060F8"/>
    <w:rsid w:val="00706E3E"/>
    <w:rsid w:val="007117EF"/>
    <w:rsid w:val="00712056"/>
    <w:rsid w:val="007125BC"/>
    <w:rsid w:val="0071359D"/>
    <w:rsid w:val="0071655F"/>
    <w:rsid w:val="00717D87"/>
    <w:rsid w:val="00717F22"/>
    <w:rsid w:val="00720B1D"/>
    <w:rsid w:val="007233DB"/>
    <w:rsid w:val="00723474"/>
    <w:rsid w:val="007247D7"/>
    <w:rsid w:val="00724E8C"/>
    <w:rsid w:val="00726298"/>
    <w:rsid w:val="00732467"/>
    <w:rsid w:val="00735A79"/>
    <w:rsid w:val="00740034"/>
    <w:rsid w:val="0074283F"/>
    <w:rsid w:val="007433A1"/>
    <w:rsid w:val="007438DA"/>
    <w:rsid w:val="007456E4"/>
    <w:rsid w:val="00746424"/>
    <w:rsid w:val="00746653"/>
    <w:rsid w:val="007500F7"/>
    <w:rsid w:val="00750A67"/>
    <w:rsid w:val="007512DC"/>
    <w:rsid w:val="00751CEB"/>
    <w:rsid w:val="00752279"/>
    <w:rsid w:val="007525DE"/>
    <w:rsid w:val="007530E5"/>
    <w:rsid w:val="007556BF"/>
    <w:rsid w:val="00755D19"/>
    <w:rsid w:val="0076229C"/>
    <w:rsid w:val="0076471A"/>
    <w:rsid w:val="00764874"/>
    <w:rsid w:val="00765556"/>
    <w:rsid w:val="00771B4C"/>
    <w:rsid w:val="0077739F"/>
    <w:rsid w:val="00782629"/>
    <w:rsid w:val="00784B80"/>
    <w:rsid w:val="007877F8"/>
    <w:rsid w:val="007915B8"/>
    <w:rsid w:val="007A1B08"/>
    <w:rsid w:val="007A6F61"/>
    <w:rsid w:val="007B3254"/>
    <w:rsid w:val="007B36F3"/>
    <w:rsid w:val="007B4464"/>
    <w:rsid w:val="007B5CEB"/>
    <w:rsid w:val="007B6FE4"/>
    <w:rsid w:val="007B7CBB"/>
    <w:rsid w:val="007C0924"/>
    <w:rsid w:val="007C236A"/>
    <w:rsid w:val="007C7480"/>
    <w:rsid w:val="007C79F9"/>
    <w:rsid w:val="007D4480"/>
    <w:rsid w:val="007D4CC1"/>
    <w:rsid w:val="007D65D0"/>
    <w:rsid w:val="007D6724"/>
    <w:rsid w:val="007D7C4F"/>
    <w:rsid w:val="007D7C91"/>
    <w:rsid w:val="007D7DE7"/>
    <w:rsid w:val="007E1255"/>
    <w:rsid w:val="007E168A"/>
    <w:rsid w:val="007E3215"/>
    <w:rsid w:val="007E458C"/>
    <w:rsid w:val="007E550E"/>
    <w:rsid w:val="007E6B18"/>
    <w:rsid w:val="007F26C9"/>
    <w:rsid w:val="007F3957"/>
    <w:rsid w:val="007F4152"/>
    <w:rsid w:val="00800690"/>
    <w:rsid w:val="0080175C"/>
    <w:rsid w:val="00801A87"/>
    <w:rsid w:val="008032ED"/>
    <w:rsid w:val="00803D6A"/>
    <w:rsid w:val="00804A54"/>
    <w:rsid w:val="008055EB"/>
    <w:rsid w:val="00805E56"/>
    <w:rsid w:val="0080736D"/>
    <w:rsid w:val="00807D0B"/>
    <w:rsid w:val="00812CE8"/>
    <w:rsid w:val="00813993"/>
    <w:rsid w:val="008139F9"/>
    <w:rsid w:val="008154C4"/>
    <w:rsid w:val="00815567"/>
    <w:rsid w:val="00816D56"/>
    <w:rsid w:val="0081738B"/>
    <w:rsid w:val="00820AA8"/>
    <w:rsid w:val="0082236A"/>
    <w:rsid w:val="00825A33"/>
    <w:rsid w:val="00825EDB"/>
    <w:rsid w:val="00826563"/>
    <w:rsid w:val="00827106"/>
    <w:rsid w:val="008305A6"/>
    <w:rsid w:val="0083163C"/>
    <w:rsid w:val="00831DA5"/>
    <w:rsid w:val="0083402F"/>
    <w:rsid w:val="00836205"/>
    <w:rsid w:val="00837467"/>
    <w:rsid w:val="008427FA"/>
    <w:rsid w:val="008455F5"/>
    <w:rsid w:val="00847918"/>
    <w:rsid w:val="00847CC8"/>
    <w:rsid w:val="00850F59"/>
    <w:rsid w:val="008575C7"/>
    <w:rsid w:val="00857E6B"/>
    <w:rsid w:val="00860C51"/>
    <w:rsid w:val="00860E00"/>
    <w:rsid w:val="00861C5B"/>
    <w:rsid w:val="0086523A"/>
    <w:rsid w:val="008659FC"/>
    <w:rsid w:val="00867F9D"/>
    <w:rsid w:val="0087285A"/>
    <w:rsid w:val="00873D18"/>
    <w:rsid w:val="0087622D"/>
    <w:rsid w:val="00877D28"/>
    <w:rsid w:val="00880E25"/>
    <w:rsid w:val="00887CF2"/>
    <w:rsid w:val="00891545"/>
    <w:rsid w:val="008935F4"/>
    <w:rsid w:val="00895434"/>
    <w:rsid w:val="00895A3F"/>
    <w:rsid w:val="00895CE4"/>
    <w:rsid w:val="008960D5"/>
    <w:rsid w:val="008965DE"/>
    <w:rsid w:val="008A13D8"/>
    <w:rsid w:val="008A5D16"/>
    <w:rsid w:val="008B16EF"/>
    <w:rsid w:val="008B1BD1"/>
    <w:rsid w:val="008B3A9C"/>
    <w:rsid w:val="008B40BC"/>
    <w:rsid w:val="008C02D5"/>
    <w:rsid w:val="008C0439"/>
    <w:rsid w:val="008C142C"/>
    <w:rsid w:val="008C1A59"/>
    <w:rsid w:val="008C70EE"/>
    <w:rsid w:val="008D252E"/>
    <w:rsid w:val="008D2B46"/>
    <w:rsid w:val="008D3B3E"/>
    <w:rsid w:val="008D3D65"/>
    <w:rsid w:val="008D7A88"/>
    <w:rsid w:val="008E2101"/>
    <w:rsid w:val="008E52C8"/>
    <w:rsid w:val="008E68D2"/>
    <w:rsid w:val="008E741E"/>
    <w:rsid w:val="008E7C17"/>
    <w:rsid w:val="008F4500"/>
    <w:rsid w:val="008F4501"/>
    <w:rsid w:val="008F49F5"/>
    <w:rsid w:val="008F7283"/>
    <w:rsid w:val="00907DCA"/>
    <w:rsid w:val="00910741"/>
    <w:rsid w:val="009142B8"/>
    <w:rsid w:val="00914780"/>
    <w:rsid w:val="0091778B"/>
    <w:rsid w:val="009179E6"/>
    <w:rsid w:val="009219EA"/>
    <w:rsid w:val="009226EE"/>
    <w:rsid w:val="0092492C"/>
    <w:rsid w:val="00926F14"/>
    <w:rsid w:val="0093178A"/>
    <w:rsid w:val="00932553"/>
    <w:rsid w:val="009330FA"/>
    <w:rsid w:val="009341BD"/>
    <w:rsid w:val="00936192"/>
    <w:rsid w:val="00945073"/>
    <w:rsid w:val="00945282"/>
    <w:rsid w:val="00945804"/>
    <w:rsid w:val="0094602C"/>
    <w:rsid w:val="00947130"/>
    <w:rsid w:val="00950894"/>
    <w:rsid w:val="0095103F"/>
    <w:rsid w:val="009529DE"/>
    <w:rsid w:val="00952A6D"/>
    <w:rsid w:val="00957F3B"/>
    <w:rsid w:val="00962E53"/>
    <w:rsid w:val="00965D4A"/>
    <w:rsid w:val="00966CF7"/>
    <w:rsid w:val="00973D12"/>
    <w:rsid w:val="00973E54"/>
    <w:rsid w:val="009747DA"/>
    <w:rsid w:val="00975083"/>
    <w:rsid w:val="009804FC"/>
    <w:rsid w:val="00980AED"/>
    <w:rsid w:val="00982413"/>
    <w:rsid w:val="00983E83"/>
    <w:rsid w:val="00987588"/>
    <w:rsid w:val="00987675"/>
    <w:rsid w:val="00987E75"/>
    <w:rsid w:val="0099319A"/>
    <w:rsid w:val="00993700"/>
    <w:rsid w:val="00993A54"/>
    <w:rsid w:val="00995671"/>
    <w:rsid w:val="0099733A"/>
    <w:rsid w:val="009A1CE4"/>
    <w:rsid w:val="009A5167"/>
    <w:rsid w:val="009B06ED"/>
    <w:rsid w:val="009B64C9"/>
    <w:rsid w:val="009B7042"/>
    <w:rsid w:val="009C19F8"/>
    <w:rsid w:val="009C57BA"/>
    <w:rsid w:val="009C7A18"/>
    <w:rsid w:val="009D32CC"/>
    <w:rsid w:val="009D3861"/>
    <w:rsid w:val="009D3A43"/>
    <w:rsid w:val="009D5546"/>
    <w:rsid w:val="009E162B"/>
    <w:rsid w:val="009E411D"/>
    <w:rsid w:val="009E4523"/>
    <w:rsid w:val="009E5F24"/>
    <w:rsid w:val="009E62C1"/>
    <w:rsid w:val="009E6346"/>
    <w:rsid w:val="009E6EF3"/>
    <w:rsid w:val="009F25D0"/>
    <w:rsid w:val="009F2C8A"/>
    <w:rsid w:val="009F57D9"/>
    <w:rsid w:val="009F5C70"/>
    <w:rsid w:val="009F64DC"/>
    <w:rsid w:val="00A008F3"/>
    <w:rsid w:val="00A00CD2"/>
    <w:rsid w:val="00A012FE"/>
    <w:rsid w:val="00A0273A"/>
    <w:rsid w:val="00A05D5B"/>
    <w:rsid w:val="00A065E2"/>
    <w:rsid w:val="00A12013"/>
    <w:rsid w:val="00A126B9"/>
    <w:rsid w:val="00A1590C"/>
    <w:rsid w:val="00A23936"/>
    <w:rsid w:val="00A256FA"/>
    <w:rsid w:val="00A2627C"/>
    <w:rsid w:val="00A270BB"/>
    <w:rsid w:val="00A31D21"/>
    <w:rsid w:val="00A32F18"/>
    <w:rsid w:val="00A34C82"/>
    <w:rsid w:val="00A369DA"/>
    <w:rsid w:val="00A40625"/>
    <w:rsid w:val="00A40DF8"/>
    <w:rsid w:val="00A43B08"/>
    <w:rsid w:val="00A4579C"/>
    <w:rsid w:val="00A45C01"/>
    <w:rsid w:val="00A47A05"/>
    <w:rsid w:val="00A504D8"/>
    <w:rsid w:val="00A5130E"/>
    <w:rsid w:val="00A51ED1"/>
    <w:rsid w:val="00A5228D"/>
    <w:rsid w:val="00A5282C"/>
    <w:rsid w:val="00A53D2F"/>
    <w:rsid w:val="00A55A21"/>
    <w:rsid w:val="00A603EF"/>
    <w:rsid w:val="00A64632"/>
    <w:rsid w:val="00A66E28"/>
    <w:rsid w:val="00A71C2A"/>
    <w:rsid w:val="00A72B48"/>
    <w:rsid w:val="00A72D68"/>
    <w:rsid w:val="00A7382B"/>
    <w:rsid w:val="00A8145A"/>
    <w:rsid w:val="00A82AB7"/>
    <w:rsid w:val="00A83D87"/>
    <w:rsid w:val="00A905D7"/>
    <w:rsid w:val="00A932F6"/>
    <w:rsid w:val="00A96EF8"/>
    <w:rsid w:val="00AA0AB0"/>
    <w:rsid w:val="00AA7D0F"/>
    <w:rsid w:val="00AB068A"/>
    <w:rsid w:val="00AB1213"/>
    <w:rsid w:val="00AB344E"/>
    <w:rsid w:val="00AB397D"/>
    <w:rsid w:val="00AB7BD9"/>
    <w:rsid w:val="00AC0774"/>
    <w:rsid w:val="00AC221A"/>
    <w:rsid w:val="00AD0847"/>
    <w:rsid w:val="00AD18C9"/>
    <w:rsid w:val="00AD28A2"/>
    <w:rsid w:val="00AD4140"/>
    <w:rsid w:val="00AD5328"/>
    <w:rsid w:val="00AD6CD7"/>
    <w:rsid w:val="00AE165B"/>
    <w:rsid w:val="00AE2EB2"/>
    <w:rsid w:val="00AE74D5"/>
    <w:rsid w:val="00AF16DC"/>
    <w:rsid w:val="00AF2AF4"/>
    <w:rsid w:val="00AF2F46"/>
    <w:rsid w:val="00AF4372"/>
    <w:rsid w:val="00AF46E0"/>
    <w:rsid w:val="00AF62E0"/>
    <w:rsid w:val="00AF72BD"/>
    <w:rsid w:val="00B0347B"/>
    <w:rsid w:val="00B03E2B"/>
    <w:rsid w:val="00B055AF"/>
    <w:rsid w:val="00B11ED1"/>
    <w:rsid w:val="00B13BDF"/>
    <w:rsid w:val="00B14FA6"/>
    <w:rsid w:val="00B236DD"/>
    <w:rsid w:val="00B24539"/>
    <w:rsid w:val="00B24B7F"/>
    <w:rsid w:val="00B25F38"/>
    <w:rsid w:val="00B30793"/>
    <w:rsid w:val="00B317D9"/>
    <w:rsid w:val="00B32058"/>
    <w:rsid w:val="00B370E3"/>
    <w:rsid w:val="00B40591"/>
    <w:rsid w:val="00B439C5"/>
    <w:rsid w:val="00B4656B"/>
    <w:rsid w:val="00B467A3"/>
    <w:rsid w:val="00B51251"/>
    <w:rsid w:val="00B52905"/>
    <w:rsid w:val="00B53CBD"/>
    <w:rsid w:val="00B55842"/>
    <w:rsid w:val="00B558B2"/>
    <w:rsid w:val="00B55E6E"/>
    <w:rsid w:val="00B6020B"/>
    <w:rsid w:val="00B619DA"/>
    <w:rsid w:val="00B65490"/>
    <w:rsid w:val="00B65985"/>
    <w:rsid w:val="00B66624"/>
    <w:rsid w:val="00B66896"/>
    <w:rsid w:val="00B67513"/>
    <w:rsid w:val="00B70CAA"/>
    <w:rsid w:val="00B742E5"/>
    <w:rsid w:val="00B74F99"/>
    <w:rsid w:val="00B84A8E"/>
    <w:rsid w:val="00B84E8A"/>
    <w:rsid w:val="00B87EA1"/>
    <w:rsid w:val="00B951C1"/>
    <w:rsid w:val="00B95241"/>
    <w:rsid w:val="00B95B5E"/>
    <w:rsid w:val="00BA142E"/>
    <w:rsid w:val="00BA175D"/>
    <w:rsid w:val="00BA20D4"/>
    <w:rsid w:val="00BA3C92"/>
    <w:rsid w:val="00BA44B5"/>
    <w:rsid w:val="00BA4B88"/>
    <w:rsid w:val="00BA57C7"/>
    <w:rsid w:val="00BA7502"/>
    <w:rsid w:val="00BA7ED7"/>
    <w:rsid w:val="00BB289B"/>
    <w:rsid w:val="00BB615C"/>
    <w:rsid w:val="00BB6691"/>
    <w:rsid w:val="00BC079B"/>
    <w:rsid w:val="00BC1528"/>
    <w:rsid w:val="00BD2FD4"/>
    <w:rsid w:val="00BE241C"/>
    <w:rsid w:val="00BE2FA1"/>
    <w:rsid w:val="00BE5594"/>
    <w:rsid w:val="00BF0589"/>
    <w:rsid w:val="00BF1ED9"/>
    <w:rsid w:val="00BF461A"/>
    <w:rsid w:val="00BF4D45"/>
    <w:rsid w:val="00BF4FC4"/>
    <w:rsid w:val="00BF51DC"/>
    <w:rsid w:val="00BF65B4"/>
    <w:rsid w:val="00BF783A"/>
    <w:rsid w:val="00BF7D59"/>
    <w:rsid w:val="00BF7F6A"/>
    <w:rsid w:val="00C00878"/>
    <w:rsid w:val="00C01F38"/>
    <w:rsid w:val="00C054ED"/>
    <w:rsid w:val="00C1056B"/>
    <w:rsid w:val="00C108AD"/>
    <w:rsid w:val="00C10E0D"/>
    <w:rsid w:val="00C1176F"/>
    <w:rsid w:val="00C203AB"/>
    <w:rsid w:val="00C23523"/>
    <w:rsid w:val="00C2540A"/>
    <w:rsid w:val="00C25454"/>
    <w:rsid w:val="00C26979"/>
    <w:rsid w:val="00C30564"/>
    <w:rsid w:val="00C30AD7"/>
    <w:rsid w:val="00C31CF9"/>
    <w:rsid w:val="00C3226F"/>
    <w:rsid w:val="00C33E34"/>
    <w:rsid w:val="00C36161"/>
    <w:rsid w:val="00C405DA"/>
    <w:rsid w:val="00C454DC"/>
    <w:rsid w:val="00C469B1"/>
    <w:rsid w:val="00C50377"/>
    <w:rsid w:val="00C50DCC"/>
    <w:rsid w:val="00C52657"/>
    <w:rsid w:val="00C5769B"/>
    <w:rsid w:val="00C60FF8"/>
    <w:rsid w:val="00C643F4"/>
    <w:rsid w:val="00C64B49"/>
    <w:rsid w:val="00C725AC"/>
    <w:rsid w:val="00C76534"/>
    <w:rsid w:val="00C7731D"/>
    <w:rsid w:val="00C77416"/>
    <w:rsid w:val="00C7789C"/>
    <w:rsid w:val="00C807F0"/>
    <w:rsid w:val="00C811EF"/>
    <w:rsid w:val="00C817AE"/>
    <w:rsid w:val="00C81FAF"/>
    <w:rsid w:val="00C827AC"/>
    <w:rsid w:val="00C82CFA"/>
    <w:rsid w:val="00C8378B"/>
    <w:rsid w:val="00C838EB"/>
    <w:rsid w:val="00C84445"/>
    <w:rsid w:val="00C86ED5"/>
    <w:rsid w:val="00C91F30"/>
    <w:rsid w:val="00C933AC"/>
    <w:rsid w:val="00C93DE0"/>
    <w:rsid w:val="00C941DE"/>
    <w:rsid w:val="00C9756C"/>
    <w:rsid w:val="00C976C4"/>
    <w:rsid w:val="00CA0AED"/>
    <w:rsid w:val="00CA37FC"/>
    <w:rsid w:val="00CA4F12"/>
    <w:rsid w:val="00CB10CD"/>
    <w:rsid w:val="00CB1757"/>
    <w:rsid w:val="00CB1868"/>
    <w:rsid w:val="00CB40FF"/>
    <w:rsid w:val="00CB414F"/>
    <w:rsid w:val="00CB52B6"/>
    <w:rsid w:val="00CC2191"/>
    <w:rsid w:val="00CC2E66"/>
    <w:rsid w:val="00CC7A65"/>
    <w:rsid w:val="00CD0BA6"/>
    <w:rsid w:val="00CD2584"/>
    <w:rsid w:val="00CD2C1A"/>
    <w:rsid w:val="00CE0AC6"/>
    <w:rsid w:val="00CE4DB6"/>
    <w:rsid w:val="00CE5533"/>
    <w:rsid w:val="00CE753F"/>
    <w:rsid w:val="00CF2EEA"/>
    <w:rsid w:val="00CF2FA1"/>
    <w:rsid w:val="00CF3206"/>
    <w:rsid w:val="00CF36BE"/>
    <w:rsid w:val="00CF6EC8"/>
    <w:rsid w:val="00D02224"/>
    <w:rsid w:val="00D02D97"/>
    <w:rsid w:val="00D048D2"/>
    <w:rsid w:val="00D04979"/>
    <w:rsid w:val="00D07A1D"/>
    <w:rsid w:val="00D11B35"/>
    <w:rsid w:val="00D12343"/>
    <w:rsid w:val="00D13E56"/>
    <w:rsid w:val="00D14C5A"/>
    <w:rsid w:val="00D17F3E"/>
    <w:rsid w:val="00D20165"/>
    <w:rsid w:val="00D2086F"/>
    <w:rsid w:val="00D21199"/>
    <w:rsid w:val="00D227F8"/>
    <w:rsid w:val="00D23EE4"/>
    <w:rsid w:val="00D3055B"/>
    <w:rsid w:val="00D318B3"/>
    <w:rsid w:val="00D36F64"/>
    <w:rsid w:val="00D41552"/>
    <w:rsid w:val="00D416C2"/>
    <w:rsid w:val="00D41DEA"/>
    <w:rsid w:val="00D45609"/>
    <w:rsid w:val="00D46212"/>
    <w:rsid w:val="00D47497"/>
    <w:rsid w:val="00D47F49"/>
    <w:rsid w:val="00D50083"/>
    <w:rsid w:val="00D51A6C"/>
    <w:rsid w:val="00D53DE8"/>
    <w:rsid w:val="00D56507"/>
    <w:rsid w:val="00D56548"/>
    <w:rsid w:val="00D56F11"/>
    <w:rsid w:val="00D61B3D"/>
    <w:rsid w:val="00D63F3F"/>
    <w:rsid w:val="00D64A60"/>
    <w:rsid w:val="00D66FD0"/>
    <w:rsid w:val="00D7035D"/>
    <w:rsid w:val="00D71B93"/>
    <w:rsid w:val="00D74791"/>
    <w:rsid w:val="00D75710"/>
    <w:rsid w:val="00D77125"/>
    <w:rsid w:val="00D80D60"/>
    <w:rsid w:val="00D82194"/>
    <w:rsid w:val="00D833A2"/>
    <w:rsid w:val="00D83E09"/>
    <w:rsid w:val="00D85B7B"/>
    <w:rsid w:val="00D8608D"/>
    <w:rsid w:val="00D87380"/>
    <w:rsid w:val="00D9238C"/>
    <w:rsid w:val="00D93197"/>
    <w:rsid w:val="00D941F9"/>
    <w:rsid w:val="00D94518"/>
    <w:rsid w:val="00D95CE2"/>
    <w:rsid w:val="00DA13B8"/>
    <w:rsid w:val="00DA39F3"/>
    <w:rsid w:val="00DA4FA4"/>
    <w:rsid w:val="00DA75DD"/>
    <w:rsid w:val="00DA7D11"/>
    <w:rsid w:val="00DB176F"/>
    <w:rsid w:val="00DB1F0F"/>
    <w:rsid w:val="00DB284B"/>
    <w:rsid w:val="00DB2EA6"/>
    <w:rsid w:val="00DB3E93"/>
    <w:rsid w:val="00DB680A"/>
    <w:rsid w:val="00DB78FF"/>
    <w:rsid w:val="00DB7D5E"/>
    <w:rsid w:val="00DC0504"/>
    <w:rsid w:val="00DC28A2"/>
    <w:rsid w:val="00DC3C37"/>
    <w:rsid w:val="00DD3020"/>
    <w:rsid w:val="00DD57E7"/>
    <w:rsid w:val="00DD6CAC"/>
    <w:rsid w:val="00DD7597"/>
    <w:rsid w:val="00DD77F0"/>
    <w:rsid w:val="00DE3F64"/>
    <w:rsid w:val="00DE4166"/>
    <w:rsid w:val="00DE5848"/>
    <w:rsid w:val="00DF379B"/>
    <w:rsid w:val="00E00465"/>
    <w:rsid w:val="00E01A7C"/>
    <w:rsid w:val="00E04A4C"/>
    <w:rsid w:val="00E10930"/>
    <w:rsid w:val="00E110B8"/>
    <w:rsid w:val="00E12C76"/>
    <w:rsid w:val="00E14045"/>
    <w:rsid w:val="00E14771"/>
    <w:rsid w:val="00E15328"/>
    <w:rsid w:val="00E16BBA"/>
    <w:rsid w:val="00E23BB5"/>
    <w:rsid w:val="00E268BC"/>
    <w:rsid w:val="00E272A0"/>
    <w:rsid w:val="00E31CC3"/>
    <w:rsid w:val="00E32ADA"/>
    <w:rsid w:val="00E35086"/>
    <w:rsid w:val="00E37A62"/>
    <w:rsid w:val="00E42DCA"/>
    <w:rsid w:val="00E46243"/>
    <w:rsid w:val="00E46A14"/>
    <w:rsid w:val="00E47633"/>
    <w:rsid w:val="00E55289"/>
    <w:rsid w:val="00E56E74"/>
    <w:rsid w:val="00E620EE"/>
    <w:rsid w:val="00E626BC"/>
    <w:rsid w:val="00E64DF4"/>
    <w:rsid w:val="00E65F0C"/>
    <w:rsid w:val="00E6797B"/>
    <w:rsid w:val="00E705C0"/>
    <w:rsid w:val="00E7222B"/>
    <w:rsid w:val="00E77ADE"/>
    <w:rsid w:val="00E80EBC"/>
    <w:rsid w:val="00E83A91"/>
    <w:rsid w:val="00E83F24"/>
    <w:rsid w:val="00E84A49"/>
    <w:rsid w:val="00E86341"/>
    <w:rsid w:val="00E867EF"/>
    <w:rsid w:val="00E87A17"/>
    <w:rsid w:val="00E951BB"/>
    <w:rsid w:val="00E95869"/>
    <w:rsid w:val="00E95E05"/>
    <w:rsid w:val="00E966C5"/>
    <w:rsid w:val="00EA13E0"/>
    <w:rsid w:val="00EA1A5B"/>
    <w:rsid w:val="00EA1BBB"/>
    <w:rsid w:val="00EA2515"/>
    <w:rsid w:val="00EA4D1D"/>
    <w:rsid w:val="00EA5A88"/>
    <w:rsid w:val="00EA5E22"/>
    <w:rsid w:val="00EA6399"/>
    <w:rsid w:val="00EA6FCD"/>
    <w:rsid w:val="00EB2C2F"/>
    <w:rsid w:val="00EB3E25"/>
    <w:rsid w:val="00EB3EAF"/>
    <w:rsid w:val="00EB6ED7"/>
    <w:rsid w:val="00EC43C4"/>
    <w:rsid w:val="00EC4C4D"/>
    <w:rsid w:val="00EC73D9"/>
    <w:rsid w:val="00EC7423"/>
    <w:rsid w:val="00EC7875"/>
    <w:rsid w:val="00EC7B7E"/>
    <w:rsid w:val="00ED366C"/>
    <w:rsid w:val="00ED62CF"/>
    <w:rsid w:val="00ED72E7"/>
    <w:rsid w:val="00EE1D98"/>
    <w:rsid w:val="00EE2C80"/>
    <w:rsid w:val="00EE40BF"/>
    <w:rsid w:val="00EE4799"/>
    <w:rsid w:val="00EE4870"/>
    <w:rsid w:val="00EF0B17"/>
    <w:rsid w:val="00EF25AC"/>
    <w:rsid w:val="00EF3719"/>
    <w:rsid w:val="00EF4864"/>
    <w:rsid w:val="00EF4E37"/>
    <w:rsid w:val="00EF7C31"/>
    <w:rsid w:val="00F024E4"/>
    <w:rsid w:val="00F034D0"/>
    <w:rsid w:val="00F03BBB"/>
    <w:rsid w:val="00F06A3B"/>
    <w:rsid w:val="00F10382"/>
    <w:rsid w:val="00F10F45"/>
    <w:rsid w:val="00F1361F"/>
    <w:rsid w:val="00F13AEC"/>
    <w:rsid w:val="00F13C89"/>
    <w:rsid w:val="00F16B82"/>
    <w:rsid w:val="00F174F3"/>
    <w:rsid w:val="00F17B5C"/>
    <w:rsid w:val="00F21E9B"/>
    <w:rsid w:val="00F22DF0"/>
    <w:rsid w:val="00F24F62"/>
    <w:rsid w:val="00F26A29"/>
    <w:rsid w:val="00F30B64"/>
    <w:rsid w:val="00F323CF"/>
    <w:rsid w:val="00F33B89"/>
    <w:rsid w:val="00F341E3"/>
    <w:rsid w:val="00F351EB"/>
    <w:rsid w:val="00F35E2C"/>
    <w:rsid w:val="00F36960"/>
    <w:rsid w:val="00F37358"/>
    <w:rsid w:val="00F429DF"/>
    <w:rsid w:val="00F4511D"/>
    <w:rsid w:val="00F50E39"/>
    <w:rsid w:val="00F5191D"/>
    <w:rsid w:val="00F5543D"/>
    <w:rsid w:val="00F554A4"/>
    <w:rsid w:val="00F55CFF"/>
    <w:rsid w:val="00F55E8C"/>
    <w:rsid w:val="00F60B59"/>
    <w:rsid w:val="00F621EA"/>
    <w:rsid w:val="00F63123"/>
    <w:rsid w:val="00F63F24"/>
    <w:rsid w:val="00F650F0"/>
    <w:rsid w:val="00F652DE"/>
    <w:rsid w:val="00F66B57"/>
    <w:rsid w:val="00F71582"/>
    <w:rsid w:val="00F772EE"/>
    <w:rsid w:val="00F80151"/>
    <w:rsid w:val="00F805C0"/>
    <w:rsid w:val="00F80D47"/>
    <w:rsid w:val="00F81486"/>
    <w:rsid w:val="00F81DC4"/>
    <w:rsid w:val="00F851A5"/>
    <w:rsid w:val="00F858DF"/>
    <w:rsid w:val="00F87799"/>
    <w:rsid w:val="00F87AAD"/>
    <w:rsid w:val="00F87BA3"/>
    <w:rsid w:val="00F90F4B"/>
    <w:rsid w:val="00F93055"/>
    <w:rsid w:val="00F9317B"/>
    <w:rsid w:val="00F94018"/>
    <w:rsid w:val="00F9523D"/>
    <w:rsid w:val="00FA0002"/>
    <w:rsid w:val="00FA13DA"/>
    <w:rsid w:val="00FA1C59"/>
    <w:rsid w:val="00FB26B1"/>
    <w:rsid w:val="00FB4E2A"/>
    <w:rsid w:val="00FB735C"/>
    <w:rsid w:val="00FC08B1"/>
    <w:rsid w:val="00FC188D"/>
    <w:rsid w:val="00FC632C"/>
    <w:rsid w:val="00FD2131"/>
    <w:rsid w:val="00FD24D3"/>
    <w:rsid w:val="00FD702F"/>
    <w:rsid w:val="00FE1EA2"/>
    <w:rsid w:val="00FE2A45"/>
    <w:rsid w:val="00FE4097"/>
    <w:rsid w:val="00FE5389"/>
    <w:rsid w:val="00FE5FCB"/>
    <w:rsid w:val="00FF4576"/>
    <w:rsid w:val="00FF7AF3"/>
    <w:rsid w:val="01226DB3"/>
    <w:rsid w:val="047136AB"/>
    <w:rsid w:val="06D95B28"/>
    <w:rsid w:val="07634906"/>
    <w:rsid w:val="07CA142E"/>
    <w:rsid w:val="07E61E3F"/>
    <w:rsid w:val="0DB7A758"/>
    <w:rsid w:val="0F21FDDA"/>
    <w:rsid w:val="1035551C"/>
    <w:rsid w:val="1208D866"/>
    <w:rsid w:val="146AF5E5"/>
    <w:rsid w:val="16BE0414"/>
    <w:rsid w:val="16E078CF"/>
    <w:rsid w:val="19398F72"/>
    <w:rsid w:val="1C927073"/>
    <w:rsid w:val="1DED69CD"/>
    <w:rsid w:val="1F5E4EA2"/>
    <w:rsid w:val="1F9F1E03"/>
    <w:rsid w:val="1FB9F84F"/>
    <w:rsid w:val="1FE414F2"/>
    <w:rsid w:val="253765A3"/>
    <w:rsid w:val="278EC93B"/>
    <w:rsid w:val="27C34CB2"/>
    <w:rsid w:val="2A3C5DC2"/>
    <w:rsid w:val="2CCD143B"/>
    <w:rsid w:val="2CDFBB6B"/>
    <w:rsid w:val="2EA198E2"/>
    <w:rsid w:val="301E7F6A"/>
    <w:rsid w:val="33D229BB"/>
    <w:rsid w:val="34AF0A0D"/>
    <w:rsid w:val="38858491"/>
    <w:rsid w:val="39195079"/>
    <w:rsid w:val="3C00AFE9"/>
    <w:rsid w:val="3D988725"/>
    <w:rsid w:val="3E7F12FE"/>
    <w:rsid w:val="3EC409ED"/>
    <w:rsid w:val="3F12E774"/>
    <w:rsid w:val="43BF7832"/>
    <w:rsid w:val="48904305"/>
    <w:rsid w:val="4B05CBA9"/>
    <w:rsid w:val="4B25D631"/>
    <w:rsid w:val="4C425F67"/>
    <w:rsid w:val="502092B4"/>
    <w:rsid w:val="5056C1F8"/>
    <w:rsid w:val="5526B18C"/>
    <w:rsid w:val="565BCB83"/>
    <w:rsid w:val="58A2B1C5"/>
    <w:rsid w:val="5C2BDD32"/>
    <w:rsid w:val="5EF71017"/>
    <w:rsid w:val="5F10F72A"/>
    <w:rsid w:val="5FFFCC87"/>
    <w:rsid w:val="601E2980"/>
    <w:rsid w:val="608BEAC2"/>
    <w:rsid w:val="63A58487"/>
    <w:rsid w:val="656793BF"/>
    <w:rsid w:val="6599A811"/>
    <w:rsid w:val="677CE952"/>
    <w:rsid w:val="6A659150"/>
    <w:rsid w:val="6B50C4A2"/>
    <w:rsid w:val="6FC16C8E"/>
    <w:rsid w:val="74EB644A"/>
    <w:rsid w:val="7545C4F0"/>
    <w:rsid w:val="75DC1F9F"/>
    <w:rsid w:val="7878C793"/>
    <w:rsid w:val="7AC3B0B0"/>
    <w:rsid w:val="7C312F10"/>
    <w:rsid w:val="7C91FEEA"/>
    <w:rsid w:val="7CA1B107"/>
    <w:rsid w:val="7D347B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91ED7"/>
  <w15:docId w15:val="{B6821D91-FC3E-4921-AB2D-F9B0347B4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ED6"/>
    <w:pPr>
      <w:autoSpaceDE w:val="0"/>
      <w:autoSpaceDN w:val="0"/>
      <w:spacing w:after="0" w:line="240" w:lineRule="auto"/>
    </w:pPr>
    <w:rPr>
      <w:rFonts w:ascii="Univers Cd (W1)" w:eastAsia="Times New Roman" w:hAnsi="Univers Cd (W1)" w:cs="Univers Cd (W1)"/>
      <w:spacing w:val="-3"/>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C7875"/>
    <w:pPr>
      <w:tabs>
        <w:tab w:val="center" w:pos="4252"/>
        <w:tab w:val="right" w:pos="8504"/>
      </w:tabs>
    </w:pPr>
  </w:style>
  <w:style w:type="character" w:customStyle="1" w:styleId="EncabezadoCar">
    <w:name w:val="Encabezado Car"/>
    <w:basedOn w:val="Fuentedeprrafopredeter"/>
    <w:link w:val="Encabezado"/>
    <w:rsid w:val="00EC7875"/>
    <w:rPr>
      <w:rFonts w:ascii="Univers Cd (W1)" w:eastAsia="Times New Roman" w:hAnsi="Univers Cd (W1)" w:cs="Univers Cd (W1)"/>
      <w:spacing w:val="-3"/>
      <w:sz w:val="28"/>
      <w:szCs w:val="28"/>
      <w:lang w:val="es-ES_tradnl" w:eastAsia="es-ES"/>
    </w:rPr>
  </w:style>
  <w:style w:type="paragraph" w:styleId="Textonotapie">
    <w:name w:val="footnote text"/>
    <w:basedOn w:val="Normal"/>
    <w:link w:val="TextonotapieCar"/>
    <w:semiHidden/>
    <w:rsid w:val="00EC7875"/>
    <w:rPr>
      <w:sz w:val="20"/>
      <w:szCs w:val="20"/>
    </w:rPr>
  </w:style>
  <w:style w:type="character" w:customStyle="1" w:styleId="TextonotapieCar">
    <w:name w:val="Texto nota pie Car"/>
    <w:basedOn w:val="Fuentedeprrafopredeter"/>
    <w:link w:val="Textonotapie"/>
    <w:semiHidden/>
    <w:rsid w:val="00EC7875"/>
    <w:rPr>
      <w:rFonts w:ascii="Univers Cd (W1)" w:eastAsia="Times New Roman" w:hAnsi="Univers Cd (W1)" w:cs="Univers Cd (W1)"/>
      <w:spacing w:val="-3"/>
      <w:sz w:val="20"/>
      <w:szCs w:val="20"/>
      <w:lang w:val="es-ES_tradnl" w:eastAsia="es-ES"/>
    </w:rPr>
  </w:style>
  <w:style w:type="character" w:styleId="Refdenotaalpie">
    <w:name w:val="footnote reference"/>
    <w:semiHidden/>
    <w:rsid w:val="00EC7875"/>
    <w:rPr>
      <w:vertAlign w:val="superscript"/>
    </w:rPr>
  </w:style>
  <w:style w:type="paragraph" w:styleId="Prrafodelista">
    <w:name w:val="List Paragraph"/>
    <w:basedOn w:val="Normal"/>
    <w:uiPriority w:val="34"/>
    <w:qFormat/>
    <w:rsid w:val="0074283F"/>
    <w:pPr>
      <w:ind w:left="720"/>
      <w:contextualSpacing/>
    </w:pPr>
  </w:style>
  <w:style w:type="character" w:styleId="Refdecomentario">
    <w:name w:val="annotation reference"/>
    <w:uiPriority w:val="99"/>
    <w:unhideWhenUsed/>
    <w:rsid w:val="00556985"/>
    <w:rPr>
      <w:sz w:val="16"/>
      <w:szCs w:val="16"/>
    </w:rPr>
  </w:style>
  <w:style w:type="paragraph" w:styleId="Textocomentario">
    <w:name w:val="annotation text"/>
    <w:basedOn w:val="Normal"/>
    <w:link w:val="TextocomentarioCar"/>
    <w:uiPriority w:val="99"/>
    <w:unhideWhenUsed/>
    <w:rsid w:val="00556985"/>
    <w:pPr>
      <w:autoSpaceDE/>
      <w:autoSpaceDN/>
    </w:pPr>
    <w:rPr>
      <w:rFonts w:ascii="Arial Narrow" w:eastAsia="MS Mincho" w:hAnsi="Arial Narrow" w:cs="Times New Roman"/>
      <w:spacing w:val="0"/>
      <w:sz w:val="20"/>
      <w:szCs w:val="20"/>
      <w:lang w:val="es-ES"/>
    </w:rPr>
  </w:style>
  <w:style w:type="character" w:customStyle="1" w:styleId="TextocomentarioCar">
    <w:name w:val="Texto comentario Car"/>
    <w:basedOn w:val="Fuentedeprrafopredeter"/>
    <w:link w:val="Textocomentario"/>
    <w:uiPriority w:val="99"/>
    <w:rsid w:val="00556985"/>
    <w:rPr>
      <w:rFonts w:ascii="Arial Narrow" w:eastAsia="MS Mincho" w:hAnsi="Arial Narrow" w:cs="Times New Roman"/>
      <w:sz w:val="20"/>
      <w:szCs w:val="20"/>
      <w:lang w:val="es-ES" w:eastAsia="es-ES"/>
    </w:rPr>
  </w:style>
  <w:style w:type="paragraph" w:styleId="Textodeglobo">
    <w:name w:val="Balloon Text"/>
    <w:basedOn w:val="Normal"/>
    <w:link w:val="TextodegloboCar"/>
    <w:uiPriority w:val="99"/>
    <w:semiHidden/>
    <w:unhideWhenUsed/>
    <w:rsid w:val="00556985"/>
    <w:rPr>
      <w:rFonts w:ascii="Tahoma" w:hAnsi="Tahoma" w:cs="Tahoma"/>
      <w:sz w:val="16"/>
      <w:szCs w:val="16"/>
    </w:rPr>
  </w:style>
  <w:style w:type="character" w:customStyle="1" w:styleId="TextodegloboCar">
    <w:name w:val="Texto de globo Car"/>
    <w:basedOn w:val="Fuentedeprrafopredeter"/>
    <w:link w:val="Textodeglobo"/>
    <w:uiPriority w:val="99"/>
    <w:semiHidden/>
    <w:rsid w:val="00556985"/>
    <w:rPr>
      <w:rFonts w:ascii="Tahoma" w:eastAsia="Times New Roman" w:hAnsi="Tahoma" w:cs="Tahoma"/>
      <w:spacing w:val="-3"/>
      <w:sz w:val="16"/>
      <w:szCs w:val="16"/>
      <w:lang w:val="es-ES_tradnl" w:eastAsia="es-ES"/>
    </w:rPr>
  </w:style>
  <w:style w:type="paragraph" w:customStyle="1" w:styleId="Default">
    <w:name w:val="Default"/>
    <w:rsid w:val="00BF7D59"/>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CE5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F379B"/>
    <w:rPr>
      <w:color w:val="0000FF" w:themeColor="hyperlink"/>
      <w:u w:val="single"/>
    </w:rPr>
  </w:style>
  <w:style w:type="character" w:customStyle="1" w:styleId="Mencinsinresolver1">
    <w:name w:val="Mención sin resolver1"/>
    <w:basedOn w:val="Fuentedeprrafopredeter"/>
    <w:uiPriority w:val="99"/>
    <w:semiHidden/>
    <w:unhideWhenUsed/>
    <w:rsid w:val="00DF379B"/>
    <w:rPr>
      <w:color w:val="605E5C"/>
      <w:shd w:val="clear" w:color="auto" w:fill="E1DFDD"/>
    </w:rPr>
  </w:style>
  <w:style w:type="character" w:styleId="Mencinsinresolver">
    <w:name w:val="Unresolved Mention"/>
    <w:basedOn w:val="Fuentedeprrafopredeter"/>
    <w:uiPriority w:val="99"/>
    <w:semiHidden/>
    <w:unhideWhenUsed/>
    <w:rsid w:val="000773B0"/>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437303"/>
    <w:pPr>
      <w:autoSpaceDE w:val="0"/>
      <w:autoSpaceDN w:val="0"/>
    </w:pPr>
    <w:rPr>
      <w:rFonts w:ascii="Univers Cd (W1)" w:eastAsia="Times New Roman" w:hAnsi="Univers Cd (W1)" w:cs="Univers Cd (W1)"/>
      <w:b/>
      <w:bCs/>
      <w:spacing w:val="-3"/>
      <w:lang w:val="es-ES_tradnl"/>
    </w:rPr>
  </w:style>
  <w:style w:type="character" w:customStyle="1" w:styleId="AsuntodelcomentarioCar">
    <w:name w:val="Asunto del comentario Car"/>
    <w:basedOn w:val="TextocomentarioCar"/>
    <w:link w:val="Asuntodelcomentario"/>
    <w:uiPriority w:val="99"/>
    <w:semiHidden/>
    <w:rsid w:val="00437303"/>
    <w:rPr>
      <w:rFonts w:ascii="Univers Cd (W1)" w:eastAsia="Times New Roman" w:hAnsi="Univers Cd (W1)" w:cs="Univers Cd (W1)"/>
      <w:b/>
      <w:bCs/>
      <w:spacing w:val="-3"/>
      <w:sz w:val="20"/>
      <w:szCs w:val="20"/>
      <w:lang w:val="es-ES_tradnl" w:eastAsia="es-ES"/>
    </w:rPr>
  </w:style>
  <w:style w:type="paragraph" w:styleId="Piedepgina">
    <w:name w:val="footer"/>
    <w:basedOn w:val="Normal"/>
    <w:link w:val="PiedepginaCar"/>
    <w:unhideWhenUsed/>
    <w:rsid w:val="007D4CC1"/>
    <w:pPr>
      <w:tabs>
        <w:tab w:val="center" w:pos="4419"/>
        <w:tab w:val="right" w:pos="8838"/>
      </w:tabs>
    </w:pPr>
  </w:style>
  <w:style w:type="character" w:customStyle="1" w:styleId="PiedepginaCar">
    <w:name w:val="Pie de página Car"/>
    <w:basedOn w:val="Fuentedeprrafopredeter"/>
    <w:link w:val="Piedepgina"/>
    <w:uiPriority w:val="99"/>
    <w:semiHidden/>
    <w:rsid w:val="007D4CC1"/>
    <w:rPr>
      <w:rFonts w:ascii="Univers Cd (W1)" w:eastAsia="Times New Roman" w:hAnsi="Univers Cd (W1)" w:cs="Univers Cd (W1)"/>
      <w:spacing w:val="-3"/>
      <w:sz w:val="28"/>
      <w:szCs w:val="28"/>
      <w:lang w:val="es-ES_tradnl" w:eastAsia="es-ES"/>
    </w:rPr>
  </w:style>
  <w:style w:type="paragraph" w:styleId="Revisin">
    <w:name w:val="Revision"/>
    <w:hidden/>
    <w:uiPriority w:val="99"/>
    <w:semiHidden/>
    <w:rsid w:val="0092492C"/>
    <w:pPr>
      <w:spacing w:after="0" w:line="240" w:lineRule="auto"/>
    </w:pPr>
    <w:rPr>
      <w:rFonts w:ascii="Univers Cd (W1)" w:eastAsia="Times New Roman" w:hAnsi="Univers Cd (W1)" w:cs="Univers Cd (W1)"/>
      <w:spacing w:val="-3"/>
      <w:sz w:val="28"/>
      <w:szCs w:val="28"/>
      <w:lang w:val="es-ES_tradnl" w:eastAsia="es-ES"/>
    </w:rPr>
  </w:style>
  <w:style w:type="character" w:styleId="Textoennegrita">
    <w:name w:val="Strong"/>
    <w:basedOn w:val="Fuentedeprrafopredeter"/>
    <w:uiPriority w:val="22"/>
    <w:qFormat/>
    <w:rsid w:val="00D47F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901926">
      <w:bodyDiv w:val="1"/>
      <w:marLeft w:val="0"/>
      <w:marRight w:val="0"/>
      <w:marTop w:val="0"/>
      <w:marBottom w:val="0"/>
      <w:divBdr>
        <w:top w:val="none" w:sz="0" w:space="0" w:color="auto"/>
        <w:left w:val="none" w:sz="0" w:space="0" w:color="auto"/>
        <w:bottom w:val="none" w:sz="0" w:space="0" w:color="auto"/>
        <w:right w:val="none" w:sz="0" w:space="0" w:color="auto"/>
      </w:divBdr>
    </w:div>
    <w:div w:id="872615676">
      <w:bodyDiv w:val="1"/>
      <w:marLeft w:val="0"/>
      <w:marRight w:val="0"/>
      <w:marTop w:val="0"/>
      <w:marBottom w:val="0"/>
      <w:divBdr>
        <w:top w:val="none" w:sz="0" w:space="0" w:color="auto"/>
        <w:left w:val="none" w:sz="0" w:space="0" w:color="auto"/>
        <w:bottom w:val="none" w:sz="0" w:space="0" w:color="auto"/>
        <w:right w:val="none" w:sz="0" w:space="0" w:color="auto"/>
      </w:divBdr>
    </w:div>
    <w:div w:id="948582225">
      <w:bodyDiv w:val="1"/>
      <w:marLeft w:val="0"/>
      <w:marRight w:val="0"/>
      <w:marTop w:val="0"/>
      <w:marBottom w:val="0"/>
      <w:divBdr>
        <w:top w:val="none" w:sz="0" w:space="0" w:color="auto"/>
        <w:left w:val="none" w:sz="0" w:space="0" w:color="auto"/>
        <w:bottom w:val="none" w:sz="0" w:space="0" w:color="auto"/>
        <w:right w:val="none" w:sz="0" w:space="0" w:color="auto"/>
      </w:divBdr>
    </w:div>
    <w:div w:id="1401250929">
      <w:bodyDiv w:val="1"/>
      <w:marLeft w:val="0"/>
      <w:marRight w:val="0"/>
      <w:marTop w:val="0"/>
      <w:marBottom w:val="0"/>
      <w:divBdr>
        <w:top w:val="none" w:sz="0" w:space="0" w:color="auto"/>
        <w:left w:val="none" w:sz="0" w:space="0" w:color="auto"/>
        <w:bottom w:val="none" w:sz="0" w:space="0" w:color="auto"/>
        <w:right w:val="none" w:sz="0" w:space="0" w:color="auto"/>
      </w:divBdr>
    </w:div>
    <w:div w:id="1794329489">
      <w:bodyDiv w:val="1"/>
      <w:marLeft w:val="0"/>
      <w:marRight w:val="0"/>
      <w:marTop w:val="0"/>
      <w:marBottom w:val="0"/>
      <w:divBdr>
        <w:top w:val="none" w:sz="0" w:space="0" w:color="auto"/>
        <w:left w:val="none" w:sz="0" w:space="0" w:color="auto"/>
        <w:bottom w:val="none" w:sz="0" w:space="0" w:color="auto"/>
        <w:right w:val="none" w:sz="0" w:space="0" w:color="auto"/>
      </w:divBdr>
    </w:div>
    <w:div w:id="1870682494">
      <w:bodyDiv w:val="1"/>
      <w:marLeft w:val="0"/>
      <w:marRight w:val="0"/>
      <w:marTop w:val="0"/>
      <w:marBottom w:val="0"/>
      <w:divBdr>
        <w:top w:val="none" w:sz="0" w:space="0" w:color="auto"/>
        <w:left w:val="none" w:sz="0" w:space="0" w:color="auto"/>
        <w:bottom w:val="none" w:sz="0" w:space="0" w:color="auto"/>
        <w:right w:val="none" w:sz="0" w:space="0" w:color="auto"/>
      </w:divBdr>
    </w:div>
    <w:div w:id="206687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osfi-bsif.gc.ca/Eng/fi-if/rg-ro/gdn-ort/gl-ld/Pages/b2-20.asp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D9AAC28DA5AAD40B76E5274427BF1F6" ma:contentTypeVersion="2" ma:contentTypeDescription="Create a new document." ma:contentTypeScope="" ma:versionID="773e67f0c28636e69a017ef2d998c26a">
  <xsd:schema xmlns:xsd="http://www.w3.org/2001/XMLSchema" xmlns:xs="http://www.w3.org/2001/XMLSchema" xmlns:p="http://schemas.microsoft.com/office/2006/metadata/properties" xmlns:ns2="cad59cb6-8bbf-4a8b-a4b6-796a94d3bfe1" targetNamespace="http://schemas.microsoft.com/office/2006/metadata/properties" ma:root="true" ma:fieldsID="007be5b0f88f309c781d05b58732643e" ns2:_="">
    <xsd:import namespace="cad59cb6-8bbf-4a8b-a4b6-796a94d3bfe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d59cb6-8bbf-4a8b-a4b6-796a94d3bf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FFA3C0-21BD-428E-A1BA-26B3015E35E2}">
  <ds:schemaRefs>
    <ds:schemaRef ds:uri="http://schemas.openxmlformats.org/officeDocument/2006/bibliography"/>
  </ds:schemaRefs>
</ds:datastoreItem>
</file>

<file path=customXml/itemProps2.xml><?xml version="1.0" encoding="utf-8"?>
<ds:datastoreItem xmlns:ds="http://schemas.openxmlformats.org/officeDocument/2006/customXml" ds:itemID="{AA4375C7-86F7-4DEA-B698-1878615E1B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598FCF-34B7-41A7-9AF9-22D08D413740}">
  <ds:schemaRefs>
    <ds:schemaRef ds:uri="http://schemas.microsoft.com/sharepoint/v3/contenttype/forms"/>
  </ds:schemaRefs>
</ds:datastoreItem>
</file>

<file path=customXml/itemProps4.xml><?xml version="1.0" encoding="utf-8"?>
<ds:datastoreItem xmlns:ds="http://schemas.openxmlformats.org/officeDocument/2006/customXml" ds:itemID="{450409F0-2586-45C7-845E-F2E00DAB9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d59cb6-8bbf-4a8b-a4b6-796a94d3bf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2773</Words>
  <Characters>15673</Characters>
  <Application>Microsoft Office Word</Application>
  <DocSecurity>0</DocSecurity>
  <Lines>261</Lines>
  <Paragraphs>82</Paragraphs>
  <ScaleCrop>false</ScaleCrop>
  <HeadingPairs>
    <vt:vector size="2" baseType="variant">
      <vt:variant>
        <vt:lpstr>Título</vt:lpstr>
      </vt:variant>
      <vt:variant>
        <vt:i4>1</vt:i4>
      </vt:variant>
    </vt:vector>
  </HeadingPairs>
  <TitlesOfParts>
    <vt:vector size="1" baseType="lpstr">
      <vt:lpstr/>
    </vt:vector>
  </TitlesOfParts>
  <Company>Ministerio de Hacienda y Crédito Público</Company>
  <LinksUpToDate>false</LinksUpToDate>
  <CharactersWithSpaces>18364</CharactersWithSpaces>
  <SharedDoc>false</SharedDoc>
  <HLinks>
    <vt:vector size="6" baseType="variant">
      <vt:variant>
        <vt:i4>6619252</vt:i4>
      </vt:variant>
      <vt:variant>
        <vt:i4>0</vt:i4>
      </vt:variant>
      <vt:variant>
        <vt:i4>0</vt:i4>
      </vt:variant>
      <vt:variant>
        <vt:i4>5</vt:i4>
      </vt:variant>
      <vt:variant>
        <vt:lpwstr>https://www.osfi-bsif.gc.ca/Eng/fi-if/rg-ro/gdn-ort/gl-ld/Pages/b2-20.aspx</vt:lpwstr>
      </vt:variant>
      <vt:variant>
        <vt:lpwstr>fnb23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Marcela Ruiz Daza</dc:creator>
  <cp:keywords/>
  <cp:lastModifiedBy>Subdirección de investigación y análisis</cp:lastModifiedBy>
  <cp:revision>2</cp:revision>
  <dcterms:created xsi:type="dcterms:W3CDTF">2021-08-04T21:02:00Z</dcterms:created>
  <dcterms:modified xsi:type="dcterms:W3CDTF">2021-08-04T21:02:00Z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0x010100AD9AAC28DA5AAD40B76E5274427BF1F6</vt:lpwstr>
  </property>
</Properties>
</file>